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B8317F" w:rsidRPr="00290C63" w:rsidRDefault="00B8317F" w:rsidP="00B8317F">
          <w:r w:rsidRPr="00B8317F">
            <w:rPr>
              <w:noProof/>
              <w:lang w:eastAsia="en-AU"/>
            </w:rPr>
            <w:drawing>
              <wp:anchor distT="0" distB="0" distL="114300" distR="114300" simplePos="0" relativeHeight="251659264" behindDoc="1" locked="0" layoutInCell="1" allowOverlap="1" wp14:anchorId="6936C9E5" wp14:editId="75EC4741">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B8317F" w:rsidRDefault="00B8317F" w:rsidP="00B8317F"/>
        <w:p w:rsidR="00B8317F" w:rsidRDefault="00B8317F" w:rsidP="00B8317F"/>
        <w:p w:rsidR="00B8317F" w:rsidRDefault="00B8317F" w:rsidP="00B8317F"/>
        <w:p w:rsidR="00B8317F" w:rsidRDefault="00B8317F" w:rsidP="00B8317F"/>
        <w:p w:rsidR="00B8317F" w:rsidRDefault="00B8317F" w:rsidP="00B8317F"/>
        <w:p w:rsidR="00B8317F" w:rsidRDefault="00B8317F" w:rsidP="00B8317F"/>
        <w:p w:rsidR="00B8317F" w:rsidRDefault="00B8317F" w:rsidP="00B8317F"/>
        <w:p w:rsidR="00B8317F" w:rsidRDefault="00B8317F" w:rsidP="00B8317F"/>
        <w:p w:rsidR="00B8317F" w:rsidRPr="00B8317F" w:rsidRDefault="00B8317F" w:rsidP="0050235D">
          <w:pPr>
            <w:pStyle w:val="ReportSubtitle"/>
            <w:jc w:val="left"/>
          </w:pPr>
          <w:r>
            <w:tab/>
          </w:r>
          <w:r w:rsidRPr="00B8317F">
            <w:t>FINAL DECISION</w:t>
          </w:r>
        </w:p>
        <w:p w:rsidR="00B8317F" w:rsidRDefault="00B8317F" w:rsidP="00B8317F">
          <w:pPr>
            <w:pStyle w:val="ReportSubtitle"/>
          </w:pPr>
          <w:r>
            <w:t>Endeavour Energy distribution determination</w:t>
          </w:r>
        </w:p>
        <w:p w:rsidR="00B8317F" w:rsidRDefault="00B8317F" w:rsidP="00B8317F">
          <w:pPr>
            <w:pStyle w:val="ReportSubtitle"/>
          </w:pPr>
          <w:r>
            <w:t xml:space="preserve"> 2015</w:t>
          </w:r>
          <w:r w:rsidRPr="00B8317F">
            <w:t>−</w:t>
          </w:r>
          <w:r>
            <w:t>16 to 2018</w:t>
          </w:r>
          <w:r w:rsidRPr="00B8317F">
            <w:t>−</w:t>
          </w:r>
          <w:r>
            <w:t>19</w:t>
          </w:r>
        </w:p>
        <w:p w:rsidR="00B8317F" w:rsidRPr="000A6C7B" w:rsidRDefault="00B8317F" w:rsidP="00B8317F">
          <w:pPr>
            <w:pStyle w:val="ReportSubtitle"/>
          </w:pPr>
        </w:p>
        <w:p w:rsidR="00B8317F" w:rsidRPr="000A6C7B" w:rsidRDefault="00B8317F" w:rsidP="00B8317F">
          <w:pPr>
            <w:pStyle w:val="ReportSubtitle"/>
          </w:pPr>
          <w:r>
            <w:t xml:space="preserve">Attachment 7 </w:t>
          </w:r>
          <w:r w:rsidRPr="00B8317F">
            <w:t>–</w:t>
          </w:r>
          <w:r>
            <w:t xml:space="preserve"> Operating expenditure</w:t>
          </w:r>
        </w:p>
        <w:p w:rsidR="00B8317F" w:rsidRPr="00327A1E" w:rsidRDefault="00B8317F" w:rsidP="00B8317F">
          <w:pPr>
            <w:pStyle w:val="ReportDate"/>
          </w:pPr>
          <w:r>
            <w:t>April 2015</w:t>
          </w:r>
        </w:p>
      </w:sdtContent>
    </w:sdt>
    <w:p w:rsidR="00B8317F" w:rsidRPr="00290C63" w:rsidRDefault="00B8317F" w:rsidP="00B8317F">
      <w:r>
        <w:br w:type="page"/>
      </w:r>
    </w:p>
    <w:p w:rsidR="00B8317F" w:rsidRDefault="00B8317F" w:rsidP="00B8317F">
      <w:pPr>
        <w:pStyle w:val="Copyright"/>
      </w:pPr>
      <w:r>
        <w:lastRenderedPageBreak/>
        <w:t>© Commonwealth of Australia 2015</w:t>
      </w:r>
    </w:p>
    <w:p w:rsidR="00B8317F" w:rsidRDefault="00B8317F" w:rsidP="00B8317F">
      <w:pPr>
        <w:pStyle w:val="Copyright"/>
      </w:pPr>
      <w:r>
        <w:t>This work is copyright. In addition to any use permitted under the Copyright Act 1968, all material contained within this work is provided under a Creative Commons Attributions 3.0 Australia licence, with the exception of:</w:t>
      </w:r>
    </w:p>
    <w:p w:rsidR="00B8317F" w:rsidRPr="00B8317F" w:rsidRDefault="00B8317F" w:rsidP="00B8317F">
      <w:pPr>
        <w:pStyle w:val="AERbulletlistfirststyle"/>
      </w:pPr>
      <w:r>
        <w:t xml:space="preserve">the </w:t>
      </w:r>
      <w:r w:rsidRPr="00B8317F">
        <w:t>Commonwealth Coat of Arms</w:t>
      </w:r>
    </w:p>
    <w:p w:rsidR="00B8317F" w:rsidRPr="00B8317F" w:rsidRDefault="00B8317F" w:rsidP="00B8317F">
      <w:pPr>
        <w:pStyle w:val="AERbulletlistfirststyle"/>
      </w:pPr>
      <w:r w:rsidRPr="00B8317F">
        <w:t>the ACCC and AER logos</w:t>
      </w:r>
    </w:p>
    <w:p w:rsidR="00B8317F" w:rsidRPr="00B8317F" w:rsidRDefault="00B8317F" w:rsidP="00B8317F">
      <w:pPr>
        <w:pStyle w:val="AERbulletlistfirststyle"/>
      </w:pPr>
      <w:r w:rsidRPr="00B8317F">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B8317F" w:rsidRDefault="00B8317F" w:rsidP="00B8317F">
      <w:pPr>
        <w:pStyle w:val="Copyright"/>
      </w:pPr>
      <w:r>
        <w:t>Requests and inquiries concerning reproduction and rights should be addressed to the:</w:t>
      </w:r>
    </w:p>
    <w:p w:rsidR="00B8317F" w:rsidRDefault="00B8317F" w:rsidP="00B8317F">
      <w:pPr>
        <w:pStyle w:val="Copyright"/>
      </w:pPr>
      <w:r>
        <w:t>Director, Corporate Communications</w:t>
      </w:r>
      <w:r>
        <w:br/>
        <w:t xml:space="preserve">Australian Competition and Consumer Commission </w:t>
      </w:r>
      <w:r>
        <w:br/>
        <w:t>GPO Box 4141, Canberra ACT 2601</w:t>
      </w:r>
    </w:p>
    <w:p w:rsidR="00B8317F" w:rsidRDefault="00B8317F" w:rsidP="00B8317F">
      <w:pPr>
        <w:pStyle w:val="Copyright"/>
      </w:pPr>
      <w:r>
        <w:t>or publishing.unit@accc.gov.au.</w:t>
      </w:r>
    </w:p>
    <w:p w:rsidR="00B8317F" w:rsidRDefault="00B8317F" w:rsidP="00B8317F">
      <w:pPr>
        <w:pStyle w:val="Copyright"/>
      </w:pPr>
      <w:r>
        <w:t>Inquiries about this publication should be addressed to:</w:t>
      </w:r>
    </w:p>
    <w:p w:rsidR="00B8317F" w:rsidRDefault="00B8317F" w:rsidP="00B8317F">
      <w:pPr>
        <w:pStyle w:val="Copyright"/>
      </w:pPr>
      <w:r>
        <w:t xml:space="preserve">Australian Energy </w:t>
      </w:r>
      <w:r w:rsidRPr="00F171E0">
        <w:t>Regulator</w:t>
      </w:r>
      <w:r>
        <w:br/>
        <w:t>GPO Box 520</w:t>
      </w:r>
      <w:r>
        <w:br/>
        <w:t>Melbourne  Vic  3001</w:t>
      </w:r>
    </w:p>
    <w:p w:rsidR="00B8317F" w:rsidRDefault="00B8317F" w:rsidP="00B8317F">
      <w:pPr>
        <w:pStyle w:val="Copyright"/>
      </w:pPr>
      <w:r>
        <w:t>Tel: (03) 9290 1444</w:t>
      </w:r>
      <w:r>
        <w:br/>
        <w:t>Fax: (03) 9290 1457</w:t>
      </w:r>
    </w:p>
    <w:p w:rsidR="00B8317F" w:rsidRDefault="00B8317F" w:rsidP="00B8317F">
      <w:pPr>
        <w:pStyle w:val="Copyright"/>
      </w:pPr>
      <w:r>
        <w:t xml:space="preserve">Email: </w:t>
      </w:r>
      <w:hyperlink r:id="rId10" w:history="1">
        <w:r w:rsidRPr="00D64888">
          <w:rPr>
            <w:rStyle w:val="Hyperlink"/>
          </w:rPr>
          <w:t>AERInquiry@aer.gov.au</w:t>
        </w:r>
      </w:hyperlink>
      <w:r>
        <w:rPr>
          <w:rStyle w:val="Hyperlink"/>
        </w:rPr>
        <w:br/>
      </w:r>
    </w:p>
    <w:p w:rsidR="00B8317F" w:rsidRPr="009D3906" w:rsidRDefault="00B8317F" w:rsidP="00B8317F">
      <w:pPr>
        <w:pStyle w:val="Copyright"/>
      </w:pPr>
      <w:r>
        <w:t>AER reference:</w:t>
      </w:r>
      <w:r>
        <w:tab/>
        <w:t>54420</w:t>
      </w:r>
    </w:p>
    <w:p w:rsidR="00B8317F" w:rsidRPr="00B8317F" w:rsidRDefault="00B8317F" w:rsidP="00B8317F">
      <w:bookmarkStart w:id="1" w:name="_Toc404354899"/>
      <w:bookmarkStart w:id="2" w:name="_Toc404353070"/>
      <w:bookmarkStart w:id="3" w:name="_Toc404684201"/>
      <w:bookmarkStart w:id="4" w:name="_Toc404700923"/>
      <w:r>
        <w:br w:type="page"/>
      </w:r>
    </w:p>
    <w:p w:rsidR="00B8317F" w:rsidRDefault="00B8317F" w:rsidP="00B8317F">
      <w:pPr>
        <w:pStyle w:val="UnnumberedHeading"/>
        <w:numPr>
          <w:ilvl w:val="0"/>
          <w:numId w:val="23"/>
        </w:numPr>
      </w:pPr>
      <w:bookmarkStart w:id="5" w:name="_Toc417659821"/>
      <w:r>
        <w:lastRenderedPageBreak/>
        <w:t>Note</w:t>
      </w:r>
      <w:bookmarkEnd w:id="1"/>
      <w:bookmarkEnd w:id="2"/>
      <w:bookmarkEnd w:id="3"/>
      <w:bookmarkEnd w:id="4"/>
      <w:bookmarkEnd w:id="5"/>
    </w:p>
    <w:p w:rsidR="00B8317F" w:rsidRDefault="00B8317F" w:rsidP="00B8317F">
      <w:pPr>
        <w:numPr>
          <w:ilvl w:val="0"/>
          <w:numId w:val="24"/>
        </w:numPr>
      </w:pPr>
    </w:p>
    <w:p w:rsidR="00B8317F" w:rsidRDefault="00B8317F" w:rsidP="00B8317F">
      <w:pPr>
        <w:numPr>
          <w:ilvl w:val="0"/>
          <w:numId w:val="24"/>
        </w:numPr>
      </w:pPr>
      <w:r>
        <w:t>This attachment forms part of the AER's final decision on Endeavour Energy’s revenue proposal 2015</w:t>
      </w:r>
      <w:r w:rsidRPr="00D904FA">
        <w:t>–</w:t>
      </w:r>
      <w:r>
        <w:t>19. It should be read with other parts of the final decision.</w:t>
      </w:r>
    </w:p>
    <w:p w:rsidR="00B8317F" w:rsidRDefault="00B8317F" w:rsidP="00B8317F">
      <w:pPr>
        <w:numPr>
          <w:ilvl w:val="0"/>
          <w:numId w:val="24"/>
        </w:numPr>
      </w:pPr>
      <w:r>
        <w:t>The final decision includes the following documents:</w:t>
      </w:r>
    </w:p>
    <w:p w:rsidR="00B8317F" w:rsidRDefault="00B8317F" w:rsidP="00B8317F">
      <w:pPr>
        <w:numPr>
          <w:ilvl w:val="0"/>
          <w:numId w:val="24"/>
        </w:numPr>
      </w:pPr>
      <w:r>
        <w:t>Overview</w:t>
      </w:r>
    </w:p>
    <w:p w:rsidR="00B8317F" w:rsidRDefault="00B8317F" w:rsidP="00B8317F">
      <w:r>
        <w:t>Attachment 1 - Annual revenue requirement</w:t>
      </w:r>
    </w:p>
    <w:p w:rsidR="00B8317F" w:rsidRDefault="00B8317F" w:rsidP="00B8317F">
      <w:r>
        <w:t>Attachment 2 - Regulatory asset base</w:t>
      </w:r>
    </w:p>
    <w:p w:rsidR="00B8317F" w:rsidRDefault="00B8317F" w:rsidP="00B8317F">
      <w:r>
        <w:t>Attachment 3 - Rate of return</w:t>
      </w:r>
    </w:p>
    <w:p w:rsidR="00B8317F" w:rsidRDefault="00B8317F" w:rsidP="00B8317F">
      <w:r>
        <w:t>Attachment 4 - Value of imputation credits</w:t>
      </w:r>
    </w:p>
    <w:p w:rsidR="00B8317F" w:rsidRDefault="00B8317F" w:rsidP="00B8317F">
      <w:r>
        <w:t>Attachment 5 - Regulatory depreciation</w:t>
      </w:r>
    </w:p>
    <w:p w:rsidR="00B8317F" w:rsidRDefault="00B8317F" w:rsidP="00B8317F">
      <w:r>
        <w:t xml:space="preserve">Attachment 6 - Capital expenditure </w:t>
      </w:r>
    </w:p>
    <w:p w:rsidR="00B8317F" w:rsidRDefault="00B8317F" w:rsidP="00B8317F">
      <w:r>
        <w:t>Attachment 7 - Operating expenditure</w:t>
      </w:r>
    </w:p>
    <w:p w:rsidR="00B8317F" w:rsidRDefault="00B8317F" w:rsidP="00B8317F">
      <w:r>
        <w:t>Attachment 8 - Corporate income tax</w:t>
      </w:r>
    </w:p>
    <w:p w:rsidR="00B8317F" w:rsidRDefault="00B8317F" w:rsidP="00B8317F">
      <w:r>
        <w:t>Attachment 9 - Efficiency benefit sharing scheme</w:t>
      </w:r>
    </w:p>
    <w:p w:rsidR="00B8317F" w:rsidRDefault="00B8317F" w:rsidP="00B8317F">
      <w:r>
        <w:t>Attachment 10 - Capital expenditure sharing scheme</w:t>
      </w:r>
    </w:p>
    <w:p w:rsidR="00B8317F" w:rsidRDefault="00B8317F" w:rsidP="00B8317F">
      <w:r>
        <w:t>Attachment 11 - Service target performance incentive scheme</w:t>
      </w:r>
    </w:p>
    <w:p w:rsidR="00B8317F" w:rsidRDefault="00B8317F" w:rsidP="00B8317F">
      <w:r>
        <w:t>Attachment 12 - Demand management incentive scheme</w:t>
      </w:r>
    </w:p>
    <w:p w:rsidR="00B8317F" w:rsidRDefault="00B8317F" w:rsidP="00B8317F">
      <w:r>
        <w:t>Attachment 13 - Classification of services</w:t>
      </w:r>
    </w:p>
    <w:p w:rsidR="00B8317F" w:rsidRDefault="00B8317F" w:rsidP="00B8317F">
      <w:r>
        <w:t>Attachment 14 - Control mechanism</w:t>
      </w:r>
    </w:p>
    <w:p w:rsidR="00B8317F" w:rsidRDefault="00B8317F" w:rsidP="00B8317F">
      <w:r>
        <w:t>Attachment 15 - Pass through events</w:t>
      </w:r>
    </w:p>
    <w:p w:rsidR="00B8317F" w:rsidRDefault="00B8317F" w:rsidP="00B8317F">
      <w:r>
        <w:t>Attachment 16 - Alternative control services</w:t>
      </w:r>
    </w:p>
    <w:p w:rsidR="00B8317F" w:rsidRDefault="00B8317F" w:rsidP="00B8317F">
      <w:r>
        <w:t>Attachment 17 - Negotiated services framework and criteria</w:t>
      </w:r>
    </w:p>
    <w:p w:rsidR="00B8317F" w:rsidRDefault="00B8317F" w:rsidP="00B8317F">
      <w:r>
        <w:t>Attachment 18 - Connection policy</w:t>
      </w:r>
    </w:p>
    <w:p w:rsidR="003724C4" w:rsidRDefault="003724C4" w:rsidP="00B8317F">
      <w:r w:rsidRPr="003724C4">
        <w:t xml:space="preserve">Attachment </w:t>
      </w:r>
      <w:r>
        <w:t>19</w:t>
      </w:r>
      <w:r w:rsidRPr="003724C4">
        <w:t xml:space="preserve"> - Analysis of financial viability</w:t>
      </w:r>
    </w:p>
    <w:p w:rsidR="003724C4" w:rsidRDefault="003724C4" w:rsidP="00B8317F"/>
    <w:p w:rsidR="003724C4" w:rsidRPr="008F07A3" w:rsidRDefault="003724C4" w:rsidP="00B8317F">
      <w:pPr>
        <w:sectPr w:rsidR="003724C4" w:rsidRPr="008F07A3" w:rsidSect="001754EE">
          <w:footerReference w:type="even" r:id="rId11"/>
          <w:footerReference w:type="default" r:id="rId12"/>
          <w:footerReference w:type="first" r:id="rId13"/>
          <w:pgSz w:w="11906" w:h="16838" w:code="9"/>
          <w:pgMar w:top="1440" w:right="1700" w:bottom="1582" w:left="1729" w:header="720" w:footer="0" w:gutter="0"/>
          <w:pgNumType w:start="0" w:chapStyle="1"/>
          <w:cols w:space="720"/>
          <w:docGrid w:linePitch="326"/>
        </w:sectPr>
      </w:pPr>
    </w:p>
    <w:p w:rsidR="00B8317F" w:rsidRPr="00A72B34" w:rsidRDefault="00B8317F" w:rsidP="00B8317F">
      <w:pPr>
        <w:pStyle w:val="UnnumberedHeading"/>
        <w:numPr>
          <w:ilvl w:val="0"/>
          <w:numId w:val="23"/>
        </w:numPr>
      </w:pPr>
      <w:bookmarkStart w:id="6" w:name="_Toc403144133"/>
      <w:bookmarkStart w:id="7" w:name="_Toc417659822"/>
      <w:r>
        <w:lastRenderedPageBreak/>
        <w:t>Contents</w:t>
      </w:r>
      <w:bookmarkEnd w:id="6"/>
      <w:bookmarkEnd w:id="7"/>
    </w:p>
    <w:p w:rsidR="00B8317F" w:rsidRPr="00B8317F" w:rsidRDefault="00B8317F" w:rsidP="00B8317F">
      <w:r>
        <w:tab/>
      </w:r>
    </w:p>
    <w:sdt>
      <w:sdtPr>
        <w:id w:val="1269200322"/>
        <w:docPartObj>
          <w:docPartGallery w:val="Table of Contents"/>
          <w:docPartUnique/>
        </w:docPartObj>
      </w:sdtPr>
      <w:sdtEndPr/>
      <w:sdtContent>
        <w:p w:rsidR="00C57342" w:rsidRDefault="00B8317F">
          <w:pPr>
            <w:pStyle w:val="TOC1"/>
            <w:rPr>
              <w:rFonts w:asciiTheme="minorHAnsi" w:eastAsiaTheme="minorEastAsia" w:hAnsiTheme="minorHAnsi"/>
              <w:b w:val="0"/>
              <w:color w:val="auto"/>
              <w:sz w:val="22"/>
              <w:lang w:val="en-AU" w:eastAsia="en-AU"/>
            </w:rPr>
          </w:pPr>
          <w:r>
            <w:fldChar w:fldCharType="begin"/>
          </w:r>
          <w:r>
            <w:instrText xml:space="preserve"> TOC \o "2-2" \h \z \t "Heading 1,1,Heading 3,3,Heading 7,1,Heading 8,2,Heading 9,3,Unnumbered Heading,1" </w:instrText>
          </w:r>
          <w:r>
            <w:fldChar w:fldCharType="separate"/>
          </w:r>
          <w:hyperlink w:anchor="_Toc417659821" w:history="1">
            <w:r w:rsidR="00C57342" w:rsidRPr="00C1303E">
              <w:rPr>
                <w:rStyle w:val="Hyperlink"/>
              </w:rPr>
              <w:t>Note</w:t>
            </w:r>
            <w:r w:rsidR="00C57342">
              <w:rPr>
                <w:webHidden/>
              </w:rPr>
              <w:tab/>
            </w:r>
            <w:r w:rsidR="00C57342">
              <w:rPr>
                <w:webHidden/>
              </w:rPr>
              <w:fldChar w:fldCharType="begin"/>
            </w:r>
            <w:r w:rsidR="00C57342">
              <w:rPr>
                <w:webHidden/>
              </w:rPr>
              <w:instrText xml:space="preserve"> PAGEREF _Toc417659821 \h </w:instrText>
            </w:r>
            <w:r w:rsidR="00C57342">
              <w:rPr>
                <w:webHidden/>
              </w:rPr>
            </w:r>
            <w:r w:rsidR="00C57342">
              <w:rPr>
                <w:webHidden/>
              </w:rPr>
              <w:fldChar w:fldCharType="separate"/>
            </w:r>
            <w:r w:rsidR="00BD1EAD">
              <w:rPr>
                <w:webHidden/>
              </w:rPr>
              <w:t>7-2</w:t>
            </w:r>
            <w:r w:rsidR="00C57342">
              <w:rPr>
                <w:webHidden/>
              </w:rPr>
              <w:fldChar w:fldCharType="end"/>
            </w:r>
          </w:hyperlink>
        </w:p>
        <w:p w:rsidR="00C57342" w:rsidRDefault="00A66A4E">
          <w:pPr>
            <w:pStyle w:val="TOC1"/>
            <w:rPr>
              <w:rFonts w:asciiTheme="minorHAnsi" w:eastAsiaTheme="minorEastAsia" w:hAnsiTheme="minorHAnsi"/>
              <w:b w:val="0"/>
              <w:color w:val="auto"/>
              <w:sz w:val="22"/>
              <w:lang w:val="en-AU" w:eastAsia="en-AU"/>
            </w:rPr>
          </w:pPr>
          <w:hyperlink w:anchor="_Toc417659822" w:history="1">
            <w:r w:rsidR="00C57342" w:rsidRPr="00C1303E">
              <w:rPr>
                <w:rStyle w:val="Hyperlink"/>
              </w:rPr>
              <w:t>Contents</w:t>
            </w:r>
            <w:r w:rsidR="00C57342">
              <w:rPr>
                <w:webHidden/>
              </w:rPr>
              <w:tab/>
            </w:r>
            <w:r w:rsidR="00C57342">
              <w:rPr>
                <w:webHidden/>
              </w:rPr>
              <w:fldChar w:fldCharType="begin"/>
            </w:r>
            <w:r w:rsidR="00C57342">
              <w:rPr>
                <w:webHidden/>
              </w:rPr>
              <w:instrText xml:space="preserve"> PAGEREF _Toc417659822 \h </w:instrText>
            </w:r>
            <w:r w:rsidR="00C57342">
              <w:rPr>
                <w:webHidden/>
              </w:rPr>
            </w:r>
            <w:r w:rsidR="00C57342">
              <w:rPr>
                <w:webHidden/>
              </w:rPr>
              <w:fldChar w:fldCharType="separate"/>
            </w:r>
            <w:r w:rsidR="00BD1EAD">
              <w:rPr>
                <w:webHidden/>
              </w:rPr>
              <w:t>7-3</w:t>
            </w:r>
            <w:r w:rsidR="00C57342">
              <w:rPr>
                <w:webHidden/>
              </w:rPr>
              <w:fldChar w:fldCharType="end"/>
            </w:r>
          </w:hyperlink>
        </w:p>
        <w:p w:rsidR="00C57342" w:rsidRDefault="00A66A4E">
          <w:pPr>
            <w:pStyle w:val="TOC1"/>
            <w:rPr>
              <w:rFonts w:asciiTheme="minorHAnsi" w:eastAsiaTheme="minorEastAsia" w:hAnsiTheme="minorHAnsi"/>
              <w:b w:val="0"/>
              <w:color w:val="auto"/>
              <w:sz w:val="22"/>
              <w:lang w:val="en-AU" w:eastAsia="en-AU"/>
            </w:rPr>
          </w:pPr>
          <w:hyperlink w:anchor="_Toc417659823" w:history="1">
            <w:r w:rsidR="00C57342" w:rsidRPr="00C1303E">
              <w:rPr>
                <w:rStyle w:val="Hyperlink"/>
              </w:rPr>
              <w:t>Shortened forms</w:t>
            </w:r>
            <w:r w:rsidR="00C57342">
              <w:rPr>
                <w:webHidden/>
              </w:rPr>
              <w:tab/>
            </w:r>
            <w:r w:rsidR="00C57342">
              <w:rPr>
                <w:webHidden/>
              </w:rPr>
              <w:fldChar w:fldCharType="begin"/>
            </w:r>
            <w:r w:rsidR="00C57342">
              <w:rPr>
                <w:webHidden/>
              </w:rPr>
              <w:instrText xml:space="preserve"> PAGEREF _Toc417659823 \h </w:instrText>
            </w:r>
            <w:r w:rsidR="00C57342">
              <w:rPr>
                <w:webHidden/>
              </w:rPr>
            </w:r>
            <w:r w:rsidR="00C57342">
              <w:rPr>
                <w:webHidden/>
              </w:rPr>
              <w:fldChar w:fldCharType="separate"/>
            </w:r>
            <w:r w:rsidR="00BD1EAD">
              <w:rPr>
                <w:webHidden/>
              </w:rPr>
              <w:t>7-6</w:t>
            </w:r>
            <w:r w:rsidR="00C57342">
              <w:rPr>
                <w:webHidden/>
              </w:rPr>
              <w:fldChar w:fldCharType="end"/>
            </w:r>
          </w:hyperlink>
        </w:p>
        <w:p w:rsidR="00C57342" w:rsidRDefault="00A66A4E">
          <w:pPr>
            <w:pStyle w:val="TOC1"/>
            <w:rPr>
              <w:rFonts w:asciiTheme="minorHAnsi" w:eastAsiaTheme="minorEastAsia" w:hAnsiTheme="minorHAnsi"/>
              <w:b w:val="0"/>
              <w:color w:val="auto"/>
              <w:sz w:val="22"/>
              <w:lang w:val="en-AU" w:eastAsia="en-AU"/>
            </w:rPr>
          </w:pPr>
          <w:hyperlink w:anchor="_Toc417659824" w:history="1">
            <w:r w:rsidR="00C57342" w:rsidRPr="00C1303E">
              <w:rPr>
                <w:rStyle w:val="Hyperlink"/>
              </w:rPr>
              <w:t>7</w:t>
            </w:r>
            <w:r w:rsidR="00C57342">
              <w:rPr>
                <w:rFonts w:asciiTheme="minorHAnsi" w:eastAsiaTheme="minorEastAsia" w:hAnsiTheme="minorHAnsi"/>
                <w:b w:val="0"/>
                <w:color w:val="auto"/>
                <w:sz w:val="22"/>
                <w:lang w:val="en-AU" w:eastAsia="en-AU"/>
              </w:rPr>
              <w:tab/>
            </w:r>
            <w:r w:rsidR="00C57342" w:rsidRPr="00C1303E">
              <w:rPr>
                <w:rStyle w:val="Hyperlink"/>
              </w:rPr>
              <w:t>Operating expenditure</w:t>
            </w:r>
            <w:r w:rsidR="00C57342">
              <w:rPr>
                <w:webHidden/>
              </w:rPr>
              <w:tab/>
            </w:r>
            <w:r w:rsidR="00C57342">
              <w:rPr>
                <w:webHidden/>
              </w:rPr>
              <w:fldChar w:fldCharType="begin"/>
            </w:r>
            <w:r w:rsidR="00C57342">
              <w:rPr>
                <w:webHidden/>
              </w:rPr>
              <w:instrText xml:space="preserve"> PAGEREF _Toc417659824 \h </w:instrText>
            </w:r>
            <w:r w:rsidR="00C57342">
              <w:rPr>
                <w:webHidden/>
              </w:rPr>
            </w:r>
            <w:r w:rsidR="00C57342">
              <w:rPr>
                <w:webHidden/>
              </w:rPr>
              <w:fldChar w:fldCharType="separate"/>
            </w:r>
            <w:r w:rsidR="00BD1EAD">
              <w:rPr>
                <w:webHidden/>
              </w:rPr>
              <w:t>7-8</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25" w:history="1">
            <w:r w:rsidR="00C57342" w:rsidRPr="00C1303E">
              <w:rPr>
                <w:rStyle w:val="Hyperlink"/>
              </w:rPr>
              <w:t>7.1</w:t>
            </w:r>
            <w:r w:rsidR="00C57342">
              <w:rPr>
                <w:rFonts w:asciiTheme="minorHAnsi" w:eastAsiaTheme="minorEastAsia" w:hAnsiTheme="minorHAnsi"/>
                <w:b w:val="0"/>
                <w:color w:val="auto"/>
                <w:sz w:val="22"/>
                <w:lang w:eastAsia="en-AU"/>
              </w:rPr>
              <w:tab/>
            </w:r>
            <w:r w:rsidR="00C57342" w:rsidRPr="00C1303E">
              <w:rPr>
                <w:rStyle w:val="Hyperlink"/>
              </w:rPr>
              <w:t>Final decision</w:t>
            </w:r>
            <w:r w:rsidR="00C57342">
              <w:rPr>
                <w:webHidden/>
              </w:rPr>
              <w:tab/>
            </w:r>
            <w:r w:rsidR="00C57342">
              <w:rPr>
                <w:webHidden/>
              </w:rPr>
              <w:fldChar w:fldCharType="begin"/>
            </w:r>
            <w:r w:rsidR="00C57342">
              <w:rPr>
                <w:webHidden/>
              </w:rPr>
              <w:instrText xml:space="preserve"> PAGEREF _Toc417659825 \h </w:instrText>
            </w:r>
            <w:r w:rsidR="00C57342">
              <w:rPr>
                <w:webHidden/>
              </w:rPr>
            </w:r>
            <w:r w:rsidR="00C57342">
              <w:rPr>
                <w:webHidden/>
              </w:rPr>
              <w:fldChar w:fldCharType="separate"/>
            </w:r>
            <w:r w:rsidR="00BD1EAD">
              <w:rPr>
                <w:webHidden/>
              </w:rPr>
              <w:t>7-8</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26" w:history="1">
            <w:r w:rsidR="00C57342" w:rsidRPr="00C1303E">
              <w:rPr>
                <w:rStyle w:val="Hyperlink"/>
              </w:rPr>
              <w:t>7.2</w:t>
            </w:r>
            <w:r w:rsidR="00C57342">
              <w:rPr>
                <w:rFonts w:asciiTheme="minorHAnsi" w:eastAsiaTheme="minorEastAsia" w:hAnsiTheme="minorHAnsi"/>
                <w:b w:val="0"/>
                <w:color w:val="auto"/>
                <w:sz w:val="22"/>
                <w:lang w:eastAsia="en-AU"/>
              </w:rPr>
              <w:tab/>
            </w:r>
            <w:r w:rsidR="00C57342" w:rsidRPr="00C1303E">
              <w:rPr>
                <w:rStyle w:val="Hyperlink"/>
              </w:rPr>
              <w:t>Endeavour Energy's revised proposal</w:t>
            </w:r>
            <w:r w:rsidR="00C57342">
              <w:rPr>
                <w:webHidden/>
              </w:rPr>
              <w:tab/>
            </w:r>
            <w:r w:rsidR="00C57342">
              <w:rPr>
                <w:webHidden/>
              </w:rPr>
              <w:fldChar w:fldCharType="begin"/>
            </w:r>
            <w:r w:rsidR="00C57342">
              <w:rPr>
                <w:webHidden/>
              </w:rPr>
              <w:instrText xml:space="preserve"> PAGEREF _Toc417659826 \h </w:instrText>
            </w:r>
            <w:r w:rsidR="00C57342">
              <w:rPr>
                <w:webHidden/>
              </w:rPr>
            </w:r>
            <w:r w:rsidR="00C57342">
              <w:rPr>
                <w:webHidden/>
              </w:rPr>
              <w:fldChar w:fldCharType="separate"/>
            </w:r>
            <w:r w:rsidR="00BD1EAD">
              <w:rPr>
                <w:webHidden/>
              </w:rPr>
              <w:t>7-11</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27" w:history="1">
            <w:r w:rsidR="00C57342" w:rsidRPr="00C1303E">
              <w:rPr>
                <w:rStyle w:val="Hyperlink"/>
              </w:rPr>
              <w:t>7.3</w:t>
            </w:r>
            <w:r w:rsidR="00C57342">
              <w:rPr>
                <w:rFonts w:asciiTheme="minorHAnsi" w:eastAsiaTheme="minorEastAsia" w:hAnsiTheme="minorHAnsi"/>
                <w:b w:val="0"/>
                <w:color w:val="auto"/>
                <w:sz w:val="22"/>
                <w:lang w:eastAsia="en-AU"/>
              </w:rPr>
              <w:tab/>
            </w:r>
            <w:r w:rsidR="00C57342" w:rsidRPr="00C1303E">
              <w:rPr>
                <w:rStyle w:val="Hyperlink"/>
              </w:rPr>
              <w:t>Assessment approach</w:t>
            </w:r>
            <w:r w:rsidR="00C57342">
              <w:rPr>
                <w:webHidden/>
              </w:rPr>
              <w:tab/>
            </w:r>
            <w:r w:rsidR="00C57342">
              <w:rPr>
                <w:webHidden/>
              </w:rPr>
              <w:fldChar w:fldCharType="begin"/>
            </w:r>
            <w:r w:rsidR="00C57342">
              <w:rPr>
                <w:webHidden/>
              </w:rPr>
              <w:instrText xml:space="preserve"> PAGEREF _Toc417659827 \h </w:instrText>
            </w:r>
            <w:r w:rsidR="00C57342">
              <w:rPr>
                <w:webHidden/>
              </w:rPr>
            </w:r>
            <w:r w:rsidR="00C57342">
              <w:rPr>
                <w:webHidden/>
              </w:rPr>
              <w:fldChar w:fldCharType="separate"/>
            </w:r>
            <w:r w:rsidR="00BD1EAD">
              <w:rPr>
                <w:webHidden/>
              </w:rPr>
              <w:t>7-12</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28" w:history="1">
            <w:r w:rsidR="00C57342" w:rsidRPr="00C1303E">
              <w:rPr>
                <w:rStyle w:val="Hyperlink"/>
              </w:rPr>
              <w:t>7.4</w:t>
            </w:r>
            <w:r w:rsidR="00C57342">
              <w:rPr>
                <w:rFonts w:asciiTheme="minorHAnsi" w:eastAsiaTheme="minorEastAsia" w:hAnsiTheme="minorHAnsi"/>
                <w:b w:val="0"/>
                <w:color w:val="auto"/>
                <w:sz w:val="22"/>
                <w:lang w:eastAsia="en-AU"/>
              </w:rPr>
              <w:tab/>
            </w:r>
            <w:r w:rsidR="00C57342" w:rsidRPr="00C1303E">
              <w:rPr>
                <w:rStyle w:val="Hyperlink"/>
              </w:rPr>
              <w:t>Summary of our decision</w:t>
            </w:r>
            <w:r w:rsidR="00C57342">
              <w:rPr>
                <w:webHidden/>
              </w:rPr>
              <w:tab/>
            </w:r>
            <w:r w:rsidR="00C57342">
              <w:rPr>
                <w:webHidden/>
              </w:rPr>
              <w:fldChar w:fldCharType="begin"/>
            </w:r>
            <w:r w:rsidR="00C57342">
              <w:rPr>
                <w:webHidden/>
              </w:rPr>
              <w:instrText xml:space="preserve"> PAGEREF _Toc417659828 \h </w:instrText>
            </w:r>
            <w:r w:rsidR="00C57342">
              <w:rPr>
                <w:webHidden/>
              </w:rPr>
            </w:r>
            <w:r w:rsidR="00C57342">
              <w:rPr>
                <w:webHidden/>
              </w:rPr>
              <w:fldChar w:fldCharType="separate"/>
            </w:r>
            <w:r w:rsidR="00BD1EAD">
              <w:rPr>
                <w:webHidden/>
              </w:rPr>
              <w:t>7-22</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29" w:history="1">
            <w:r w:rsidR="00C57342" w:rsidRPr="00C1303E">
              <w:rPr>
                <w:rStyle w:val="Hyperlink"/>
              </w:rPr>
              <w:t>7.4.1</w:t>
            </w:r>
            <w:r w:rsidR="00C57342">
              <w:rPr>
                <w:rFonts w:asciiTheme="minorHAnsi" w:eastAsiaTheme="minorEastAsia" w:hAnsiTheme="minorHAnsi"/>
                <w:lang w:eastAsia="en-AU"/>
              </w:rPr>
              <w:tab/>
            </w:r>
            <w:r w:rsidR="00C57342" w:rsidRPr="00C1303E">
              <w:rPr>
                <w:rStyle w:val="Hyperlink"/>
              </w:rPr>
              <w:t>Forecasting method assessment</w:t>
            </w:r>
            <w:r w:rsidR="00C57342">
              <w:rPr>
                <w:webHidden/>
              </w:rPr>
              <w:tab/>
            </w:r>
            <w:r w:rsidR="00C57342">
              <w:rPr>
                <w:webHidden/>
              </w:rPr>
              <w:fldChar w:fldCharType="begin"/>
            </w:r>
            <w:r w:rsidR="00C57342">
              <w:rPr>
                <w:webHidden/>
              </w:rPr>
              <w:instrText xml:space="preserve"> PAGEREF _Toc417659829 \h </w:instrText>
            </w:r>
            <w:r w:rsidR="00C57342">
              <w:rPr>
                <w:webHidden/>
              </w:rPr>
            </w:r>
            <w:r w:rsidR="00C57342">
              <w:rPr>
                <w:webHidden/>
              </w:rPr>
              <w:fldChar w:fldCharType="separate"/>
            </w:r>
            <w:r w:rsidR="00BD1EAD">
              <w:rPr>
                <w:webHidden/>
              </w:rPr>
              <w:t>7-23</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30" w:history="1">
            <w:r w:rsidR="00C57342" w:rsidRPr="00C1303E">
              <w:rPr>
                <w:rStyle w:val="Hyperlink"/>
              </w:rPr>
              <w:t>7.4.2</w:t>
            </w:r>
            <w:r w:rsidR="00C57342">
              <w:rPr>
                <w:rFonts w:asciiTheme="minorHAnsi" w:eastAsiaTheme="minorEastAsia" w:hAnsiTheme="minorHAnsi"/>
                <w:lang w:eastAsia="en-AU"/>
              </w:rPr>
              <w:tab/>
            </w:r>
            <w:r w:rsidR="00C57342" w:rsidRPr="00C1303E">
              <w:rPr>
                <w:rStyle w:val="Hyperlink"/>
              </w:rPr>
              <w:t>Base opex</w:t>
            </w:r>
            <w:r w:rsidR="00C57342">
              <w:rPr>
                <w:webHidden/>
              </w:rPr>
              <w:tab/>
            </w:r>
            <w:r w:rsidR="00C57342">
              <w:rPr>
                <w:webHidden/>
              </w:rPr>
              <w:fldChar w:fldCharType="begin"/>
            </w:r>
            <w:r w:rsidR="00C57342">
              <w:rPr>
                <w:webHidden/>
              </w:rPr>
              <w:instrText xml:space="preserve"> PAGEREF _Toc417659830 \h </w:instrText>
            </w:r>
            <w:r w:rsidR="00C57342">
              <w:rPr>
                <w:webHidden/>
              </w:rPr>
            </w:r>
            <w:r w:rsidR="00C57342">
              <w:rPr>
                <w:webHidden/>
              </w:rPr>
              <w:fldChar w:fldCharType="separate"/>
            </w:r>
            <w:r w:rsidR="00BD1EAD">
              <w:rPr>
                <w:webHidden/>
              </w:rPr>
              <w:t>7-24</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31" w:history="1">
            <w:r w:rsidR="00C57342" w:rsidRPr="00C1303E">
              <w:rPr>
                <w:rStyle w:val="Hyperlink"/>
              </w:rPr>
              <w:t>7.4.3</w:t>
            </w:r>
            <w:r w:rsidR="00C57342">
              <w:rPr>
                <w:rFonts w:asciiTheme="minorHAnsi" w:eastAsiaTheme="minorEastAsia" w:hAnsiTheme="minorHAnsi"/>
                <w:lang w:eastAsia="en-AU"/>
              </w:rPr>
              <w:tab/>
            </w:r>
            <w:r w:rsidR="00C57342" w:rsidRPr="00C1303E">
              <w:rPr>
                <w:rStyle w:val="Hyperlink"/>
              </w:rPr>
              <w:t>Rate of change</w:t>
            </w:r>
            <w:r w:rsidR="00C57342">
              <w:rPr>
                <w:webHidden/>
              </w:rPr>
              <w:tab/>
            </w:r>
            <w:r w:rsidR="00C57342">
              <w:rPr>
                <w:webHidden/>
              </w:rPr>
              <w:fldChar w:fldCharType="begin"/>
            </w:r>
            <w:r w:rsidR="00C57342">
              <w:rPr>
                <w:webHidden/>
              </w:rPr>
              <w:instrText xml:space="preserve"> PAGEREF _Toc417659831 \h </w:instrText>
            </w:r>
            <w:r w:rsidR="00C57342">
              <w:rPr>
                <w:webHidden/>
              </w:rPr>
            </w:r>
            <w:r w:rsidR="00C57342">
              <w:rPr>
                <w:webHidden/>
              </w:rPr>
              <w:fldChar w:fldCharType="separate"/>
            </w:r>
            <w:r w:rsidR="00BD1EAD">
              <w:rPr>
                <w:webHidden/>
              </w:rPr>
              <w:t>7-27</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32" w:history="1">
            <w:r w:rsidR="00C57342" w:rsidRPr="00C1303E">
              <w:rPr>
                <w:rStyle w:val="Hyperlink"/>
              </w:rPr>
              <w:t>7.4.4</w:t>
            </w:r>
            <w:r w:rsidR="00C57342">
              <w:rPr>
                <w:rFonts w:asciiTheme="minorHAnsi" w:eastAsiaTheme="minorEastAsia" w:hAnsiTheme="minorHAnsi"/>
                <w:lang w:eastAsia="en-AU"/>
              </w:rPr>
              <w:tab/>
            </w:r>
            <w:r w:rsidR="00C57342" w:rsidRPr="00C1303E">
              <w:rPr>
                <w:rStyle w:val="Hyperlink"/>
              </w:rPr>
              <w:t>Step changes</w:t>
            </w:r>
            <w:r w:rsidR="00C57342">
              <w:rPr>
                <w:webHidden/>
              </w:rPr>
              <w:tab/>
            </w:r>
            <w:r w:rsidR="00C57342">
              <w:rPr>
                <w:webHidden/>
              </w:rPr>
              <w:fldChar w:fldCharType="begin"/>
            </w:r>
            <w:r w:rsidR="00C57342">
              <w:rPr>
                <w:webHidden/>
              </w:rPr>
              <w:instrText xml:space="preserve"> PAGEREF _Toc417659832 \h </w:instrText>
            </w:r>
            <w:r w:rsidR="00C57342">
              <w:rPr>
                <w:webHidden/>
              </w:rPr>
            </w:r>
            <w:r w:rsidR="00C57342">
              <w:rPr>
                <w:webHidden/>
              </w:rPr>
              <w:fldChar w:fldCharType="separate"/>
            </w:r>
            <w:r w:rsidR="00BD1EAD">
              <w:rPr>
                <w:webHidden/>
              </w:rPr>
              <w:t>7-28</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33" w:history="1">
            <w:r w:rsidR="00C57342" w:rsidRPr="00C1303E">
              <w:rPr>
                <w:rStyle w:val="Hyperlink"/>
              </w:rPr>
              <w:t>7.4.5</w:t>
            </w:r>
            <w:r w:rsidR="00C57342">
              <w:rPr>
                <w:rFonts w:asciiTheme="minorHAnsi" w:eastAsiaTheme="minorEastAsia" w:hAnsiTheme="minorHAnsi"/>
                <w:lang w:eastAsia="en-AU"/>
              </w:rPr>
              <w:tab/>
            </w:r>
            <w:r w:rsidR="00C57342" w:rsidRPr="00C1303E">
              <w:rPr>
                <w:rStyle w:val="Hyperlink"/>
              </w:rPr>
              <w:t>Inflation</w:t>
            </w:r>
            <w:r w:rsidR="00C57342">
              <w:rPr>
                <w:webHidden/>
              </w:rPr>
              <w:tab/>
            </w:r>
            <w:r w:rsidR="00C57342">
              <w:rPr>
                <w:webHidden/>
              </w:rPr>
              <w:fldChar w:fldCharType="begin"/>
            </w:r>
            <w:r w:rsidR="00C57342">
              <w:rPr>
                <w:webHidden/>
              </w:rPr>
              <w:instrText xml:space="preserve"> PAGEREF _Toc417659833 \h </w:instrText>
            </w:r>
            <w:r w:rsidR="00C57342">
              <w:rPr>
                <w:webHidden/>
              </w:rPr>
            </w:r>
            <w:r w:rsidR="00C57342">
              <w:rPr>
                <w:webHidden/>
              </w:rPr>
              <w:fldChar w:fldCharType="separate"/>
            </w:r>
            <w:r w:rsidR="00BD1EAD">
              <w:rPr>
                <w:webHidden/>
              </w:rPr>
              <w:t>7-29</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34" w:history="1">
            <w:r w:rsidR="00C57342" w:rsidRPr="00C1303E">
              <w:rPr>
                <w:rStyle w:val="Hyperlink"/>
              </w:rPr>
              <w:t>7.4.6</w:t>
            </w:r>
            <w:r w:rsidR="00C57342">
              <w:rPr>
                <w:rFonts w:asciiTheme="minorHAnsi" w:eastAsiaTheme="minorEastAsia" w:hAnsiTheme="minorHAnsi"/>
                <w:lang w:eastAsia="en-AU"/>
              </w:rPr>
              <w:tab/>
            </w:r>
            <w:r w:rsidR="00C57342" w:rsidRPr="00C1303E">
              <w:rPr>
                <w:rStyle w:val="Hyperlink"/>
              </w:rPr>
              <w:t>Debt raising costs</w:t>
            </w:r>
            <w:r w:rsidR="00C57342">
              <w:rPr>
                <w:webHidden/>
              </w:rPr>
              <w:tab/>
            </w:r>
            <w:r w:rsidR="00C57342">
              <w:rPr>
                <w:webHidden/>
              </w:rPr>
              <w:fldChar w:fldCharType="begin"/>
            </w:r>
            <w:r w:rsidR="00C57342">
              <w:rPr>
                <w:webHidden/>
              </w:rPr>
              <w:instrText xml:space="preserve"> PAGEREF _Toc417659834 \h </w:instrText>
            </w:r>
            <w:r w:rsidR="00C57342">
              <w:rPr>
                <w:webHidden/>
              </w:rPr>
            </w:r>
            <w:r w:rsidR="00C57342">
              <w:rPr>
                <w:webHidden/>
              </w:rPr>
              <w:fldChar w:fldCharType="separate"/>
            </w:r>
            <w:r w:rsidR="00BD1EAD">
              <w:rPr>
                <w:webHidden/>
              </w:rPr>
              <w:t>7-29</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35" w:history="1">
            <w:r w:rsidR="00C57342" w:rsidRPr="00C1303E">
              <w:rPr>
                <w:rStyle w:val="Hyperlink"/>
              </w:rPr>
              <w:t>7.5</w:t>
            </w:r>
            <w:r w:rsidR="00C57342">
              <w:rPr>
                <w:rFonts w:asciiTheme="minorHAnsi" w:eastAsiaTheme="minorEastAsia" w:hAnsiTheme="minorHAnsi"/>
                <w:b w:val="0"/>
                <w:color w:val="auto"/>
                <w:sz w:val="22"/>
                <w:lang w:eastAsia="en-AU"/>
              </w:rPr>
              <w:tab/>
            </w:r>
            <w:r w:rsidR="00C57342" w:rsidRPr="00C1303E">
              <w:rPr>
                <w:rStyle w:val="Hyperlink"/>
              </w:rPr>
              <w:t>The impact of our decision</w:t>
            </w:r>
            <w:r w:rsidR="00C57342">
              <w:rPr>
                <w:webHidden/>
              </w:rPr>
              <w:tab/>
            </w:r>
            <w:r w:rsidR="00C57342">
              <w:rPr>
                <w:webHidden/>
              </w:rPr>
              <w:fldChar w:fldCharType="begin"/>
            </w:r>
            <w:r w:rsidR="00C57342">
              <w:rPr>
                <w:webHidden/>
              </w:rPr>
              <w:instrText xml:space="preserve"> PAGEREF _Toc417659835 \h </w:instrText>
            </w:r>
            <w:r w:rsidR="00C57342">
              <w:rPr>
                <w:webHidden/>
              </w:rPr>
            </w:r>
            <w:r w:rsidR="00C57342">
              <w:rPr>
                <w:webHidden/>
              </w:rPr>
              <w:fldChar w:fldCharType="separate"/>
            </w:r>
            <w:r w:rsidR="00BD1EAD">
              <w:rPr>
                <w:webHidden/>
              </w:rPr>
              <w:t>7-29</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36" w:history="1">
            <w:r w:rsidR="00C57342" w:rsidRPr="00C1303E">
              <w:rPr>
                <w:rStyle w:val="Hyperlink"/>
              </w:rPr>
              <w:t>7.5.1</w:t>
            </w:r>
            <w:r w:rsidR="00C57342">
              <w:rPr>
                <w:rFonts w:asciiTheme="minorHAnsi" w:eastAsiaTheme="minorEastAsia" w:hAnsiTheme="minorHAnsi"/>
                <w:lang w:eastAsia="en-AU"/>
              </w:rPr>
              <w:tab/>
            </w:r>
            <w:r w:rsidR="00C57342" w:rsidRPr="00C1303E">
              <w:rPr>
                <w:rStyle w:val="Hyperlink"/>
              </w:rPr>
              <w:t>Safety and reliability</w:t>
            </w:r>
            <w:r w:rsidR="00C57342">
              <w:rPr>
                <w:webHidden/>
              </w:rPr>
              <w:tab/>
            </w:r>
            <w:r w:rsidR="00C57342">
              <w:rPr>
                <w:webHidden/>
              </w:rPr>
              <w:fldChar w:fldCharType="begin"/>
            </w:r>
            <w:r w:rsidR="00C57342">
              <w:rPr>
                <w:webHidden/>
              </w:rPr>
              <w:instrText xml:space="preserve"> PAGEREF _Toc417659836 \h </w:instrText>
            </w:r>
            <w:r w:rsidR="00C57342">
              <w:rPr>
                <w:webHidden/>
              </w:rPr>
            </w:r>
            <w:r w:rsidR="00C57342">
              <w:rPr>
                <w:webHidden/>
              </w:rPr>
              <w:fldChar w:fldCharType="separate"/>
            </w:r>
            <w:r w:rsidR="00BD1EAD">
              <w:rPr>
                <w:webHidden/>
              </w:rPr>
              <w:t>7-30</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37" w:history="1">
            <w:r w:rsidR="00C57342" w:rsidRPr="00C1303E">
              <w:rPr>
                <w:rStyle w:val="Hyperlink"/>
              </w:rPr>
              <w:t>7.5.2</w:t>
            </w:r>
            <w:r w:rsidR="00C57342">
              <w:rPr>
                <w:rFonts w:asciiTheme="minorHAnsi" w:eastAsiaTheme="minorEastAsia" w:hAnsiTheme="minorHAnsi"/>
                <w:lang w:eastAsia="en-AU"/>
              </w:rPr>
              <w:tab/>
            </w:r>
            <w:r w:rsidR="00C57342" w:rsidRPr="00C1303E">
              <w:rPr>
                <w:rStyle w:val="Hyperlink"/>
              </w:rPr>
              <w:t>Realistic outcomes</w:t>
            </w:r>
            <w:r w:rsidR="00C57342">
              <w:rPr>
                <w:webHidden/>
              </w:rPr>
              <w:tab/>
            </w:r>
            <w:r w:rsidR="00C57342">
              <w:rPr>
                <w:webHidden/>
              </w:rPr>
              <w:fldChar w:fldCharType="begin"/>
            </w:r>
            <w:r w:rsidR="00C57342">
              <w:rPr>
                <w:webHidden/>
              </w:rPr>
              <w:instrText xml:space="preserve"> PAGEREF _Toc417659837 \h </w:instrText>
            </w:r>
            <w:r w:rsidR="00C57342">
              <w:rPr>
                <w:webHidden/>
              </w:rPr>
            </w:r>
            <w:r w:rsidR="00C57342">
              <w:rPr>
                <w:webHidden/>
              </w:rPr>
              <w:fldChar w:fldCharType="separate"/>
            </w:r>
            <w:r w:rsidR="00BD1EAD">
              <w:rPr>
                <w:webHidden/>
              </w:rPr>
              <w:t>7-38</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38" w:history="1">
            <w:r w:rsidR="00C57342" w:rsidRPr="00C1303E">
              <w:rPr>
                <w:rStyle w:val="Hyperlink"/>
              </w:rPr>
              <w:t>7.5.3</w:t>
            </w:r>
            <w:r w:rsidR="00C57342">
              <w:rPr>
                <w:rFonts w:asciiTheme="minorHAnsi" w:eastAsiaTheme="minorEastAsia" w:hAnsiTheme="minorHAnsi"/>
                <w:lang w:eastAsia="en-AU"/>
              </w:rPr>
              <w:tab/>
            </w:r>
            <w:r w:rsidR="00C57342" w:rsidRPr="00C1303E">
              <w:rPr>
                <w:rStyle w:val="Hyperlink"/>
              </w:rPr>
              <w:t>Financeability</w:t>
            </w:r>
            <w:r w:rsidR="00C57342">
              <w:rPr>
                <w:webHidden/>
              </w:rPr>
              <w:tab/>
            </w:r>
            <w:r w:rsidR="00C57342">
              <w:rPr>
                <w:webHidden/>
              </w:rPr>
              <w:fldChar w:fldCharType="begin"/>
            </w:r>
            <w:r w:rsidR="00C57342">
              <w:rPr>
                <w:webHidden/>
              </w:rPr>
              <w:instrText xml:space="preserve"> PAGEREF _Toc417659838 \h </w:instrText>
            </w:r>
            <w:r w:rsidR="00C57342">
              <w:rPr>
                <w:webHidden/>
              </w:rPr>
            </w:r>
            <w:r w:rsidR="00C57342">
              <w:rPr>
                <w:webHidden/>
              </w:rPr>
              <w:fldChar w:fldCharType="separate"/>
            </w:r>
            <w:r w:rsidR="00BD1EAD">
              <w:rPr>
                <w:webHidden/>
              </w:rPr>
              <w:t>7-43</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39" w:history="1">
            <w:r w:rsidR="00C57342" w:rsidRPr="00C1303E">
              <w:rPr>
                <w:rStyle w:val="Hyperlink"/>
              </w:rPr>
              <w:t>7.6</w:t>
            </w:r>
            <w:r w:rsidR="00C57342">
              <w:rPr>
                <w:rFonts w:asciiTheme="minorHAnsi" w:eastAsiaTheme="minorEastAsia" w:hAnsiTheme="minorHAnsi"/>
                <w:b w:val="0"/>
                <w:color w:val="auto"/>
                <w:sz w:val="22"/>
                <w:lang w:eastAsia="en-AU"/>
              </w:rPr>
              <w:tab/>
            </w:r>
            <w:r w:rsidR="00C57342" w:rsidRPr="00C1303E">
              <w:rPr>
                <w:rStyle w:val="Hyperlink"/>
              </w:rPr>
              <w:t>Interrelationships</w:t>
            </w:r>
            <w:r w:rsidR="00C57342">
              <w:rPr>
                <w:webHidden/>
              </w:rPr>
              <w:tab/>
            </w:r>
            <w:r w:rsidR="00C57342">
              <w:rPr>
                <w:webHidden/>
              </w:rPr>
              <w:fldChar w:fldCharType="begin"/>
            </w:r>
            <w:r w:rsidR="00C57342">
              <w:rPr>
                <w:webHidden/>
              </w:rPr>
              <w:instrText xml:space="preserve"> PAGEREF _Toc417659839 \h </w:instrText>
            </w:r>
            <w:r w:rsidR="00C57342">
              <w:rPr>
                <w:webHidden/>
              </w:rPr>
            </w:r>
            <w:r w:rsidR="00C57342">
              <w:rPr>
                <w:webHidden/>
              </w:rPr>
              <w:fldChar w:fldCharType="separate"/>
            </w:r>
            <w:r w:rsidR="00BD1EAD">
              <w:rPr>
                <w:webHidden/>
              </w:rPr>
              <w:t>7-44</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40" w:history="1">
            <w:r w:rsidR="00C57342" w:rsidRPr="00C1303E">
              <w:rPr>
                <w:rStyle w:val="Hyperlink"/>
              </w:rPr>
              <w:t>7.7</w:t>
            </w:r>
            <w:r w:rsidR="00C57342">
              <w:rPr>
                <w:rFonts w:asciiTheme="minorHAnsi" w:eastAsiaTheme="minorEastAsia" w:hAnsiTheme="minorHAnsi"/>
                <w:b w:val="0"/>
                <w:color w:val="auto"/>
                <w:sz w:val="22"/>
                <w:lang w:eastAsia="en-AU"/>
              </w:rPr>
              <w:tab/>
            </w:r>
            <w:r w:rsidR="00C57342" w:rsidRPr="00C1303E">
              <w:rPr>
                <w:rStyle w:val="Hyperlink"/>
              </w:rPr>
              <w:t>Assessment of opex factors</w:t>
            </w:r>
            <w:r w:rsidR="00C57342">
              <w:rPr>
                <w:webHidden/>
              </w:rPr>
              <w:tab/>
            </w:r>
            <w:r w:rsidR="00C57342">
              <w:rPr>
                <w:webHidden/>
              </w:rPr>
              <w:fldChar w:fldCharType="begin"/>
            </w:r>
            <w:r w:rsidR="00C57342">
              <w:rPr>
                <w:webHidden/>
              </w:rPr>
              <w:instrText xml:space="preserve"> PAGEREF _Toc417659840 \h </w:instrText>
            </w:r>
            <w:r w:rsidR="00C57342">
              <w:rPr>
                <w:webHidden/>
              </w:rPr>
            </w:r>
            <w:r w:rsidR="00C57342">
              <w:rPr>
                <w:webHidden/>
              </w:rPr>
              <w:fldChar w:fldCharType="separate"/>
            </w:r>
            <w:r w:rsidR="00BD1EAD">
              <w:rPr>
                <w:webHidden/>
              </w:rPr>
              <w:t>7-45</w:t>
            </w:r>
            <w:r w:rsidR="00C57342">
              <w:rPr>
                <w:webHidden/>
              </w:rPr>
              <w:fldChar w:fldCharType="end"/>
            </w:r>
          </w:hyperlink>
        </w:p>
        <w:p w:rsidR="00C57342" w:rsidRDefault="00A66A4E">
          <w:pPr>
            <w:pStyle w:val="TOC1"/>
            <w:rPr>
              <w:rFonts w:asciiTheme="minorHAnsi" w:eastAsiaTheme="minorEastAsia" w:hAnsiTheme="minorHAnsi"/>
              <w:b w:val="0"/>
              <w:color w:val="auto"/>
              <w:sz w:val="22"/>
              <w:lang w:val="en-AU" w:eastAsia="en-AU"/>
            </w:rPr>
          </w:pPr>
          <w:hyperlink w:anchor="_Toc417659841" w:history="1">
            <w:r w:rsidR="00C57342" w:rsidRPr="00C1303E">
              <w:rPr>
                <w:rStyle w:val="Hyperlink"/>
              </w:rPr>
              <w:t>A</w:t>
            </w:r>
            <w:r w:rsidR="00C57342">
              <w:rPr>
                <w:rFonts w:asciiTheme="minorHAnsi" w:eastAsiaTheme="minorEastAsia" w:hAnsiTheme="minorHAnsi"/>
                <w:b w:val="0"/>
                <w:color w:val="auto"/>
                <w:sz w:val="22"/>
                <w:lang w:val="en-AU" w:eastAsia="en-AU"/>
              </w:rPr>
              <w:tab/>
            </w:r>
            <w:r w:rsidR="00C57342" w:rsidRPr="00C1303E">
              <w:rPr>
                <w:rStyle w:val="Hyperlink"/>
              </w:rPr>
              <w:t>Base year opex</w:t>
            </w:r>
            <w:r w:rsidR="00C57342">
              <w:rPr>
                <w:webHidden/>
              </w:rPr>
              <w:tab/>
            </w:r>
            <w:r w:rsidR="00C57342">
              <w:rPr>
                <w:webHidden/>
              </w:rPr>
              <w:fldChar w:fldCharType="begin"/>
            </w:r>
            <w:r w:rsidR="00C57342">
              <w:rPr>
                <w:webHidden/>
              </w:rPr>
              <w:instrText xml:space="preserve"> PAGEREF _Toc417659841 \h </w:instrText>
            </w:r>
            <w:r w:rsidR="00C57342">
              <w:rPr>
                <w:webHidden/>
              </w:rPr>
            </w:r>
            <w:r w:rsidR="00C57342">
              <w:rPr>
                <w:webHidden/>
              </w:rPr>
              <w:fldChar w:fldCharType="separate"/>
            </w:r>
            <w:r w:rsidR="00BD1EAD">
              <w:rPr>
                <w:webHidden/>
              </w:rPr>
              <w:t>7-48</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42" w:history="1">
            <w:r w:rsidR="00C57342" w:rsidRPr="00C1303E">
              <w:rPr>
                <w:rStyle w:val="Hyperlink"/>
              </w:rPr>
              <w:t>A.1</w:t>
            </w:r>
            <w:r w:rsidR="00C57342">
              <w:rPr>
                <w:rFonts w:asciiTheme="minorHAnsi" w:eastAsiaTheme="minorEastAsia" w:hAnsiTheme="minorHAnsi"/>
                <w:b w:val="0"/>
                <w:color w:val="auto"/>
                <w:sz w:val="22"/>
                <w:lang w:eastAsia="en-AU"/>
              </w:rPr>
              <w:tab/>
            </w:r>
            <w:r w:rsidR="00C57342" w:rsidRPr="00C1303E">
              <w:rPr>
                <w:rStyle w:val="Hyperlink"/>
              </w:rPr>
              <w:t>Summary</w:t>
            </w:r>
            <w:r w:rsidR="00C57342">
              <w:rPr>
                <w:webHidden/>
              </w:rPr>
              <w:tab/>
            </w:r>
            <w:r w:rsidR="00C57342">
              <w:rPr>
                <w:webHidden/>
              </w:rPr>
              <w:fldChar w:fldCharType="begin"/>
            </w:r>
            <w:r w:rsidR="00C57342">
              <w:rPr>
                <w:webHidden/>
              </w:rPr>
              <w:instrText xml:space="preserve"> PAGEREF _Toc417659842 \h </w:instrText>
            </w:r>
            <w:r w:rsidR="00C57342">
              <w:rPr>
                <w:webHidden/>
              </w:rPr>
            </w:r>
            <w:r w:rsidR="00C57342">
              <w:rPr>
                <w:webHidden/>
              </w:rPr>
              <w:fldChar w:fldCharType="separate"/>
            </w:r>
            <w:r w:rsidR="00BD1EAD">
              <w:rPr>
                <w:webHidden/>
              </w:rPr>
              <w:t>7-49</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43" w:history="1">
            <w:r w:rsidR="00C57342" w:rsidRPr="00C1303E">
              <w:rPr>
                <w:rStyle w:val="Hyperlink"/>
              </w:rPr>
              <w:t>A.1.1</w:t>
            </w:r>
            <w:r w:rsidR="00C57342">
              <w:rPr>
                <w:rFonts w:asciiTheme="minorHAnsi" w:eastAsiaTheme="minorEastAsia" w:hAnsiTheme="minorHAnsi"/>
                <w:lang w:eastAsia="en-AU"/>
              </w:rPr>
              <w:tab/>
            </w:r>
            <w:r w:rsidR="00C57342" w:rsidRPr="00C1303E">
              <w:rPr>
                <w:rStyle w:val="Hyperlink"/>
              </w:rPr>
              <w:t>Final decision adjustments</w:t>
            </w:r>
            <w:r w:rsidR="00C57342">
              <w:rPr>
                <w:webHidden/>
              </w:rPr>
              <w:tab/>
            </w:r>
            <w:r w:rsidR="00C57342">
              <w:rPr>
                <w:webHidden/>
              </w:rPr>
              <w:fldChar w:fldCharType="begin"/>
            </w:r>
            <w:r w:rsidR="00C57342">
              <w:rPr>
                <w:webHidden/>
              </w:rPr>
              <w:instrText xml:space="preserve"> PAGEREF _Toc417659843 \h </w:instrText>
            </w:r>
            <w:r w:rsidR="00C57342">
              <w:rPr>
                <w:webHidden/>
              </w:rPr>
            </w:r>
            <w:r w:rsidR="00C57342">
              <w:rPr>
                <w:webHidden/>
              </w:rPr>
              <w:fldChar w:fldCharType="separate"/>
            </w:r>
            <w:r w:rsidR="00BD1EAD">
              <w:rPr>
                <w:webHidden/>
              </w:rPr>
              <w:t>7-49</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44" w:history="1">
            <w:r w:rsidR="00C57342" w:rsidRPr="00C1303E">
              <w:rPr>
                <w:rStyle w:val="Hyperlink"/>
              </w:rPr>
              <w:t>A.1.2</w:t>
            </w:r>
            <w:r w:rsidR="00C57342">
              <w:rPr>
                <w:rFonts w:asciiTheme="minorHAnsi" w:eastAsiaTheme="minorEastAsia" w:hAnsiTheme="minorHAnsi"/>
                <w:lang w:eastAsia="en-AU"/>
              </w:rPr>
              <w:tab/>
            </w:r>
            <w:r w:rsidR="00C57342" w:rsidRPr="00C1303E">
              <w:rPr>
                <w:rStyle w:val="Hyperlink"/>
              </w:rPr>
              <w:t>Why Ausgrid's and Essential Energy's revealed opex are not appropriate starting points for estimating total forecast opex</w:t>
            </w:r>
            <w:r w:rsidR="00C57342">
              <w:rPr>
                <w:webHidden/>
              </w:rPr>
              <w:tab/>
            </w:r>
            <w:r w:rsidR="00C57342">
              <w:rPr>
                <w:webHidden/>
              </w:rPr>
              <w:fldChar w:fldCharType="begin"/>
            </w:r>
            <w:r w:rsidR="00C57342">
              <w:rPr>
                <w:webHidden/>
              </w:rPr>
              <w:instrText xml:space="preserve"> PAGEREF _Toc417659844 \h </w:instrText>
            </w:r>
            <w:r w:rsidR="00C57342">
              <w:rPr>
                <w:webHidden/>
              </w:rPr>
            </w:r>
            <w:r w:rsidR="00C57342">
              <w:rPr>
                <w:webHidden/>
              </w:rPr>
              <w:fldChar w:fldCharType="separate"/>
            </w:r>
            <w:r w:rsidR="00BD1EAD">
              <w:rPr>
                <w:webHidden/>
              </w:rPr>
              <w:t>7-50</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45" w:history="1">
            <w:r w:rsidR="00C57342" w:rsidRPr="00C1303E">
              <w:rPr>
                <w:rStyle w:val="Hyperlink"/>
              </w:rPr>
              <w:t>A.1.3</w:t>
            </w:r>
            <w:r w:rsidR="00C57342">
              <w:rPr>
                <w:rFonts w:asciiTheme="minorHAnsi" w:eastAsiaTheme="minorEastAsia" w:hAnsiTheme="minorHAnsi"/>
                <w:lang w:eastAsia="en-AU"/>
              </w:rPr>
              <w:tab/>
            </w:r>
            <w:r w:rsidR="00C57342" w:rsidRPr="00C1303E">
              <w:rPr>
                <w:rStyle w:val="Hyperlink"/>
              </w:rPr>
              <w:t>Summary responses to the service providers' submissions</w:t>
            </w:r>
            <w:r w:rsidR="00C57342">
              <w:rPr>
                <w:webHidden/>
              </w:rPr>
              <w:tab/>
            </w:r>
            <w:r w:rsidR="00C57342">
              <w:rPr>
                <w:webHidden/>
              </w:rPr>
              <w:fldChar w:fldCharType="begin"/>
            </w:r>
            <w:r w:rsidR="00C57342">
              <w:rPr>
                <w:webHidden/>
              </w:rPr>
              <w:instrText xml:space="preserve"> PAGEREF _Toc417659845 \h </w:instrText>
            </w:r>
            <w:r w:rsidR="00C57342">
              <w:rPr>
                <w:webHidden/>
              </w:rPr>
            </w:r>
            <w:r w:rsidR="00C57342">
              <w:rPr>
                <w:webHidden/>
              </w:rPr>
              <w:fldChar w:fldCharType="separate"/>
            </w:r>
            <w:r w:rsidR="00BD1EAD">
              <w:rPr>
                <w:webHidden/>
              </w:rPr>
              <w:t>7-61</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46" w:history="1">
            <w:r w:rsidR="00C57342" w:rsidRPr="00C1303E">
              <w:rPr>
                <w:rStyle w:val="Hyperlink"/>
              </w:rPr>
              <w:t>A.2</w:t>
            </w:r>
            <w:r w:rsidR="00C57342">
              <w:rPr>
                <w:rFonts w:asciiTheme="minorHAnsi" w:eastAsiaTheme="minorEastAsia" w:hAnsiTheme="minorHAnsi"/>
                <w:b w:val="0"/>
                <w:color w:val="auto"/>
                <w:sz w:val="22"/>
                <w:lang w:eastAsia="en-AU"/>
              </w:rPr>
              <w:tab/>
            </w:r>
            <w:r w:rsidR="00C57342" w:rsidRPr="00C1303E">
              <w:rPr>
                <w:rStyle w:val="Hyperlink"/>
              </w:rPr>
              <w:t>Ex ante incentive regulation and the role of benchmarking</w:t>
            </w:r>
            <w:r w:rsidR="00C57342">
              <w:rPr>
                <w:webHidden/>
              </w:rPr>
              <w:tab/>
            </w:r>
            <w:r w:rsidR="00C57342">
              <w:rPr>
                <w:webHidden/>
              </w:rPr>
              <w:fldChar w:fldCharType="begin"/>
            </w:r>
            <w:r w:rsidR="00C57342">
              <w:rPr>
                <w:webHidden/>
              </w:rPr>
              <w:instrText xml:space="preserve"> PAGEREF _Toc417659846 \h </w:instrText>
            </w:r>
            <w:r w:rsidR="00C57342">
              <w:rPr>
                <w:webHidden/>
              </w:rPr>
            </w:r>
            <w:r w:rsidR="00C57342">
              <w:rPr>
                <w:webHidden/>
              </w:rPr>
              <w:fldChar w:fldCharType="separate"/>
            </w:r>
            <w:r w:rsidR="00BD1EAD">
              <w:rPr>
                <w:webHidden/>
              </w:rPr>
              <w:t>7-65</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47" w:history="1">
            <w:r w:rsidR="00C57342" w:rsidRPr="00C1303E">
              <w:rPr>
                <w:rStyle w:val="Hyperlink"/>
              </w:rPr>
              <w:t>A.2.1</w:t>
            </w:r>
            <w:r w:rsidR="00C57342">
              <w:rPr>
                <w:rFonts w:asciiTheme="minorHAnsi" w:eastAsiaTheme="minorEastAsia" w:hAnsiTheme="minorHAnsi"/>
                <w:lang w:eastAsia="en-AU"/>
              </w:rPr>
              <w:tab/>
            </w:r>
            <w:r w:rsidR="00C57342" w:rsidRPr="00C1303E">
              <w:rPr>
                <w:rStyle w:val="Hyperlink"/>
              </w:rPr>
              <w:t>Ex ante incentive regulation</w:t>
            </w:r>
            <w:r w:rsidR="00C57342">
              <w:rPr>
                <w:webHidden/>
              </w:rPr>
              <w:tab/>
            </w:r>
            <w:r w:rsidR="00C57342">
              <w:rPr>
                <w:webHidden/>
              </w:rPr>
              <w:fldChar w:fldCharType="begin"/>
            </w:r>
            <w:r w:rsidR="00C57342">
              <w:rPr>
                <w:webHidden/>
              </w:rPr>
              <w:instrText xml:space="preserve"> PAGEREF _Toc417659847 \h </w:instrText>
            </w:r>
            <w:r w:rsidR="00C57342">
              <w:rPr>
                <w:webHidden/>
              </w:rPr>
            </w:r>
            <w:r w:rsidR="00C57342">
              <w:rPr>
                <w:webHidden/>
              </w:rPr>
              <w:fldChar w:fldCharType="separate"/>
            </w:r>
            <w:r w:rsidR="00BD1EAD">
              <w:rPr>
                <w:webHidden/>
              </w:rPr>
              <w:t>7-65</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48" w:history="1">
            <w:r w:rsidR="00C57342" w:rsidRPr="00C1303E">
              <w:rPr>
                <w:rStyle w:val="Hyperlink"/>
              </w:rPr>
              <w:t>A.2.2</w:t>
            </w:r>
            <w:r w:rsidR="00C57342">
              <w:rPr>
                <w:rFonts w:asciiTheme="minorHAnsi" w:eastAsiaTheme="minorEastAsia" w:hAnsiTheme="minorHAnsi"/>
                <w:lang w:eastAsia="en-AU"/>
              </w:rPr>
              <w:tab/>
            </w:r>
            <w:r w:rsidR="00C57342" w:rsidRPr="00C1303E">
              <w:rPr>
                <w:rStyle w:val="Hyperlink"/>
              </w:rPr>
              <w:t>Contrast with a cost of service regime</w:t>
            </w:r>
            <w:r w:rsidR="00C57342">
              <w:rPr>
                <w:webHidden/>
              </w:rPr>
              <w:tab/>
            </w:r>
            <w:r w:rsidR="00C57342">
              <w:rPr>
                <w:webHidden/>
              </w:rPr>
              <w:fldChar w:fldCharType="begin"/>
            </w:r>
            <w:r w:rsidR="00C57342">
              <w:rPr>
                <w:webHidden/>
              </w:rPr>
              <w:instrText xml:space="preserve"> PAGEREF _Toc417659848 \h </w:instrText>
            </w:r>
            <w:r w:rsidR="00C57342">
              <w:rPr>
                <w:webHidden/>
              </w:rPr>
            </w:r>
            <w:r w:rsidR="00C57342">
              <w:rPr>
                <w:webHidden/>
              </w:rPr>
              <w:fldChar w:fldCharType="separate"/>
            </w:r>
            <w:r w:rsidR="00BD1EAD">
              <w:rPr>
                <w:webHidden/>
              </w:rPr>
              <w:t>7-67</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49" w:history="1">
            <w:r w:rsidR="00C57342" w:rsidRPr="00C1303E">
              <w:rPr>
                <w:rStyle w:val="Hyperlink"/>
              </w:rPr>
              <w:t>A.2.3</w:t>
            </w:r>
            <w:r w:rsidR="00C57342">
              <w:rPr>
                <w:rFonts w:asciiTheme="minorHAnsi" w:eastAsiaTheme="minorEastAsia" w:hAnsiTheme="minorHAnsi"/>
                <w:lang w:eastAsia="en-AU"/>
              </w:rPr>
              <w:tab/>
            </w:r>
            <w:r w:rsidR="00C57342" w:rsidRPr="00C1303E">
              <w:rPr>
                <w:rStyle w:val="Hyperlink"/>
              </w:rPr>
              <w:t>How benchmarking helps manage incomplete information about efficient costs</w:t>
            </w:r>
            <w:r w:rsidR="00C57342">
              <w:rPr>
                <w:webHidden/>
              </w:rPr>
              <w:tab/>
            </w:r>
            <w:r w:rsidR="00C57342">
              <w:rPr>
                <w:webHidden/>
              </w:rPr>
              <w:fldChar w:fldCharType="begin"/>
            </w:r>
            <w:r w:rsidR="00C57342">
              <w:rPr>
                <w:webHidden/>
              </w:rPr>
              <w:instrText xml:space="preserve"> PAGEREF _Toc417659849 \h </w:instrText>
            </w:r>
            <w:r w:rsidR="00C57342">
              <w:rPr>
                <w:webHidden/>
              </w:rPr>
            </w:r>
            <w:r w:rsidR="00C57342">
              <w:rPr>
                <w:webHidden/>
              </w:rPr>
              <w:fldChar w:fldCharType="separate"/>
            </w:r>
            <w:r w:rsidR="00BD1EAD">
              <w:rPr>
                <w:webHidden/>
              </w:rPr>
              <w:t>7-69</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50" w:history="1">
            <w:r w:rsidR="00C57342" w:rsidRPr="00C1303E">
              <w:rPr>
                <w:rStyle w:val="Hyperlink"/>
              </w:rPr>
              <w:t>A.2.4</w:t>
            </w:r>
            <w:r w:rsidR="00C57342">
              <w:rPr>
                <w:rFonts w:asciiTheme="minorHAnsi" w:eastAsiaTheme="minorEastAsia" w:hAnsiTheme="minorHAnsi"/>
                <w:lang w:eastAsia="en-AU"/>
              </w:rPr>
              <w:tab/>
            </w:r>
            <w:r w:rsidR="00C57342" w:rsidRPr="00C1303E">
              <w:rPr>
                <w:rStyle w:val="Hyperlink"/>
              </w:rPr>
              <w:t>Benchmarking is part of the regulatory framework</w:t>
            </w:r>
            <w:r w:rsidR="00C57342">
              <w:rPr>
                <w:webHidden/>
              </w:rPr>
              <w:tab/>
            </w:r>
            <w:r w:rsidR="00C57342">
              <w:rPr>
                <w:webHidden/>
              </w:rPr>
              <w:fldChar w:fldCharType="begin"/>
            </w:r>
            <w:r w:rsidR="00C57342">
              <w:rPr>
                <w:webHidden/>
              </w:rPr>
              <w:instrText xml:space="preserve"> PAGEREF _Toc417659850 \h </w:instrText>
            </w:r>
            <w:r w:rsidR="00C57342">
              <w:rPr>
                <w:webHidden/>
              </w:rPr>
            </w:r>
            <w:r w:rsidR="00C57342">
              <w:rPr>
                <w:webHidden/>
              </w:rPr>
              <w:fldChar w:fldCharType="separate"/>
            </w:r>
            <w:r w:rsidR="00BD1EAD">
              <w:rPr>
                <w:webHidden/>
              </w:rPr>
              <w:t>7-71</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51" w:history="1">
            <w:r w:rsidR="00C57342" w:rsidRPr="00C1303E">
              <w:rPr>
                <w:rStyle w:val="Hyperlink"/>
              </w:rPr>
              <w:t>A.2.5</w:t>
            </w:r>
            <w:r w:rsidR="00C57342">
              <w:rPr>
                <w:rFonts w:asciiTheme="minorHAnsi" w:eastAsiaTheme="minorEastAsia" w:hAnsiTheme="minorHAnsi"/>
                <w:lang w:eastAsia="en-AU"/>
              </w:rPr>
              <w:tab/>
            </w:r>
            <w:r w:rsidR="00C57342" w:rsidRPr="00C1303E">
              <w:rPr>
                <w:rStyle w:val="Hyperlink"/>
              </w:rPr>
              <w:t>Benchmarking is a common regulatory tool</w:t>
            </w:r>
            <w:r w:rsidR="00C57342">
              <w:rPr>
                <w:webHidden/>
              </w:rPr>
              <w:tab/>
            </w:r>
            <w:r w:rsidR="00C57342">
              <w:rPr>
                <w:webHidden/>
              </w:rPr>
              <w:fldChar w:fldCharType="begin"/>
            </w:r>
            <w:r w:rsidR="00C57342">
              <w:rPr>
                <w:webHidden/>
              </w:rPr>
              <w:instrText xml:space="preserve"> PAGEREF _Toc417659851 \h </w:instrText>
            </w:r>
            <w:r w:rsidR="00C57342">
              <w:rPr>
                <w:webHidden/>
              </w:rPr>
            </w:r>
            <w:r w:rsidR="00C57342">
              <w:rPr>
                <w:webHidden/>
              </w:rPr>
              <w:fldChar w:fldCharType="separate"/>
            </w:r>
            <w:r w:rsidR="00BD1EAD">
              <w:rPr>
                <w:webHidden/>
              </w:rPr>
              <w:t>7-73</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52" w:history="1">
            <w:r w:rsidR="00C57342" w:rsidRPr="00C1303E">
              <w:rPr>
                <w:rStyle w:val="Hyperlink"/>
              </w:rPr>
              <w:t>A.3</w:t>
            </w:r>
            <w:r w:rsidR="00C57342">
              <w:rPr>
                <w:rFonts w:asciiTheme="minorHAnsi" w:eastAsiaTheme="minorEastAsia" w:hAnsiTheme="minorHAnsi"/>
                <w:b w:val="0"/>
                <w:color w:val="auto"/>
                <w:sz w:val="22"/>
                <w:lang w:eastAsia="en-AU"/>
              </w:rPr>
              <w:tab/>
            </w:r>
            <w:r w:rsidR="00C57342" w:rsidRPr="00C1303E">
              <w:rPr>
                <w:rStyle w:val="Hyperlink"/>
              </w:rPr>
              <w:t>Assessment approach</w:t>
            </w:r>
            <w:r w:rsidR="00C57342">
              <w:rPr>
                <w:webHidden/>
              </w:rPr>
              <w:tab/>
            </w:r>
            <w:r w:rsidR="00C57342">
              <w:rPr>
                <w:webHidden/>
              </w:rPr>
              <w:fldChar w:fldCharType="begin"/>
            </w:r>
            <w:r w:rsidR="00C57342">
              <w:rPr>
                <w:webHidden/>
              </w:rPr>
              <w:instrText xml:space="preserve"> PAGEREF _Toc417659852 \h </w:instrText>
            </w:r>
            <w:r w:rsidR="00C57342">
              <w:rPr>
                <w:webHidden/>
              </w:rPr>
            </w:r>
            <w:r w:rsidR="00C57342">
              <w:rPr>
                <w:webHidden/>
              </w:rPr>
              <w:fldChar w:fldCharType="separate"/>
            </w:r>
            <w:r w:rsidR="00BD1EAD">
              <w:rPr>
                <w:webHidden/>
              </w:rPr>
              <w:t>7-75</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53" w:history="1">
            <w:r w:rsidR="00C57342" w:rsidRPr="00C1303E">
              <w:rPr>
                <w:rStyle w:val="Hyperlink"/>
              </w:rPr>
              <w:t>A.3.1</w:t>
            </w:r>
            <w:r w:rsidR="00C57342">
              <w:rPr>
                <w:rFonts w:asciiTheme="minorHAnsi" w:eastAsiaTheme="minorEastAsia" w:hAnsiTheme="minorHAnsi"/>
                <w:lang w:eastAsia="en-AU"/>
              </w:rPr>
              <w:tab/>
            </w:r>
            <w:r w:rsidR="00C57342" w:rsidRPr="00C1303E">
              <w:rPr>
                <w:rStyle w:val="Hyperlink"/>
              </w:rPr>
              <w:t>Our approach to benchmarking since May 2012</w:t>
            </w:r>
            <w:r w:rsidR="00C57342">
              <w:rPr>
                <w:webHidden/>
              </w:rPr>
              <w:tab/>
            </w:r>
            <w:r w:rsidR="00C57342">
              <w:rPr>
                <w:webHidden/>
              </w:rPr>
              <w:fldChar w:fldCharType="begin"/>
            </w:r>
            <w:r w:rsidR="00C57342">
              <w:rPr>
                <w:webHidden/>
              </w:rPr>
              <w:instrText xml:space="preserve"> PAGEREF _Toc417659853 \h </w:instrText>
            </w:r>
            <w:r w:rsidR="00C57342">
              <w:rPr>
                <w:webHidden/>
              </w:rPr>
            </w:r>
            <w:r w:rsidR="00C57342">
              <w:rPr>
                <w:webHidden/>
              </w:rPr>
              <w:fldChar w:fldCharType="separate"/>
            </w:r>
            <w:r w:rsidR="00BD1EAD">
              <w:rPr>
                <w:webHidden/>
              </w:rPr>
              <w:t>7-78</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54" w:history="1">
            <w:r w:rsidR="00C57342" w:rsidRPr="00C1303E">
              <w:rPr>
                <w:rStyle w:val="Hyperlink"/>
              </w:rPr>
              <w:t>A.3.2</w:t>
            </w:r>
            <w:r w:rsidR="00C57342">
              <w:rPr>
                <w:rFonts w:asciiTheme="minorHAnsi" w:eastAsiaTheme="minorEastAsia" w:hAnsiTheme="minorHAnsi"/>
                <w:lang w:eastAsia="en-AU"/>
              </w:rPr>
              <w:tab/>
            </w:r>
            <w:r w:rsidR="00C57342" w:rsidRPr="00C1303E">
              <w:rPr>
                <w:rStyle w:val="Hyperlink"/>
              </w:rPr>
              <w:t>How our approach is consistent with NER requirements</w:t>
            </w:r>
            <w:r w:rsidR="00C57342">
              <w:rPr>
                <w:webHidden/>
              </w:rPr>
              <w:tab/>
            </w:r>
            <w:r w:rsidR="00C57342">
              <w:rPr>
                <w:webHidden/>
              </w:rPr>
              <w:fldChar w:fldCharType="begin"/>
            </w:r>
            <w:r w:rsidR="00C57342">
              <w:rPr>
                <w:webHidden/>
              </w:rPr>
              <w:instrText xml:space="preserve"> PAGEREF _Toc417659854 \h </w:instrText>
            </w:r>
            <w:r w:rsidR="00C57342">
              <w:rPr>
                <w:webHidden/>
              </w:rPr>
            </w:r>
            <w:r w:rsidR="00C57342">
              <w:rPr>
                <w:webHidden/>
              </w:rPr>
              <w:fldChar w:fldCharType="separate"/>
            </w:r>
            <w:r w:rsidR="00BD1EAD">
              <w:rPr>
                <w:webHidden/>
              </w:rPr>
              <w:t>7-79</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55" w:history="1">
            <w:r w:rsidR="00C57342" w:rsidRPr="00C1303E">
              <w:rPr>
                <w:rStyle w:val="Hyperlink"/>
              </w:rPr>
              <w:t>A.3.3</w:t>
            </w:r>
            <w:r w:rsidR="00C57342">
              <w:rPr>
                <w:rFonts w:asciiTheme="minorHAnsi" w:eastAsiaTheme="minorEastAsia" w:hAnsiTheme="minorHAnsi"/>
                <w:lang w:eastAsia="en-AU"/>
              </w:rPr>
              <w:tab/>
            </w:r>
            <w:r w:rsidR="00C57342" w:rsidRPr="00C1303E">
              <w:rPr>
                <w:rStyle w:val="Hyperlink"/>
              </w:rPr>
              <w:t>Our approach is consistent with the incentive regime</w:t>
            </w:r>
            <w:r w:rsidR="00C57342">
              <w:rPr>
                <w:webHidden/>
              </w:rPr>
              <w:tab/>
            </w:r>
            <w:r w:rsidR="00C57342">
              <w:rPr>
                <w:webHidden/>
              </w:rPr>
              <w:fldChar w:fldCharType="begin"/>
            </w:r>
            <w:r w:rsidR="00C57342">
              <w:rPr>
                <w:webHidden/>
              </w:rPr>
              <w:instrText xml:space="preserve"> PAGEREF _Toc417659855 \h </w:instrText>
            </w:r>
            <w:r w:rsidR="00C57342">
              <w:rPr>
                <w:webHidden/>
              </w:rPr>
            </w:r>
            <w:r w:rsidR="00C57342">
              <w:rPr>
                <w:webHidden/>
              </w:rPr>
              <w:fldChar w:fldCharType="separate"/>
            </w:r>
            <w:r w:rsidR="00BD1EAD">
              <w:rPr>
                <w:webHidden/>
              </w:rPr>
              <w:t>7-94</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56" w:history="1">
            <w:r w:rsidR="00C57342" w:rsidRPr="00C1303E">
              <w:rPr>
                <w:rStyle w:val="Hyperlink"/>
              </w:rPr>
              <w:t>A.3.4</w:t>
            </w:r>
            <w:r w:rsidR="00C57342">
              <w:rPr>
                <w:rFonts w:asciiTheme="minorHAnsi" w:eastAsiaTheme="minorEastAsia" w:hAnsiTheme="minorHAnsi"/>
                <w:lang w:eastAsia="en-AU"/>
              </w:rPr>
              <w:tab/>
            </w:r>
            <w:r w:rsidR="00C57342" w:rsidRPr="00C1303E">
              <w:rPr>
                <w:rStyle w:val="Hyperlink"/>
              </w:rPr>
              <w:t>The benchmarking we rely on in our approach is robust, reliable and reasonable</w:t>
            </w:r>
            <w:r w:rsidR="00C57342">
              <w:rPr>
                <w:webHidden/>
              </w:rPr>
              <w:tab/>
            </w:r>
            <w:r w:rsidR="00C57342">
              <w:rPr>
                <w:webHidden/>
              </w:rPr>
              <w:fldChar w:fldCharType="begin"/>
            </w:r>
            <w:r w:rsidR="00C57342">
              <w:rPr>
                <w:webHidden/>
              </w:rPr>
              <w:instrText xml:space="preserve"> PAGEREF _Toc417659856 \h </w:instrText>
            </w:r>
            <w:r w:rsidR="00C57342">
              <w:rPr>
                <w:webHidden/>
              </w:rPr>
            </w:r>
            <w:r w:rsidR="00C57342">
              <w:rPr>
                <w:webHidden/>
              </w:rPr>
              <w:fldChar w:fldCharType="separate"/>
            </w:r>
            <w:r w:rsidR="00BD1EAD">
              <w:rPr>
                <w:webHidden/>
              </w:rPr>
              <w:t>7-95</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57" w:history="1">
            <w:r w:rsidR="00C57342" w:rsidRPr="00C1303E">
              <w:rPr>
                <w:rStyle w:val="Hyperlink"/>
              </w:rPr>
              <w:t>A.3.5</w:t>
            </w:r>
            <w:r w:rsidR="00C57342">
              <w:rPr>
                <w:rFonts w:asciiTheme="minorHAnsi" w:eastAsiaTheme="minorEastAsia" w:hAnsiTheme="minorHAnsi"/>
                <w:lang w:eastAsia="en-AU"/>
              </w:rPr>
              <w:tab/>
            </w:r>
            <w:r w:rsidR="00C57342" w:rsidRPr="00C1303E">
              <w:rPr>
                <w:rStyle w:val="Hyperlink"/>
              </w:rPr>
              <w:t>Procedural fairness matters</w:t>
            </w:r>
            <w:r w:rsidR="00C57342">
              <w:rPr>
                <w:webHidden/>
              </w:rPr>
              <w:tab/>
            </w:r>
            <w:r w:rsidR="00C57342">
              <w:rPr>
                <w:webHidden/>
              </w:rPr>
              <w:fldChar w:fldCharType="begin"/>
            </w:r>
            <w:r w:rsidR="00C57342">
              <w:rPr>
                <w:webHidden/>
              </w:rPr>
              <w:instrText xml:space="preserve"> PAGEREF _Toc417659857 \h </w:instrText>
            </w:r>
            <w:r w:rsidR="00C57342">
              <w:rPr>
                <w:webHidden/>
              </w:rPr>
            </w:r>
            <w:r w:rsidR="00C57342">
              <w:rPr>
                <w:webHidden/>
              </w:rPr>
              <w:fldChar w:fldCharType="separate"/>
            </w:r>
            <w:r w:rsidR="00BD1EAD">
              <w:rPr>
                <w:webHidden/>
              </w:rPr>
              <w:t>7-98</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58" w:history="1">
            <w:r w:rsidR="00C57342" w:rsidRPr="00C1303E">
              <w:rPr>
                <w:rStyle w:val="Hyperlink"/>
              </w:rPr>
              <w:t>A.4</w:t>
            </w:r>
            <w:r w:rsidR="00C57342">
              <w:rPr>
                <w:rFonts w:asciiTheme="minorHAnsi" w:eastAsiaTheme="minorEastAsia" w:hAnsiTheme="minorHAnsi"/>
                <w:b w:val="0"/>
                <w:color w:val="auto"/>
                <w:sz w:val="22"/>
                <w:lang w:eastAsia="en-AU"/>
              </w:rPr>
              <w:tab/>
            </w:r>
            <w:r w:rsidR="00C57342" w:rsidRPr="00C1303E">
              <w:rPr>
                <w:rStyle w:val="Hyperlink"/>
              </w:rPr>
              <w:t>Our benchmarking is robust, reliable and reasonable</w:t>
            </w:r>
            <w:r w:rsidR="00C57342">
              <w:rPr>
                <w:webHidden/>
              </w:rPr>
              <w:tab/>
            </w:r>
            <w:r w:rsidR="00C57342">
              <w:rPr>
                <w:webHidden/>
              </w:rPr>
              <w:fldChar w:fldCharType="begin"/>
            </w:r>
            <w:r w:rsidR="00C57342">
              <w:rPr>
                <w:webHidden/>
              </w:rPr>
              <w:instrText xml:space="preserve"> PAGEREF _Toc417659858 \h </w:instrText>
            </w:r>
            <w:r w:rsidR="00C57342">
              <w:rPr>
                <w:webHidden/>
              </w:rPr>
            </w:r>
            <w:r w:rsidR="00C57342">
              <w:rPr>
                <w:webHidden/>
              </w:rPr>
              <w:fldChar w:fldCharType="separate"/>
            </w:r>
            <w:r w:rsidR="00BD1EAD">
              <w:rPr>
                <w:webHidden/>
              </w:rPr>
              <w:t>7-103</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59" w:history="1">
            <w:r w:rsidR="00C57342" w:rsidRPr="00C1303E">
              <w:rPr>
                <w:rStyle w:val="Hyperlink"/>
              </w:rPr>
              <w:t>A.4.1</w:t>
            </w:r>
            <w:r w:rsidR="00C57342">
              <w:rPr>
                <w:rFonts w:asciiTheme="minorHAnsi" w:eastAsiaTheme="minorEastAsia" w:hAnsiTheme="minorHAnsi"/>
                <w:lang w:eastAsia="en-AU"/>
              </w:rPr>
              <w:tab/>
            </w:r>
            <w:r w:rsidR="00C57342" w:rsidRPr="00C1303E">
              <w:rPr>
                <w:rStyle w:val="Hyperlink"/>
              </w:rPr>
              <w:t>Position</w:t>
            </w:r>
            <w:r w:rsidR="00C57342">
              <w:rPr>
                <w:webHidden/>
              </w:rPr>
              <w:tab/>
            </w:r>
            <w:r w:rsidR="00C57342">
              <w:rPr>
                <w:webHidden/>
              </w:rPr>
              <w:fldChar w:fldCharType="begin"/>
            </w:r>
            <w:r w:rsidR="00C57342">
              <w:rPr>
                <w:webHidden/>
              </w:rPr>
              <w:instrText xml:space="preserve"> PAGEREF _Toc417659859 \h </w:instrText>
            </w:r>
            <w:r w:rsidR="00C57342">
              <w:rPr>
                <w:webHidden/>
              </w:rPr>
            </w:r>
            <w:r w:rsidR="00C57342">
              <w:rPr>
                <w:webHidden/>
              </w:rPr>
              <w:fldChar w:fldCharType="separate"/>
            </w:r>
            <w:r w:rsidR="00BD1EAD">
              <w:rPr>
                <w:webHidden/>
              </w:rPr>
              <w:t>7-103</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60" w:history="1">
            <w:r w:rsidR="00C57342" w:rsidRPr="00C1303E">
              <w:rPr>
                <w:rStyle w:val="Hyperlink"/>
              </w:rPr>
              <w:t>A.4.2</w:t>
            </w:r>
            <w:r w:rsidR="00C57342">
              <w:rPr>
                <w:rFonts w:asciiTheme="minorHAnsi" w:eastAsiaTheme="minorEastAsia" w:hAnsiTheme="minorHAnsi"/>
                <w:lang w:eastAsia="en-AU"/>
              </w:rPr>
              <w:tab/>
            </w:r>
            <w:r w:rsidR="00C57342" w:rsidRPr="00C1303E">
              <w:rPr>
                <w:rStyle w:val="Hyperlink"/>
              </w:rPr>
              <w:t>Draft position</w:t>
            </w:r>
            <w:r w:rsidR="00C57342">
              <w:rPr>
                <w:webHidden/>
              </w:rPr>
              <w:tab/>
            </w:r>
            <w:r w:rsidR="00C57342">
              <w:rPr>
                <w:webHidden/>
              </w:rPr>
              <w:fldChar w:fldCharType="begin"/>
            </w:r>
            <w:r w:rsidR="00C57342">
              <w:rPr>
                <w:webHidden/>
              </w:rPr>
              <w:instrText xml:space="preserve"> PAGEREF _Toc417659860 \h </w:instrText>
            </w:r>
            <w:r w:rsidR="00C57342">
              <w:rPr>
                <w:webHidden/>
              </w:rPr>
            </w:r>
            <w:r w:rsidR="00C57342">
              <w:rPr>
                <w:webHidden/>
              </w:rPr>
              <w:fldChar w:fldCharType="separate"/>
            </w:r>
            <w:r w:rsidR="00BD1EAD">
              <w:rPr>
                <w:webHidden/>
              </w:rPr>
              <w:t>7-106</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61" w:history="1">
            <w:r w:rsidR="00C57342" w:rsidRPr="00C1303E">
              <w:rPr>
                <w:rStyle w:val="Hyperlink"/>
              </w:rPr>
              <w:t>A.4.3</w:t>
            </w:r>
            <w:r w:rsidR="00C57342">
              <w:rPr>
                <w:rFonts w:asciiTheme="minorHAnsi" w:eastAsiaTheme="minorEastAsia" w:hAnsiTheme="minorHAnsi"/>
                <w:lang w:eastAsia="en-AU"/>
              </w:rPr>
              <w:tab/>
            </w:r>
            <w:r w:rsidR="00C57342" w:rsidRPr="00C1303E">
              <w:rPr>
                <w:rStyle w:val="Hyperlink"/>
              </w:rPr>
              <w:t>Revised proposals and submissions</w:t>
            </w:r>
            <w:r w:rsidR="00C57342">
              <w:rPr>
                <w:webHidden/>
              </w:rPr>
              <w:tab/>
            </w:r>
            <w:r w:rsidR="00C57342">
              <w:rPr>
                <w:webHidden/>
              </w:rPr>
              <w:fldChar w:fldCharType="begin"/>
            </w:r>
            <w:r w:rsidR="00C57342">
              <w:rPr>
                <w:webHidden/>
              </w:rPr>
              <w:instrText xml:space="preserve"> PAGEREF _Toc417659861 \h </w:instrText>
            </w:r>
            <w:r w:rsidR="00C57342">
              <w:rPr>
                <w:webHidden/>
              </w:rPr>
            </w:r>
            <w:r w:rsidR="00C57342">
              <w:rPr>
                <w:webHidden/>
              </w:rPr>
              <w:fldChar w:fldCharType="separate"/>
            </w:r>
            <w:r w:rsidR="00BD1EAD">
              <w:rPr>
                <w:webHidden/>
              </w:rPr>
              <w:t>7-108</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62" w:history="1">
            <w:r w:rsidR="00C57342" w:rsidRPr="00C1303E">
              <w:rPr>
                <w:rStyle w:val="Hyperlink"/>
              </w:rPr>
              <w:t>A.5</w:t>
            </w:r>
            <w:r w:rsidR="00C57342">
              <w:rPr>
                <w:rFonts w:asciiTheme="minorHAnsi" w:eastAsiaTheme="minorEastAsia" w:hAnsiTheme="minorHAnsi"/>
                <w:b w:val="0"/>
                <w:color w:val="auto"/>
                <w:sz w:val="22"/>
                <w:lang w:eastAsia="en-AU"/>
              </w:rPr>
              <w:tab/>
            </w:r>
            <w:r w:rsidR="00C57342" w:rsidRPr="00C1303E">
              <w:rPr>
                <w:rStyle w:val="Hyperlink"/>
              </w:rPr>
              <w:t>Category analysis and qualitative review</w:t>
            </w:r>
            <w:r w:rsidR="00C57342">
              <w:rPr>
                <w:webHidden/>
              </w:rPr>
              <w:tab/>
            </w:r>
            <w:r w:rsidR="00C57342">
              <w:rPr>
                <w:webHidden/>
              </w:rPr>
              <w:fldChar w:fldCharType="begin"/>
            </w:r>
            <w:r w:rsidR="00C57342">
              <w:rPr>
                <w:webHidden/>
              </w:rPr>
              <w:instrText xml:space="preserve"> PAGEREF _Toc417659862 \h </w:instrText>
            </w:r>
            <w:r w:rsidR="00C57342">
              <w:rPr>
                <w:webHidden/>
              </w:rPr>
            </w:r>
            <w:r w:rsidR="00C57342">
              <w:rPr>
                <w:webHidden/>
              </w:rPr>
              <w:fldChar w:fldCharType="separate"/>
            </w:r>
            <w:r w:rsidR="00BD1EAD">
              <w:rPr>
                <w:webHidden/>
              </w:rPr>
              <w:t>7-144</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63" w:history="1">
            <w:r w:rsidR="00C57342" w:rsidRPr="00C1303E">
              <w:rPr>
                <w:rStyle w:val="Hyperlink"/>
              </w:rPr>
              <w:t>A.5.1</w:t>
            </w:r>
            <w:r w:rsidR="00C57342">
              <w:rPr>
                <w:rFonts w:asciiTheme="minorHAnsi" w:eastAsiaTheme="minorEastAsia" w:hAnsiTheme="minorHAnsi"/>
                <w:lang w:eastAsia="en-AU"/>
              </w:rPr>
              <w:tab/>
            </w:r>
            <w:r w:rsidR="00C57342" w:rsidRPr="00C1303E">
              <w:rPr>
                <w:rStyle w:val="Hyperlink"/>
              </w:rPr>
              <w:t>Position</w:t>
            </w:r>
            <w:r w:rsidR="00C57342">
              <w:rPr>
                <w:webHidden/>
              </w:rPr>
              <w:tab/>
            </w:r>
            <w:r w:rsidR="00C57342">
              <w:rPr>
                <w:webHidden/>
              </w:rPr>
              <w:fldChar w:fldCharType="begin"/>
            </w:r>
            <w:r w:rsidR="00C57342">
              <w:rPr>
                <w:webHidden/>
              </w:rPr>
              <w:instrText xml:space="preserve"> PAGEREF _Toc417659863 \h </w:instrText>
            </w:r>
            <w:r w:rsidR="00C57342">
              <w:rPr>
                <w:webHidden/>
              </w:rPr>
            </w:r>
            <w:r w:rsidR="00C57342">
              <w:rPr>
                <w:webHidden/>
              </w:rPr>
              <w:fldChar w:fldCharType="separate"/>
            </w:r>
            <w:r w:rsidR="00BD1EAD">
              <w:rPr>
                <w:webHidden/>
              </w:rPr>
              <w:t>7-145</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64" w:history="1">
            <w:r w:rsidR="00C57342" w:rsidRPr="00C1303E">
              <w:rPr>
                <w:rStyle w:val="Hyperlink"/>
              </w:rPr>
              <w:t>A.5.2</w:t>
            </w:r>
            <w:r w:rsidR="00C57342">
              <w:rPr>
                <w:rFonts w:asciiTheme="minorHAnsi" w:eastAsiaTheme="minorEastAsia" w:hAnsiTheme="minorHAnsi"/>
                <w:lang w:eastAsia="en-AU"/>
              </w:rPr>
              <w:tab/>
            </w:r>
            <w:r w:rsidR="00C57342" w:rsidRPr="00C1303E">
              <w:rPr>
                <w:rStyle w:val="Hyperlink"/>
              </w:rPr>
              <w:t>Draft position</w:t>
            </w:r>
            <w:r w:rsidR="00C57342">
              <w:rPr>
                <w:webHidden/>
              </w:rPr>
              <w:tab/>
            </w:r>
            <w:r w:rsidR="00C57342">
              <w:rPr>
                <w:webHidden/>
              </w:rPr>
              <w:fldChar w:fldCharType="begin"/>
            </w:r>
            <w:r w:rsidR="00C57342">
              <w:rPr>
                <w:webHidden/>
              </w:rPr>
              <w:instrText xml:space="preserve"> PAGEREF _Toc417659864 \h </w:instrText>
            </w:r>
            <w:r w:rsidR="00C57342">
              <w:rPr>
                <w:webHidden/>
              </w:rPr>
            </w:r>
            <w:r w:rsidR="00C57342">
              <w:rPr>
                <w:webHidden/>
              </w:rPr>
              <w:fldChar w:fldCharType="separate"/>
            </w:r>
            <w:r w:rsidR="00BD1EAD">
              <w:rPr>
                <w:webHidden/>
              </w:rPr>
              <w:t>7-148</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65" w:history="1">
            <w:r w:rsidR="00C57342" w:rsidRPr="00C1303E">
              <w:rPr>
                <w:rStyle w:val="Hyperlink"/>
              </w:rPr>
              <w:t>A.5.3</w:t>
            </w:r>
            <w:r w:rsidR="00C57342">
              <w:rPr>
                <w:rFonts w:asciiTheme="minorHAnsi" w:eastAsiaTheme="minorEastAsia" w:hAnsiTheme="minorHAnsi"/>
                <w:lang w:eastAsia="en-AU"/>
              </w:rPr>
              <w:tab/>
            </w:r>
            <w:r w:rsidR="00C57342" w:rsidRPr="00C1303E">
              <w:rPr>
                <w:rStyle w:val="Hyperlink"/>
              </w:rPr>
              <w:t>Revised proposals and submissions</w:t>
            </w:r>
            <w:r w:rsidR="00C57342">
              <w:rPr>
                <w:webHidden/>
              </w:rPr>
              <w:tab/>
            </w:r>
            <w:r w:rsidR="00C57342">
              <w:rPr>
                <w:webHidden/>
              </w:rPr>
              <w:fldChar w:fldCharType="begin"/>
            </w:r>
            <w:r w:rsidR="00C57342">
              <w:rPr>
                <w:webHidden/>
              </w:rPr>
              <w:instrText xml:space="preserve"> PAGEREF _Toc417659865 \h </w:instrText>
            </w:r>
            <w:r w:rsidR="00C57342">
              <w:rPr>
                <w:webHidden/>
              </w:rPr>
            </w:r>
            <w:r w:rsidR="00C57342">
              <w:rPr>
                <w:webHidden/>
              </w:rPr>
              <w:fldChar w:fldCharType="separate"/>
            </w:r>
            <w:r w:rsidR="00BD1EAD">
              <w:rPr>
                <w:webHidden/>
              </w:rPr>
              <w:t>7-150</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66" w:history="1">
            <w:r w:rsidR="00C57342" w:rsidRPr="00C1303E">
              <w:rPr>
                <w:rStyle w:val="Hyperlink"/>
              </w:rPr>
              <w:t>A.6</w:t>
            </w:r>
            <w:r w:rsidR="00C57342">
              <w:rPr>
                <w:rFonts w:asciiTheme="minorHAnsi" w:eastAsiaTheme="minorEastAsia" w:hAnsiTheme="minorHAnsi"/>
                <w:b w:val="0"/>
                <w:color w:val="auto"/>
                <w:sz w:val="22"/>
                <w:lang w:eastAsia="en-AU"/>
              </w:rPr>
              <w:tab/>
            </w:r>
            <w:r w:rsidR="00C57342" w:rsidRPr="00C1303E">
              <w:rPr>
                <w:rStyle w:val="Hyperlink"/>
              </w:rPr>
              <w:t>The net impact of operating environment factor adjustments</w:t>
            </w:r>
            <w:r w:rsidR="00C57342">
              <w:rPr>
                <w:webHidden/>
              </w:rPr>
              <w:tab/>
            </w:r>
            <w:r w:rsidR="00C57342">
              <w:rPr>
                <w:webHidden/>
              </w:rPr>
              <w:fldChar w:fldCharType="begin"/>
            </w:r>
            <w:r w:rsidR="00C57342">
              <w:rPr>
                <w:webHidden/>
              </w:rPr>
              <w:instrText xml:space="preserve"> PAGEREF _Toc417659866 \h </w:instrText>
            </w:r>
            <w:r w:rsidR="00C57342">
              <w:rPr>
                <w:webHidden/>
              </w:rPr>
            </w:r>
            <w:r w:rsidR="00C57342">
              <w:rPr>
                <w:webHidden/>
              </w:rPr>
              <w:fldChar w:fldCharType="separate"/>
            </w:r>
            <w:r w:rsidR="00BD1EAD">
              <w:rPr>
                <w:webHidden/>
              </w:rPr>
              <w:t>7-169</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67" w:history="1">
            <w:r w:rsidR="00C57342" w:rsidRPr="00C1303E">
              <w:rPr>
                <w:rStyle w:val="Hyperlink"/>
              </w:rPr>
              <w:t>A.6.1</w:t>
            </w:r>
            <w:r w:rsidR="00C57342">
              <w:rPr>
                <w:rFonts w:asciiTheme="minorHAnsi" w:eastAsiaTheme="minorEastAsia" w:hAnsiTheme="minorHAnsi"/>
                <w:lang w:eastAsia="en-AU"/>
              </w:rPr>
              <w:tab/>
            </w:r>
            <w:r w:rsidR="00C57342" w:rsidRPr="00C1303E">
              <w:rPr>
                <w:rStyle w:val="Hyperlink"/>
              </w:rPr>
              <w:t>Final position</w:t>
            </w:r>
            <w:r w:rsidR="00C57342">
              <w:rPr>
                <w:webHidden/>
              </w:rPr>
              <w:tab/>
            </w:r>
            <w:r w:rsidR="00C57342">
              <w:rPr>
                <w:webHidden/>
              </w:rPr>
              <w:fldChar w:fldCharType="begin"/>
            </w:r>
            <w:r w:rsidR="00C57342">
              <w:rPr>
                <w:webHidden/>
              </w:rPr>
              <w:instrText xml:space="preserve"> PAGEREF _Toc417659867 \h </w:instrText>
            </w:r>
            <w:r w:rsidR="00C57342">
              <w:rPr>
                <w:webHidden/>
              </w:rPr>
            </w:r>
            <w:r w:rsidR="00C57342">
              <w:rPr>
                <w:webHidden/>
              </w:rPr>
              <w:fldChar w:fldCharType="separate"/>
            </w:r>
            <w:r w:rsidR="00BD1EAD">
              <w:rPr>
                <w:webHidden/>
              </w:rPr>
              <w:t>7-170</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68" w:history="1">
            <w:r w:rsidR="00C57342" w:rsidRPr="00C1303E">
              <w:rPr>
                <w:rStyle w:val="Hyperlink"/>
              </w:rPr>
              <w:t>A.6.2</w:t>
            </w:r>
            <w:r w:rsidR="00C57342">
              <w:rPr>
                <w:rFonts w:asciiTheme="minorHAnsi" w:eastAsiaTheme="minorEastAsia" w:hAnsiTheme="minorHAnsi"/>
                <w:lang w:eastAsia="en-AU"/>
              </w:rPr>
              <w:tab/>
            </w:r>
            <w:r w:rsidR="00C57342" w:rsidRPr="00C1303E">
              <w:rPr>
                <w:rStyle w:val="Hyperlink"/>
              </w:rPr>
              <w:t>Draft position</w:t>
            </w:r>
            <w:r w:rsidR="00C57342">
              <w:rPr>
                <w:webHidden/>
              </w:rPr>
              <w:tab/>
            </w:r>
            <w:r w:rsidR="00C57342">
              <w:rPr>
                <w:webHidden/>
              </w:rPr>
              <w:fldChar w:fldCharType="begin"/>
            </w:r>
            <w:r w:rsidR="00C57342">
              <w:rPr>
                <w:webHidden/>
              </w:rPr>
              <w:instrText xml:space="preserve"> PAGEREF _Toc417659868 \h </w:instrText>
            </w:r>
            <w:r w:rsidR="00C57342">
              <w:rPr>
                <w:webHidden/>
              </w:rPr>
            </w:r>
            <w:r w:rsidR="00C57342">
              <w:rPr>
                <w:webHidden/>
              </w:rPr>
              <w:fldChar w:fldCharType="separate"/>
            </w:r>
            <w:r w:rsidR="00BD1EAD">
              <w:rPr>
                <w:webHidden/>
              </w:rPr>
              <w:t>7-172</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69" w:history="1">
            <w:r w:rsidR="00C57342" w:rsidRPr="00C1303E">
              <w:rPr>
                <w:rStyle w:val="Hyperlink"/>
              </w:rPr>
              <w:t>A.6.3</w:t>
            </w:r>
            <w:r w:rsidR="00C57342">
              <w:rPr>
                <w:rFonts w:asciiTheme="minorHAnsi" w:eastAsiaTheme="minorEastAsia" w:hAnsiTheme="minorHAnsi"/>
                <w:lang w:eastAsia="en-AU"/>
              </w:rPr>
              <w:tab/>
            </w:r>
            <w:r w:rsidR="00C57342" w:rsidRPr="00C1303E">
              <w:rPr>
                <w:rStyle w:val="Hyperlink"/>
              </w:rPr>
              <w:t>Revised proposals and submissions</w:t>
            </w:r>
            <w:r w:rsidR="00C57342">
              <w:rPr>
                <w:webHidden/>
              </w:rPr>
              <w:tab/>
            </w:r>
            <w:r w:rsidR="00C57342">
              <w:rPr>
                <w:webHidden/>
              </w:rPr>
              <w:fldChar w:fldCharType="begin"/>
            </w:r>
            <w:r w:rsidR="00C57342">
              <w:rPr>
                <w:webHidden/>
              </w:rPr>
              <w:instrText xml:space="preserve"> PAGEREF _Toc417659869 \h </w:instrText>
            </w:r>
            <w:r w:rsidR="00C57342">
              <w:rPr>
                <w:webHidden/>
              </w:rPr>
            </w:r>
            <w:r w:rsidR="00C57342">
              <w:rPr>
                <w:webHidden/>
              </w:rPr>
              <w:fldChar w:fldCharType="separate"/>
            </w:r>
            <w:r w:rsidR="00BD1EAD">
              <w:rPr>
                <w:webHidden/>
              </w:rPr>
              <w:t>7-173</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70" w:history="1">
            <w:r w:rsidR="00C57342" w:rsidRPr="00C1303E">
              <w:rPr>
                <w:rStyle w:val="Hyperlink"/>
              </w:rPr>
              <w:t>A.6.4</w:t>
            </w:r>
            <w:r w:rsidR="00C57342">
              <w:rPr>
                <w:rFonts w:asciiTheme="minorHAnsi" w:eastAsiaTheme="minorEastAsia" w:hAnsiTheme="minorHAnsi"/>
                <w:lang w:eastAsia="en-AU"/>
              </w:rPr>
              <w:tab/>
            </w:r>
            <w:r w:rsidR="00C57342" w:rsidRPr="00C1303E">
              <w:rPr>
                <w:rStyle w:val="Hyperlink"/>
              </w:rPr>
              <w:t>Approach to operating environment factors</w:t>
            </w:r>
            <w:r w:rsidR="00C57342">
              <w:rPr>
                <w:webHidden/>
              </w:rPr>
              <w:tab/>
            </w:r>
            <w:r w:rsidR="00C57342">
              <w:rPr>
                <w:webHidden/>
              </w:rPr>
              <w:fldChar w:fldCharType="begin"/>
            </w:r>
            <w:r w:rsidR="00C57342">
              <w:rPr>
                <w:webHidden/>
              </w:rPr>
              <w:instrText xml:space="preserve"> PAGEREF _Toc417659870 \h </w:instrText>
            </w:r>
            <w:r w:rsidR="00C57342">
              <w:rPr>
                <w:webHidden/>
              </w:rPr>
            </w:r>
            <w:r w:rsidR="00C57342">
              <w:rPr>
                <w:webHidden/>
              </w:rPr>
              <w:fldChar w:fldCharType="separate"/>
            </w:r>
            <w:r w:rsidR="00BD1EAD">
              <w:rPr>
                <w:webHidden/>
              </w:rPr>
              <w:t>7-176</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71" w:history="1">
            <w:r w:rsidR="00C57342" w:rsidRPr="00C1303E">
              <w:rPr>
                <w:rStyle w:val="Hyperlink"/>
              </w:rPr>
              <w:t>A.6.5</w:t>
            </w:r>
            <w:r w:rsidR="00C57342">
              <w:rPr>
                <w:rFonts w:asciiTheme="minorHAnsi" w:eastAsiaTheme="minorEastAsia" w:hAnsiTheme="minorHAnsi"/>
                <w:lang w:eastAsia="en-AU"/>
              </w:rPr>
              <w:tab/>
            </w:r>
            <w:r w:rsidR="00C57342" w:rsidRPr="00C1303E">
              <w:rPr>
                <w:rStyle w:val="Hyperlink"/>
              </w:rPr>
              <w:t>Customer factors</w:t>
            </w:r>
            <w:r w:rsidR="00C57342">
              <w:rPr>
                <w:webHidden/>
              </w:rPr>
              <w:tab/>
            </w:r>
            <w:r w:rsidR="00C57342">
              <w:rPr>
                <w:webHidden/>
              </w:rPr>
              <w:fldChar w:fldCharType="begin"/>
            </w:r>
            <w:r w:rsidR="00C57342">
              <w:rPr>
                <w:webHidden/>
              </w:rPr>
              <w:instrText xml:space="preserve"> PAGEREF _Toc417659871 \h </w:instrText>
            </w:r>
            <w:r w:rsidR="00C57342">
              <w:rPr>
                <w:webHidden/>
              </w:rPr>
            </w:r>
            <w:r w:rsidR="00C57342">
              <w:rPr>
                <w:webHidden/>
              </w:rPr>
              <w:fldChar w:fldCharType="separate"/>
            </w:r>
            <w:r w:rsidR="00BD1EAD">
              <w:rPr>
                <w:webHidden/>
              </w:rPr>
              <w:t>7-184</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72" w:history="1">
            <w:r w:rsidR="00C57342" w:rsidRPr="00C1303E">
              <w:rPr>
                <w:rStyle w:val="Hyperlink"/>
              </w:rPr>
              <w:t>A.6.6</w:t>
            </w:r>
            <w:r w:rsidR="00C57342">
              <w:rPr>
                <w:rFonts w:asciiTheme="minorHAnsi" w:eastAsiaTheme="minorEastAsia" w:hAnsiTheme="minorHAnsi"/>
                <w:lang w:eastAsia="en-AU"/>
              </w:rPr>
              <w:tab/>
            </w:r>
            <w:r w:rsidR="00C57342" w:rsidRPr="00C1303E">
              <w:rPr>
                <w:rStyle w:val="Hyperlink"/>
              </w:rPr>
              <w:t>Endogenous factors</w:t>
            </w:r>
            <w:r w:rsidR="00C57342">
              <w:rPr>
                <w:webHidden/>
              </w:rPr>
              <w:tab/>
            </w:r>
            <w:r w:rsidR="00C57342">
              <w:rPr>
                <w:webHidden/>
              </w:rPr>
              <w:fldChar w:fldCharType="begin"/>
            </w:r>
            <w:r w:rsidR="00C57342">
              <w:rPr>
                <w:webHidden/>
              </w:rPr>
              <w:instrText xml:space="preserve"> PAGEREF _Toc417659872 \h </w:instrText>
            </w:r>
            <w:r w:rsidR="00C57342">
              <w:rPr>
                <w:webHidden/>
              </w:rPr>
            </w:r>
            <w:r w:rsidR="00C57342">
              <w:rPr>
                <w:webHidden/>
              </w:rPr>
              <w:fldChar w:fldCharType="separate"/>
            </w:r>
            <w:r w:rsidR="00BD1EAD">
              <w:rPr>
                <w:webHidden/>
              </w:rPr>
              <w:t>7-188</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73" w:history="1">
            <w:r w:rsidR="00C57342" w:rsidRPr="00C1303E">
              <w:rPr>
                <w:rStyle w:val="Hyperlink"/>
              </w:rPr>
              <w:t>A.6.7</w:t>
            </w:r>
            <w:r w:rsidR="00C57342">
              <w:rPr>
                <w:rFonts w:asciiTheme="minorHAnsi" w:eastAsiaTheme="minorEastAsia" w:hAnsiTheme="minorHAnsi"/>
                <w:lang w:eastAsia="en-AU"/>
              </w:rPr>
              <w:tab/>
            </w:r>
            <w:r w:rsidR="00C57342" w:rsidRPr="00C1303E">
              <w:rPr>
                <w:rStyle w:val="Hyperlink"/>
              </w:rPr>
              <w:t>Geographic factors</w:t>
            </w:r>
            <w:r w:rsidR="00C57342">
              <w:rPr>
                <w:webHidden/>
              </w:rPr>
              <w:tab/>
            </w:r>
            <w:r w:rsidR="00C57342">
              <w:rPr>
                <w:webHidden/>
              </w:rPr>
              <w:fldChar w:fldCharType="begin"/>
            </w:r>
            <w:r w:rsidR="00C57342">
              <w:rPr>
                <w:webHidden/>
              </w:rPr>
              <w:instrText xml:space="preserve"> PAGEREF _Toc417659873 \h </w:instrText>
            </w:r>
            <w:r w:rsidR="00C57342">
              <w:rPr>
                <w:webHidden/>
              </w:rPr>
            </w:r>
            <w:r w:rsidR="00C57342">
              <w:rPr>
                <w:webHidden/>
              </w:rPr>
              <w:fldChar w:fldCharType="separate"/>
            </w:r>
            <w:r w:rsidR="00BD1EAD">
              <w:rPr>
                <w:webHidden/>
              </w:rPr>
              <w:t>7-213</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74" w:history="1">
            <w:r w:rsidR="00C57342" w:rsidRPr="00C1303E">
              <w:rPr>
                <w:rStyle w:val="Hyperlink"/>
              </w:rPr>
              <w:t>A.6.8</w:t>
            </w:r>
            <w:r w:rsidR="00C57342">
              <w:rPr>
                <w:rFonts w:asciiTheme="minorHAnsi" w:eastAsiaTheme="minorEastAsia" w:hAnsiTheme="minorHAnsi"/>
                <w:lang w:eastAsia="en-AU"/>
              </w:rPr>
              <w:tab/>
            </w:r>
            <w:r w:rsidR="00C57342" w:rsidRPr="00C1303E">
              <w:rPr>
                <w:rStyle w:val="Hyperlink"/>
              </w:rPr>
              <w:t>Jurisdictional factors</w:t>
            </w:r>
            <w:r w:rsidR="00C57342">
              <w:rPr>
                <w:webHidden/>
              </w:rPr>
              <w:tab/>
            </w:r>
            <w:r w:rsidR="00C57342">
              <w:rPr>
                <w:webHidden/>
              </w:rPr>
              <w:fldChar w:fldCharType="begin"/>
            </w:r>
            <w:r w:rsidR="00C57342">
              <w:rPr>
                <w:webHidden/>
              </w:rPr>
              <w:instrText xml:space="preserve"> PAGEREF _Toc417659874 \h </w:instrText>
            </w:r>
            <w:r w:rsidR="00C57342">
              <w:rPr>
                <w:webHidden/>
              </w:rPr>
            </w:r>
            <w:r w:rsidR="00C57342">
              <w:rPr>
                <w:webHidden/>
              </w:rPr>
              <w:fldChar w:fldCharType="separate"/>
            </w:r>
            <w:r w:rsidR="00BD1EAD">
              <w:rPr>
                <w:webHidden/>
              </w:rPr>
              <w:t>7-233</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75" w:history="1">
            <w:r w:rsidR="00C57342" w:rsidRPr="00C1303E">
              <w:rPr>
                <w:rStyle w:val="Hyperlink"/>
              </w:rPr>
              <w:t>A.6.9</w:t>
            </w:r>
            <w:r w:rsidR="00C57342">
              <w:rPr>
                <w:rFonts w:asciiTheme="minorHAnsi" w:eastAsiaTheme="minorEastAsia" w:hAnsiTheme="minorHAnsi"/>
                <w:lang w:eastAsia="en-AU"/>
              </w:rPr>
              <w:tab/>
            </w:r>
            <w:r w:rsidR="00C57342" w:rsidRPr="00C1303E">
              <w:rPr>
                <w:rStyle w:val="Hyperlink"/>
              </w:rPr>
              <w:t>Network factors</w:t>
            </w:r>
            <w:r w:rsidR="00C57342">
              <w:rPr>
                <w:webHidden/>
              </w:rPr>
              <w:tab/>
            </w:r>
            <w:r w:rsidR="00C57342">
              <w:rPr>
                <w:webHidden/>
              </w:rPr>
              <w:fldChar w:fldCharType="begin"/>
            </w:r>
            <w:r w:rsidR="00C57342">
              <w:rPr>
                <w:webHidden/>
              </w:rPr>
              <w:instrText xml:space="preserve"> PAGEREF _Toc417659875 \h </w:instrText>
            </w:r>
            <w:r w:rsidR="00C57342">
              <w:rPr>
                <w:webHidden/>
              </w:rPr>
            </w:r>
            <w:r w:rsidR="00C57342">
              <w:rPr>
                <w:webHidden/>
              </w:rPr>
              <w:fldChar w:fldCharType="separate"/>
            </w:r>
            <w:r w:rsidR="00BD1EAD">
              <w:rPr>
                <w:webHidden/>
              </w:rPr>
              <w:t>7-246</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76" w:history="1">
            <w:r w:rsidR="00C57342" w:rsidRPr="00C1303E">
              <w:rPr>
                <w:rStyle w:val="Hyperlink"/>
              </w:rPr>
              <w:t>A.7</w:t>
            </w:r>
            <w:r w:rsidR="00C57342">
              <w:rPr>
                <w:rFonts w:asciiTheme="minorHAnsi" w:eastAsiaTheme="minorEastAsia" w:hAnsiTheme="minorHAnsi"/>
                <w:b w:val="0"/>
                <w:color w:val="auto"/>
                <w:sz w:val="22"/>
                <w:lang w:eastAsia="en-AU"/>
              </w:rPr>
              <w:tab/>
            </w:r>
            <w:r w:rsidR="00C57342" w:rsidRPr="00C1303E">
              <w:rPr>
                <w:rStyle w:val="Hyperlink"/>
              </w:rPr>
              <w:t>The benchmark comparison point and adjustments to base opex</w:t>
            </w:r>
            <w:r w:rsidR="00C57342">
              <w:rPr>
                <w:webHidden/>
              </w:rPr>
              <w:tab/>
            </w:r>
            <w:r w:rsidR="00C57342">
              <w:rPr>
                <w:webHidden/>
              </w:rPr>
              <w:fldChar w:fldCharType="begin"/>
            </w:r>
            <w:r w:rsidR="00C57342">
              <w:rPr>
                <w:webHidden/>
              </w:rPr>
              <w:instrText xml:space="preserve"> PAGEREF _Toc417659876 \h </w:instrText>
            </w:r>
            <w:r w:rsidR="00C57342">
              <w:rPr>
                <w:webHidden/>
              </w:rPr>
            </w:r>
            <w:r w:rsidR="00C57342">
              <w:rPr>
                <w:webHidden/>
              </w:rPr>
              <w:fldChar w:fldCharType="separate"/>
            </w:r>
            <w:r w:rsidR="00BD1EAD">
              <w:rPr>
                <w:webHidden/>
              </w:rPr>
              <w:t>7-266</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77" w:history="1">
            <w:r w:rsidR="00C57342" w:rsidRPr="00C1303E">
              <w:rPr>
                <w:rStyle w:val="Hyperlink"/>
              </w:rPr>
              <w:t>A.7.1</w:t>
            </w:r>
            <w:r w:rsidR="00C57342">
              <w:rPr>
                <w:rFonts w:asciiTheme="minorHAnsi" w:eastAsiaTheme="minorEastAsia" w:hAnsiTheme="minorHAnsi"/>
                <w:lang w:eastAsia="en-AU"/>
              </w:rPr>
              <w:tab/>
            </w:r>
            <w:r w:rsidR="00C57342" w:rsidRPr="00C1303E">
              <w:rPr>
                <w:rStyle w:val="Hyperlink"/>
              </w:rPr>
              <w:t>Position</w:t>
            </w:r>
            <w:r w:rsidR="00C57342">
              <w:rPr>
                <w:webHidden/>
              </w:rPr>
              <w:tab/>
            </w:r>
            <w:r w:rsidR="00C57342">
              <w:rPr>
                <w:webHidden/>
              </w:rPr>
              <w:fldChar w:fldCharType="begin"/>
            </w:r>
            <w:r w:rsidR="00C57342">
              <w:rPr>
                <w:webHidden/>
              </w:rPr>
              <w:instrText xml:space="preserve"> PAGEREF _Toc417659877 \h </w:instrText>
            </w:r>
            <w:r w:rsidR="00C57342">
              <w:rPr>
                <w:webHidden/>
              </w:rPr>
            </w:r>
            <w:r w:rsidR="00C57342">
              <w:rPr>
                <w:webHidden/>
              </w:rPr>
              <w:fldChar w:fldCharType="separate"/>
            </w:r>
            <w:r w:rsidR="00BD1EAD">
              <w:rPr>
                <w:webHidden/>
              </w:rPr>
              <w:t>7-266</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78" w:history="1">
            <w:r w:rsidR="00C57342" w:rsidRPr="00C1303E">
              <w:rPr>
                <w:rStyle w:val="Hyperlink"/>
              </w:rPr>
              <w:t>A.7.2</w:t>
            </w:r>
            <w:r w:rsidR="00C57342">
              <w:rPr>
                <w:rFonts w:asciiTheme="minorHAnsi" w:eastAsiaTheme="minorEastAsia" w:hAnsiTheme="minorHAnsi"/>
                <w:lang w:eastAsia="en-AU"/>
              </w:rPr>
              <w:tab/>
            </w:r>
            <w:r w:rsidR="00C57342" w:rsidRPr="00C1303E">
              <w:rPr>
                <w:rStyle w:val="Hyperlink"/>
              </w:rPr>
              <w:t>Draft position</w:t>
            </w:r>
            <w:r w:rsidR="00C57342">
              <w:rPr>
                <w:webHidden/>
              </w:rPr>
              <w:tab/>
            </w:r>
            <w:r w:rsidR="00C57342">
              <w:rPr>
                <w:webHidden/>
              </w:rPr>
              <w:fldChar w:fldCharType="begin"/>
            </w:r>
            <w:r w:rsidR="00C57342">
              <w:rPr>
                <w:webHidden/>
              </w:rPr>
              <w:instrText xml:space="preserve"> PAGEREF _Toc417659878 \h </w:instrText>
            </w:r>
            <w:r w:rsidR="00C57342">
              <w:rPr>
                <w:webHidden/>
              </w:rPr>
            </w:r>
            <w:r w:rsidR="00C57342">
              <w:rPr>
                <w:webHidden/>
              </w:rPr>
              <w:fldChar w:fldCharType="separate"/>
            </w:r>
            <w:r w:rsidR="00BD1EAD">
              <w:rPr>
                <w:webHidden/>
              </w:rPr>
              <w:t>7-269</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79" w:history="1">
            <w:r w:rsidR="00C57342" w:rsidRPr="00C1303E">
              <w:rPr>
                <w:rStyle w:val="Hyperlink"/>
              </w:rPr>
              <w:t>A.7.3</w:t>
            </w:r>
            <w:r w:rsidR="00C57342">
              <w:rPr>
                <w:rFonts w:asciiTheme="minorHAnsi" w:eastAsiaTheme="minorEastAsia" w:hAnsiTheme="minorHAnsi"/>
                <w:lang w:eastAsia="en-AU"/>
              </w:rPr>
              <w:tab/>
            </w:r>
            <w:r w:rsidR="00C57342" w:rsidRPr="00C1303E">
              <w:rPr>
                <w:rStyle w:val="Hyperlink"/>
              </w:rPr>
              <w:t>Revised proposal and submissions</w:t>
            </w:r>
            <w:r w:rsidR="00C57342">
              <w:rPr>
                <w:webHidden/>
              </w:rPr>
              <w:tab/>
            </w:r>
            <w:r w:rsidR="00C57342">
              <w:rPr>
                <w:webHidden/>
              </w:rPr>
              <w:fldChar w:fldCharType="begin"/>
            </w:r>
            <w:r w:rsidR="00C57342">
              <w:rPr>
                <w:webHidden/>
              </w:rPr>
              <w:instrText xml:space="preserve"> PAGEREF _Toc417659879 \h </w:instrText>
            </w:r>
            <w:r w:rsidR="00C57342">
              <w:rPr>
                <w:webHidden/>
              </w:rPr>
            </w:r>
            <w:r w:rsidR="00C57342">
              <w:rPr>
                <w:webHidden/>
              </w:rPr>
              <w:fldChar w:fldCharType="separate"/>
            </w:r>
            <w:r w:rsidR="00BD1EAD">
              <w:rPr>
                <w:webHidden/>
              </w:rPr>
              <w:t>7-269</w:t>
            </w:r>
            <w:r w:rsidR="00C57342">
              <w:rPr>
                <w:webHidden/>
              </w:rPr>
              <w:fldChar w:fldCharType="end"/>
            </w:r>
          </w:hyperlink>
        </w:p>
        <w:p w:rsidR="00C57342" w:rsidRDefault="00A66A4E">
          <w:pPr>
            <w:pStyle w:val="TOC1"/>
            <w:rPr>
              <w:rFonts w:asciiTheme="minorHAnsi" w:eastAsiaTheme="minorEastAsia" w:hAnsiTheme="minorHAnsi"/>
              <w:b w:val="0"/>
              <w:color w:val="auto"/>
              <w:sz w:val="22"/>
              <w:lang w:val="en-AU" w:eastAsia="en-AU"/>
            </w:rPr>
          </w:pPr>
          <w:hyperlink w:anchor="_Toc417659880" w:history="1">
            <w:r w:rsidR="00C57342" w:rsidRPr="00C1303E">
              <w:rPr>
                <w:rStyle w:val="Hyperlink"/>
              </w:rPr>
              <w:t>B</w:t>
            </w:r>
            <w:r w:rsidR="00C57342">
              <w:rPr>
                <w:rFonts w:asciiTheme="minorHAnsi" w:eastAsiaTheme="minorEastAsia" w:hAnsiTheme="minorHAnsi"/>
                <w:b w:val="0"/>
                <w:color w:val="auto"/>
                <w:sz w:val="22"/>
                <w:lang w:val="en-AU" w:eastAsia="en-AU"/>
              </w:rPr>
              <w:tab/>
            </w:r>
            <w:r w:rsidR="00C57342" w:rsidRPr="00C1303E">
              <w:rPr>
                <w:rStyle w:val="Hyperlink"/>
              </w:rPr>
              <w:t>Rate of change</w:t>
            </w:r>
            <w:r w:rsidR="00C57342">
              <w:rPr>
                <w:webHidden/>
              </w:rPr>
              <w:tab/>
            </w:r>
            <w:r w:rsidR="00C57342">
              <w:rPr>
                <w:webHidden/>
              </w:rPr>
              <w:fldChar w:fldCharType="begin"/>
            </w:r>
            <w:r w:rsidR="00C57342">
              <w:rPr>
                <w:webHidden/>
              </w:rPr>
              <w:instrText xml:space="preserve"> PAGEREF _Toc417659880 \h </w:instrText>
            </w:r>
            <w:r w:rsidR="00C57342">
              <w:rPr>
                <w:webHidden/>
              </w:rPr>
            </w:r>
            <w:r w:rsidR="00C57342">
              <w:rPr>
                <w:webHidden/>
              </w:rPr>
              <w:fldChar w:fldCharType="separate"/>
            </w:r>
            <w:r w:rsidR="00BD1EAD">
              <w:rPr>
                <w:webHidden/>
              </w:rPr>
              <w:t>7-280</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81" w:history="1">
            <w:r w:rsidR="00C57342" w:rsidRPr="00C1303E">
              <w:rPr>
                <w:rStyle w:val="Hyperlink"/>
              </w:rPr>
              <w:t>B.1</w:t>
            </w:r>
            <w:r w:rsidR="00C57342">
              <w:rPr>
                <w:rFonts w:asciiTheme="minorHAnsi" w:eastAsiaTheme="minorEastAsia" w:hAnsiTheme="minorHAnsi"/>
                <w:b w:val="0"/>
                <w:color w:val="auto"/>
                <w:sz w:val="22"/>
                <w:lang w:eastAsia="en-AU"/>
              </w:rPr>
              <w:tab/>
            </w:r>
            <w:r w:rsidR="00C57342" w:rsidRPr="00C1303E">
              <w:rPr>
                <w:rStyle w:val="Hyperlink"/>
              </w:rPr>
              <w:t>Position</w:t>
            </w:r>
            <w:r w:rsidR="00C57342">
              <w:rPr>
                <w:webHidden/>
              </w:rPr>
              <w:tab/>
            </w:r>
            <w:r w:rsidR="00C57342">
              <w:rPr>
                <w:webHidden/>
              </w:rPr>
              <w:fldChar w:fldCharType="begin"/>
            </w:r>
            <w:r w:rsidR="00C57342">
              <w:rPr>
                <w:webHidden/>
              </w:rPr>
              <w:instrText xml:space="preserve"> PAGEREF _Toc417659881 \h </w:instrText>
            </w:r>
            <w:r w:rsidR="00C57342">
              <w:rPr>
                <w:webHidden/>
              </w:rPr>
            </w:r>
            <w:r w:rsidR="00C57342">
              <w:rPr>
                <w:webHidden/>
              </w:rPr>
              <w:fldChar w:fldCharType="separate"/>
            </w:r>
            <w:r w:rsidR="00BD1EAD">
              <w:rPr>
                <w:webHidden/>
              </w:rPr>
              <w:t>7-280</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82" w:history="1">
            <w:r w:rsidR="00C57342" w:rsidRPr="00C1303E">
              <w:rPr>
                <w:rStyle w:val="Hyperlink"/>
              </w:rPr>
              <w:t>B.2</w:t>
            </w:r>
            <w:r w:rsidR="00C57342">
              <w:rPr>
                <w:rFonts w:asciiTheme="minorHAnsi" w:eastAsiaTheme="minorEastAsia" w:hAnsiTheme="minorHAnsi"/>
                <w:b w:val="0"/>
                <w:color w:val="auto"/>
                <w:sz w:val="22"/>
                <w:lang w:eastAsia="en-AU"/>
              </w:rPr>
              <w:tab/>
            </w:r>
            <w:r w:rsidR="00C57342" w:rsidRPr="00C1303E">
              <w:rPr>
                <w:rStyle w:val="Hyperlink"/>
              </w:rPr>
              <w:t>Draft position</w:t>
            </w:r>
            <w:r w:rsidR="00C57342">
              <w:rPr>
                <w:webHidden/>
              </w:rPr>
              <w:tab/>
            </w:r>
            <w:r w:rsidR="00C57342">
              <w:rPr>
                <w:webHidden/>
              </w:rPr>
              <w:fldChar w:fldCharType="begin"/>
            </w:r>
            <w:r w:rsidR="00C57342">
              <w:rPr>
                <w:webHidden/>
              </w:rPr>
              <w:instrText xml:space="preserve"> PAGEREF _Toc417659882 \h </w:instrText>
            </w:r>
            <w:r w:rsidR="00C57342">
              <w:rPr>
                <w:webHidden/>
              </w:rPr>
            </w:r>
            <w:r w:rsidR="00C57342">
              <w:rPr>
                <w:webHidden/>
              </w:rPr>
              <w:fldChar w:fldCharType="separate"/>
            </w:r>
            <w:r w:rsidR="00BD1EAD">
              <w:rPr>
                <w:webHidden/>
              </w:rPr>
              <w:t>7-281</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83" w:history="1">
            <w:r w:rsidR="00C57342" w:rsidRPr="00C1303E">
              <w:rPr>
                <w:rStyle w:val="Hyperlink"/>
              </w:rPr>
              <w:t>B.3</w:t>
            </w:r>
            <w:r w:rsidR="00C57342">
              <w:rPr>
                <w:rFonts w:asciiTheme="minorHAnsi" w:eastAsiaTheme="minorEastAsia" w:hAnsiTheme="minorHAnsi"/>
                <w:b w:val="0"/>
                <w:color w:val="auto"/>
                <w:sz w:val="22"/>
                <w:lang w:eastAsia="en-AU"/>
              </w:rPr>
              <w:tab/>
            </w:r>
            <w:r w:rsidR="00C57342" w:rsidRPr="00C1303E">
              <w:rPr>
                <w:rStyle w:val="Hyperlink"/>
              </w:rPr>
              <w:t>Revised proposal and submissions</w:t>
            </w:r>
            <w:r w:rsidR="00C57342">
              <w:rPr>
                <w:webHidden/>
              </w:rPr>
              <w:tab/>
            </w:r>
            <w:r w:rsidR="00C57342">
              <w:rPr>
                <w:webHidden/>
              </w:rPr>
              <w:fldChar w:fldCharType="begin"/>
            </w:r>
            <w:r w:rsidR="00C57342">
              <w:rPr>
                <w:webHidden/>
              </w:rPr>
              <w:instrText xml:space="preserve"> PAGEREF _Toc417659883 \h </w:instrText>
            </w:r>
            <w:r w:rsidR="00C57342">
              <w:rPr>
                <w:webHidden/>
              </w:rPr>
            </w:r>
            <w:r w:rsidR="00C57342">
              <w:rPr>
                <w:webHidden/>
              </w:rPr>
              <w:fldChar w:fldCharType="separate"/>
            </w:r>
            <w:r w:rsidR="00BD1EAD">
              <w:rPr>
                <w:webHidden/>
              </w:rPr>
              <w:t>7-281</w:t>
            </w:r>
            <w:r w:rsidR="00C57342">
              <w:rPr>
                <w:webHidden/>
              </w:rPr>
              <w:fldChar w:fldCharType="end"/>
            </w:r>
          </w:hyperlink>
        </w:p>
        <w:p w:rsidR="00C57342" w:rsidRDefault="00A66A4E">
          <w:pPr>
            <w:pStyle w:val="TOC1"/>
            <w:rPr>
              <w:rFonts w:asciiTheme="minorHAnsi" w:eastAsiaTheme="minorEastAsia" w:hAnsiTheme="minorHAnsi"/>
              <w:b w:val="0"/>
              <w:color w:val="auto"/>
              <w:sz w:val="22"/>
              <w:lang w:val="en-AU" w:eastAsia="en-AU"/>
            </w:rPr>
          </w:pPr>
          <w:hyperlink w:anchor="_Toc417659884" w:history="1">
            <w:r w:rsidR="00C57342" w:rsidRPr="00C1303E">
              <w:rPr>
                <w:rStyle w:val="Hyperlink"/>
              </w:rPr>
              <w:t>C</w:t>
            </w:r>
            <w:r w:rsidR="00C57342">
              <w:rPr>
                <w:rFonts w:asciiTheme="minorHAnsi" w:eastAsiaTheme="minorEastAsia" w:hAnsiTheme="minorHAnsi"/>
                <w:b w:val="0"/>
                <w:color w:val="auto"/>
                <w:sz w:val="22"/>
                <w:lang w:val="en-AU" w:eastAsia="en-AU"/>
              </w:rPr>
              <w:tab/>
            </w:r>
            <w:r w:rsidR="00C57342" w:rsidRPr="00C1303E">
              <w:rPr>
                <w:rStyle w:val="Hyperlink"/>
              </w:rPr>
              <w:t>A  Step changes</w:t>
            </w:r>
            <w:r w:rsidR="00C57342">
              <w:rPr>
                <w:webHidden/>
              </w:rPr>
              <w:tab/>
            </w:r>
            <w:r w:rsidR="00C57342">
              <w:rPr>
                <w:webHidden/>
              </w:rPr>
              <w:fldChar w:fldCharType="begin"/>
            </w:r>
            <w:r w:rsidR="00C57342">
              <w:rPr>
                <w:webHidden/>
              </w:rPr>
              <w:instrText xml:space="preserve"> PAGEREF _Toc417659884 \h </w:instrText>
            </w:r>
            <w:r w:rsidR="00C57342">
              <w:rPr>
                <w:webHidden/>
              </w:rPr>
            </w:r>
            <w:r w:rsidR="00C57342">
              <w:rPr>
                <w:webHidden/>
              </w:rPr>
              <w:fldChar w:fldCharType="separate"/>
            </w:r>
            <w:r w:rsidR="00BD1EAD">
              <w:rPr>
                <w:webHidden/>
              </w:rPr>
              <w:t>7-285</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85" w:history="1">
            <w:r w:rsidR="00C57342" w:rsidRPr="00C1303E">
              <w:rPr>
                <w:rStyle w:val="Hyperlink"/>
              </w:rPr>
              <w:t>C.1</w:t>
            </w:r>
            <w:r w:rsidR="00C57342">
              <w:rPr>
                <w:rFonts w:asciiTheme="minorHAnsi" w:eastAsiaTheme="minorEastAsia" w:hAnsiTheme="minorHAnsi"/>
                <w:b w:val="0"/>
                <w:color w:val="auto"/>
                <w:sz w:val="22"/>
                <w:lang w:eastAsia="en-AU"/>
              </w:rPr>
              <w:tab/>
            </w:r>
            <w:r w:rsidR="00C57342" w:rsidRPr="00C1303E">
              <w:rPr>
                <w:rStyle w:val="Hyperlink"/>
              </w:rPr>
              <w:t>Final position</w:t>
            </w:r>
            <w:r w:rsidR="00C57342">
              <w:rPr>
                <w:webHidden/>
              </w:rPr>
              <w:tab/>
            </w:r>
            <w:r w:rsidR="00C57342">
              <w:rPr>
                <w:webHidden/>
              </w:rPr>
              <w:fldChar w:fldCharType="begin"/>
            </w:r>
            <w:r w:rsidR="00C57342">
              <w:rPr>
                <w:webHidden/>
              </w:rPr>
              <w:instrText xml:space="preserve"> PAGEREF _Toc417659885 \h </w:instrText>
            </w:r>
            <w:r w:rsidR="00C57342">
              <w:rPr>
                <w:webHidden/>
              </w:rPr>
            </w:r>
            <w:r w:rsidR="00C57342">
              <w:rPr>
                <w:webHidden/>
              </w:rPr>
              <w:fldChar w:fldCharType="separate"/>
            </w:r>
            <w:r w:rsidR="00BD1EAD">
              <w:rPr>
                <w:webHidden/>
              </w:rPr>
              <w:t>7-285</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86" w:history="1">
            <w:r w:rsidR="00C57342" w:rsidRPr="00C1303E">
              <w:rPr>
                <w:rStyle w:val="Hyperlink"/>
              </w:rPr>
              <w:t>C.2</w:t>
            </w:r>
            <w:r w:rsidR="00C57342">
              <w:rPr>
                <w:rFonts w:asciiTheme="minorHAnsi" w:eastAsiaTheme="minorEastAsia" w:hAnsiTheme="minorHAnsi"/>
                <w:b w:val="0"/>
                <w:color w:val="auto"/>
                <w:sz w:val="22"/>
                <w:lang w:eastAsia="en-AU"/>
              </w:rPr>
              <w:tab/>
            </w:r>
            <w:r w:rsidR="00C57342" w:rsidRPr="00C1303E">
              <w:rPr>
                <w:rStyle w:val="Hyperlink"/>
              </w:rPr>
              <w:t>Draft position</w:t>
            </w:r>
            <w:r w:rsidR="00C57342">
              <w:rPr>
                <w:webHidden/>
              </w:rPr>
              <w:tab/>
            </w:r>
            <w:r w:rsidR="00C57342">
              <w:rPr>
                <w:webHidden/>
              </w:rPr>
              <w:fldChar w:fldCharType="begin"/>
            </w:r>
            <w:r w:rsidR="00C57342">
              <w:rPr>
                <w:webHidden/>
              </w:rPr>
              <w:instrText xml:space="preserve"> PAGEREF _Toc417659886 \h </w:instrText>
            </w:r>
            <w:r w:rsidR="00C57342">
              <w:rPr>
                <w:webHidden/>
              </w:rPr>
            </w:r>
            <w:r w:rsidR="00C57342">
              <w:rPr>
                <w:webHidden/>
              </w:rPr>
              <w:fldChar w:fldCharType="separate"/>
            </w:r>
            <w:r w:rsidR="00BD1EAD">
              <w:rPr>
                <w:webHidden/>
              </w:rPr>
              <w:t>7-285</w:t>
            </w:r>
            <w:r w:rsidR="00C57342">
              <w:rPr>
                <w:webHidden/>
              </w:rPr>
              <w:fldChar w:fldCharType="end"/>
            </w:r>
          </w:hyperlink>
        </w:p>
        <w:p w:rsidR="00C57342" w:rsidRDefault="00A66A4E">
          <w:pPr>
            <w:pStyle w:val="TOC2"/>
            <w:rPr>
              <w:rFonts w:asciiTheme="minorHAnsi" w:eastAsiaTheme="minorEastAsia" w:hAnsiTheme="minorHAnsi"/>
              <w:b w:val="0"/>
              <w:color w:val="auto"/>
              <w:sz w:val="22"/>
              <w:lang w:eastAsia="en-AU"/>
            </w:rPr>
          </w:pPr>
          <w:hyperlink w:anchor="_Toc417659887" w:history="1">
            <w:r w:rsidR="00C57342" w:rsidRPr="00C1303E">
              <w:rPr>
                <w:rStyle w:val="Hyperlink"/>
              </w:rPr>
              <w:t>C.3</w:t>
            </w:r>
            <w:r w:rsidR="00C57342">
              <w:rPr>
                <w:rFonts w:asciiTheme="minorHAnsi" w:eastAsiaTheme="minorEastAsia" w:hAnsiTheme="minorHAnsi"/>
                <w:b w:val="0"/>
                <w:color w:val="auto"/>
                <w:sz w:val="22"/>
                <w:lang w:eastAsia="en-AU"/>
              </w:rPr>
              <w:tab/>
            </w:r>
            <w:r w:rsidR="00C57342" w:rsidRPr="00C1303E">
              <w:rPr>
                <w:rStyle w:val="Hyperlink"/>
              </w:rPr>
              <w:t>Endeavour Energy's revised proposal and submissions</w:t>
            </w:r>
            <w:r w:rsidR="00C57342">
              <w:rPr>
                <w:webHidden/>
              </w:rPr>
              <w:tab/>
            </w:r>
            <w:r w:rsidR="00C57342">
              <w:rPr>
                <w:webHidden/>
              </w:rPr>
              <w:fldChar w:fldCharType="begin"/>
            </w:r>
            <w:r w:rsidR="00C57342">
              <w:rPr>
                <w:webHidden/>
              </w:rPr>
              <w:instrText xml:space="preserve"> PAGEREF _Toc417659887 \h </w:instrText>
            </w:r>
            <w:r w:rsidR="00C57342">
              <w:rPr>
                <w:webHidden/>
              </w:rPr>
            </w:r>
            <w:r w:rsidR="00C57342">
              <w:rPr>
                <w:webHidden/>
              </w:rPr>
              <w:fldChar w:fldCharType="separate"/>
            </w:r>
            <w:r w:rsidR="00BD1EAD">
              <w:rPr>
                <w:webHidden/>
              </w:rPr>
              <w:t>7-287</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88" w:history="1">
            <w:r w:rsidR="00C57342" w:rsidRPr="00C1303E">
              <w:rPr>
                <w:rStyle w:val="Hyperlink"/>
              </w:rPr>
              <w:t>C.3.1</w:t>
            </w:r>
            <w:r w:rsidR="00C57342">
              <w:rPr>
                <w:rFonts w:asciiTheme="minorHAnsi" w:eastAsiaTheme="minorEastAsia" w:hAnsiTheme="minorHAnsi"/>
                <w:lang w:eastAsia="en-AU"/>
              </w:rPr>
              <w:tab/>
            </w:r>
            <w:r w:rsidR="00C57342" w:rsidRPr="00C1303E">
              <w:rPr>
                <w:rStyle w:val="Hyperlink"/>
              </w:rPr>
              <w:t>Assessment approach</w:t>
            </w:r>
            <w:r w:rsidR="00C57342">
              <w:rPr>
                <w:webHidden/>
              </w:rPr>
              <w:tab/>
            </w:r>
            <w:r w:rsidR="00C57342">
              <w:rPr>
                <w:webHidden/>
              </w:rPr>
              <w:fldChar w:fldCharType="begin"/>
            </w:r>
            <w:r w:rsidR="00C57342">
              <w:rPr>
                <w:webHidden/>
              </w:rPr>
              <w:instrText xml:space="preserve"> PAGEREF _Toc417659888 \h </w:instrText>
            </w:r>
            <w:r w:rsidR="00C57342">
              <w:rPr>
                <w:webHidden/>
              </w:rPr>
            </w:r>
            <w:r w:rsidR="00C57342">
              <w:rPr>
                <w:webHidden/>
              </w:rPr>
              <w:fldChar w:fldCharType="separate"/>
            </w:r>
            <w:r w:rsidR="00BD1EAD">
              <w:rPr>
                <w:webHidden/>
              </w:rPr>
              <w:t>7-288</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89" w:history="1">
            <w:r w:rsidR="00C57342" w:rsidRPr="00C1303E">
              <w:rPr>
                <w:rStyle w:val="Hyperlink"/>
              </w:rPr>
              <w:t>C.3.2</w:t>
            </w:r>
            <w:r w:rsidR="00C57342">
              <w:rPr>
                <w:rFonts w:asciiTheme="minorHAnsi" w:eastAsiaTheme="minorEastAsia" w:hAnsiTheme="minorHAnsi"/>
                <w:lang w:eastAsia="en-AU"/>
              </w:rPr>
              <w:tab/>
            </w:r>
            <w:r w:rsidR="00C57342" w:rsidRPr="00C1303E">
              <w:rPr>
                <w:rStyle w:val="Hyperlink"/>
              </w:rPr>
              <w:t>Vegetation management</w:t>
            </w:r>
            <w:r w:rsidR="00C57342">
              <w:rPr>
                <w:webHidden/>
              </w:rPr>
              <w:tab/>
            </w:r>
            <w:r w:rsidR="00C57342">
              <w:rPr>
                <w:webHidden/>
              </w:rPr>
              <w:fldChar w:fldCharType="begin"/>
            </w:r>
            <w:r w:rsidR="00C57342">
              <w:rPr>
                <w:webHidden/>
              </w:rPr>
              <w:instrText xml:space="preserve"> PAGEREF _Toc417659889 \h </w:instrText>
            </w:r>
            <w:r w:rsidR="00C57342">
              <w:rPr>
                <w:webHidden/>
              </w:rPr>
            </w:r>
            <w:r w:rsidR="00C57342">
              <w:rPr>
                <w:webHidden/>
              </w:rPr>
              <w:fldChar w:fldCharType="separate"/>
            </w:r>
            <w:r w:rsidR="00BD1EAD">
              <w:rPr>
                <w:webHidden/>
              </w:rPr>
              <w:t>7-291</w:t>
            </w:r>
            <w:r w:rsidR="00C57342">
              <w:rPr>
                <w:webHidden/>
              </w:rPr>
              <w:fldChar w:fldCharType="end"/>
            </w:r>
          </w:hyperlink>
        </w:p>
        <w:p w:rsidR="00C57342" w:rsidRDefault="00A66A4E">
          <w:pPr>
            <w:pStyle w:val="TOC3"/>
            <w:rPr>
              <w:rFonts w:asciiTheme="minorHAnsi" w:eastAsiaTheme="minorEastAsia" w:hAnsiTheme="minorHAnsi"/>
              <w:lang w:eastAsia="en-AU"/>
            </w:rPr>
          </w:pPr>
          <w:hyperlink w:anchor="_Toc417659890" w:history="1">
            <w:r w:rsidR="00C57342" w:rsidRPr="00C1303E">
              <w:rPr>
                <w:rStyle w:val="Hyperlink"/>
              </w:rPr>
              <w:t>C.3.3</w:t>
            </w:r>
            <w:r w:rsidR="00C57342">
              <w:rPr>
                <w:rFonts w:asciiTheme="minorHAnsi" w:eastAsiaTheme="minorEastAsia" w:hAnsiTheme="minorHAnsi"/>
                <w:lang w:eastAsia="en-AU"/>
              </w:rPr>
              <w:tab/>
            </w:r>
            <w:r w:rsidR="00C57342" w:rsidRPr="00C1303E">
              <w:rPr>
                <w:rStyle w:val="Hyperlink"/>
              </w:rPr>
              <w:t>Redundancy costs</w:t>
            </w:r>
            <w:r w:rsidR="00C57342">
              <w:rPr>
                <w:webHidden/>
              </w:rPr>
              <w:tab/>
            </w:r>
            <w:r w:rsidR="00C57342">
              <w:rPr>
                <w:webHidden/>
              </w:rPr>
              <w:fldChar w:fldCharType="begin"/>
            </w:r>
            <w:r w:rsidR="00C57342">
              <w:rPr>
                <w:webHidden/>
              </w:rPr>
              <w:instrText xml:space="preserve"> PAGEREF _Toc417659890 \h </w:instrText>
            </w:r>
            <w:r w:rsidR="00C57342">
              <w:rPr>
                <w:webHidden/>
              </w:rPr>
            </w:r>
            <w:r w:rsidR="00C57342">
              <w:rPr>
                <w:webHidden/>
              </w:rPr>
              <w:fldChar w:fldCharType="separate"/>
            </w:r>
            <w:r w:rsidR="00BD1EAD">
              <w:rPr>
                <w:webHidden/>
              </w:rPr>
              <w:t>7-297</w:t>
            </w:r>
            <w:r w:rsidR="00C57342">
              <w:rPr>
                <w:webHidden/>
              </w:rPr>
              <w:fldChar w:fldCharType="end"/>
            </w:r>
          </w:hyperlink>
        </w:p>
        <w:p w:rsidR="00B8317F" w:rsidRDefault="00B8317F" w:rsidP="00B8317F">
          <w:pPr>
            <w:pStyle w:val="TOC1"/>
          </w:pPr>
          <w:r>
            <w:fldChar w:fldCharType="end"/>
          </w:r>
        </w:p>
      </w:sdtContent>
    </w:sdt>
    <w:p w:rsidR="00B8317F" w:rsidRPr="00B8317F" w:rsidRDefault="00B8317F" w:rsidP="00B8317F">
      <w:r>
        <w:t xml:space="preserve"> </w:t>
      </w:r>
    </w:p>
    <w:p w:rsidR="00B8317F" w:rsidRPr="00271F7C" w:rsidRDefault="00B8317F" w:rsidP="00B8317F">
      <w:pPr>
        <w:pStyle w:val="UnnumberedHeading"/>
        <w:numPr>
          <w:ilvl w:val="0"/>
          <w:numId w:val="23"/>
        </w:numPr>
      </w:pPr>
      <w:bookmarkStart w:id="8" w:name="_Toc404700925"/>
      <w:bookmarkStart w:id="9" w:name="_Toc417659823"/>
      <w:r>
        <w:lastRenderedPageBreak/>
        <w:t>Shortened forms</w:t>
      </w:r>
      <w:bookmarkEnd w:id="8"/>
      <w:bookmarkEnd w:id="9"/>
    </w:p>
    <w:tbl>
      <w:tblPr>
        <w:tblStyle w:val="AERtable-text0"/>
        <w:tblW w:w="0" w:type="auto"/>
        <w:tblLook w:val="04A0" w:firstRow="1" w:lastRow="0" w:firstColumn="1" w:lastColumn="0" w:noHBand="0" w:noVBand="1"/>
      </w:tblPr>
      <w:tblGrid>
        <w:gridCol w:w="4341"/>
        <w:gridCol w:w="4351"/>
      </w:tblGrid>
      <w:tr w:rsidR="00B8317F" w:rsidTr="002B5F41">
        <w:trPr>
          <w:cnfStyle w:val="100000000000" w:firstRow="1" w:lastRow="0" w:firstColumn="0" w:lastColumn="0" w:oddVBand="0" w:evenVBand="0" w:oddHBand="0" w:evenHBand="0" w:firstRowFirstColumn="0" w:firstRowLastColumn="0" w:lastRowFirstColumn="0" w:lastRowLastColumn="0"/>
          <w:tblHeader/>
        </w:trPr>
        <w:tc>
          <w:tcPr>
            <w:tcW w:w="4342" w:type="dxa"/>
          </w:tcPr>
          <w:p w:rsidR="00B8317F" w:rsidRDefault="00B8317F" w:rsidP="00B8317F">
            <w:pPr>
              <w:numPr>
                <w:ilvl w:val="0"/>
                <w:numId w:val="24"/>
              </w:numPr>
            </w:pPr>
            <w:r>
              <w:t>Shortened form</w:t>
            </w:r>
          </w:p>
        </w:tc>
        <w:tc>
          <w:tcPr>
            <w:tcW w:w="4351" w:type="dxa"/>
          </w:tcPr>
          <w:p w:rsidR="00B8317F" w:rsidRDefault="00B8317F" w:rsidP="00B8317F">
            <w:pPr>
              <w:numPr>
                <w:ilvl w:val="0"/>
                <w:numId w:val="24"/>
              </w:numPr>
            </w:pPr>
            <w:r>
              <w:t>Extended form</w:t>
            </w:r>
          </w:p>
        </w:tc>
      </w:tr>
      <w:tr w:rsidR="00B8317F" w:rsidTr="002B5F41">
        <w:tc>
          <w:tcPr>
            <w:tcW w:w="4342" w:type="dxa"/>
          </w:tcPr>
          <w:p w:rsidR="00B8317F" w:rsidRPr="00E63D80" w:rsidRDefault="00B8317F" w:rsidP="00B8317F">
            <w:pPr>
              <w:numPr>
                <w:ilvl w:val="0"/>
                <w:numId w:val="24"/>
              </w:numPr>
            </w:pPr>
            <w:r w:rsidRPr="00E63D80">
              <w:t>AEMC</w:t>
            </w:r>
          </w:p>
        </w:tc>
        <w:tc>
          <w:tcPr>
            <w:tcW w:w="4351" w:type="dxa"/>
          </w:tcPr>
          <w:p w:rsidR="00B8317F" w:rsidRPr="00E63D80" w:rsidRDefault="00B8317F" w:rsidP="00B8317F">
            <w:pPr>
              <w:numPr>
                <w:ilvl w:val="0"/>
                <w:numId w:val="24"/>
              </w:numPr>
            </w:pPr>
            <w:r w:rsidRPr="00E63D80">
              <w:t>Australian Energy Market Commission</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AEMO</w:t>
            </w:r>
          </w:p>
        </w:tc>
        <w:tc>
          <w:tcPr>
            <w:tcW w:w="4351" w:type="dxa"/>
          </w:tcPr>
          <w:p w:rsidR="00B8317F" w:rsidRPr="00E63D80" w:rsidRDefault="00B8317F" w:rsidP="00B8317F">
            <w:pPr>
              <w:numPr>
                <w:ilvl w:val="0"/>
                <w:numId w:val="24"/>
              </w:numPr>
            </w:pPr>
            <w:r w:rsidRPr="00E63D80">
              <w:t>Australian Energy Market Operator</w:t>
            </w:r>
          </w:p>
        </w:tc>
      </w:tr>
      <w:tr w:rsidR="00B8317F" w:rsidTr="002B5F41">
        <w:tc>
          <w:tcPr>
            <w:tcW w:w="4342" w:type="dxa"/>
          </w:tcPr>
          <w:p w:rsidR="00B8317F" w:rsidRPr="00E63D80" w:rsidRDefault="00B8317F" w:rsidP="00B8317F">
            <w:pPr>
              <w:numPr>
                <w:ilvl w:val="0"/>
                <w:numId w:val="24"/>
              </w:numPr>
            </w:pPr>
            <w:r w:rsidRPr="00E63D80">
              <w:t>AER</w:t>
            </w:r>
          </w:p>
        </w:tc>
        <w:tc>
          <w:tcPr>
            <w:tcW w:w="4351" w:type="dxa"/>
          </w:tcPr>
          <w:p w:rsidR="00B8317F" w:rsidRPr="00E63D80" w:rsidRDefault="00B8317F" w:rsidP="00B8317F">
            <w:pPr>
              <w:numPr>
                <w:ilvl w:val="0"/>
                <w:numId w:val="24"/>
              </w:numPr>
            </w:pPr>
            <w:r w:rsidRPr="00E63D80">
              <w:t>Australian Energy Regulator</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augex</w:t>
            </w:r>
          </w:p>
        </w:tc>
        <w:tc>
          <w:tcPr>
            <w:tcW w:w="4351" w:type="dxa"/>
          </w:tcPr>
          <w:p w:rsidR="00B8317F" w:rsidRPr="00E63D80" w:rsidRDefault="00B8317F" w:rsidP="00B8317F">
            <w:pPr>
              <w:numPr>
                <w:ilvl w:val="0"/>
                <w:numId w:val="24"/>
              </w:numPr>
            </w:pPr>
            <w:r w:rsidRPr="00E63D80">
              <w:t>augmentation expenditure</w:t>
            </w:r>
          </w:p>
        </w:tc>
      </w:tr>
      <w:tr w:rsidR="00B8317F" w:rsidTr="002B5F41">
        <w:tc>
          <w:tcPr>
            <w:tcW w:w="4342" w:type="dxa"/>
          </w:tcPr>
          <w:p w:rsidR="00B8317F" w:rsidRPr="00E63D80" w:rsidRDefault="00B8317F" w:rsidP="00B8317F">
            <w:pPr>
              <w:numPr>
                <w:ilvl w:val="0"/>
                <w:numId w:val="24"/>
              </w:numPr>
            </w:pPr>
            <w:r w:rsidRPr="00E63D80">
              <w:t>capex</w:t>
            </w:r>
          </w:p>
        </w:tc>
        <w:tc>
          <w:tcPr>
            <w:tcW w:w="4351" w:type="dxa"/>
          </w:tcPr>
          <w:p w:rsidR="00B8317F" w:rsidRPr="00E63D80" w:rsidRDefault="00B8317F" w:rsidP="00B8317F">
            <w:pPr>
              <w:numPr>
                <w:ilvl w:val="0"/>
                <w:numId w:val="24"/>
              </w:numPr>
            </w:pPr>
            <w:r w:rsidRPr="00E63D80">
              <w:t>capital expenditure</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CCP</w:t>
            </w:r>
          </w:p>
        </w:tc>
        <w:tc>
          <w:tcPr>
            <w:tcW w:w="4351" w:type="dxa"/>
          </w:tcPr>
          <w:p w:rsidR="00B8317F" w:rsidRPr="00E63D80" w:rsidRDefault="00B8317F" w:rsidP="00B8317F">
            <w:pPr>
              <w:numPr>
                <w:ilvl w:val="0"/>
                <w:numId w:val="24"/>
              </w:numPr>
            </w:pPr>
            <w:r w:rsidRPr="00E63D80">
              <w:t>Consumer Challenge Panel</w:t>
            </w:r>
          </w:p>
        </w:tc>
      </w:tr>
      <w:tr w:rsidR="00B8317F" w:rsidTr="002B5F41">
        <w:tc>
          <w:tcPr>
            <w:tcW w:w="4342" w:type="dxa"/>
          </w:tcPr>
          <w:p w:rsidR="00B8317F" w:rsidRPr="00E63D80" w:rsidRDefault="00B8317F" w:rsidP="00B8317F">
            <w:pPr>
              <w:numPr>
                <w:ilvl w:val="0"/>
                <w:numId w:val="24"/>
              </w:numPr>
            </w:pPr>
            <w:r w:rsidRPr="00E63D80">
              <w:t>CESS</w:t>
            </w:r>
          </w:p>
        </w:tc>
        <w:tc>
          <w:tcPr>
            <w:tcW w:w="4351" w:type="dxa"/>
          </w:tcPr>
          <w:p w:rsidR="00B8317F" w:rsidRPr="00E63D80" w:rsidRDefault="00B8317F" w:rsidP="00B8317F">
            <w:pPr>
              <w:numPr>
                <w:ilvl w:val="0"/>
                <w:numId w:val="24"/>
              </w:numPr>
            </w:pPr>
            <w:r w:rsidRPr="00E63D80">
              <w:t>capital expenditure sharing scheme</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CPI</w:t>
            </w:r>
          </w:p>
        </w:tc>
        <w:tc>
          <w:tcPr>
            <w:tcW w:w="4351" w:type="dxa"/>
          </w:tcPr>
          <w:p w:rsidR="00B8317F" w:rsidRPr="00E63D80" w:rsidRDefault="00B8317F" w:rsidP="00B8317F">
            <w:pPr>
              <w:numPr>
                <w:ilvl w:val="0"/>
                <w:numId w:val="24"/>
              </w:numPr>
            </w:pPr>
            <w:r w:rsidRPr="00E63D80">
              <w:t>consumer price index</w:t>
            </w:r>
          </w:p>
        </w:tc>
      </w:tr>
      <w:tr w:rsidR="00B8317F" w:rsidTr="002B5F41">
        <w:tc>
          <w:tcPr>
            <w:tcW w:w="4342" w:type="dxa"/>
          </w:tcPr>
          <w:p w:rsidR="00B8317F" w:rsidRPr="00E63D80" w:rsidRDefault="00B8317F" w:rsidP="00B8317F">
            <w:pPr>
              <w:numPr>
                <w:ilvl w:val="0"/>
                <w:numId w:val="24"/>
              </w:numPr>
            </w:pPr>
            <w:r w:rsidRPr="00E63D80">
              <w:t>DRP</w:t>
            </w:r>
          </w:p>
        </w:tc>
        <w:tc>
          <w:tcPr>
            <w:tcW w:w="4351" w:type="dxa"/>
          </w:tcPr>
          <w:p w:rsidR="00B8317F" w:rsidRPr="00E63D80" w:rsidRDefault="00B8317F" w:rsidP="00B8317F">
            <w:pPr>
              <w:numPr>
                <w:ilvl w:val="0"/>
                <w:numId w:val="24"/>
              </w:numPr>
            </w:pPr>
            <w:r w:rsidRPr="00E63D80">
              <w:t>debt risk premium</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DMIA</w:t>
            </w:r>
          </w:p>
        </w:tc>
        <w:tc>
          <w:tcPr>
            <w:tcW w:w="4351" w:type="dxa"/>
          </w:tcPr>
          <w:p w:rsidR="00B8317F" w:rsidRPr="00E63D80" w:rsidRDefault="00B8317F" w:rsidP="00B8317F">
            <w:pPr>
              <w:numPr>
                <w:ilvl w:val="0"/>
                <w:numId w:val="24"/>
              </w:numPr>
            </w:pPr>
            <w:r w:rsidRPr="00E63D80">
              <w:t>demand management innovation allowance</w:t>
            </w:r>
          </w:p>
        </w:tc>
      </w:tr>
      <w:tr w:rsidR="00B8317F" w:rsidTr="002B5F41">
        <w:tc>
          <w:tcPr>
            <w:tcW w:w="4342" w:type="dxa"/>
          </w:tcPr>
          <w:p w:rsidR="00B8317F" w:rsidRPr="00E63D80" w:rsidRDefault="00B8317F" w:rsidP="00B8317F">
            <w:pPr>
              <w:numPr>
                <w:ilvl w:val="0"/>
                <w:numId w:val="24"/>
              </w:numPr>
            </w:pPr>
            <w:r w:rsidRPr="00E63D80">
              <w:t>DMIS</w:t>
            </w:r>
          </w:p>
        </w:tc>
        <w:tc>
          <w:tcPr>
            <w:tcW w:w="4351" w:type="dxa"/>
          </w:tcPr>
          <w:p w:rsidR="00B8317F" w:rsidRPr="00E63D80" w:rsidRDefault="00B8317F" w:rsidP="00B8317F">
            <w:pPr>
              <w:numPr>
                <w:ilvl w:val="0"/>
                <w:numId w:val="24"/>
              </w:numPr>
            </w:pPr>
            <w:r w:rsidRPr="00E63D80">
              <w:t>demand management incentive scheme</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distributor</w:t>
            </w:r>
          </w:p>
        </w:tc>
        <w:tc>
          <w:tcPr>
            <w:tcW w:w="4351" w:type="dxa"/>
          </w:tcPr>
          <w:p w:rsidR="00B8317F" w:rsidRPr="00E63D80" w:rsidRDefault="00B8317F" w:rsidP="00B8317F">
            <w:pPr>
              <w:numPr>
                <w:ilvl w:val="0"/>
                <w:numId w:val="24"/>
              </w:numPr>
            </w:pPr>
            <w:r w:rsidRPr="00E63D80">
              <w:t>distribution network service provider</w:t>
            </w:r>
          </w:p>
        </w:tc>
      </w:tr>
      <w:tr w:rsidR="00B8317F" w:rsidTr="002B5F41">
        <w:tc>
          <w:tcPr>
            <w:tcW w:w="4342" w:type="dxa"/>
          </w:tcPr>
          <w:p w:rsidR="00B8317F" w:rsidRPr="00E63D80" w:rsidRDefault="00B8317F" w:rsidP="00B8317F">
            <w:pPr>
              <w:numPr>
                <w:ilvl w:val="0"/>
                <w:numId w:val="24"/>
              </w:numPr>
            </w:pPr>
            <w:r w:rsidRPr="00E63D80">
              <w:t>DUoS</w:t>
            </w:r>
          </w:p>
        </w:tc>
        <w:tc>
          <w:tcPr>
            <w:tcW w:w="4351" w:type="dxa"/>
          </w:tcPr>
          <w:p w:rsidR="00B8317F" w:rsidRPr="00E63D80" w:rsidRDefault="00B8317F" w:rsidP="00B8317F">
            <w:pPr>
              <w:numPr>
                <w:ilvl w:val="0"/>
                <w:numId w:val="24"/>
              </w:numPr>
            </w:pPr>
            <w:r w:rsidRPr="00E63D80">
              <w:t>distribution use of system</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EBSS</w:t>
            </w:r>
          </w:p>
        </w:tc>
        <w:tc>
          <w:tcPr>
            <w:tcW w:w="4351" w:type="dxa"/>
          </w:tcPr>
          <w:p w:rsidR="00B8317F" w:rsidRPr="00E63D80" w:rsidRDefault="00B8317F" w:rsidP="00B8317F">
            <w:pPr>
              <w:numPr>
                <w:ilvl w:val="0"/>
                <w:numId w:val="24"/>
              </w:numPr>
            </w:pPr>
            <w:r w:rsidRPr="00E63D80">
              <w:t>efficiency benefit sharing scheme</w:t>
            </w:r>
          </w:p>
        </w:tc>
      </w:tr>
      <w:tr w:rsidR="00B8317F" w:rsidTr="002B5F41">
        <w:tc>
          <w:tcPr>
            <w:tcW w:w="4342" w:type="dxa"/>
          </w:tcPr>
          <w:p w:rsidR="00B8317F" w:rsidRPr="00E63D80" w:rsidRDefault="00B8317F" w:rsidP="00B8317F">
            <w:pPr>
              <w:numPr>
                <w:ilvl w:val="0"/>
                <w:numId w:val="24"/>
              </w:numPr>
            </w:pPr>
            <w:r w:rsidRPr="00E63D80">
              <w:t>ERP</w:t>
            </w:r>
          </w:p>
        </w:tc>
        <w:tc>
          <w:tcPr>
            <w:tcW w:w="4351" w:type="dxa"/>
          </w:tcPr>
          <w:p w:rsidR="00B8317F" w:rsidRPr="00E63D80" w:rsidRDefault="00B8317F" w:rsidP="00B8317F">
            <w:pPr>
              <w:numPr>
                <w:ilvl w:val="0"/>
                <w:numId w:val="24"/>
              </w:numPr>
            </w:pPr>
            <w:r w:rsidRPr="00E63D80">
              <w:t>equity risk premium</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Expenditure Assessment Guideline</w:t>
            </w:r>
          </w:p>
        </w:tc>
        <w:tc>
          <w:tcPr>
            <w:tcW w:w="4351" w:type="dxa"/>
          </w:tcPr>
          <w:p w:rsidR="00B8317F" w:rsidRPr="00E63D80" w:rsidRDefault="00B8317F" w:rsidP="00B8317F">
            <w:pPr>
              <w:numPr>
                <w:ilvl w:val="0"/>
                <w:numId w:val="24"/>
              </w:numPr>
            </w:pPr>
            <w:r w:rsidRPr="00E63D80">
              <w:t>expenditure forecast assessment Guideline for electricity distribution</w:t>
            </w:r>
          </w:p>
        </w:tc>
      </w:tr>
      <w:tr w:rsidR="00B8317F" w:rsidTr="002B5F41">
        <w:tc>
          <w:tcPr>
            <w:tcW w:w="4342" w:type="dxa"/>
          </w:tcPr>
          <w:p w:rsidR="00B8317F" w:rsidRPr="00E63D80" w:rsidRDefault="00B8317F" w:rsidP="00B8317F">
            <w:pPr>
              <w:numPr>
                <w:ilvl w:val="0"/>
                <w:numId w:val="24"/>
              </w:numPr>
            </w:pPr>
            <w:r w:rsidRPr="00E63D80">
              <w:t>F&amp;A</w:t>
            </w:r>
          </w:p>
        </w:tc>
        <w:tc>
          <w:tcPr>
            <w:tcW w:w="4351" w:type="dxa"/>
          </w:tcPr>
          <w:p w:rsidR="00B8317F" w:rsidRPr="00E63D80" w:rsidRDefault="00B8317F" w:rsidP="00B8317F">
            <w:pPr>
              <w:numPr>
                <w:ilvl w:val="0"/>
                <w:numId w:val="24"/>
              </w:numPr>
            </w:pPr>
            <w:r w:rsidRPr="00E63D80">
              <w:t>framework and approach</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MRP</w:t>
            </w:r>
          </w:p>
        </w:tc>
        <w:tc>
          <w:tcPr>
            <w:tcW w:w="4351" w:type="dxa"/>
          </w:tcPr>
          <w:p w:rsidR="00B8317F" w:rsidRPr="00E63D80" w:rsidRDefault="00B8317F" w:rsidP="00B8317F">
            <w:pPr>
              <w:numPr>
                <w:ilvl w:val="0"/>
                <w:numId w:val="24"/>
              </w:numPr>
            </w:pPr>
            <w:r w:rsidRPr="00E63D80">
              <w:t>market risk premium</w:t>
            </w:r>
          </w:p>
        </w:tc>
      </w:tr>
      <w:tr w:rsidR="00B8317F" w:rsidTr="002B5F41">
        <w:tc>
          <w:tcPr>
            <w:tcW w:w="4342" w:type="dxa"/>
          </w:tcPr>
          <w:p w:rsidR="00B8317F" w:rsidRPr="00E63D80" w:rsidRDefault="00B8317F" w:rsidP="00B8317F">
            <w:pPr>
              <w:numPr>
                <w:ilvl w:val="0"/>
                <w:numId w:val="24"/>
              </w:numPr>
            </w:pPr>
            <w:r w:rsidRPr="00E63D80">
              <w:t>NEL</w:t>
            </w:r>
          </w:p>
        </w:tc>
        <w:tc>
          <w:tcPr>
            <w:tcW w:w="4351" w:type="dxa"/>
          </w:tcPr>
          <w:p w:rsidR="00B8317F" w:rsidRPr="00E63D80" w:rsidRDefault="00B8317F" w:rsidP="00B8317F">
            <w:pPr>
              <w:numPr>
                <w:ilvl w:val="0"/>
                <w:numId w:val="24"/>
              </w:numPr>
            </w:pPr>
            <w:r w:rsidRPr="00E63D80">
              <w:t>national electricity law</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NEM</w:t>
            </w:r>
          </w:p>
        </w:tc>
        <w:tc>
          <w:tcPr>
            <w:tcW w:w="4351" w:type="dxa"/>
          </w:tcPr>
          <w:p w:rsidR="00B8317F" w:rsidRPr="00E63D80" w:rsidRDefault="00B8317F" w:rsidP="00B8317F">
            <w:pPr>
              <w:numPr>
                <w:ilvl w:val="0"/>
                <w:numId w:val="24"/>
              </w:numPr>
            </w:pPr>
            <w:r w:rsidRPr="00E63D80">
              <w:t>national electricity market</w:t>
            </w:r>
          </w:p>
        </w:tc>
      </w:tr>
      <w:tr w:rsidR="00B8317F" w:rsidTr="002B5F41">
        <w:tc>
          <w:tcPr>
            <w:tcW w:w="4342" w:type="dxa"/>
          </w:tcPr>
          <w:p w:rsidR="00B8317F" w:rsidRPr="00E63D80" w:rsidRDefault="00B8317F" w:rsidP="00B8317F">
            <w:pPr>
              <w:numPr>
                <w:ilvl w:val="0"/>
                <w:numId w:val="24"/>
              </w:numPr>
            </w:pPr>
            <w:r w:rsidRPr="00E63D80">
              <w:t>NEO</w:t>
            </w:r>
          </w:p>
        </w:tc>
        <w:tc>
          <w:tcPr>
            <w:tcW w:w="4351" w:type="dxa"/>
          </w:tcPr>
          <w:p w:rsidR="00B8317F" w:rsidRPr="00E63D80" w:rsidRDefault="00B8317F" w:rsidP="00B8317F">
            <w:pPr>
              <w:numPr>
                <w:ilvl w:val="0"/>
                <w:numId w:val="24"/>
              </w:numPr>
            </w:pPr>
            <w:r w:rsidRPr="00E63D80">
              <w:t>national electricity objective</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NER</w:t>
            </w:r>
          </w:p>
        </w:tc>
        <w:tc>
          <w:tcPr>
            <w:tcW w:w="4351" w:type="dxa"/>
          </w:tcPr>
          <w:p w:rsidR="00B8317F" w:rsidRPr="00E63D80" w:rsidRDefault="00B8317F" w:rsidP="00B8317F">
            <w:pPr>
              <w:numPr>
                <w:ilvl w:val="0"/>
                <w:numId w:val="24"/>
              </w:numPr>
            </w:pPr>
            <w:r w:rsidRPr="00E63D80">
              <w:t>national electricity rules</w:t>
            </w:r>
          </w:p>
        </w:tc>
      </w:tr>
      <w:tr w:rsidR="00B8317F" w:rsidTr="002B5F41">
        <w:tc>
          <w:tcPr>
            <w:tcW w:w="4342" w:type="dxa"/>
          </w:tcPr>
          <w:p w:rsidR="00B8317F" w:rsidRPr="00E63D80" w:rsidRDefault="00B8317F" w:rsidP="00B8317F">
            <w:pPr>
              <w:numPr>
                <w:ilvl w:val="0"/>
                <w:numId w:val="24"/>
              </w:numPr>
            </w:pPr>
            <w:r w:rsidRPr="00E63D80">
              <w:t>NSP</w:t>
            </w:r>
          </w:p>
        </w:tc>
        <w:tc>
          <w:tcPr>
            <w:tcW w:w="4351" w:type="dxa"/>
          </w:tcPr>
          <w:p w:rsidR="00B8317F" w:rsidRPr="00E63D80" w:rsidRDefault="00B8317F" w:rsidP="00B8317F">
            <w:pPr>
              <w:numPr>
                <w:ilvl w:val="0"/>
                <w:numId w:val="24"/>
              </w:numPr>
            </w:pPr>
            <w:r w:rsidRPr="00E63D80">
              <w:t>network service provider</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opex</w:t>
            </w:r>
          </w:p>
        </w:tc>
        <w:tc>
          <w:tcPr>
            <w:tcW w:w="4351" w:type="dxa"/>
          </w:tcPr>
          <w:p w:rsidR="00B8317F" w:rsidRPr="00E63D80" w:rsidRDefault="00B8317F" w:rsidP="00B8317F">
            <w:pPr>
              <w:numPr>
                <w:ilvl w:val="0"/>
                <w:numId w:val="24"/>
              </w:numPr>
            </w:pPr>
            <w:r w:rsidRPr="00E63D80">
              <w:t>operating expenditure</w:t>
            </w:r>
          </w:p>
        </w:tc>
      </w:tr>
      <w:tr w:rsidR="00B8317F" w:rsidTr="002B5F41">
        <w:tc>
          <w:tcPr>
            <w:tcW w:w="4342" w:type="dxa"/>
          </w:tcPr>
          <w:p w:rsidR="00B8317F" w:rsidRPr="00E63D80" w:rsidRDefault="00B8317F" w:rsidP="00B8317F">
            <w:pPr>
              <w:numPr>
                <w:ilvl w:val="0"/>
                <w:numId w:val="24"/>
              </w:numPr>
            </w:pPr>
            <w:r w:rsidRPr="00E63D80">
              <w:t>PPI</w:t>
            </w:r>
          </w:p>
        </w:tc>
        <w:tc>
          <w:tcPr>
            <w:tcW w:w="4351" w:type="dxa"/>
          </w:tcPr>
          <w:p w:rsidR="00B8317F" w:rsidRPr="00E63D80" w:rsidRDefault="00B8317F" w:rsidP="00B8317F">
            <w:pPr>
              <w:numPr>
                <w:ilvl w:val="0"/>
                <w:numId w:val="24"/>
              </w:numPr>
            </w:pPr>
            <w:r w:rsidRPr="00E63D80">
              <w:t>partial performance indicators</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PTRM</w:t>
            </w:r>
          </w:p>
        </w:tc>
        <w:tc>
          <w:tcPr>
            <w:tcW w:w="4351" w:type="dxa"/>
          </w:tcPr>
          <w:p w:rsidR="00B8317F" w:rsidRPr="00E63D80" w:rsidRDefault="00B8317F" w:rsidP="00B8317F">
            <w:pPr>
              <w:numPr>
                <w:ilvl w:val="0"/>
                <w:numId w:val="24"/>
              </w:numPr>
            </w:pPr>
            <w:r w:rsidRPr="00E63D80">
              <w:t>post-tax revenue model</w:t>
            </w:r>
          </w:p>
        </w:tc>
      </w:tr>
      <w:tr w:rsidR="00B8317F" w:rsidTr="002B5F41">
        <w:tc>
          <w:tcPr>
            <w:tcW w:w="4342" w:type="dxa"/>
          </w:tcPr>
          <w:p w:rsidR="00B8317F" w:rsidRPr="00E63D80" w:rsidRDefault="00B8317F" w:rsidP="00B8317F">
            <w:pPr>
              <w:numPr>
                <w:ilvl w:val="0"/>
                <w:numId w:val="24"/>
              </w:numPr>
            </w:pPr>
            <w:r w:rsidRPr="00E63D80">
              <w:t>RAB</w:t>
            </w:r>
          </w:p>
        </w:tc>
        <w:tc>
          <w:tcPr>
            <w:tcW w:w="4351" w:type="dxa"/>
          </w:tcPr>
          <w:p w:rsidR="00B8317F" w:rsidRPr="00E63D80" w:rsidRDefault="00B8317F" w:rsidP="00B8317F">
            <w:pPr>
              <w:numPr>
                <w:ilvl w:val="0"/>
                <w:numId w:val="24"/>
              </w:numPr>
            </w:pPr>
            <w:r w:rsidRPr="00E63D80">
              <w:t>regulatory asset base</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RBA</w:t>
            </w:r>
          </w:p>
        </w:tc>
        <w:tc>
          <w:tcPr>
            <w:tcW w:w="4351" w:type="dxa"/>
          </w:tcPr>
          <w:p w:rsidR="00B8317F" w:rsidRPr="00E63D80" w:rsidRDefault="00B8317F" w:rsidP="00B8317F">
            <w:pPr>
              <w:numPr>
                <w:ilvl w:val="0"/>
                <w:numId w:val="24"/>
              </w:numPr>
            </w:pPr>
            <w:r w:rsidRPr="00E63D80">
              <w:t>Reserve Bank of Australia</w:t>
            </w:r>
          </w:p>
        </w:tc>
      </w:tr>
      <w:tr w:rsidR="00B8317F" w:rsidTr="002B5F41">
        <w:tc>
          <w:tcPr>
            <w:tcW w:w="4342" w:type="dxa"/>
          </w:tcPr>
          <w:p w:rsidR="00B8317F" w:rsidRPr="00E63D80" w:rsidRDefault="00B8317F" w:rsidP="00B8317F">
            <w:pPr>
              <w:numPr>
                <w:ilvl w:val="0"/>
                <w:numId w:val="24"/>
              </w:numPr>
            </w:pPr>
            <w:r w:rsidRPr="00E63D80">
              <w:t>repex</w:t>
            </w:r>
          </w:p>
        </w:tc>
        <w:tc>
          <w:tcPr>
            <w:tcW w:w="4351" w:type="dxa"/>
          </w:tcPr>
          <w:p w:rsidR="00B8317F" w:rsidRPr="00E63D80" w:rsidRDefault="00B8317F" w:rsidP="00B8317F">
            <w:pPr>
              <w:numPr>
                <w:ilvl w:val="0"/>
                <w:numId w:val="24"/>
              </w:numPr>
            </w:pPr>
            <w:r w:rsidRPr="00E63D80">
              <w:t>replacement expenditure</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RFM</w:t>
            </w:r>
          </w:p>
        </w:tc>
        <w:tc>
          <w:tcPr>
            <w:tcW w:w="4351" w:type="dxa"/>
          </w:tcPr>
          <w:p w:rsidR="00B8317F" w:rsidRPr="00E63D80" w:rsidRDefault="00B8317F" w:rsidP="00B8317F">
            <w:pPr>
              <w:numPr>
                <w:ilvl w:val="0"/>
                <w:numId w:val="24"/>
              </w:numPr>
            </w:pPr>
            <w:r w:rsidRPr="00E63D80">
              <w:t>roll forward model</w:t>
            </w:r>
          </w:p>
        </w:tc>
      </w:tr>
      <w:tr w:rsidR="00B8317F" w:rsidTr="002B5F41">
        <w:tc>
          <w:tcPr>
            <w:tcW w:w="4342" w:type="dxa"/>
          </w:tcPr>
          <w:p w:rsidR="00B8317F" w:rsidRPr="00E63D80" w:rsidRDefault="00B8317F" w:rsidP="00B8317F">
            <w:pPr>
              <w:numPr>
                <w:ilvl w:val="0"/>
                <w:numId w:val="24"/>
              </w:numPr>
            </w:pPr>
            <w:r w:rsidRPr="00E63D80">
              <w:lastRenderedPageBreak/>
              <w:t>RIN</w:t>
            </w:r>
          </w:p>
        </w:tc>
        <w:tc>
          <w:tcPr>
            <w:tcW w:w="4351" w:type="dxa"/>
          </w:tcPr>
          <w:p w:rsidR="00B8317F" w:rsidRPr="00E63D80" w:rsidRDefault="00B8317F" w:rsidP="00B8317F">
            <w:pPr>
              <w:numPr>
                <w:ilvl w:val="0"/>
                <w:numId w:val="24"/>
              </w:numPr>
            </w:pPr>
            <w:r w:rsidRPr="00E63D80">
              <w:t>regulatory information notice</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RPP</w:t>
            </w:r>
          </w:p>
        </w:tc>
        <w:tc>
          <w:tcPr>
            <w:tcW w:w="4351" w:type="dxa"/>
          </w:tcPr>
          <w:p w:rsidR="00B8317F" w:rsidRPr="00E63D80" w:rsidRDefault="00B8317F" w:rsidP="00B8317F">
            <w:pPr>
              <w:numPr>
                <w:ilvl w:val="0"/>
                <w:numId w:val="24"/>
              </w:numPr>
            </w:pPr>
            <w:r w:rsidRPr="00E63D80">
              <w:t>revenue and pricing principles</w:t>
            </w:r>
          </w:p>
        </w:tc>
      </w:tr>
      <w:tr w:rsidR="00B8317F" w:rsidTr="002B5F41">
        <w:tc>
          <w:tcPr>
            <w:tcW w:w="4342" w:type="dxa"/>
          </w:tcPr>
          <w:p w:rsidR="00B8317F" w:rsidRPr="00E63D80" w:rsidRDefault="00B8317F" w:rsidP="00B8317F">
            <w:pPr>
              <w:numPr>
                <w:ilvl w:val="0"/>
                <w:numId w:val="24"/>
              </w:numPr>
            </w:pPr>
            <w:r w:rsidRPr="00E63D80">
              <w:t>SAIDI</w:t>
            </w:r>
          </w:p>
        </w:tc>
        <w:tc>
          <w:tcPr>
            <w:tcW w:w="4351" w:type="dxa"/>
          </w:tcPr>
          <w:p w:rsidR="00B8317F" w:rsidRPr="00E63D80" w:rsidRDefault="00B8317F" w:rsidP="00B8317F">
            <w:pPr>
              <w:numPr>
                <w:ilvl w:val="0"/>
                <w:numId w:val="24"/>
              </w:numPr>
            </w:pPr>
            <w:r w:rsidRPr="00E63D80">
              <w:t>system average interruption duration index</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SAIFI</w:t>
            </w:r>
          </w:p>
        </w:tc>
        <w:tc>
          <w:tcPr>
            <w:tcW w:w="4351" w:type="dxa"/>
          </w:tcPr>
          <w:p w:rsidR="00B8317F" w:rsidRPr="00E63D80" w:rsidRDefault="00B8317F" w:rsidP="00B8317F">
            <w:pPr>
              <w:numPr>
                <w:ilvl w:val="0"/>
                <w:numId w:val="24"/>
              </w:numPr>
            </w:pPr>
            <w:r w:rsidRPr="00E63D80">
              <w:t>system average interruption frequency index</w:t>
            </w:r>
          </w:p>
        </w:tc>
      </w:tr>
      <w:tr w:rsidR="00B8317F" w:rsidTr="002B5F41">
        <w:tc>
          <w:tcPr>
            <w:tcW w:w="4342" w:type="dxa"/>
          </w:tcPr>
          <w:p w:rsidR="00B8317F" w:rsidRPr="00E63D80" w:rsidRDefault="00B8317F" w:rsidP="00B8317F">
            <w:pPr>
              <w:numPr>
                <w:ilvl w:val="0"/>
                <w:numId w:val="24"/>
              </w:numPr>
            </w:pPr>
            <w:r w:rsidRPr="00E63D80">
              <w:t>SLCAPM</w:t>
            </w:r>
          </w:p>
        </w:tc>
        <w:tc>
          <w:tcPr>
            <w:tcW w:w="4351" w:type="dxa"/>
          </w:tcPr>
          <w:p w:rsidR="00B8317F" w:rsidRPr="00E63D80" w:rsidRDefault="00B8317F" w:rsidP="00B8317F">
            <w:pPr>
              <w:numPr>
                <w:ilvl w:val="0"/>
                <w:numId w:val="24"/>
              </w:numPr>
            </w:pPr>
            <w:r w:rsidRPr="00E63D80">
              <w:t>Sharpe-Lintner capital asset pricing model</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tcW w:w="4342" w:type="dxa"/>
          </w:tcPr>
          <w:p w:rsidR="00B8317F" w:rsidRPr="00E63D80" w:rsidRDefault="00B8317F" w:rsidP="00B8317F">
            <w:pPr>
              <w:numPr>
                <w:ilvl w:val="0"/>
                <w:numId w:val="24"/>
              </w:numPr>
            </w:pPr>
            <w:r w:rsidRPr="00E63D80">
              <w:t>STPIS</w:t>
            </w:r>
          </w:p>
        </w:tc>
        <w:tc>
          <w:tcPr>
            <w:tcW w:w="4351" w:type="dxa"/>
          </w:tcPr>
          <w:p w:rsidR="00B8317F" w:rsidRPr="00E63D80" w:rsidRDefault="00B8317F" w:rsidP="00B8317F">
            <w:pPr>
              <w:numPr>
                <w:ilvl w:val="0"/>
                <w:numId w:val="24"/>
              </w:numPr>
            </w:pPr>
            <w:r w:rsidRPr="00E63D80">
              <w:t>service target performance incentive scheme</w:t>
            </w:r>
          </w:p>
        </w:tc>
      </w:tr>
      <w:tr w:rsidR="00B8317F" w:rsidTr="002B5F41">
        <w:tc>
          <w:tcPr>
            <w:tcW w:w="4342" w:type="dxa"/>
          </w:tcPr>
          <w:p w:rsidR="00B8317F" w:rsidRPr="00E63D80" w:rsidRDefault="00B8317F" w:rsidP="00B8317F">
            <w:pPr>
              <w:numPr>
                <w:ilvl w:val="0"/>
                <w:numId w:val="24"/>
              </w:numPr>
            </w:pPr>
            <w:r w:rsidRPr="00E63D80">
              <w:t>WACC</w:t>
            </w:r>
          </w:p>
        </w:tc>
        <w:tc>
          <w:tcPr>
            <w:tcW w:w="4351" w:type="dxa"/>
          </w:tcPr>
          <w:p w:rsidR="00B8317F" w:rsidRPr="00E63D80" w:rsidRDefault="00B8317F" w:rsidP="00B8317F">
            <w:pPr>
              <w:numPr>
                <w:ilvl w:val="0"/>
                <w:numId w:val="24"/>
              </w:numPr>
            </w:pPr>
            <w:r w:rsidRPr="00E63D80">
              <w:t>weighted average cost of capital</w:t>
            </w:r>
          </w:p>
        </w:tc>
      </w:tr>
    </w:tbl>
    <w:p w:rsidR="00B8317F" w:rsidRPr="00436A39" w:rsidRDefault="00B8317F" w:rsidP="00B8317F">
      <w:pPr>
        <w:numPr>
          <w:ilvl w:val="0"/>
          <w:numId w:val="24"/>
        </w:numPr>
      </w:pPr>
    </w:p>
    <w:p w:rsidR="00B8317F" w:rsidRDefault="00B8317F" w:rsidP="00B8317F"/>
    <w:p w:rsidR="00B8317F" w:rsidRPr="007671F5" w:rsidRDefault="00B8317F" w:rsidP="00B8317F">
      <w:pPr>
        <w:pStyle w:val="Heading1"/>
      </w:pPr>
      <w:bookmarkStart w:id="10" w:name="_Toc404760937"/>
      <w:bookmarkStart w:id="11" w:name="_Toc415754583"/>
      <w:bookmarkStart w:id="12" w:name="_Toc417659824"/>
      <w:r w:rsidRPr="00E40A0B">
        <w:lastRenderedPageBreak/>
        <w:t xml:space="preserve">Operating </w:t>
      </w:r>
      <w:r w:rsidRPr="007671F5">
        <w:t>expenditure</w:t>
      </w:r>
      <w:bookmarkEnd w:id="10"/>
      <w:bookmarkEnd w:id="11"/>
      <w:bookmarkEnd w:id="12"/>
    </w:p>
    <w:p w:rsidR="00B8317F" w:rsidRPr="00E37FBD" w:rsidRDefault="00B8317F" w:rsidP="00B8317F">
      <w:pPr>
        <w:numPr>
          <w:ilvl w:val="0"/>
          <w:numId w:val="24"/>
        </w:numPr>
      </w:pPr>
      <w:r w:rsidRPr="00E37FBD">
        <w:t xml:space="preserve">Operating expenditure (opex) refers to the operating, maintenance and other non-capital expenses, incurred in the provision of network services. Forecast opex for standard control services is one of the building blocks we use to determine a service provider's total revenue requirement. </w:t>
      </w:r>
    </w:p>
    <w:p w:rsidR="00B8317F" w:rsidRPr="00E37FBD" w:rsidRDefault="00B8317F" w:rsidP="00B8317F">
      <w:pPr>
        <w:numPr>
          <w:ilvl w:val="0"/>
          <w:numId w:val="24"/>
        </w:numPr>
      </w:pPr>
      <w:r w:rsidRPr="00E37FBD">
        <w:t>This attachment provides an overview of our assessment of opex. Detailed analysis of our assessment of opex are in the following appendices:</w:t>
      </w:r>
    </w:p>
    <w:p w:rsidR="00B8317F" w:rsidRPr="005F08D3" w:rsidRDefault="00B8317F" w:rsidP="00B8317F">
      <w:pPr>
        <w:pStyle w:val="AERbulletlistfirststyle"/>
      </w:pPr>
      <w:r w:rsidRPr="00E37FBD">
        <w:t xml:space="preserve">Appendix </w:t>
      </w:r>
      <w:r>
        <w:t>A</w:t>
      </w:r>
      <w:r w:rsidRPr="00E37FBD">
        <w:t xml:space="preserve"> - Base opex</w:t>
      </w:r>
    </w:p>
    <w:p w:rsidR="00B8317F" w:rsidRPr="005F08D3" w:rsidRDefault="00B8317F" w:rsidP="00B8317F">
      <w:pPr>
        <w:pStyle w:val="AERbulletlistfirststyle"/>
      </w:pPr>
      <w:r w:rsidRPr="00E37FBD">
        <w:t xml:space="preserve">Appendix </w:t>
      </w:r>
      <w:r>
        <w:t>B</w:t>
      </w:r>
      <w:r w:rsidRPr="00E37FBD">
        <w:t xml:space="preserve"> - Rate of change</w:t>
      </w:r>
    </w:p>
    <w:p w:rsidR="00B8317F" w:rsidRPr="005F08D3" w:rsidRDefault="00B8317F" w:rsidP="00B8317F">
      <w:pPr>
        <w:pStyle w:val="AERbulletlistfirststyle"/>
      </w:pPr>
      <w:r w:rsidRPr="00E37FBD">
        <w:t xml:space="preserve">Appendix </w:t>
      </w:r>
      <w:r>
        <w:t>C</w:t>
      </w:r>
      <w:r w:rsidRPr="00E37FBD">
        <w:t xml:space="preserve"> - Step changes</w:t>
      </w:r>
      <w:r>
        <w:t>.</w:t>
      </w:r>
      <w:r w:rsidRPr="00E37FBD">
        <w:t xml:space="preserve"> </w:t>
      </w:r>
    </w:p>
    <w:p w:rsidR="00B8317F" w:rsidRPr="00413EA6" w:rsidRDefault="00B8317F" w:rsidP="00B8317F">
      <w:pPr>
        <w:pStyle w:val="Heading2"/>
      </w:pPr>
      <w:bookmarkStart w:id="13" w:name="_Toc415754584"/>
      <w:bookmarkStart w:id="14" w:name="_Toc417659825"/>
      <w:r w:rsidRPr="00413EA6">
        <w:t>Final decision</w:t>
      </w:r>
      <w:bookmarkEnd w:id="13"/>
      <w:bookmarkEnd w:id="14"/>
    </w:p>
    <w:p w:rsidR="00B8317F" w:rsidRPr="00E37FBD" w:rsidRDefault="00B8317F" w:rsidP="00B8317F">
      <w:pPr>
        <w:numPr>
          <w:ilvl w:val="0"/>
          <w:numId w:val="24"/>
        </w:numPr>
      </w:pPr>
      <w:r w:rsidRPr="00E37FBD">
        <w:t xml:space="preserve">We are not satisfied that </w:t>
      </w:r>
      <w:r>
        <w:t>Endeavour Energy</w:t>
      </w:r>
      <w:r w:rsidRPr="00E37FBD">
        <w:t>'s forecast opex reasonably reflects the opex criteria.</w:t>
      </w:r>
      <w:r w:rsidRPr="00E37FBD">
        <w:rPr>
          <w:rStyle w:val="FootnoteReference"/>
        </w:rPr>
        <w:footnoteReference w:id="1"/>
      </w:r>
      <w:r w:rsidRPr="00E37FBD">
        <w:t xml:space="preserve"> We therefore do not accept the forecast opex </w:t>
      </w:r>
      <w:r>
        <w:t>Endeavour Energy</w:t>
      </w:r>
      <w:r w:rsidRPr="00E37FBD">
        <w:t xml:space="preserve"> included in its building block proposal.</w:t>
      </w:r>
      <w:r w:rsidRPr="00E37FBD">
        <w:rPr>
          <w:rStyle w:val="FootnoteReference"/>
        </w:rPr>
        <w:footnoteReference w:id="2"/>
      </w:r>
      <w:r w:rsidRPr="00E37FBD">
        <w:t xml:space="preserve"> </w:t>
      </w:r>
      <w:r>
        <w:t>We compare o</w:t>
      </w:r>
      <w:r w:rsidRPr="00E37FBD">
        <w:t xml:space="preserve">ur alternative estimate of </w:t>
      </w:r>
      <w:r>
        <w:t>Endeavour Energy</w:t>
      </w:r>
      <w:r w:rsidRPr="00E37FBD">
        <w:t xml:space="preserve">'s opex for the 2014–19 period, </w:t>
      </w:r>
      <w:r>
        <w:t xml:space="preserve">with Endeavour Energy's initial proposal, our draft decision and its revised proposal in </w:t>
      </w:r>
      <w:r>
        <w:fldChar w:fldCharType="begin"/>
      </w:r>
      <w:r>
        <w:instrText xml:space="preserve"> REF _Ref417654940 \h </w:instrText>
      </w:r>
      <w:r>
        <w:fldChar w:fldCharType="separate"/>
      </w:r>
      <w:r w:rsidR="00C57342">
        <w:t xml:space="preserve">Table </w:t>
      </w:r>
      <w:r w:rsidR="00C57342">
        <w:rPr>
          <w:noProof/>
        </w:rPr>
        <w:t>7</w:t>
      </w:r>
      <w:r w:rsidR="00C57342">
        <w:t>.</w:t>
      </w:r>
      <w:r w:rsidR="00C57342">
        <w:rPr>
          <w:noProof/>
        </w:rPr>
        <w:t>1</w:t>
      </w:r>
      <w:r>
        <w:fldChar w:fldCharType="end"/>
      </w:r>
      <w:r w:rsidRPr="00E37FBD">
        <w:t>.</w:t>
      </w:r>
      <w:r w:rsidRPr="00E37FBD">
        <w:rPr>
          <w:rStyle w:val="FootnoteReference"/>
        </w:rPr>
        <w:footnoteReference w:id="3"/>
      </w:r>
    </w:p>
    <w:p w:rsidR="00B8317F" w:rsidRDefault="00B8317F" w:rsidP="00B8317F">
      <w:pPr>
        <w:pStyle w:val="Caption"/>
      </w:pPr>
      <w:bookmarkStart w:id="15" w:name="_Ref417654940"/>
      <w:bookmarkStart w:id="16" w:name="_Ref388280805"/>
      <w:r>
        <w:t xml:space="preserve">Table </w:t>
      </w:r>
      <w:fldSimple w:instr=" STYLEREF 1 \s ">
        <w:r w:rsidR="00C57342">
          <w:rPr>
            <w:noProof/>
          </w:rPr>
          <w:t>7</w:t>
        </w:r>
      </w:fldSimple>
      <w:r>
        <w:t>.</w:t>
      </w:r>
      <w:r w:rsidR="00A66A4E">
        <w:fldChar w:fldCharType="begin"/>
      </w:r>
      <w:r w:rsidR="00A66A4E">
        <w:instrText xml:space="preserve"> SEQ Table \* ARABIC \s 1 </w:instrText>
      </w:r>
      <w:r w:rsidR="00A66A4E">
        <w:fldChar w:fldCharType="separate"/>
      </w:r>
      <w:r w:rsidR="00C57342">
        <w:rPr>
          <w:noProof/>
        </w:rPr>
        <w:t>1</w:t>
      </w:r>
      <w:r w:rsidR="00A66A4E">
        <w:rPr>
          <w:noProof/>
        </w:rPr>
        <w:fldChar w:fldCharType="end"/>
      </w:r>
      <w:bookmarkEnd w:id="15"/>
      <w:r>
        <w:tab/>
      </w:r>
      <w:r w:rsidRPr="00E37FBD">
        <w:t>Our draft</w:t>
      </w:r>
      <w:r>
        <w:t xml:space="preserve"> and final</w:t>
      </w:r>
      <w:r w:rsidRPr="00E37FBD">
        <w:t xml:space="preserve"> decision on total opex ($</w:t>
      </w:r>
      <w:r>
        <w:t xml:space="preserve"> </w:t>
      </w:r>
      <w:r w:rsidRPr="00E37FBD">
        <w:t>million</w:t>
      </w:r>
      <w:r>
        <w:t>,</w:t>
      </w:r>
      <w:r w:rsidRPr="00E37FBD">
        <w:t xml:space="preserve"> 2013–14)</w:t>
      </w:r>
      <w:bookmarkEnd w:id="16"/>
    </w:p>
    <w:tbl>
      <w:tblPr>
        <w:tblStyle w:val="AERtable-numbers"/>
        <w:tblW w:w="0" w:type="auto"/>
        <w:tblLook w:val="04A0" w:firstRow="1" w:lastRow="0" w:firstColumn="1" w:lastColumn="0" w:noHBand="0" w:noVBand="1"/>
      </w:tblPr>
      <w:tblGrid>
        <w:gridCol w:w="2537"/>
        <w:gridCol w:w="1027"/>
        <w:gridCol w:w="1027"/>
        <w:gridCol w:w="1028"/>
        <w:gridCol w:w="1027"/>
        <w:gridCol w:w="1027"/>
        <w:gridCol w:w="1019"/>
      </w:tblGrid>
      <w:tr w:rsidR="00B8317F" w:rsidTr="002B5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B8317F" w:rsidRPr="008E086D" w:rsidRDefault="00B8317F" w:rsidP="00B8317F"/>
        </w:tc>
        <w:tc>
          <w:tcPr>
            <w:tcW w:w="1027"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2014–15</w:t>
            </w:r>
          </w:p>
        </w:tc>
        <w:tc>
          <w:tcPr>
            <w:tcW w:w="1027"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2015–16</w:t>
            </w:r>
          </w:p>
        </w:tc>
        <w:tc>
          <w:tcPr>
            <w:tcW w:w="1028"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2016–17</w:t>
            </w:r>
          </w:p>
        </w:tc>
        <w:tc>
          <w:tcPr>
            <w:tcW w:w="1027"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2017–18</w:t>
            </w:r>
          </w:p>
        </w:tc>
        <w:tc>
          <w:tcPr>
            <w:tcW w:w="1027"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2018–19</w:t>
            </w:r>
          </w:p>
        </w:tc>
        <w:tc>
          <w:tcPr>
            <w:tcW w:w="1019"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Total</w:t>
            </w:r>
          </w:p>
        </w:tc>
      </w:tr>
      <w:tr w:rsidR="00B8317F" w:rsidTr="002B5F41">
        <w:trPr>
          <w:trHeight w:val="80"/>
        </w:trPr>
        <w:tc>
          <w:tcPr>
            <w:cnfStyle w:val="001000000000" w:firstRow="0" w:lastRow="0" w:firstColumn="1" w:lastColumn="0" w:oddVBand="0" w:evenVBand="0" w:oddHBand="0" w:evenHBand="0" w:firstRowFirstColumn="0" w:firstRowLastColumn="0" w:lastRowFirstColumn="0" w:lastRowLastColumn="0"/>
            <w:tcW w:w="2538" w:type="dxa"/>
          </w:tcPr>
          <w:p w:rsidR="00B8317F" w:rsidRPr="00B8317F" w:rsidRDefault="00B8317F" w:rsidP="00B8317F">
            <w:pPr>
              <w:pStyle w:val="AERtabletextleft"/>
              <w:rPr>
                <w:rStyle w:val="AERtextsize8"/>
              </w:rPr>
            </w:pPr>
            <w:r w:rsidRPr="00BE2057">
              <w:rPr>
                <w:rStyle w:val="AERtextsize8"/>
              </w:rPr>
              <w:t>Endeavour Energy's initial proposal</w:t>
            </w:r>
          </w:p>
        </w:tc>
        <w:tc>
          <w:tcPr>
            <w:tcW w:w="1027"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BE2057">
              <w:t>263.7</w:t>
            </w:r>
          </w:p>
        </w:tc>
        <w:tc>
          <w:tcPr>
            <w:tcW w:w="1027"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BE2057">
              <w:t>268.4</w:t>
            </w:r>
          </w:p>
        </w:tc>
        <w:tc>
          <w:tcPr>
            <w:tcW w:w="1028"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BE2057">
              <w:t>277.1</w:t>
            </w:r>
          </w:p>
        </w:tc>
        <w:tc>
          <w:tcPr>
            <w:tcW w:w="1027"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BE2057">
              <w:t>274.6</w:t>
            </w:r>
          </w:p>
        </w:tc>
        <w:tc>
          <w:tcPr>
            <w:tcW w:w="1027"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BE2057">
              <w:t>280.2</w:t>
            </w:r>
          </w:p>
        </w:tc>
        <w:tc>
          <w:tcPr>
            <w:tcW w:w="1019"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BE2057">
              <w:t>1364.1</w:t>
            </w:r>
          </w:p>
        </w:tc>
      </w:tr>
      <w:tr w:rsidR="00B8317F" w:rsidTr="002B5F41">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38" w:type="dxa"/>
          </w:tcPr>
          <w:p w:rsidR="00B8317F" w:rsidRPr="00B8317F" w:rsidRDefault="00B8317F" w:rsidP="00B8317F">
            <w:pPr>
              <w:pStyle w:val="AERtabletextleft"/>
              <w:rPr>
                <w:rStyle w:val="AERtextsize8"/>
              </w:rPr>
            </w:pPr>
            <w:r w:rsidRPr="00445CB5">
              <w:rPr>
                <w:rStyle w:val="AERtextsize8"/>
              </w:rPr>
              <w:t>AER draft decision</w:t>
            </w:r>
          </w:p>
        </w:tc>
        <w:tc>
          <w:tcPr>
            <w:tcW w:w="1027"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203.4</w:t>
            </w:r>
          </w:p>
        </w:tc>
        <w:tc>
          <w:tcPr>
            <w:tcW w:w="1027"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206.4</w:t>
            </w:r>
          </w:p>
        </w:tc>
        <w:tc>
          <w:tcPr>
            <w:tcW w:w="1028"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210.2</w:t>
            </w:r>
          </w:p>
        </w:tc>
        <w:tc>
          <w:tcPr>
            <w:tcW w:w="1027"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214.4</w:t>
            </w:r>
          </w:p>
        </w:tc>
        <w:tc>
          <w:tcPr>
            <w:tcW w:w="1027"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219.0</w:t>
            </w:r>
          </w:p>
        </w:tc>
        <w:tc>
          <w:tcPr>
            <w:tcW w:w="1019"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1053.5</w:t>
            </w:r>
          </w:p>
        </w:tc>
      </w:tr>
      <w:tr w:rsidR="00B8317F" w:rsidTr="002B5F41">
        <w:trPr>
          <w:trHeight w:val="80"/>
        </w:trPr>
        <w:tc>
          <w:tcPr>
            <w:cnfStyle w:val="001000000000" w:firstRow="0" w:lastRow="0" w:firstColumn="1" w:lastColumn="0" w:oddVBand="0" w:evenVBand="0" w:oddHBand="0" w:evenHBand="0" w:firstRowFirstColumn="0" w:firstRowLastColumn="0" w:lastRowFirstColumn="0" w:lastRowLastColumn="0"/>
            <w:tcW w:w="2538" w:type="dxa"/>
          </w:tcPr>
          <w:p w:rsidR="00B8317F" w:rsidRPr="00B8317F" w:rsidRDefault="00B8317F" w:rsidP="00B8317F">
            <w:pPr>
              <w:pStyle w:val="AERtabletextleft"/>
              <w:rPr>
                <w:rStyle w:val="AERtextsize8"/>
              </w:rPr>
            </w:pPr>
            <w:r w:rsidRPr="00445CB5">
              <w:rPr>
                <w:rStyle w:val="AERtextsize8"/>
              </w:rPr>
              <w:t>Endeavour Energy's revised proposal</w:t>
            </w:r>
          </w:p>
        </w:tc>
        <w:tc>
          <w:tcPr>
            <w:tcW w:w="1027"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45CB5">
              <w:t>289.5</w:t>
            </w:r>
          </w:p>
        </w:tc>
        <w:tc>
          <w:tcPr>
            <w:tcW w:w="1027"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45CB5">
              <w:t>302.5</w:t>
            </w:r>
          </w:p>
        </w:tc>
        <w:tc>
          <w:tcPr>
            <w:tcW w:w="1028"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45CB5">
              <w:t>295.1</w:t>
            </w:r>
          </w:p>
        </w:tc>
        <w:tc>
          <w:tcPr>
            <w:tcW w:w="1027"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45CB5">
              <w:t>291.1</w:t>
            </w:r>
          </w:p>
        </w:tc>
        <w:tc>
          <w:tcPr>
            <w:tcW w:w="1027"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45CB5">
              <w:t>287.3</w:t>
            </w:r>
          </w:p>
        </w:tc>
        <w:tc>
          <w:tcPr>
            <w:tcW w:w="1019"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45CB5">
              <w:t>1465.6</w:t>
            </w:r>
          </w:p>
        </w:tc>
      </w:tr>
      <w:tr w:rsidR="00B8317F" w:rsidTr="002B5F41">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38" w:type="dxa"/>
          </w:tcPr>
          <w:p w:rsidR="00B8317F" w:rsidRPr="00B8317F" w:rsidRDefault="00B8317F" w:rsidP="00B8317F">
            <w:pPr>
              <w:pStyle w:val="AERtabletextleft"/>
              <w:rPr>
                <w:rStyle w:val="AERtextsize8"/>
              </w:rPr>
            </w:pPr>
            <w:r w:rsidRPr="00445CB5">
              <w:rPr>
                <w:rStyle w:val="AERtextsize8"/>
              </w:rPr>
              <w:t>AER final decision</w:t>
            </w:r>
          </w:p>
        </w:tc>
        <w:tc>
          <w:tcPr>
            <w:tcW w:w="1027"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235.8</w:t>
            </w:r>
          </w:p>
        </w:tc>
        <w:tc>
          <w:tcPr>
            <w:tcW w:w="1027"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239.5</w:t>
            </w:r>
          </w:p>
        </w:tc>
        <w:tc>
          <w:tcPr>
            <w:tcW w:w="1028"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243.3</w:t>
            </w:r>
          </w:p>
        </w:tc>
        <w:tc>
          <w:tcPr>
            <w:tcW w:w="1027"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247.5</w:t>
            </w:r>
          </w:p>
        </w:tc>
        <w:tc>
          <w:tcPr>
            <w:tcW w:w="1027"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252.3</w:t>
            </w:r>
          </w:p>
        </w:tc>
        <w:tc>
          <w:tcPr>
            <w:tcW w:w="1019"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45CB5">
              <w:t>1218.3</w:t>
            </w:r>
          </w:p>
        </w:tc>
      </w:tr>
    </w:tbl>
    <w:p w:rsidR="00B8317F" w:rsidRPr="00B47806" w:rsidRDefault="00B8317F" w:rsidP="00B8317F">
      <w:pPr>
        <w:pStyle w:val="AERtablesource"/>
      </w:pPr>
      <w:r w:rsidRPr="00B47806">
        <w:t>Source:</w:t>
      </w:r>
      <w:r w:rsidRPr="00B47806">
        <w:tab/>
        <w:t>AER analysis.</w:t>
      </w:r>
    </w:p>
    <w:p w:rsidR="00B8317F" w:rsidRPr="00B47806" w:rsidRDefault="00B8317F" w:rsidP="00B8317F">
      <w:pPr>
        <w:pStyle w:val="AERtablesource"/>
      </w:pPr>
      <w:r w:rsidRPr="00B47806">
        <w:t>Note:</w:t>
      </w:r>
      <w:r w:rsidRPr="00B47806">
        <w:tab/>
        <w:t>Excludes debt raising costs.</w:t>
      </w:r>
    </w:p>
    <w:p w:rsidR="00B8317F" w:rsidRDefault="00B8317F" w:rsidP="00B8317F">
      <w:pPr>
        <w:rPr>
          <w:rStyle w:val="AERbody"/>
        </w:rPr>
      </w:pPr>
      <w:r>
        <w:rPr>
          <w:rStyle w:val="AERbody"/>
        </w:rPr>
        <w:fldChar w:fldCharType="begin"/>
      </w:r>
      <w:r>
        <w:rPr>
          <w:rStyle w:val="AERbody"/>
        </w:rPr>
        <w:instrText xml:space="preserve"> REF _Ref417654950 \h </w:instrText>
      </w:r>
      <w:r>
        <w:rPr>
          <w:rStyle w:val="AERbody"/>
        </w:rPr>
      </w:r>
      <w:r>
        <w:rPr>
          <w:rStyle w:val="AERbody"/>
        </w:rPr>
        <w:fldChar w:fldCharType="separate"/>
      </w:r>
      <w:r w:rsidR="00C57342">
        <w:t xml:space="preserve">Figure </w:t>
      </w:r>
      <w:r w:rsidR="00C57342">
        <w:rPr>
          <w:noProof/>
        </w:rPr>
        <w:t>7</w:t>
      </w:r>
      <w:r w:rsidR="00C57342">
        <w:t>.</w:t>
      </w:r>
      <w:r w:rsidR="00C57342">
        <w:rPr>
          <w:noProof/>
        </w:rPr>
        <w:t>1</w:t>
      </w:r>
      <w:r>
        <w:rPr>
          <w:rStyle w:val="AERbody"/>
        </w:rPr>
        <w:fldChar w:fldCharType="end"/>
      </w:r>
      <w:r>
        <w:rPr>
          <w:rStyle w:val="AERbody"/>
        </w:rPr>
        <w:t xml:space="preserve"> shows </w:t>
      </w:r>
      <w:r w:rsidRPr="00EA4AAE">
        <w:rPr>
          <w:rStyle w:val="AERbody"/>
        </w:rPr>
        <w:t xml:space="preserve">our </w:t>
      </w:r>
      <w:r>
        <w:rPr>
          <w:rStyle w:val="AERbody"/>
        </w:rPr>
        <w:t>final</w:t>
      </w:r>
      <w:r w:rsidRPr="00EA4AAE">
        <w:rPr>
          <w:rStyle w:val="AERbody"/>
        </w:rPr>
        <w:t xml:space="preserve"> </w:t>
      </w:r>
      <w:r>
        <w:rPr>
          <w:rStyle w:val="AERbody"/>
        </w:rPr>
        <w:t xml:space="preserve">and draft </w:t>
      </w:r>
      <w:r w:rsidRPr="00EA4AAE">
        <w:rPr>
          <w:rStyle w:val="AERbody"/>
        </w:rPr>
        <w:t xml:space="preserve">decision compared to </w:t>
      </w:r>
      <w:r>
        <w:rPr>
          <w:rStyle w:val="AERbody"/>
        </w:rPr>
        <w:t>Endeavour Energy's</w:t>
      </w:r>
      <w:r w:rsidRPr="00EA4AAE">
        <w:rPr>
          <w:rStyle w:val="AERbody"/>
        </w:rPr>
        <w:t xml:space="preserve"> past actual </w:t>
      </w:r>
      <w:r w:rsidR="00487CE9">
        <w:rPr>
          <w:rStyle w:val="AERbody"/>
        </w:rPr>
        <w:t>opex,</w:t>
      </w:r>
      <w:r w:rsidRPr="00817DD2">
        <w:rPr>
          <w:rStyle w:val="AERbody"/>
        </w:rPr>
        <w:t xml:space="preserve"> </w:t>
      </w:r>
      <w:r w:rsidRPr="00EA4AAE">
        <w:rPr>
          <w:rStyle w:val="AERbody"/>
        </w:rPr>
        <w:t>p</w:t>
      </w:r>
      <w:r>
        <w:rPr>
          <w:rStyle w:val="AERbody"/>
        </w:rPr>
        <w:t xml:space="preserve">revious regulatory decisions and its initial and revised </w:t>
      </w:r>
      <w:r w:rsidRPr="00EA4AAE">
        <w:rPr>
          <w:rStyle w:val="AERbody"/>
        </w:rPr>
        <w:t>proposal</w:t>
      </w:r>
      <w:r>
        <w:rPr>
          <w:rStyle w:val="AERbody"/>
        </w:rPr>
        <w:t>s.</w:t>
      </w:r>
    </w:p>
    <w:p w:rsidR="00B8317F" w:rsidRPr="00E37FBD" w:rsidRDefault="00B8317F" w:rsidP="00B8317F">
      <w:pPr>
        <w:pStyle w:val="Caption"/>
      </w:pPr>
      <w:bookmarkStart w:id="17" w:name="_Ref417654950"/>
      <w:r>
        <w:lastRenderedPageBreak/>
        <w:t xml:space="preserve">Figure </w:t>
      </w:r>
      <w:fldSimple w:instr=" STYLEREF 1 \s ">
        <w:r w:rsidR="00C57342">
          <w:rPr>
            <w:noProof/>
          </w:rPr>
          <w:t>7</w:t>
        </w:r>
      </w:fldSimple>
      <w:r>
        <w:t>.</w:t>
      </w:r>
      <w:r w:rsidR="00A66A4E">
        <w:fldChar w:fldCharType="begin"/>
      </w:r>
      <w:r w:rsidR="00A66A4E">
        <w:instrText xml:space="preserve"> SEQ Figure \* ARABIC \s 1 </w:instrText>
      </w:r>
      <w:r w:rsidR="00A66A4E">
        <w:fldChar w:fldCharType="separate"/>
      </w:r>
      <w:r w:rsidR="00C57342">
        <w:rPr>
          <w:noProof/>
        </w:rPr>
        <w:t>1</w:t>
      </w:r>
      <w:r w:rsidR="00A66A4E">
        <w:rPr>
          <w:noProof/>
        </w:rPr>
        <w:fldChar w:fldCharType="end"/>
      </w:r>
      <w:bookmarkEnd w:id="17"/>
      <w:r>
        <w:tab/>
      </w:r>
      <w:r w:rsidRPr="00B020B6">
        <w:t xml:space="preserve">AER </w:t>
      </w:r>
      <w:r>
        <w:t>final decision</w:t>
      </w:r>
      <w:r w:rsidRPr="00B020B6">
        <w:t xml:space="preserve"> compared to </w:t>
      </w:r>
      <w:r>
        <w:t>Endeavour Energy's</w:t>
      </w:r>
      <w:r w:rsidRPr="00B020B6">
        <w:t xml:space="preserve"> pa</w:t>
      </w:r>
      <w:r>
        <w:t>st and proposed opex ($ million, 2013–</w:t>
      </w:r>
      <w:r w:rsidRPr="00B020B6">
        <w:t>14)</w:t>
      </w:r>
      <w:r>
        <w:rPr>
          <w:rStyle w:val="FootnoteReference"/>
        </w:rPr>
        <w:footnoteReference w:id="4"/>
      </w:r>
    </w:p>
    <w:p w:rsidR="00B8317F" w:rsidRDefault="00B8317F" w:rsidP="00B8317F">
      <w:pPr>
        <w:rPr>
          <w:rStyle w:val="AERbody"/>
        </w:rPr>
      </w:pPr>
      <w:r w:rsidRPr="00B8317F">
        <w:rPr>
          <w:noProof/>
          <w:lang w:eastAsia="en-AU"/>
        </w:rPr>
        <w:drawing>
          <wp:inline distT="0" distB="0" distL="0" distR="0" wp14:anchorId="3E3D5BD1" wp14:editId="52F83478">
            <wp:extent cx="5382895" cy="3705506"/>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2895" cy="3705506"/>
                    </a:xfrm>
                    <a:prstGeom prst="rect">
                      <a:avLst/>
                    </a:prstGeom>
                    <a:noFill/>
                    <a:ln>
                      <a:noFill/>
                    </a:ln>
                  </pic:spPr>
                </pic:pic>
              </a:graphicData>
            </a:graphic>
          </wp:inline>
        </w:drawing>
      </w:r>
    </w:p>
    <w:p w:rsidR="00B8317F" w:rsidRPr="00B8317F" w:rsidRDefault="00B8317F" w:rsidP="00B8317F">
      <w:pPr>
        <w:pStyle w:val="AERtablesource"/>
        <w:rPr>
          <w:rStyle w:val="AERbody"/>
          <w:rFonts w:eastAsiaTheme="minorHAnsi"/>
        </w:rPr>
      </w:pPr>
      <w:r w:rsidRPr="00E37FBD">
        <w:t>Source:</w:t>
      </w:r>
      <w:r w:rsidRPr="00E37FBD">
        <w:tab/>
      </w:r>
      <w:r>
        <w:t>Endeavour Energy</w:t>
      </w:r>
      <w:r w:rsidRPr="00E37FBD">
        <w:t xml:space="preserve">, Regulatory accounts 2004–05; </w:t>
      </w:r>
      <w:r>
        <w:t>Endeavour Energy</w:t>
      </w:r>
      <w:r w:rsidRPr="00E37FBD">
        <w:t>, Economic benchmarking - Regulatory Information Notice response 2005–06 to 201</w:t>
      </w:r>
      <w:r>
        <w:t>3</w:t>
      </w:r>
      <w:r w:rsidRPr="00E37FBD">
        <w:t>–1</w:t>
      </w:r>
      <w:r>
        <w:t>4</w:t>
      </w:r>
      <w:r w:rsidRPr="00E37FBD">
        <w:t xml:space="preserve">; </w:t>
      </w:r>
    </w:p>
    <w:p w:rsidR="00B8317F" w:rsidRDefault="00B8317F" w:rsidP="00B8317F">
      <w:pPr>
        <w:rPr>
          <w:rStyle w:val="AERbody"/>
        </w:rPr>
      </w:pPr>
      <w:r>
        <w:rPr>
          <w:rStyle w:val="AERbody"/>
        </w:rPr>
        <w:t xml:space="preserve">The primary reason for the difference between our forecast and Endeavour Energy's proposal reflects our views about Endeavour Energy's proposed increase in opex for vegetation management. </w:t>
      </w:r>
    </w:p>
    <w:p w:rsidR="00B8317F" w:rsidRDefault="00B8317F" w:rsidP="00B8317F">
      <w:r>
        <w:t xml:space="preserve">Endeavour Energy proposed a step change above its revealed opex for increased vegetation management contract costs. We are satisfied our opex forecast </w:t>
      </w:r>
      <w:r w:rsidRPr="00F3338A">
        <w:t xml:space="preserve">is sufficient for it to meet all of its existing regulatory obligations </w:t>
      </w:r>
      <w:r>
        <w:t xml:space="preserve">- </w:t>
      </w:r>
      <w:r w:rsidRPr="00F3338A">
        <w:t>including for vegetation management. We did not consider there was sufficient evidence to support a material increase above Endeavour Energy's revealed expenditure</w:t>
      </w:r>
      <w:r>
        <w:t xml:space="preserve"> to meet its existing regulatory obligations. Evidence we considered in reaching our decision included the following:</w:t>
      </w:r>
    </w:p>
    <w:p w:rsidR="00B8317F" w:rsidRDefault="00B8317F" w:rsidP="00B8317F">
      <w:pPr>
        <w:pStyle w:val="AERbulletlistfirststyle"/>
      </w:pPr>
      <w:r>
        <w:t>Benchmarking of Endeavour Energy's total opex against other service providers</w:t>
      </w:r>
    </w:p>
    <w:p w:rsidR="00B8317F" w:rsidRDefault="00B8317F" w:rsidP="00B8317F">
      <w:pPr>
        <w:pStyle w:val="AERbulletlistfirststyle"/>
      </w:pPr>
      <w:r>
        <w:lastRenderedPageBreak/>
        <w:t>Deloitte's findings about the efficiency of Endeavour Energy's labour costs and workforce practices</w:t>
      </w:r>
    </w:p>
    <w:p w:rsidR="00B8317F" w:rsidRDefault="00B8317F" w:rsidP="00B8317F">
      <w:pPr>
        <w:pStyle w:val="AERbulletlistfirststyle"/>
      </w:pPr>
      <w:r>
        <w:t>A Networks NSW review of all NSW service providers' vegetation management practices</w:t>
      </w:r>
    </w:p>
    <w:p w:rsidR="00B8317F" w:rsidRDefault="00B8317F" w:rsidP="00B8317F">
      <w:pPr>
        <w:pStyle w:val="AERbulletlistfirststyle"/>
      </w:pPr>
      <w:r>
        <w:t>The interactions with the EBSS.</w:t>
      </w:r>
    </w:p>
    <w:p w:rsidR="00B8317F" w:rsidRDefault="00B8317F" w:rsidP="00B8317F">
      <w:pPr>
        <w:rPr>
          <w:rStyle w:val="AERbody"/>
        </w:rPr>
      </w:pPr>
      <w:r>
        <w:rPr>
          <w:rStyle w:val="AERbody"/>
        </w:rPr>
        <w:t>In total we have increased our opex forecast by $164.9 million (</w:t>
      </w:r>
      <w:r w:rsidRPr="0004210B">
        <w:t>real 2013–14</w:t>
      </w:r>
      <w:r>
        <w:t xml:space="preserve">) </w:t>
      </w:r>
      <w:r>
        <w:rPr>
          <w:rStyle w:val="AERbody"/>
        </w:rPr>
        <w:t>since our draft decision.</w:t>
      </w:r>
    </w:p>
    <w:p w:rsidR="00B8317F" w:rsidRDefault="00B8317F" w:rsidP="00B8317F">
      <w:pPr>
        <w:rPr>
          <w:rStyle w:val="AERbody"/>
        </w:rPr>
      </w:pPr>
      <w:r>
        <w:rPr>
          <w:rStyle w:val="AERbody"/>
        </w:rPr>
        <w:t>The difference between our draft decision and final decision amounts largely reflects a lower point of comparison in assessing Endeavour Energy's relative efficiency to other service providers in the NEM in its benchmarking performance.</w:t>
      </w:r>
    </w:p>
    <w:p w:rsidR="00B8317F" w:rsidRDefault="00B8317F" w:rsidP="00B8317F">
      <w:pPr>
        <w:rPr>
          <w:rStyle w:val="AERbody"/>
        </w:rPr>
      </w:pPr>
      <w:r>
        <w:t xml:space="preserve">Benchmarking is a well-developed tool which has already been used extensively by overseas regulators. </w:t>
      </w:r>
      <w:r w:rsidRPr="00F32813">
        <w:rPr>
          <w:rStyle w:val="AERbody"/>
        </w:rPr>
        <w:t>There are a number of different ways in which service providers can be benchmarked</w:t>
      </w:r>
      <w:r>
        <w:rPr>
          <w:rStyle w:val="AERbody"/>
        </w:rPr>
        <w:t xml:space="preserve">.  We received a number of submissions from Endeavour Energy, other distributors and other stakeholders which provided us with various expert reports critiquing our approach. </w:t>
      </w:r>
      <w:r w:rsidRPr="00F32813">
        <w:rPr>
          <w:rStyle w:val="AERbody"/>
        </w:rPr>
        <w:t>We</w:t>
      </w:r>
      <w:r>
        <w:rPr>
          <w:rStyle w:val="AERbody"/>
        </w:rPr>
        <w:t xml:space="preserve"> have considered this material in detail. </w:t>
      </w:r>
      <w:r w:rsidRPr="00502040">
        <w:rPr>
          <w:rStyle w:val="AERbody"/>
        </w:rPr>
        <w:t xml:space="preserve">Our view is that the benchmarking we have </w:t>
      </w:r>
      <w:r>
        <w:rPr>
          <w:rStyle w:val="AERbody"/>
        </w:rPr>
        <w:t>relied upon</w:t>
      </w:r>
      <w:r w:rsidRPr="00502040">
        <w:rPr>
          <w:rStyle w:val="AERbody"/>
        </w:rPr>
        <w:t xml:space="preserve"> in this final decision is </w:t>
      </w:r>
      <w:r>
        <w:rPr>
          <w:rStyle w:val="AERbody"/>
        </w:rPr>
        <w:t>more robust than</w:t>
      </w:r>
      <w:r w:rsidRPr="00502040">
        <w:rPr>
          <w:rStyle w:val="AERbody"/>
        </w:rPr>
        <w:t xml:space="preserve"> </w:t>
      </w:r>
      <w:r>
        <w:rPr>
          <w:rStyle w:val="AERbody"/>
        </w:rPr>
        <w:t>the</w:t>
      </w:r>
      <w:r w:rsidRPr="00502040">
        <w:rPr>
          <w:rStyle w:val="AERbody"/>
        </w:rPr>
        <w:t xml:space="preserve"> alternatives proposed by </w:t>
      </w:r>
      <w:r>
        <w:rPr>
          <w:rStyle w:val="AERbody"/>
        </w:rPr>
        <w:t>Endeavour Energy, other service providers</w:t>
      </w:r>
      <w:r w:rsidRPr="00502040">
        <w:rPr>
          <w:rStyle w:val="AERbody"/>
        </w:rPr>
        <w:t xml:space="preserve"> and their consultants in terms of model specification, data and estimation methods.</w:t>
      </w:r>
      <w:r>
        <w:rPr>
          <w:rStyle w:val="AERbody"/>
        </w:rPr>
        <w:t xml:space="preserve"> However, in response to submissions, we have modified our approach in this final decision. This modification has led to an increase in the total forecast we are satisfied reasonably reflects the opex criteria.</w:t>
      </w:r>
    </w:p>
    <w:p w:rsidR="00B8317F" w:rsidRDefault="00B8317F" w:rsidP="00B8317F">
      <w:pPr>
        <w:rPr>
          <w:rStyle w:val="AERbody"/>
        </w:rPr>
      </w:pPr>
      <w:r>
        <w:rPr>
          <w:rStyle w:val="AERbody"/>
        </w:rPr>
        <w:t>In the draft decision, we used a benchmark based on average performance of the top five service providers in the NEM according to our preferred benchmarking model. After taking into account our best estimate of operating environment factors not accounted for in our benchmarking model, Endeavour Energy's actual opex in 2012–13 was materially higher than this point of comparison.</w:t>
      </w:r>
    </w:p>
    <w:p w:rsidR="00B8317F" w:rsidRDefault="00B8317F" w:rsidP="00B8317F">
      <w:pPr>
        <w:rPr>
          <w:rStyle w:val="AERbody"/>
        </w:rPr>
      </w:pPr>
      <w:r>
        <w:rPr>
          <w:rStyle w:val="AERbody"/>
        </w:rPr>
        <w:t>For our final decision, we have used a lower point of comparison in assessing Endeavour Energy's relative efficiency to other service providers in the NEM. The actual opex Endeavour Energy incurred in 2012–13 is comparable to this lower comparison point.</w:t>
      </w:r>
    </w:p>
    <w:p w:rsidR="00B8317F" w:rsidRDefault="00B8317F" w:rsidP="00B8317F">
      <w:pPr>
        <w:rPr>
          <w:rStyle w:val="AERbody"/>
        </w:rPr>
      </w:pPr>
      <w:r>
        <w:rPr>
          <w:rStyle w:val="AERbody"/>
        </w:rPr>
        <w:t>There is other evidence that suggests Endeavour Energy is not operating as efficiently as it could. For instance, Deloitte in its labour and workforce review concluded that while Endeavour Energy has made more progress that Ausgrid and Essential Energy in implementing efficiency reforms, there are still further opportunities for it to implement efficiencies - for instance through greater outsourcing.</w:t>
      </w:r>
    </w:p>
    <w:p w:rsidR="00B8317F" w:rsidRPr="00C05EC8" w:rsidRDefault="00B8317F" w:rsidP="00B8317F">
      <w:pPr>
        <w:rPr>
          <w:rStyle w:val="AERbody"/>
        </w:rPr>
      </w:pPr>
      <w:r>
        <w:rPr>
          <w:rStyle w:val="AERbody"/>
        </w:rPr>
        <w:t>However, we only substitute an alternative estimate of base opex  where there is evidence that a service provider's revealed costs are materially inefficient.  Based on all evidence we considered, we are not satisfied that a forecast based on Endeavour Energy's actual opex in 2012–13 could be classified as materially inefficient.  We have therefore used it as the starting point for our alternative opex forecast.</w:t>
      </w:r>
    </w:p>
    <w:p w:rsidR="00B8317F" w:rsidRPr="00B8317F" w:rsidRDefault="00B8317F" w:rsidP="00B8317F">
      <w:pPr>
        <w:pStyle w:val="Heading2"/>
      </w:pPr>
      <w:bookmarkStart w:id="18" w:name="_Toc415754585"/>
      <w:bookmarkStart w:id="19" w:name="_Toc417659826"/>
      <w:r w:rsidRPr="00B8317F">
        <w:lastRenderedPageBreak/>
        <w:t>Endeavour Energy's revised proposal</w:t>
      </w:r>
      <w:bookmarkEnd w:id="18"/>
      <w:bookmarkEnd w:id="19"/>
    </w:p>
    <w:p w:rsidR="00B8317F" w:rsidRDefault="00B8317F" w:rsidP="00B8317F">
      <w:r>
        <w:t>In it is original proposal, Endeavour Energy proposed forecast opex of $1364.1 million (real 2013–14) for the 2014–19 period. It stated it</w:t>
      </w:r>
      <w:r w:rsidRPr="00BC114C">
        <w:t xml:space="preserve"> used the</w:t>
      </w:r>
      <w:r>
        <w:t xml:space="preserve"> </w:t>
      </w:r>
      <w:r w:rsidRPr="00BC114C">
        <w:t xml:space="preserve">actual operating expenditure for 2012-13 for </w:t>
      </w:r>
      <w:r>
        <w:t>most</w:t>
      </w:r>
      <w:r w:rsidRPr="00BC114C">
        <w:t xml:space="preserve"> categories as the base</w:t>
      </w:r>
      <w:r>
        <w:t xml:space="preserve"> year for its forecast. It included change factors for:</w:t>
      </w:r>
    </w:p>
    <w:p w:rsidR="00B8317F" w:rsidRDefault="00B8317F" w:rsidP="00B8317F">
      <w:pPr>
        <w:pStyle w:val="AERbulletlistfirststyle"/>
      </w:pPr>
      <w:r>
        <w:t>newly classified alternative control services</w:t>
      </w:r>
    </w:p>
    <w:p w:rsidR="00B8317F" w:rsidRDefault="00B8317F" w:rsidP="00B8317F">
      <w:pPr>
        <w:pStyle w:val="AERbulletlistfirststyle"/>
      </w:pPr>
      <w:r>
        <w:t>vegetation management</w:t>
      </w:r>
    </w:p>
    <w:p w:rsidR="00B8317F" w:rsidRDefault="00B8317F" w:rsidP="00B8317F">
      <w:pPr>
        <w:pStyle w:val="AERbulletlistfirststyle"/>
      </w:pPr>
      <w:r>
        <w:t>capital prioritisation costs</w:t>
      </w:r>
    </w:p>
    <w:p w:rsidR="00B8317F" w:rsidRDefault="00B8317F" w:rsidP="00B8317F">
      <w:pPr>
        <w:pStyle w:val="AERbulletlistfirststyle"/>
      </w:pPr>
      <w:r>
        <w:t>output growth</w:t>
      </w:r>
    </w:p>
    <w:p w:rsidR="00B8317F" w:rsidRDefault="00B8317F" w:rsidP="00B8317F">
      <w:pPr>
        <w:pStyle w:val="AERbulletlistfirststyle"/>
      </w:pPr>
      <w:r>
        <w:t>escalation</w:t>
      </w:r>
    </w:p>
    <w:p w:rsidR="00B8317F" w:rsidRPr="00BC114C" w:rsidRDefault="00B8317F" w:rsidP="00B8317F">
      <w:pPr>
        <w:pStyle w:val="AERbulletlistfirststyle"/>
      </w:pPr>
      <w:r>
        <w:t>savings programs</w:t>
      </w:r>
      <w:r>
        <w:rPr>
          <w:rStyle w:val="FootnoteReference"/>
        </w:rPr>
        <w:footnoteReference w:id="5"/>
      </w:r>
    </w:p>
    <w:p w:rsidR="00B8317F" w:rsidRPr="002229D2" w:rsidRDefault="00B8317F" w:rsidP="00B8317F">
      <w:r>
        <w:t>In its revised proposal, Endeavour Energy proposed a forecast opex of $1465.6</w:t>
      </w:r>
      <w:r w:rsidRPr="002500DC">
        <w:rPr>
          <w:rStyle w:val="AERbody"/>
        </w:rPr>
        <w:t xml:space="preserve"> million</w:t>
      </w:r>
      <w:r w:rsidRPr="00E37FBD">
        <w:t xml:space="preserve"> (real 2013–14) for the 2014–19 period</w:t>
      </w:r>
      <w:r>
        <w:t xml:space="preserve">. This is a 7 per cent increase of from the $1364.1 million (real 2013–14) it proposed in its original proposal. Endeavour Energy stated the principal drivers for the change </w:t>
      </w:r>
      <w:r w:rsidRPr="002229D2">
        <w:t>are:</w:t>
      </w:r>
    </w:p>
    <w:p w:rsidR="00B8317F" w:rsidRPr="002229D2" w:rsidRDefault="00B8317F" w:rsidP="00B8317F">
      <w:pPr>
        <w:pStyle w:val="AERbulletlistfirststyle"/>
      </w:pPr>
      <w:r w:rsidRPr="002229D2">
        <w:t>A</w:t>
      </w:r>
      <w:r>
        <w:t xml:space="preserve"> further forecast</w:t>
      </w:r>
      <w:r w:rsidRPr="002229D2">
        <w:t xml:space="preserve"> increase in vegetation costs to reflect the introduction of LIDAR technology and consistent</w:t>
      </w:r>
      <w:r>
        <w:t xml:space="preserve"> </w:t>
      </w:r>
      <w:r w:rsidRPr="002229D2">
        <w:t>vegetation cutting standards in NSW to manage bushfire, public safety and reliability risk.</w:t>
      </w:r>
    </w:p>
    <w:p w:rsidR="00B8317F" w:rsidRPr="002229D2" w:rsidRDefault="00B8317F" w:rsidP="00B8317F">
      <w:pPr>
        <w:pStyle w:val="AERbulletlistfirststyle"/>
      </w:pPr>
      <w:r w:rsidRPr="002229D2">
        <w:t>A change in the allocation of fixed divisional and corporate overheads as a consequence of increased</w:t>
      </w:r>
      <w:r>
        <w:t xml:space="preserve"> </w:t>
      </w:r>
      <w:r w:rsidRPr="002229D2">
        <w:t>vegetation management expenditure and a reduced capital expenditure program</w:t>
      </w:r>
    </w:p>
    <w:p w:rsidR="00B8317F" w:rsidRPr="002229D2" w:rsidRDefault="00B8317F" w:rsidP="00B8317F">
      <w:pPr>
        <w:pStyle w:val="AERbulletlistfirststyle"/>
      </w:pPr>
      <w:r w:rsidRPr="002229D2">
        <w:t>Increase in the business transformation costs from reallocated labour associated with a reduction in</w:t>
      </w:r>
      <w:r>
        <w:t xml:space="preserve"> </w:t>
      </w:r>
      <w:r w:rsidRPr="002229D2">
        <w:t>the capital program</w:t>
      </w:r>
    </w:p>
    <w:p w:rsidR="00B8317F" w:rsidRDefault="00B8317F" w:rsidP="00B8317F">
      <w:pPr>
        <w:pStyle w:val="AERbulletlistfirststyle"/>
      </w:pPr>
      <w:r w:rsidRPr="002229D2">
        <w:t>Reduced costs as a result of labour productivity improvements.</w:t>
      </w:r>
      <w:r>
        <w:rPr>
          <w:rStyle w:val="FootnoteReference"/>
        </w:rPr>
        <w:footnoteReference w:id="6"/>
      </w:r>
    </w:p>
    <w:p w:rsidR="00B8317F" w:rsidRDefault="00B8317F" w:rsidP="00B8317F">
      <w:r>
        <w:t>Endeavour Energy did not agree with our draft decision. It considered:</w:t>
      </w:r>
    </w:p>
    <w:p w:rsidR="00B8317F" w:rsidRDefault="00B8317F" w:rsidP="00B8317F">
      <w:pPr>
        <w:pStyle w:val="AERbulletlistfirststyle"/>
      </w:pPr>
      <w:r>
        <w:t>our</w:t>
      </w:r>
      <w:r w:rsidRPr="002229D2">
        <w:t xml:space="preserve"> assessment </w:t>
      </w:r>
      <w:r>
        <w:t>was based</w:t>
      </w:r>
      <w:r w:rsidRPr="002229D2">
        <w:t xml:space="preserve"> on deriving </w:t>
      </w:r>
      <w:r>
        <w:t>our</w:t>
      </w:r>
      <w:r w:rsidRPr="002229D2">
        <w:t xml:space="preserve"> alternative estimate</w:t>
      </w:r>
      <w:r>
        <w:t xml:space="preserve"> </w:t>
      </w:r>
      <w:r w:rsidRPr="002229D2">
        <w:t xml:space="preserve">rather than reviewing </w:t>
      </w:r>
      <w:r>
        <w:t>its</w:t>
      </w:r>
      <w:r w:rsidRPr="002229D2">
        <w:t xml:space="preserve"> proposal</w:t>
      </w:r>
      <w:r>
        <w:t>.</w:t>
      </w:r>
      <w:r>
        <w:rPr>
          <w:rStyle w:val="FootnoteReference"/>
        </w:rPr>
        <w:footnoteReference w:id="7"/>
      </w:r>
    </w:p>
    <w:p w:rsidR="00B8317F" w:rsidRDefault="00B8317F" w:rsidP="00B8317F">
      <w:pPr>
        <w:pStyle w:val="AERbulletlistfirststyle"/>
      </w:pPr>
      <w:r>
        <w:t>we had placed unreasonable weight on benchmarking analysis in rejecting and substituting Endeavour Energy's proposed opex. It considered that the benchmarking was subject to errors and limitations.</w:t>
      </w:r>
      <w:r>
        <w:rPr>
          <w:rStyle w:val="FootnoteReference"/>
        </w:rPr>
        <w:footnoteReference w:id="8"/>
      </w:r>
    </w:p>
    <w:p w:rsidR="00B8317F" w:rsidRDefault="00B8317F" w:rsidP="00B8317F">
      <w:pPr>
        <w:pStyle w:val="AERbulletlistfirststyle"/>
      </w:pPr>
      <w:r>
        <w:t>we had not considered safety and reliability risks in forming our substitute of base opex.</w:t>
      </w:r>
      <w:r>
        <w:rPr>
          <w:rStyle w:val="FootnoteReference"/>
        </w:rPr>
        <w:footnoteReference w:id="9"/>
      </w:r>
    </w:p>
    <w:p w:rsidR="00B8317F" w:rsidRPr="00855E4B" w:rsidRDefault="00B8317F" w:rsidP="00B8317F">
      <w:pPr>
        <w:pStyle w:val="AERbulletlistfirststyle"/>
      </w:pPr>
      <w:r w:rsidRPr="00855E4B">
        <w:lastRenderedPageBreak/>
        <w:t>we had taken an unreasonable approach to reviewing its proposed vegetation management costs. It considered we had undertaken a superficial review of benchmarking data and our approach to reviewing the proposed increase in costs relative to the base year failed to recognise that Endeavour Energy was not meeting its current regulatory obligations</w:t>
      </w:r>
      <w:r w:rsidRPr="005415D1">
        <w:t>.</w:t>
      </w:r>
      <w:r>
        <w:rPr>
          <w:rStyle w:val="FootnoteReference"/>
        </w:rPr>
        <w:footnoteReference w:id="10"/>
      </w:r>
      <w:r>
        <w:t xml:space="preserve"> </w:t>
      </w:r>
    </w:p>
    <w:p w:rsidR="00B8317F" w:rsidRPr="00B10C1A" w:rsidRDefault="00B8317F" w:rsidP="00B8317F">
      <w:pPr>
        <w:pStyle w:val="Heading2"/>
      </w:pPr>
      <w:bookmarkStart w:id="20" w:name="_Toc416960095"/>
      <w:bookmarkStart w:id="21" w:name="_Toc417659827"/>
      <w:bookmarkStart w:id="22" w:name="_Ref417660609"/>
      <w:bookmarkStart w:id="23" w:name="_Ref417661735"/>
      <w:r w:rsidRPr="00E40A0B">
        <w:t>Assessment approach</w:t>
      </w:r>
      <w:bookmarkEnd w:id="20"/>
      <w:bookmarkEnd w:id="21"/>
      <w:bookmarkEnd w:id="22"/>
      <w:bookmarkEnd w:id="23"/>
    </w:p>
    <w:p w:rsidR="00B8317F" w:rsidRPr="00654E80" w:rsidRDefault="00B8317F" w:rsidP="00B8317F">
      <w:pPr>
        <w:numPr>
          <w:ilvl w:val="0"/>
          <w:numId w:val="24"/>
        </w:numPr>
      </w:pPr>
      <w:r>
        <w:t>Our assessment approach, outlined below, is, for the most part</w:t>
      </w:r>
      <w:r>
        <w:rPr>
          <w:rStyle w:val="FootnoteReference"/>
        </w:rPr>
        <w:footnoteReference w:id="11"/>
      </w:r>
      <w:r>
        <w:t xml:space="preserve">, consistent with the </w:t>
      </w:r>
      <w:r w:rsidRPr="007A406C">
        <w:rPr>
          <w:rStyle w:val="AERbody"/>
        </w:rPr>
        <w:t>Expenditure forecast assessment guideline</w:t>
      </w:r>
      <w:r w:rsidRPr="00654E80">
        <w:rPr>
          <w:rStyle w:val="AERbody"/>
        </w:rPr>
        <w:t xml:space="preserve"> (</w:t>
      </w:r>
      <w:r>
        <w:rPr>
          <w:rStyle w:val="AERbody"/>
        </w:rPr>
        <w:t>the</w:t>
      </w:r>
      <w:r w:rsidRPr="00654E80">
        <w:rPr>
          <w:rStyle w:val="AERbody"/>
        </w:rPr>
        <w:t xml:space="preserve"> Guideline)</w:t>
      </w:r>
      <w:r>
        <w:t>.</w:t>
      </w:r>
      <w:r>
        <w:rPr>
          <w:rStyle w:val="FootnoteReference"/>
        </w:rPr>
        <w:footnoteReference w:id="12"/>
      </w:r>
      <w:r>
        <w:t xml:space="preserve"> </w:t>
      </w:r>
      <w:r w:rsidRPr="00654E80">
        <w:t>We decide whether or not to accept the service provider's total forecast opex. We accept the service provider's forecast if we are satisfied that it reasonably reflects the opex criteria.</w:t>
      </w:r>
      <w:r w:rsidRPr="00654E80">
        <w:rPr>
          <w:rStyle w:val="AERsuperscript"/>
        </w:rPr>
        <w:footnoteReference w:id="13"/>
      </w:r>
      <w:r w:rsidRPr="00654E80">
        <w:t xml:space="preserve"> If we are not satisfied, we replace it with a total forecast of opex that we are satisfied does reasonably reflect the opex criteria.</w:t>
      </w:r>
      <w:r w:rsidRPr="00654E80">
        <w:rPr>
          <w:rStyle w:val="AERsuperscript"/>
        </w:rPr>
        <w:footnoteReference w:id="14"/>
      </w:r>
      <w:r w:rsidRPr="00654E80">
        <w:t xml:space="preserve"> </w:t>
      </w:r>
    </w:p>
    <w:p w:rsidR="00B8317F" w:rsidRPr="00654E80" w:rsidRDefault="00B8317F" w:rsidP="00B8317F">
      <w:pPr>
        <w:numPr>
          <w:ilvl w:val="0"/>
          <w:numId w:val="24"/>
        </w:numPr>
      </w:pPr>
      <w:r w:rsidRPr="00654E80">
        <w:t>It is important to note that we make our assessment about the total forecast opex and not about particular categories or projects in the opex forecast. The Australian Energy Market Commission (AEMC) has expressed our role in these terms:</w:t>
      </w:r>
      <w:r w:rsidRPr="00654E80">
        <w:rPr>
          <w:rStyle w:val="FootnoteReference"/>
        </w:rPr>
        <w:footnoteReference w:id="15"/>
      </w:r>
    </w:p>
    <w:p w:rsidR="00B8317F" w:rsidRPr="00654E80" w:rsidRDefault="00B8317F" w:rsidP="00B8317F">
      <w:pPr>
        <w:pStyle w:val="AERquote"/>
      </w:pPr>
      <w:r w:rsidRPr="00654E80">
        <w:t>It should be noted here that what the AER approves in this context is expenditure allowances, not projects.</w:t>
      </w:r>
    </w:p>
    <w:p w:rsidR="00B8317F" w:rsidRPr="00654E80" w:rsidRDefault="00B8317F" w:rsidP="00B8317F">
      <w:pPr>
        <w:numPr>
          <w:ilvl w:val="0"/>
          <w:numId w:val="24"/>
        </w:numPr>
      </w:pPr>
      <w:r w:rsidRPr="00654E80">
        <w:t>The service provider’s forecast is intended to cover the expenditure that will be needed to achieve the operating expenditure objectives.  These objectives are:</w:t>
      </w:r>
      <w:r w:rsidRPr="00654E80">
        <w:rPr>
          <w:rStyle w:val="FootnoteReference"/>
        </w:rPr>
        <w:footnoteReference w:id="16"/>
      </w:r>
    </w:p>
    <w:p w:rsidR="00B8317F" w:rsidRPr="00654E80" w:rsidRDefault="00B8317F" w:rsidP="00B8317F">
      <w:pPr>
        <w:pStyle w:val="ListNumber"/>
        <w:numPr>
          <w:ilvl w:val="1"/>
          <w:numId w:val="24"/>
        </w:numPr>
      </w:pPr>
      <w:r w:rsidRPr="00654E80">
        <w:t>meeting or managing the expected demand for standard control services over the regulatory control period</w:t>
      </w:r>
    </w:p>
    <w:p w:rsidR="00B8317F" w:rsidRPr="00654E80" w:rsidRDefault="00B8317F" w:rsidP="00B8317F">
      <w:pPr>
        <w:pStyle w:val="ListNumber"/>
        <w:numPr>
          <w:ilvl w:val="1"/>
          <w:numId w:val="24"/>
        </w:numPr>
      </w:pPr>
      <w:r w:rsidRPr="00654E80">
        <w:t>complying with all applicable regulatory obligations or requirements associated with providing standard control services</w:t>
      </w:r>
    </w:p>
    <w:p w:rsidR="00B8317F" w:rsidRPr="00654E80" w:rsidRDefault="00B8317F" w:rsidP="00B8317F">
      <w:pPr>
        <w:pStyle w:val="ListNumber"/>
        <w:numPr>
          <w:ilvl w:val="1"/>
          <w:numId w:val="24"/>
        </w:numPr>
      </w:pPr>
      <w:r w:rsidRPr="00654E80">
        <w:t>where there is no regulatory obligation or requirement, maintaining the quality, reliability and security of supply of standard control services and maintaining the reliability and security of the distribution system</w:t>
      </w:r>
    </w:p>
    <w:p w:rsidR="00B8317F" w:rsidRPr="00654E80" w:rsidRDefault="00B8317F" w:rsidP="00B8317F">
      <w:pPr>
        <w:pStyle w:val="ListNumber"/>
        <w:numPr>
          <w:ilvl w:val="1"/>
          <w:numId w:val="24"/>
        </w:numPr>
      </w:pPr>
      <w:r w:rsidRPr="00654E80">
        <w:t>maintaining the safety of the distribution system through the supply of standard control services.</w:t>
      </w:r>
    </w:p>
    <w:p w:rsidR="00B8317F" w:rsidRPr="00654E80" w:rsidRDefault="00B8317F" w:rsidP="00B8317F">
      <w:pPr>
        <w:numPr>
          <w:ilvl w:val="0"/>
          <w:numId w:val="24"/>
        </w:numPr>
      </w:pPr>
      <w:r w:rsidRPr="00654E80">
        <w:t>We assess the proposed total forecast opex against the opex criteria set out in the NER. The opex criteria provide that the total forecast must reasonably reflect:</w:t>
      </w:r>
      <w:r w:rsidRPr="00654E80">
        <w:rPr>
          <w:rStyle w:val="AERsuperscript"/>
        </w:rPr>
        <w:footnoteReference w:id="17"/>
      </w:r>
    </w:p>
    <w:p w:rsidR="00B8317F" w:rsidRPr="00654E80" w:rsidRDefault="00B8317F" w:rsidP="00B8317F">
      <w:pPr>
        <w:pStyle w:val="ListNumber"/>
        <w:numPr>
          <w:ilvl w:val="1"/>
          <w:numId w:val="24"/>
        </w:numPr>
      </w:pPr>
      <w:r w:rsidRPr="00654E80">
        <w:lastRenderedPageBreak/>
        <w:t>the efficient costs of achieving the operating expenditure objectives</w:t>
      </w:r>
    </w:p>
    <w:p w:rsidR="00B8317F" w:rsidRPr="00654E80" w:rsidRDefault="00B8317F" w:rsidP="00B8317F">
      <w:pPr>
        <w:pStyle w:val="ListNumber"/>
        <w:numPr>
          <w:ilvl w:val="1"/>
          <w:numId w:val="24"/>
        </w:numPr>
      </w:pPr>
      <w:r w:rsidRPr="00654E80">
        <w:t>the costs that a prudent operator would require to achieve the operating expenditure objectives</w:t>
      </w:r>
    </w:p>
    <w:p w:rsidR="00B8317F" w:rsidRDefault="00B8317F" w:rsidP="00B8317F">
      <w:pPr>
        <w:pStyle w:val="ListNumber"/>
        <w:numPr>
          <w:ilvl w:val="1"/>
          <w:numId w:val="24"/>
        </w:numPr>
      </w:pPr>
      <w:r w:rsidRPr="00654E80">
        <w:t xml:space="preserve">a realistic expectation of the demand forecast and cost inputs required to achieve the operating expenditure objectives. </w:t>
      </w:r>
    </w:p>
    <w:p w:rsidR="00B8317F" w:rsidRPr="00654E80" w:rsidRDefault="00B8317F" w:rsidP="00B8317F">
      <w:r w:rsidRPr="00654E80">
        <w:t>The AEMC noted that '[t]hese criteria broadly reflect the NEO [National Electricity Objective]'.</w:t>
      </w:r>
      <w:r w:rsidRPr="00654E80">
        <w:rPr>
          <w:rStyle w:val="FootnoteReference"/>
        </w:rPr>
        <w:footnoteReference w:id="18"/>
      </w:r>
    </w:p>
    <w:p w:rsidR="00B8317F" w:rsidRPr="00654E80" w:rsidRDefault="00B8317F" w:rsidP="00B8317F">
      <w:pPr>
        <w:numPr>
          <w:ilvl w:val="0"/>
          <w:numId w:val="24"/>
        </w:numPr>
      </w:pPr>
      <w:r w:rsidRPr="00654E80">
        <w:t>In deciding whether or not we are satisfied the service provider's forecast reasonably reflects the opex criteria we have regard to the opex factors.</w:t>
      </w:r>
      <w:r w:rsidRPr="00654E80">
        <w:rPr>
          <w:rStyle w:val="FootnoteReference"/>
        </w:rPr>
        <w:footnoteReference w:id="19"/>
      </w:r>
      <w:r w:rsidRPr="00654E80">
        <w:t xml:space="preserve">  We attach different weight to different factors when making our decision to best achieve the N</w:t>
      </w:r>
      <w:r>
        <w:t>EO</w:t>
      </w:r>
      <w:r w:rsidRPr="00654E80">
        <w:t>.  This approach has been summarised by the AEMC as follows:</w:t>
      </w:r>
      <w:r w:rsidRPr="00654E80">
        <w:rPr>
          <w:rStyle w:val="FootnoteReference"/>
        </w:rPr>
        <w:footnoteReference w:id="20"/>
      </w:r>
    </w:p>
    <w:p w:rsidR="00B8317F" w:rsidRPr="00654E80" w:rsidRDefault="00B8317F" w:rsidP="00B8317F">
      <w:pPr>
        <w:pStyle w:val="AERquote"/>
      </w:pPr>
      <w:r w:rsidRPr="00654E80">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B8317F" w:rsidRPr="00654E80" w:rsidRDefault="00B8317F" w:rsidP="00B8317F">
      <w:pPr>
        <w:numPr>
          <w:ilvl w:val="0"/>
          <w:numId w:val="24"/>
        </w:numPr>
      </w:pPr>
      <w:r w:rsidRPr="00654E80">
        <w:t>The opex factors we have regard to are:</w:t>
      </w:r>
    </w:p>
    <w:p w:rsidR="00B8317F" w:rsidRPr="00B10C1A" w:rsidRDefault="00B8317F" w:rsidP="00B8317F">
      <w:pPr>
        <w:pStyle w:val="AERbulletlistfirststyle"/>
      </w:pPr>
      <w:r w:rsidRPr="00654E80">
        <w:t>the most recent annual benchmarking report that has been published under clause 6.27 and the benchmark operating expenditure that wou</w:t>
      </w:r>
      <w:r w:rsidRPr="00B10C1A">
        <w:t>ld be incurred by an efficient distribution network service provider over the relevant regulatory control period</w:t>
      </w:r>
    </w:p>
    <w:p w:rsidR="00B8317F" w:rsidRPr="00B10C1A" w:rsidRDefault="00B8317F" w:rsidP="00B8317F">
      <w:pPr>
        <w:pStyle w:val="AERbulletlistfirststyle"/>
      </w:pPr>
      <w:r w:rsidRPr="00654E80">
        <w:t>the actual and expected operating expenditur</w:t>
      </w:r>
      <w:r w:rsidRPr="00B10C1A">
        <w:t>e of the distribution network service provider during any preceding regulatory control periods</w:t>
      </w:r>
    </w:p>
    <w:p w:rsidR="00B8317F" w:rsidRPr="00B10C1A" w:rsidRDefault="00B8317F" w:rsidP="00B8317F">
      <w:pPr>
        <w:pStyle w:val="AERbulletlistfirststyle"/>
      </w:pPr>
      <w:r w:rsidRPr="00654E80">
        <w:t xml:space="preserve">the extent to which the operating expenditure forecast includes expenditure to address the concerns of electricity </w:t>
      </w:r>
      <w:r w:rsidRPr="00B10C1A">
        <w:t>consumers as identified by the distribution network service provider in the course of its engagement with electricity consumers</w:t>
      </w:r>
    </w:p>
    <w:p w:rsidR="00B8317F" w:rsidRPr="00B10C1A" w:rsidRDefault="00B8317F" w:rsidP="00B8317F">
      <w:pPr>
        <w:pStyle w:val="AERbulletlistfirststyle"/>
      </w:pPr>
      <w:r w:rsidRPr="00654E80">
        <w:t>the relative prices of operating and capital inputs</w:t>
      </w:r>
    </w:p>
    <w:p w:rsidR="00B8317F" w:rsidRPr="00B10C1A" w:rsidRDefault="00B8317F" w:rsidP="00B8317F">
      <w:pPr>
        <w:pStyle w:val="AERbulletlistfirststyle"/>
      </w:pPr>
      <w:r w:rsidRPr="00654E80">
        <w:t>the substitution possibilities between operating and capital expenditure</w:t>
      </w:r>
    </w:p>
    <w:p w:rsidR="00B8317F" w:rsidRPr="00B10C1A" w:rsidRDefault="00B8317F" w:rsidP="00B8317F">
      <w:pPr>
        <w:pStyle w:val="AERbulletlistfirststyle"/>
      </w:pPr>
      <w:r w:rsidRPr="00654E80">
        <w:t>whether the operating expenditure forecast is consistent with any incentive schem</w:t>
      </w:r>
      <w:r w:rsidRPr="00B10C1A">
        <w:t>e or schemes that apply to the distribution network service provider under clauses 6.5.8 or 6.6.2 to 6.6.4</w:t>
      </w:r>
    </w:p>
    <w:p w:rsidR="00B8317F" w:rsidRPr="00B10C1A" w:rsidRDefault="00B8317F" w:rsidP="00B8317F">
      <w:pPr>
        <w:pStyle w:val="AERbulletlistfirststyle"/>
      </w:pPr>
      <w:r w:rsidRPr="00654E80">
        <w:lastRenderedPageBreak/>
        <w:t>the extent the operating expenditure forecast is referable to arrangement</w:t>
      </w:r>
      <w:r w:rsidRPr="00B10C1A">
        <w:t>s with a person other than the distribution network service provider that, in our opinion, do not reflect arm’s length terms</w:t>
      </w:r>
    </w:p>
    <w:p w:rsidR="00B8317F" w:rsidRPr="00B10C1A" w:rsidRDefault="00B8317F" w:rsidP="00B8317F">
      <w:pPr>
        <w:pStyle w:val="AERbulletlistfirststyle"/>
      </w:pPr>
      <w:r w:rsidRPr="00654E80">
        <w:t>whether the operating expenditure forecast includes an amount relating to a project that should more appropriately be included as a contingent project under clause 6.6A.1(b)</w:t>
      </w:r>
    </w:p>
    <w:p w:rsidR="00B8317F" w:rsidRPr="00B10C1A" w:rsidRDefault="00B8317F" w:rsidP="00B8317F">
      <w:pPr>
        <w:pStyle w:val="AERbulletlistfirststyle"/>
      </w:pPr>
      <w:r w:rsidRPr="00654E80">
        <w:t>t</w:t>
      </w:r>
      <w:r w:rsidRPr="00B10C1A">
        <w:t xml:space="preserve">he extent to which the distribution network service provider has considered and made provision for efficient and prudent non-network alternatives </w:t>
      </w:r>
    </w:p>
    <w:p w:rsidR="00B8317F" w:rsidRPr="00B10C1A" w:rsidRDefault="00B8317F" w:rsidP="00B8317F">
      <w:pPr>
        <w:pStyle w:val="AERbulletlistfirststyle"/>
      </w:pPr>
      <w:r w:rsidRPr="00654E80">
        <w:t>any relevant final project assessment conclusions report published under 5.17.4(o),(p) or (s)</w:t>
      </w:r>
    </w:p>
    <w:p w:rsidR="00B8317F" w:rsidRPr="00B10C1A" w:rsidRDefault="00B8317F" w:rsidP="00B8317F">
      <w:pPr>
        <w:pStyle w:val="AERbulletlistfirststyle"/>
      </w:pPr>
      <w:r w:rsidRPr="00654E80">
        <w:t xml:space="preserve">any other factor we consider relevant </w:t>
      </w:r>
      <w:r w:rsidRPr="00B10C1A">
        <w:t xml:space="preserve">and which we have notified the distribution network service provider in writing, prior to the submission of its revised regulatory proposal under clause 6.10.3, is an operating expenditure factor. </w:t>
      </w:r>
    </w:p>
    <w:p w:rsidR="00B8317F" w:rsidRPr="00654E80" w:rsidRDefault="00B8317F" w:rsidP="00B8317F">
      <w:pPr>
        <w:numPr>
          <w:ilvl w:val="0"/>
          <w:numId w:val="24"/>
        </w:numPr>
      </w:pPr>
      <w:r w:rsidRPr="00654E80">
        <w:t>For this determination, there are two additional operating expenditure factors that we will take into account under the last opex factor above:</w:t>
      </w:r>
    </w:p>
    <w:p w:rsidR="00B8317F" w:rsidRPr="00B10C1A" w:rsidRDefault="00B8317F" w:rsidP="00B8317F">
      <w:pPr>
        <w:pStyle w:val="AERbulletlistfirststyle"/>
      </w:pPr>
      <w:r w:rsidRPr="00654E80">
        <w:t xml:space="preserve">our benchmarking data sets including, but not necessarily limited to: </w:t>
      </w:r>
    </w:p>
    <w:p w:rsidR="00B8317F" w:rsidRPr="00654E80" w:rsidRDefault="00B8317F" w:rsidP="00B8317F">
      <w:pPr>
        <w:pStyle w:val="ListBullet2"/>
        <w:numPr>
          <w:ilvl w:val="5"/>
          <w:numId w:val="24"/>
        </w:numPr>
      </w:pPr>
      <w:r w:rsidRPr="00654E80">
        <w:t xml:space="preserve">data contained in any economic benchmarking RIN, category analysis RIN, reset RIN or annual reporting RIN </w:t>
      </w:r>
    </w:p>
    <w:p w:rsidR="00B8317F" w:rsidRPr="00654E80" w:rsidRDefault="00B8317F" w:rsidP="00B8317F">
      <w:pPr>
        <w:pStyle w:val="ListBullet2"/>
        <w:numPr>
          <w:ilvl w:val="5"/>
          <w:numId w:val="24"/>
        </w:numPr>
      </w:pPr>
      <w:r w:rsidRPr="00654E80">
        <w:t>any relevant data from international sources</w:t>
      </w:r>
    </w:p>
    <w:p w:rsidR="00B8317F" w:rsidRPr="00654E80" w:rsidRDefault="00B8317F" w:rsidP="00B8317F">
      <w:pPr>
        <w:pStyle w:val="ListBullet2"/>
        <w:numPr>
          <w:ilvl w:val="5"/>
          <w:numId w:val="24"/>
        </w:numPr>
      </w:pPr>
      <w:r w:rsidRPr="000B67DC">
        <w:t xml:space="preserve">data sets that support econometric modelling and other assessment techniques consistent with the approach set out in </w:t>
      </w:r>
      <w:r>
        <w:t xml:space="preserve">the </w:t>
      </w:r>
      <w:r w:rsidRPr="000B67DC">
        <w:t>Guideline</w:t>
      </w:r>
    </w:p>
    <w:p w:rsidR="00B8317F" w:rsidRPr="00654E80" w:rsidRDefault="00B8317F" w:rsidP="00B8317F">
      <w:pPr>
        <w:pStyle w:val="ListContinue"/>
      </w:pPr>
      <w:r w:rsidRPr="00654E80">
        <w:t>as updated from time to time.</w:t>
      </w:r>
    </w:p>
    <w:p w:rsidR="00B8317F" w:rsidRPr="00B10C1A" w:rsidRDefault="00B8317F" w:rsidP="00B8317F">
      <w:pPr>
        <w:pStyle w:val="AERbulletlistfirststyle"/>
      </w:pPr>
      <w:r w:rsidRPr="00087842">
        <w:t>economic benchmarking techniques for assessing benchmark efficient</w:t>
      </w:r>
      <w:r w:rsidRPr="00B10C1A">
        <w:t xml:space="preserve"> expenditure including stochastic frontier analysis and regressions utilising functional forms such as Cobb Douglas and Translog.</w:t>
      </w:r>
      <w:r w:rsidRPr="00B10C1A">
        <w:rPr>
          <w:rStyle w:val="FootnoteReference"/>
        </w:rPr>
        <w:footnoteReference w:id="21"/>
      </w:r>
      <w:r w:rsidRPr="00B10C1A">
        <w:t xml:space="preserve"> </w:t>
      </w:r>
    </w:p>
    <w:p w:rsidR="00B8317F" w:rsidRPr="00654E80" w:rsidRDefault="00B8317F" w:rsidP="00B8317F">
      <w:pPr>
        <w:numPr>
          <w:ilvl w:val="0"/>
          <w:numId w:val="24"/>
        </w:numPr>
      </w:pPr>
      <w:r w:rsidRPr="00654E80">
        <w:t xml:space="preserve">For transparency and ease of reference, we have included a summary of how we have had regard to each of the opex factors in our assessment at the end of this attachment. </w:t>
      </w:r>
    </w:p>
    <w:p w:rsidR="00B8317F" w:rsidRDefault="00B8317F" w:rsidP="00B8317F">
      <w:pPr>
        <w:numPr>
          <w:ilvl w:val="0"/>
          <w:numId w:val="24"/>
        </w:numPr>
      </w:pPr>
      <w:r w:rsidRPr="00654E80">
        <w:t>More broadly, we also note in exercising our discretion, we take into account the revenue and pricing principles which are set out in the National Electricity Law.</w:t>
      </w:r>
      <w:r w:rsidRPr="00654E80">
        <w:rPr>
          <w:rStyle w:val="FootnoteReference"/>
        </w:rPr>
        <w:footnoteReference w:id="22"/>
      </w:r>
    </w:p>
    <w:p w:rsidR="009709B3" w:rsidRDefault="00B8317F" w:rsidP="00B8317F">
      <w:pPr>
        <w:numPr>
          <w:ilvl w:val="0"/>
          <w:numId w:val="24"/>
        </w:numPr>
      </w:pPr>
      <w:r>
        <w:t xml:space="preserve">This attachment sets out our general approach to assessment.  Our approach to assessment of particular aspects of the opex forecast is also set out in more detail in the relevant appendices. </w:t>
      </w:r>
    </w:p>
    <w:p w:rsidR="009709B3" w:rsidRDefault="009709B3">
      <w:pPr>
        <w:spacing w:line="240" w:lineRule="auto"/>
      </w:pPr>
      <w:r>
        <w:br w:type="page"/>
      </w:r>
    </w:p>
    <w:p w:rsidR="00B8317F" w:rsidRPr="00654E80" w:rsidRDefault="00B8317F" w:rsidP="00B8317F">
      <w:pPr>
        <w:pStyle w:val="HeadingBoldBlue"/>
      </w:pPr>
      <w:r>
        <w:lastRenderedPageBreak/>
        <w:t>Expenditure forecast assessment g</w:t>
      </w:r>
      <w:r w:rsidRPr="00654E80">
        <w:t>uideline</w:t>
      </w:r>
    </w:p>
    <w:p w:rsidR="00B8317F" w:rsidRPr="00654E80" w:rsidRDefault="00B8317F" w:rsidP="00B8317F">
      <w:pPr>
        <w:rPr>
          <w:rStyle w:val="AERbody"/>
        </w:rPr>
      </w:pPr>
      <w:r w:rsidRPr="00654E80">
        <w:rPr>
          <w:rStyle w:val="AERbody"/>
        </w:rPr>
        <w:t>After conducting an extensive consultation process with service providers, users, consumers and other interested stakeholders we i</w:t>
      </w:r>
      <w:r>
        <w:rPr>
          <w:rStyle w:val="AERbody"/>
        </w:rPr>
        <w:t>ssued the</w:t>
      </w:r>
      <w:r w:rsidRPr="00654E80">
        <w:rPr>
          <w:rStyle w:val="AERbody"/>
        </w:rPr>
        <w:t xml:space="preserve"> Guideline in November 2013 together with an explanatory statement.</w:t>
      </w:r>
      <w:r w:rsidRPr="00654E80">
        <w:rPr>
          <w:rStyle w:val="AERsuperscript"/>
        </w:rPr>
        <w:footnoteReference w:id="23"/>
      </w:r>
      <w:r w:rsidRPr="00654E80">
        <w:rPr>
          <w:rStyle w:val="AERsuperscript"/>
        </w:rPr>
        <w:t xml:space="preserve"> </w:t>
      </w:r>
      <w:r w:rsidRPr="00654E80">
        <w:rPr>
          <w:rStyle w:val="AERbody"/>
        </w:rPr>
        <w:t xml:space="preserve"> </w:t>
      </w:r>
      <w:r>
        <w:rPr>
          <w:rStyle w:val="AERbody"/>
        </w:rPr>
        <w:t>The</w:t>
      </w:r>
      <w:r w:rsidRPr="00654E80">
        <w:rPr>
          <w:rStyle w:val="AERbody"/>
        </w:rPr>
        <w:t xml:space="preserve"> Guideline sets out our intended approach to assessing operating expenditure in accordance with the NER.</w:t>
      </w:r>
      <w:r w:rsidRPr="00654E80">
        <w:rPr>
          <w:rStyle w:val="AERsuperscript"/>
        </w:rPr>
        <w:footnoteReference w:id="24"/>
      </w:r>
      <w:r w:rsidRPr="00654E80">
        <w:rPr>
          <w:rStyle w:val="AERbody"/>
        </w:rPr>
        <w:t xml:space="preserve">   </w:t>
      </w:r>
    </w:p>
    <w:p w:rsidR="00B8317F" w:rsidRPr="00654E80" w:rsidRDefault="00B8317F" w:rsidP="00B8317F">
      <w:r w:rsidRPr="00654E80">
        <w:t xml:space="preserve">We may depart from the approach set out in </w:t>
      </w:r>
      <w:r>
        <w:t xml:space="preserve">the </w:t>
      </w:r>
      <w:r w:rsidRPr="00654E80">
        <w:t xml:space="preserve">Guideline but if we do so we give reasons for doing so. In this determination </w:t>
      </w:r>
      <w:r>
        <w:t>for the most part we have</w:t>
      </w:r>
      <w:r w:rsidRPr="00654E80">
        <w:t xml:space="preserve"> not departed from the approach set out in </w:t>
      </w:r>
      <w:r>
        <w:t>the</w:t>
      </w:r>
      <w:r w:rsidRPr="00654E80">
        <w:t xml:space="preserve"> Guideline.</w:t>
      </w:r>
      <w:r>
        <w:rPr>
          <w:rStyle w:val="FootnoteReference"/>
        </w:rPr>
        <w:footnoteReference w:id="25"/>
      </w:r>
      <w:r w:rsidRPr="00654E80">
        <w:t xml:space="preserve"> In our Framework and Approach paper for each service provider, we set out our intention to apply </w:t>
      </w:r>
      <w:r>
        <w:t>the</w:t>
      </w:r>
      <w:r w:rsidRPr="00654E80">
        <w:t xml:space="preserve"> </w:t>
      </w:r>
      <w:r>
        <w:t>G</w:t>
      </w:r>
      <w:r w:rsidRPr="00654E80">
        <w:t>uideline approach in making this determination.</w:t>
      </w:r>
      <w:r>
        <w:rPr>
          <w:rStyle w:val="FootnoteReference"/>
        </w:rPr>
        <w:footnoteReference w:id="26"/>
      </w:r>
    </w:p>
    <w:p w:rsidR="00B8317F" w:rsidRPr="00654E80" w:rsidRDefault="00B8317F" w:rsidP="00B8317F">
      <w:r w:rsidRPr="00654E80">
        <w:t>Our approach is to compare the service provider's total forecast opex with an alternative estimatethat we develop .</w:t>
      </w:r>
      <w:r w:rsidRPr="00654E80">
        <w:rPr>
          <w:rStyle w:val="FootnoteReference"/>
        </w:rPr>
        <w:footnoteReference w:id="27"/>
      </w:r>
      <w:r w:rsidRPr="00654E80">
        <w:t xml:space="preserve"> By doing this we form a view on whether we are satisfied that the service provider's proposed total forecast opex reasonably reflects the</w:t>
      </w:r>
      <w:r>
        <w:t xml:space="preserve"> opex </w:t>
      </w:r>
      <w:r w:rsidRPr="00654E80">
        <w:t>criteria. If we conclude the proposal does not reasonably reflect the opex criteria, we use our estimate as a substitute forecast. This approach was expressly endorsed by the AEMC in its decision on the major rule changes that were introduced in November 2012. The AEMC stated:</w:t>
      </w:r>
      <w:r w:rsidRPr="00654E80">
        <w:rPr>
          <w:rStyle w:val="FootnoteReference"/>
        </w:rPr>
        <w:footnoteReference w:id="28"/>
      </w:r>
    </w:p>
    <w:p w:rsidR="00B8317F" w:rsidRPr="00654E80" w:rsidRDefault="00B8317F" w:rsidP="00B8317F">
      <w:pPr>
        <w:pStyle w:val="AERquote"/>
      </w:pPr>
      <w:r w:rsidRPr="00654E80">
        <w:t>While the AER must form a view as to whether a NSP's proposal is reasonable, this is not a separate exercise from determining an appropriate substitute in the event the AER decides the proposal is not reasonable. For example, benchmarking the NSP against others will provide an indication of both whether the proposal is reasonable and what a substitute should be. Both the consideration of "reasonable" and the determination of the substitute must be in respect of the total for capex and opex.</w:t>
      </w:r>
    </w:p>
    <w:p w:rsidR="00B8317F" w:rsidRPr="00654E80" w:rsidRDefault="00B8317F" w:rsidP="00B8317F">
      <w:pPr>
        <w:numPr>
          <w:ilvl w:val="0"/>
          <w:numId w:val="24"/>
        </w:numPr>
      </w:pPr>
      <w:r w:rsidRPr="00654E80">
        <w:t xml:space="preserve">Our estimate is unlikely to exactly match the service provider's forecast because the service provider may not adopt the same forecasting method. However, if the service provider's inputs and assumptions are reasonable, its method should produce a forecast consistent with our estimate. </w:t>
      </w:r>
    </w:p>
    <w:p w:rsidR="00B8317F" w:rsidRPr="00654E80" w:rsidRDefault="00B8317F" w:rsidP="00B8317F">
      <w:pPr>
        <w:numPr>
          <w:ilvl w:val="0"/>
          <w:numId w:val="24"/>
        </w:numPr>
      </w:pPr>
      <w:r w:rsidRPr="00654E80">
        <w:t xml:space="preserve">If a service provider's total forecast opex is materially different to our estimate and </w:t>
      </w:r>
      <w:r>
        <w:t xml:space="preserve">we find </w:t>
      </w:r>
      <w:r w:rsidRPr="00654E80">
        <w:t xml:space="preserve">no satisfactory explanation for this difference, we may form the view that the service provider's forecast does not reasonably reflect the opex criteria. Conversely, if our estimate demonstrates that the service provider's forecast reasonably reflects the </w:t>
      </w:r>
      <w:r>
        <w:lastRenderedPageBreak/>
        <w:t>opex</w:t>
      </w:r>
      <w:r w:rsidRPr="00654E80">
        <w:t xml:space="preserve"> criteria, we will accept the forecast.</w:t>
      </w:r>
      <w:r w:rsidRPr="00654E80">
        <w:rPr>
          <w:rStyle w:val="FootnoteReference"/>
        </w:rPr>
        <w:footnoteReference w:id="29"/>
      </w:r>
      <w:r w:rsidRPr="00654E80">
        <w:t xml:space="preserve"> Whether or not we accept a service provider's forecast, we </w:t>
      </w:r>
      <w:r>
        <w:t>must</w:t>
      </w:r>
      <w:r w:rsidRPr="00654E80">
        <w:t xml:space="preserve"> provide the reasons for our decision.</w:t>
      </w:r>
      <w:r w:rsidRPr="00654E80">
        <w:rPr>
          <w:rStyle w:val="FootnoteReference"/>
        </w:rPr>
        <w:footnoteReference w:id="30"/>
      </w:r>
    </w:p>
    <w:p w:rsidR="00B8317F" w:rsidRPr="00654E80" w:rsidRDefault="00B8317F" w:rsidP="00B8317F">
      <w:pPr>
        <w:pStyle w:val="HeadingBoldBlue"/>
      </w:pPr>
      <w:r w:rsidRPr="00654E80">
        <w:t>Building an alternative estimate of total forecast opex</w:t>
      </w:r>
    </w:p>
    <w:p w:rsidR="00B8317F" w:rsidRDefault="00B8317F" w:rsidP="00B8317F">
      <w:pPr>
        <w:numPr>
          <w:ilvl w:val="0"/>
          <w:numId w:val="24"/>
        </w:numPr>
      </w:pPr>
      <w:r w:rsidRPr="00654E80">
        <w:t>Our approach to forming an alternative estimate of opex involves five key steps</w:t>
      </w:r>
      <w:r>
        <w:t xml:space="preserve"> which we outline below in </w:t>
      </w:r>
      <w:r>
        <w:fldChar w:fldCharType="begin"/>
      </w:r>
      <w:r>
        <w:instrText xml:space="preserve"> REF _Ref417654970 \h </w:instrText>
      </w:r>
      <w:r>
        <w:fldChar w:fldCharType="separate"/>
      </w:r>
      <w:r w:rsidR="00C57342">
        <w:t xml:space="preserve">Figure </w:t>
      </w:r>
      <w:r w:rsidR="00C57342">
        <w:rPr>
          <w:noProof/>
        </w:rPr>
        <w:t>7</w:t>
      </w:r>
      <w:r w:rsidR="00C57342">
        <w:t>.</w:t>
      </w:r>
      <w:r w:rsidR="00C57342">
        <w:rPr>
          <w:noProof/>
        </w:rPr>
        <w:t>2</w:t>
      </w:r>
      <w:r>
        <w:fldChar w:fldCharType="end"/>
      </w:r>
      <w:r>
        <w:t>.</w:t>
      </w:r>
    </w:p>
    <w:p w:rsidR="00B8317F" w:rsidRDefault="00B8317F" w:rsidP="00B8317F">
      <w:pPr>
        <w:pStyle w:val="Caption"/>
      </w:pPr>
      <w:bookmarkStart w:id="24" w:name="_Ref417654970"/>
      <w:r>
        <w:lastRenderedPageBreak/>
        <w:t xml:space="preserve">Figure </w:t>
      </w:r>
      <w:fldSimple w:instr=" STYLEREF 1 \s ">
        <w:r w:rsidR="00C57342">
          <w:rPr>
            <w:noProof/>
          </w:rPr>
          <w:t>7</w:t>
        </w:r>
      </w:fldSimple>
      <w:r>
        <w:t>.</w:t>
      </w:r>
      <w:r w:rsidR="00A66A4E">
        <w:fldChar w:fldCharType="begin"/>
      </w:r>
      <w:r w:rsidR="00A66A4E">
        <w:instrText xml:space="preserve"> SEQ Figure \* ARABIC \s 1 </w:instrText>
      </w:r>
      <w:r w:rsidR="00A66A4E">
        <w:fldChar w:fldCharType="separate"/>
      </w:r>
      <w:r w:rsidR="00C57342">
        <w:rPr>
          <w:noProof/>
        </w:rPr>
        <w:t>2</w:t>
      </w:r>
      <w:r w:rsidR="00A66A4E">
        <w:rPr>
          <w:noProof/>
        </w:rPr>
        <w:fldChar w:fldCharType="end"/>
      </w:r>
      <w:bookmarkEnd w:id="24"/>
      <w:r>
        <w:tab/>
        <w:t>Our assessment approach</w:t>
      </w:r>
    </w:p>
    <w:p w:rsidR="00B8317F" w:rsidRDefault="00B8317F" w:rsidP="00B8317F">
      <w:r w:rsidRPr="00B8317F">
        <w:rPr>
          <w:noProof/>
          <w:lang w:eastAsia="en-AU"/>
        </w:rPr>
        <w:drawing>
          <wp:inline distT="0" distB="0" distL="0" distR="0" wp14:anchorId="1701CDBE" wp14:editId="3B3EA5F3">
            <wp:extent cx="5380075" cy="7453424"/>
            <wp:effectExtent l="76200" t="57150" r="68580" b="9080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8317F" w:rsidRDefault="00B8317F" w:rsidP="00B8317F"/>
    <w:p w:rsidR="00B8317F" w:rsidRDefault="00B8317F" w:rsidP="00B8317F"/>
    <w:p w:rsidR="00B8317F" w:rsidRPr="00654E80" w:rsidRDefault="00B8317F" w:rsidP="00B8317F"/>
    <w:p w:rsidR="00B8317F" w:rsidRPr="00654E80" w:rsidRDefault="00B8317F" w:rsidP="00B8317F">
      <w:pPr>
        <w:numPr>
          <w:ilvl w:val="0"/>
          <w:numId w:val="24"/>
        </w:numPr>
      </w:pPr>
      <w:r w:rsidRPr="00654E80">
        <w:t>Underlying our approach are two general assumptions:</w:t>
      </w:r>
    </w:p>
    <w:p w:rsidR="00B8317F" w:rsidRPr="00654E80" w:rsidRDefault="00B8317F" w:rsidP="00B8317F">
      <w:pPr>
        <w:pStyle w:val="ListNumber"/>
        <w:numPr>
          <w:ilvl w:val="1"/>
          <w:numId w:val="24"/>
        </w:numPr>
      </w:pPr>
      <w:r w:rsidRPr="00654E80">
        <w:t>the efficiency criterion and the prudenc</w:t>
      </w:r>
      <w:r>
        <w:t>y</w:t>
      </w:r>
      <w:r w:rsidRPr="00654E80">
        <w:t xml:space="preserve"> criterion in the NER are complementary</w:t>
      </w:r>
    </w:p>
    <w:p w:rsidR="00B8317F" w:rsidRPr="00654E80" w:rsidRDefault="00B8317F" w:rsidP="00B8317F">
      <w:pPr>
        <w:pStyle w:val="ListNumber"/>
        <w:numPr>
          <w:ilvl w:val="1"/>
          <w:numId w:val="24"/>
        </w:numPr>
      </w:pPr>
      <w:r w:rsidRPr="00654E80">
        <w:t>actual expenditure was sufficient to achieve the</w:t>
      </w:r>
      <w:r>
        <w:t xml:space="preserve"> opex</w:t>
      </w:r>
      <w:r w:rsidRPr="00654E80">
        <w:t xml:space="preserve"> objectives in the past.</w:t>
      </w:r>
    </w:p>
    <w:p w:rsidR="00B8317F" w:rsidRPr="00654E80" w:rsidRDefault="00B8317F" w:rsidP="00B8317F">
      <w:pPr>
        <w:numPr>
          <w:ilvl w:val="0"/>
          <w:numId w:val="24"/>
        </w:numPr>
      </w:pPr>
      <w:r w:rsidRPr="00654E80">
        <w:t xml:space="preserve">We have used this general approach in our past decisions.  It is a well-regarded top-down forecasting model that has been employed by a number of Australian regulators over the last fifteen years. We refer to it as a ‘revealed cost method’ in </w:t>
      </w:r>
      <w:r>
        <w:t xml:space="preserve">the </w:t>
      </w:r>
      <w:r w:rsidRPr="00654E80">
        <w:t xml:space="preserve"> Guideline (and we have sometimes referred to it as the base-step-trend method in our past regulatory decisions).</w:t>
      </w:r>
      <w:r>
        <w:rPr>
          <w:rStyle w:val="FootnoteReference"/>
        </w:rPr>
        <w:footnoteReference w:id="31"/>
      </w:r>
    </w:p>
    <w:p w:rsidR="00B8317F" w:rsidRPr="00654E80" w:rsidRDefault="00B8317F" w:rsidP="00B8317F">
      <w:pPr>
        <w:numPr>
          <w:ilvl w:val="0"/>
          <w:numId w:val="24"/>
        </w:numPr>
      </w:pPr>
      <w:r w:rsidRPr="00654E80">
        <w:t xml:space="preserve">While these general steps are consistent with our past determinations, we have adopted a significant change in how we give effect to this approach, following the major changes to the NER made in November 2012. Those changes placed significant new emphasis on the use of benchmarking in our </w:t>
      </w:r>
      <w:r>
        <w:t>opex</w:t>
      </w:r>
      <w:r w:rsidRPr="00654E80">
        <w:t xml:space="preserve"> analysis. We will now issue benchmarking reports annually and have regard to those reports. These benchmarking reports provide us with one of a number of inputs for </w:t>
      </w:r>
      <w:r>
        <w:t>determining forecast opex.</w:t>
      </w:r>
    </w:p>
    <w:p w:rsidR="00B8317F" w:rsidRPr="00654E80" w:rsidRDefault="00B8317F" w:rsidP="00B8317F">
      <w:pPr>
        <w:numPr>
          <w:ilvl w:val="0"/>
          <w:numId w:val="24"/>
        </w:numPr>
      </w:pPr>
      <w:r w:rsidRPr="00654E80">
        <w:t>We have set out more detail about each of the steps we follow in constructing our forecast below.</w:t>
      </w:r>
    </w:p>
    <w:p w:rsidR="00B8317F" w:rsidRPr="00654E80" w:rsidRDefault="00B8317F" w:rsidP="00B8317F">
      <w:pPr>
        <w:pStyle w:val="HeadingBoldItalic"/>
        <w:numPr>
          <w:ilvl w:val="0"/>
          <w:numId w:val="24"/>
        </w:numPr>
      </w:pPr>
      <w:r w:rsidRPr="00654E80">
        <w:t>Step 1 – Starting point - base year expenditure</w:t>
      </w:r>
    </w:p>
    <w:p w:rsidR="00B8317F" w:rsidRPr="00654E80" w:rsidRDefault="00B8317F" w:rsidP="00B8317F">
      <w:pPr>
        <w:numPr>
          <w:ilvl w:val="0"/>
          <w:numId w:val="24"/>
        </w:numPr>
      </w:pPr>
      <w:r w:rsidRPr="00654E80">
        <w:t>We prefer to use a recent year for which audited figures are available as the starting point for our analysis. We call this the base year for a number of reasons:</w:t>
      </w:r>
    </w:p>
    <w:p w:rsidR="00B8317F" w:rsidRPr="00B10C1A" w:rsidRDefault="00B8317F" w:rsidP="00B8317F">
      <w:pPr>
        <w:pStyle w:val="AERbulletlistfirststyle"/>
      </w:pPr>
      <w:r w:rsidRPr="00654E80">
        <w:t xml:space="preserve">As total opex tends to be relatively recurrent, total opex in a recent year typically best reflects a service provider's current circumstances. </w:t>
      </w:r>
    </w:p>
    <w:p w:rsidR="00B8317F" w:rsidRPr="00B10C1A" w:rsidRDefault="00B8317F" w:rsidP="00B8317F">
      <w:pPr>
        <w:pStyle w:val="AERbulletlistfirststyle"/>
      </w:pPr>
      <w:r w:rsidRPr="00654E80">
        <w:t xml:space="preserve">During the past regulatory control period, we </w:t>
      </w:r>
      <w:r>
        <w:t>had</w:t>
      </w:r>
      <w:r w:rsidRPr="00654E80">
        <w:t xml:space="preserve"> incentives in place to reward the service provider for making efficiency improvements by allowing it to retain a portion of the efficiency savings it makes. Similarly, we penalise the service provider when it is relatively less efficient. This gives us confidence that the service provider did not spend more in the proposed base year to try to inflate its opex forecast for the next regulatory control period. </w:t>
      </w:r>
    </w:p>
    <w:p w:rsidR="00B8317F" w:rsidRPr="00B10C1A" w:rsidRDefault="00B8317F" w:rsidP="00B8317F">
      <w:pPr>
        <w:pStyle w:val="AERbulletlistfirststyle"/>
      </w:pPr>
      <w:r w:rsidRPr="00654E80">
        <w:t>Service providers also face many regulatory obligations in delivering services to consumers.   These regulatory obligations ensure that the financial incentives a service provider faces to reduce its costs are balanced by obligations to deliver services safely and reliably. In general, this gives us confidence that recent historical opex will be at least enough to achieve the opex objectives.</w:t>
      </w:r>
    </w:p>
    <w:p w:rsidR="00B8317F" w:rsidRPr="00654E80" w:rsidRDefault="00B8317F" w:rsidP="00B8317F">
      <w:pPr>
        <w:numPr>
          <w:ilvl w:val="0"/>
          <w:numId w:val="24"/>
        </w:numPr>
      </w:pPr>
      <w:r w:rsidRPr="00654E80">
        <w:t>In choosing a base year, we need to make a decision as to whether any categories of opex incurred in the base year should be removed. For instance:</w:t>
      </w:r>
    </w:p>
    <w:p w:rsidR="00B8317F" w:rsidRPr="00B10C1A" w:rsidRDefault="00B8317F" w:rsidP="00B8317F">
      <w:pPr>
        <w:pStyle w:val="AERbulletlistfirststyle"/>
      </w:pPr>
      <w:r w:rsidRPr="00654E80">
        <w:lastRenderedPageBreak/>
        <w:t>If a material cost was incurred in the base year that is unrepresentative of a service provider's future opex we</w:t>
      </w:r>
      <w:r>
        <w:t xml:space="preserve"> may</w:t>
      </w:r>
      <w:r w:rsidRPr="00654E80">
        <w:t xml:space="preserve"> remove it from the base year in undertaking our assessment. </w:t>
      </w:r>
    </w:p>
    <w:p w:rsidR="00B8317F" w:rsidRPr="00B10C1A" w:rsidRDefault="00B8317F" w:rsidP="00B8317F">
      <w:pPr>
        <w:pStyle w:val="AERbulletlistfirststyle"/>
      </w:pPr>
      <w:r w:rsidRPr="00654E80">
        <w:t>Rather than use all opex in the base year, service providers also often forecast specific categories of opex using different methods. We must also assess these methods in deciding what the starting point should be. If we agree that these categories of opex should be assessed differently, we will also remove them from the base year.</w:t>
      </w:r>
    </w:p>
    <w:p w:rsidR="00B8317F" w:rsidRPr="00654E80" w:rsidRDefault="00B8317F" w:rsidP="00B8317F">
      <w:pPr>
        <w:numPr>
          <w:ilvl w:val="0"/>
          <w:numId w:val="24"/>
        </w:numPr>
      </w:pPr>
      <w:r w:rsidRPr="00654E80">
        <w:t xml:space="preserve">As part of this step we also need to consider any interactions with the incentive scheme for opex, the Efficiency Benefit Sharing Scheme (EBSS). The EBSS is designed to achieve a fair sharing of efficiency gains and losses between a service provider and its consumers. Under the EBSS, service providers receive a financial reward for reducing their costs in the regulatory control period and a financial penalty for increasing their costs. The benefits of </w:t>
      </w:r>
      <w:r>
        <w:t>a reduction</w:t>
      </w:r>
      <w:r w:rsidRPr="00654E80">
        <w:t xml:space="preserve"> in opex flow through to consumers as long as base year opex is no higher than the opex incurred in that year. Similarly, the costs of an increase in opex flow through to consumers if base year opex is no lower than the opex incurred in that year. If the starting point is not consistent with the EBSS, service providers could be excessively rewarded for efficiency gains or excessively penalised for efficiency losses in the prior regulatory control period.</w:t>
      </w:r>
    </w:p>
    <w:p w:rsidR="00B8317F" w:rsidRPr="00654E80" w:rsidRDefault="00B8317F" w:rsidP="00B8317F">
      <w:pPr>
        <w:pStyle w:val="HeadingBoldItalic"/>
        <w:numPr>
          <w:ilvl w:val="0"/>
          <w:numId w:val="24"/>
        </w:numPr>
      </w:pPr>
      <w:r w:rsidRPr="00654E80">
        <w:t>Step 2 - Assessing base year expenditure</w:t>
      </w:r>
    </w:p>
    <w:p w:rsidR="00B8317F" w:rsidRPr="00654E80" w:rsidRDefault="00B8317F" w:rsidP="00B8317F">
      <w:pPr>
        <w:numPr>
          <w:ilvl w:val="0"/>
          <w:numId w:val="24"/>
        </w:numPr>
      </w:pPr>
      <w:r w:rsidRPr="00654E80">
        <w:t>Regardless of the base year we choose, the service provider's actual expenditure may not reflect the opex criteria. For example, it may not be efficient or management may not have acted prudently in its governance and decision-making processes. We must test whether actual expenditure in that year should be used to forecast efficient opex in the next regulatory control period.</w:t>
      </w:r>
    </w:p>
    <w:p w:rsidR="00B8317F" w:rsidRPr="00654E80" w:rsidRDefault="00B8317F" w:rsidP="00B8317F">
      <w:pPr>
        <w:numPr>
          <w:ilvl w:val="0"/>
          <w:numId w:val="24"/>
        </w:numPr>
      </w:pPr>
      <w:r w:rsidRPr="00654E80">
        <w:t xml:space="preserve">As we set out in </w:t>
      </w:r>
      <w:r>
        <w:t>the</w:t>
      </w:r>
      <w:r w:rsidRPr="00654E80">
        <w:t xml:space="preserve"> Guideline, to assess the efficiency of a service provider's actual expenditure, we use a number of different techniques.</w:t>
      </w:r>
      <w:r w:rsidRPr="00654E80">
        <w:rPr>
          <w:rStyle w:val="FootnoteReference"/>
        </w:rPr>
        <w:footnoteReference w:id="32"/>
      </w:r>
    </w:p>
    <w:p w:rsidR="00B8317F" w:rsidRPr="00654E80" w:rsidRDefault="00B8317F" w:rsidP="00B8317F">
      <w:pPr>
        <w:numPr>
          <w:ilvl w:val="0"/>
          <w:numId w:val="24"/>
        </w:numPr>
      </w:pPr>
      <w:r w:rsidRPr="00654E80">
        <w:t>For instance, we may undertake a detailed review of a service provider's actual opex. For this</w:t>
      </w:r>
      <w:r>
        <w:t xml:space="preserve"> final</w:t>
      </w:r>
      <w:r w:rsidRPr="00654E80">
        <w:t xml:space="preserve"> decision, we have </w:t>
      </w:r>
      <w:r>
        <w:t>engaged Deloitte to review</w:t>
      </w:r>
      <w:r w:rsidRPr="00654E80">
        <w:t xml:space="preserve"> </w:t>
      </w:r>
      <w:r>
        <w:t>Endeavour Energy's</w:t>
      </w:r>
      <w:r w:rsidRPr="00654E80">
        <w:t xml:space="preserve"> labour and workforce</w:t>
      </w:r>
      <w:r>
        <w:t xml:space="preserve"> </w:t>
      </w:r>
      <w:r w:rsidRPr="00654E80">
        <w:t xml:space="preserve">practices. </w:t>
      </w:r>
    </w:p>
    <w:p w:rsidR="00B8317F" w:rsidRPr="00654E80" w:rsidRDefault="00B8317F" w:rsidP="00B8317F">
      <w:pPr>
        <w:numPr>
          <w:ilvl w:val="0"/>
          <w:numId w:val="24"/>
        </w:numPr>
      </w:pPr>
      <w:r w:rsidRPr="00654E80">
        <w:t>Benchmarking is particularly important in comparing the relative efficiency of different service providers. The AEMC highlighted the importance of benchmarking in its changes to the NER in November 2012:</w:t>
      </w:r>
      <w:r w:rsidRPr="00654E80">
        <w:rPr>
          <w:rStyle w:val="FootnoteReference"/>
        </w:rPr>
        <w:footnoteReference w:id="33"/>
      </w:r>
    </w:p>
    <w:p w:rsidR="00B8317F" w:rsidRPr="00654E80" w:rsidRDefault="00B8317F" w:rsidP="00B8317F">
      <w:pPr>
        <w:pStyle w:val="AERquote"/>
      </w:pPr>
      <w:r w:rsidRPr="00654E80">
        <w:t>The Commission views benchmarking as an important exercise in assessing the efficiency of a NSP and informing the determination of the appropriate capex or opex allowance.</w:t>
      </w:r>
    </w:p>
    <w:p w:rsidR="00B8317F" w:rsidRPr="00654E80" w:rsidRDefault="00B8317F" w:rsidP="00B8317F">
      <w:pPr>
        <w:numPr>
          <w:ilvl w:val="0"/>
          <w:numId w:val="24"/>
        </w:numPr>
      </w:pPr>
      <w:r w:rsidRPr="00654E80">
        <w:lastRenderedPageBreak/>
        <w:t>By benchmarking a service provider's expenditure we can compare its productivity over time, and to other service providers. For this decision we have used Multilateral Total Factor Productivity,</w:t>
      </w:r>
      <w:r>
        <w:t xml:space="preserve"> Multilateral</w:t>
      </w:r>
      <w:r w:rsidRPr="00654E80">
        <w:t xml:space="preserve"> Partial Factor Productivity and several opex cost function models to assess </w:t>
      </w:r>
      <w:r>
        <w:t>Endeavour Energy's</w:t>
      </w:r>
      <w:r w:rsidRPr="00654E80">
        <w:t xml:space="preserve"> efficiency.</w:t>
      </w:r>
      <w:r>
        <w:rPr>
          <w:rStyle w:val="FootnoteReference"/>
        </w:rPr>
        <w:footnoteReference w:id="34"/>
      </w:r>
      <w:r w:rsidRPr="00654E80">
        <w:t xml:space="preserve"> </w:t>
      </w:r>
    </w:p>
    <w:p w:rsidR="00B8317F" w:rsidRPr="00654E80" w:rsidRDefault="00B8317F" w:rsidP="00B8317F">
      <w:pPr>
        <w:numPr>
          <w:ilvl w:val="0"/>
          <w:numId w:val="24"/>
        </w:numPr>
      </w:pPr>
      <w:r w:rsidRPr="00654E80">
        <w:t xml:space="preserve">We also have regard to trends in total opex and category specific data to construct category benchmarks. We have </w:t>
      </w:r>
      <w:r>
        <w:t xml:space="preserve">also </w:t>
      </w:r>
      <w:r w:rsidRPr="00654E80">
        <w:t xml:space="preserve">used this information to inform our assessment of the efficiency of base year expenditure.  In particular, we can use this category analysis data to </w:t>
      </w:r>
      <w:r>
        <w:t>identify sources of spending that are unlikely to reflect the opex criteria over the forecast period</w:t>
      </w:r>
      <w:r w:rsidRPr="00654E80">
        <w:t xml:space="preserve">. It may also lend support to, or identify potential inconsistencies with, our broader benchmark modelling. </w:t>
      </w:r>
    </w:p>
    <w:p w:rsidR="00B8317F" w:rsidRPr="00654E80" w:rsidRDefault="00B8317F" w:rsidP="00B8317F">
      <w:pPr>
        <w:numPr>
          <w:ilvl w:val="0"/>
          <w:numId w:val="24"/>
        </w:numPr>
      </w:pPr>
      <w:r w:rsidRPr="00654E80">
        <w:t>If we determine that a service provider's base year expenditure does not reasonably reflect the opex criteria, we will not use it as our starting point for our estimate of total forecast opex. Rather, we will adjust it so it reflects an efficient, recurrent level of opex that does reflect the opex criteria. To arrive at an adjustment, we use the same techniques we used to assess the service provider's efficiency.</w:t>
      </w:r>
    </w:p>
    <w:p w:rsidR="00B8317F" w:rsidRPr="00654E80" w:rsidRDefault="00B8317F" w:rsidP="00B8317F">
      <w:pPr>
        <w:pStyle w:val="HeadingBoldItalic"/>
        <w:numPr>
          <w:ilvl w:val="0"/>
          <w:numId w:val="24"/>
        </w:numPr>
      </w:pPr>
      <w:r w:rsidRPr="00654E80">
        <w:t>Step 3 - Rate of change</w:t>
      </w:r>
    </w:p>
    <w:p w:rsidR="00B8317F" w:rsidRPr="00654E80" w:rsidRDefault="00B8317F" w:rsidP="00B8317F">
      <w:pPr>
        <w:numPr>
          <w:ilvl w:val="0"/>
          <w:numId w:val="24"/>
        </w:numPr>
      </w:pPr>
      <w:r w:rsidRPr="00654E80">
        <w:t xml:space="preserve">Once we have chosen </w:t>
      </w:r>
      <w:r>
        <w:t>a</w:t>
      </w:r>
      <w:r w:rsidRPr="00654E80">
        <w:t xml:space="preserve"> starting point</w:t>
      </w:r>
      <w:r>
        <w:t xml:space="preserve"> that reflects the opex criteria</w:t>
      </w:r>
      <w:r w:rsidRPr="00654E80">
        <w:t xml:space="preserve">, we apply an annual escalator to take account of the likely ongoing changes to opex over the forecast regulatory control period. </w:t>
      </w:r>
      <w:r>
        <w:t>Opex that reflects the opex criteria</w:t>
      </w:r>
      <w:r w:rsidRPr="00654E80">
        <w:t xml:space="preserve"> in the forecast regulatory control period could reasonably differ from the starting point due to changes in: </w:t>
      </w:r>
    </w:p>
    <w:p w:rsidR="00B8317F" w:rsidRPr="00B10C1A" w:rsidRDefault="00B8317F" w:rsidP="00B8317F">
      <w:pPr>
        <w:pStyle w:val="AERbulletlistfirststyle"/>
      </w:pPr>
      <w:r>
        <w:t>p</w:t>
      </w:r>
      <w:r w:rsidRPr="00654E80">
        <w:t>rice</w:t>
      </w:r>
      <w:r>
        <w:t xml:space="preserve"> growth</w:t>
      </w:r>
    </w:p>
    <w:p w:rsidR="00B8317F" w:rsidRPr="00B10C1A" w:rsidRDefault="00B8317F" w:rsidP="00B8317F">
      <w:pPr>
        <w:pStyle w:val="AERbulletlistfirststyle"/>
      </w:pPr>
      <w:r w:rsidRPr="00654E80">
        <w:t>outputs</w:t>
      </w:r>
      <w:r>
        <w:t xml:space="preserve"> growth</w:t>
      </w:r>
      <w:r w:rsidRPr="00654E80">
        <w:t xml:space="preserve"> </w:t>
      </w:r>
    </w:p>
    <w:p w:rsidR="00B8317F" w:rsidRPr="00B10C1A" w:rsidRDefault="00B8317F" w:rsidP="00B8317F">
      <w:pPr>
        <w:pStyle w:val="AERbulletlistfirststyle"/>
      </w:pPr>
      <w:r w:rsidRPr="00654E80">
        <w:t>productivity</w:t>
      </w:r>
      <w:r>
        <w:t xml:space="preserve"> growth</w:t>
      </w:r>
      <w:r w:rsidRPr="00654E80">
        <w:t xml:space="preserve">. </w:t>
      </w:r>
    </w:p>
    <w:p w:rsidR="00B8317F" w:rsidRPr="00654E80" w:rsidRDefault="00B8317F" w:rsidP="00B8317F">
      <w:pPr>
        <w:numPr>
          <w:ilvl w:val="0"/>
          <w:numId w:val="24"/>
        </w:numPr>
      </w:pPr>
      <w:r w:rsidRPr="00654E80">
        <w:t xml:space="preserve">We estimate the change by adding expected changes in prices (such as the price of labour and materials) and outputs (such as changes in customer numbers and demand for electricity). We then incorporate reasonable estimates of changes in productivity. </w:t>
      </w:r>
    </w:p>
    <w:p w:rsidR="00B8317F" w:rsidRPr="00654E80" w:rsidRDefault="00B8317F" w:rsidP="00B8317F">
      <w:pPr>
        <w:pStyle w:val="HeadingBoldItalic"/>
        <w:numPr>
          <w:ilvl w:val="0"/>
          <w:numId w:val="24"/>
        </w:numPr>
      </w:pPr>
      <w:r w:rsidRPr="00654E80">
        <w:t>Step 4 - Step changes</w:t>
      </w:r>
    </w:p>
    <w:p w:rsidR="00B8317F" w:rsidRDefault="00B8317F" w:rsidP="00B8317F">
      <w:pPr>
        <w:numPr>
          <w:ilvl w:val="0"/>
          <w:numId w:val="24"/>
        </w:numPr>
      </w:pPr>
      <w:r>
        <w:t>Next w</w:t>
      </w:r>
      <w:r w:rsidRPr="00654E80">
        <w:t xml:space="preserve">e consider if </w:t>
      </w:r>
      <w:r>
        <w:t>any</w:t>
      </w:r>
      <w:r w:rsidRPr="00654E80">
        <w:t xml:space="preserve"> other opex </w:t>
      </w:r>
      <w:r>
        <w:t xml:space="preserve">is required </w:t>
      </w:r>
      <w:r w:rsidRPr="00654E80">
        <w:t xml:space="preserve">to achieve the opex objectives in the forecast period. We refer to these as ‘step changes’. Step changes may be for cost drivers such as new, changed or removed regulatory obligations, or efficient capex/opex trade-offs. As </w:t>
      </w:r>
      <w:r>
        <w:t>the Guideline</w:t>
      </w:r>
      <w:r w:rsidRPr="00654E80">
        <w:t xml:space="preserve"> explains, we will typically </w:t>
      </w:r>
      <w:r>
        <w:t>include</w:t>
      </w:r>
      <w:r w:rsidRPr="00654E80">
        <w:t xml:space="preserve"> a step change only if efficient base year opex and the rate of change in opex of an efficient service provider do not already </w:t>
      </w:r>
      <w:r>
        <w:t>include</w:t>
      </w:r>
      <w:r w:rsidRPr="00654E80">
        <w:t xml:space="preserve"> the proposed cost.</w:t>
      </w:r>
      <w:r w:rsidRPr="00654E80">
        <w:rPr>
          <w:rStyle w:val="FootnoteReference"/>
        </w:rPr>
        <w:footnoteReference w:id="35"/>
      </w:r>
    </w:p>
    <w:p w:rsidR="00B8317F" w:rsidRPr="00654E80" w:rsidRDefault="00B8317F" w:rsidP="00B8317F">
      <w:pPr>
        <w:numPr>
          <w:ilvl w:val="0"/>
          <w:numId w:val="24"/>
        </w:numPr>
      </w:pPr>
    </w:p>
    <w:p w:rsidR="00B8317F" w:rsidRPr="00654E80" w:rsidRDefault="00B8317F" w:rsidP="00B8317F">
      <w:pPr>
        <w:pStyle w:val="HeadingBoldItalic"/>
        <w:numPr>
          <w:ilvl w:val="0"/>
          <w:numId w:val="24"/>
        </w:numPr>
      </w:pPr>
      <w:r w:rsidRPr="00654E80">
        <w:lastRenderedPageBreak/>
        <w:t>Step 5 - Other costs that are not included in the base year</w:t>
      </w:r>
    </w:p>
    <w:p w:rsidR="00B8317F" w:rsidRPr="00654E80" w:rsidRDefault="00B8317F" w:rsidP="00B8317F">
      <w:pPr>
        <w:numPr>
          <w:ilvl w:val="0"/>
          <w:numId w:val="24"/>
        </w:numPr>
      </w:pPr>
      <w:r w:rsidRPr="00654E80">
        <w:t xml:space="preserve">In our final step, we make any further adjustments we need for our opex forecast to achieve the opex objectives. For instance, our approach is to forecast debt raising costs based on a benchmarking approach rather than a service provider’s actual costs. This is to be consistent with the forecast of the cost of debt in the rate of return building block. </w:t>
      </w:r>
    </w:p>
    <w:p w:rsidR="00B8317F" w:rsidRPr="00654E80" w:rsidRDefault="00B8317F" w:rsidP="00B8317F">
      <w:pPr>
        <w:numPr>
          <w:ilvl w:val="0"/>
          <w:numId w:val="24"/>
        </w:numPr>
      </w:pPr>
      <w:r w:rsidRPr="00654E80">
        <w:t>After applying these five steps, we arrive at our total opex forecast.</w:t>
      </w:r>
    </w:p>
    <w:p w:rsidR="00B8317F" w:rsidRPr="00654E80" w:rsidRDefault="00B8317F" w:rsidP="00B8317F">
      <w:pPr>
        <w:pStyle w:val="HeadingBoldBlue"/>
      </w:pPr>
      <w:r w:rsidRPr="00654E80">
        <w:t>Comparing the service provider's proposal with our estimate</w:t>
      </w:r>
    </w:p>
    <w:p w:rsidR="00B8317F" w:rsidRPr="00654E80" w:rsidRDefault="00B8317F" w:rsidP="00B8317F">
      <w:pPr>
        <w:numPr>
          <w:ilvl w:val="0"/>
          <w:numId w:val="24"/>
        </w:numPr>
      </w:pPr>
      <w:r w:rsidRPr="00654E80">
        <w:t xml:space="preserve">Having established our estimate of total forecast opex we can test the service provider's proposed total forecast opex. This includes comparing our alternative total with the service provider’s total forecast opex. However, we also assess whether the service provider's forecasting method, assumptions, inputs and models are reasonable, and assess the service provider's explanation of how that method results in a prudent and efficient forecast. </w:t>
      </w:r>
    </w:p>
    <w:p w:rsidR="00B8317F" w:rsidRPr="00654E80" w:rsidRDefault="00B8317F" w:rsidP="00B8317F">
      <w:pPr>
        <w:numPr>
          <w:ilvl w:val="0"/>
          <w:numId w:val="24"/>
        </w:numPr>
      </w:pPr>
      <w:r w:rsidRPr="00654E80">
        <w:t xml:space="preserve">The service provider may be able to adequately explain any differences between its forecast and our estimate. We can only determine this on a case by case basis using our judgment. </w:t>
      </w:r>
    </w:p>
    <w:p w:rsidR="00B8317F" w:rsidRPr="00654E80" w:rsidRDefault="00B8317F" w:rsidP="00B8317F">
      <w:pPr>
        <w:numPr>
          <w:ilvl w:val="0"/>
          <w:numId w:val="24"/>
        </w:numPr>
      </w:pPr>
      <w:r w:rsidRPr="00654E80">
        <w:t>This approach is supported by the AEMC’s decision when implementing the changes to the NER in November 2012.  The Commission stated:</w:t>
      </w:r>
      <w:r w:rsidRPr="00654E80">
        <w:rPr>
          <w:rStyle w:val="FootnoteReference"/>
        </w:rPr>
        <w:footnoteReference w:id="36"/>
      </w:r>
    </w:p>
    <w:p w:rsidR="00B8317F" w:rsidRPr="00654E80" w:rsidRDefault="00B8317F" w:rsidP="00B8317F">
      <w:pPr>
        <w:pStyle w:val="AERquote"/>
      </w:pPr>
      <w:r w:rsidRPr="00654E80">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B8317F" w:rsidRPr="00654E80" w:rsidRDefault="00B8317F" w:rsidP="00B8317F">
      <w:pPr>
        <w:numPr>
          <w:ilvl w:val="0"/>
          <w:numId w:val="24"/>
        </w:numPr>
      </w:pPr>
      <w:r w:rsidRPr="00654E80">
        <w:t xml:space="preserve">If we are not satisfied there is an adequate explanation for the difference between our opex forecast and the service provider's opex forecast, we will use our opex forecast in determining a service provider's total revenue requirement. </w:t>
      </w:r>
    </w:p>
    <w:p w:rsidR="00B8317F" w:rsidRDefault="00B8317F" w:rsidP="00B8317F">
      <w:pPr>
        <w:numPr>
          <w:ilvl w:val="0"/>
          <w:numId w:val="24"/>
        </w:numPr>
      </w:pPr>
      <w:r w:rsidRPr="00654E80">
        <w:t xml:space="preserve">As outlined in </w:t>
      </w:r>
      <w:r>
        <w:t>the</w:t>
      </w:r>
      <w:r w:rsidRPr="00654E80">
        <w:t xml:space="preserve"> Guideline,</w:t>
      </w:r>
      <w:r w:rsidRPr="00654E80">
        <w:rPr>
          <w:rStyle w:val="AERbody"/>
        </w:rPr>
        <w:t xml:space="preserve"> </w:t>
      </w:r>
      <w:r w:rsidRPr="00654E80">
        <w:t>if the prudent and efficient opex allowance to achieve the opex objectives is lower than a service provider's current opex, we would expect a prudent operator would take the necessary action to improve its efficiency</w:t>
      </w:r>
      <w:r>
        <w:t xml:space="preserve"> and prudency</w:t>
      </w:r>
      <w:r w:rsidRPr="00654E80">
        <w:t xml:space="preserve">. We would expect a service provider (including its shareholders) to </w:t>
      </w:r>
      <w:r>
        <w:t>b</w:t>
      </w:r>
      <w:r w:rsidRPr="00654E80">
        <w:t>ear the cost of any inefficiency</w:t>
      </w:r>
      <w:r>
        <w:t xml:space="preserve"> or imprudent actions</w:t>
      </w:r>
      <w:r w:rsidRPr="00654E80">
        <w:t xml:space="preserve">. To do otherwise, would mean electricity </w:t>
      </w:r>
      <w:r w:rsidRPr="00654E80">
        <w:lastRenderedPageBreak/>
        <w:t>network consumers would fund some costs of a service provider's inefficiency</w:t>
      </w:r>
      <w:r>
        <w:t xml:space="preserve"> or imprudent actions</w:t>
      </w:r>
      <w:r w:rsidRPr="00654E80">
        <w:t xml:space="preserve">. </w:t>
      </w:r>
    </w:p>
    <w:p w:rsidR="00B8317F" w:rsidRDefault="00B8317F" w:rsidP="00B8317F">
      <w:pPr>
        <w:numPr>
          <w:ilvl w:val="0"/>
          <w:numId w:val="24"/>
        </w:numPr>
      </w:pPr>
      <w:r w:rsidRPr="00654E80">
        <w:t xml:space="preserve">Accordingly, if our opex forecast is lower than a service provider's current opex we would generally not consider it </w:t>
      </w:r>
      <w:r>
        <w:t>open to us</w:t>
      </w:r>
      <w:r w:rsidRPr="00654E80">
        <w:t xml:space="preserve"> to provide a transition path to the efficient allowance. This approach </w:t>
      </w:r>
      <w:r>
        <w:t>is</w:t>
      </w:r>
      <w:r w:rsidRPr="00654E80">
        <w:t xml:space="preserve"> reflected in the NER, which provides that w</w:t>
      </w:r>
      <w:r w:rsidRPr="00654E80">
        <w:rPr>
          <w:rStyle w:val="AERbody"/>
        </w:rPr>
        <w:t xml:space="preserve">e must be satisfied that the opex forecast reasonably reflects the efficient costs of a prudent operator given reasonable expectations of </w:t>
      </w:r>
      <w:r>
        <w:rPr>
          <w:rStyle w:val="AERbody"/>
        </w:rPr>
        <w:t xml:space="preserve">the </w:t>
      </w:r>
      <w:r w:rsidRPr="00654E80">
        <w:rPr>
          <w:rStyle w:val="AERbody"/>
        </w:rPr>
        <w:t xml:space="preserve">demand </w:t>
      </w:r>
      <w:r>
        <w:rPr>
          <w:rStyle w:val="AERbody"/>
        </w:rPr>
        <w:t xml:space="preserve">forecast </w:t>
      </w:r>
      <w:r w:rsidRPr="00654E80">
        <w:rPr>
          <w:rStyle w:val="AERbody"/>
        </w:rPr>
        <w:t>and cost inputs to achieve the expenditure objectives</w:t>
      </w:r>
      <w:r w:rsidRPr="00654E80">
        <w:t>.</w:t>
      </w:r>
      <w:r w:rsidRPr="00654E80">
        <w:rPr>
          <w:rStyle w:val="FootnoteReference"/>
        </w:rPr>
        <w:footnoteReference w:id="37"/>
      </w:r>
      <w:r w:rsidRPr="00654E80">
        <w:t xml:space="preserve"> </w:t>
      </w:r>
    </w:p>
    <w:p w:rsidR="00B8317F" w:rsidRPr="00B10C1A" w:rsidRDefault="00B8317F" w:rsidP="00B8317F">
      <w:pPr>
        <w:pStyle w:val="Heading2"/>
      </w:pPr>
      <w:bookmarkStart w:id="25" w:name="_Toc415754588"/>
      <w:bookmarkStart w:id="26" w:name="_Toc417659828"/>
      <w:r>
        <w:t>Summary of</w:t>
      </w:r>
      <w:r w:rsidRPr="00E40A0B">
        <w:t xml:space="preserve"> </w:t>
      </w:r>
      <w:r>
        <w:t>our</w:t>
      </w:r>
      <w:r w:rsidRPr="00E40A0B">
        <w:t xml:space="preserve"> decision</w:t>
      </w:r>
      <w:bookmarkEnd w:id="25"/>
      <w:bookmarkEnd w:id="26"/>
    </w:p>
    <w:p w:rsidR="00B8317F" w:rsidRDefault="00B8317F" w:rsidP="00B8317F">
      <w:pPr>
        <w:numPr>
          <w:ilvl w:val="0"/>
          <w:numId w:val="24"/>
        </w:numPr>
      </w:pPr>
      <w:bookmarkStart w:id="27" w:name="_Ref401668079"/>
      <w:r>
        <w:t xml:space="preserve">We are not satisfied Endeavour Energy's </w:t>
      </w:r>
      <w:r w:rsidRPr="00896595">
        <w:t>t</w:t>
      </w:r>
      <w:r>
        <w:t xml:space="preserve">otal forecast opex reasonably reflects the opex criteria. We compared Endeavour Energy's opex forecast to an opex forecast we constructed using the method outlined above. Endeavour Energy's proposal is higher than ours and we are satisfied that it does not reasonably reflect the opex criteria. For this reason, we have substituted Endeavour Energy's total opex forecast with our total </w:t>
      </w:r>
      <w:r w:rsidRPr="00DC1D99">
        <w:t xml:space="preserve">opex </w:t>
      </w:r>
      <w:r>
        <w:t>forecast.</w:t>
      </w:r>
    </w:p>
    <w:p w:rsidR="00B8317F" w:rsidRDefault="00B8317F" w:rsidP="00B8317F">
      <w:pPr>
        <w:numPr>
          <w:ilvl w:val="0"/>
          <w:numId w:val="24"/>
        </w:numPr>
      </w:pPr>
      <w:r>
        <w:fldChar w:fldCharType="begin"/>
      </w:r>
      <w:r>
        <w:instrText xml:space="preserve"> REF _Ref417654980 \h </w:instrText>
      </w:r>
      <w:r>
        <w:fldChar w:fldCharType="separate"/>
      </w:r>
      <w:r w:rsidR="00C57342">
        <w:t xml:space="preserve">Figure </w:t>
      </w:r>
      <w:r w:rsidR="00C57342">
        <w:rPr>
          <w:noProof/>
        </w:rPr>
        <w:t>7</w:t>
      </w:r>
      <w:r w:rsidR="00C57342">
        <w:t>.</w:t>
      </w:r>
      <w:r w:rsidR="00C57342">
        <w:rPr>
          <w:noProof/>
        </w:rPr>
        <w:t>3</w:t>
      </w:r>
      <w:r>
        <w:fldChar w:fldCharType="end"/>
      </w:r>
      <w:r>
        <w:t xml:space="preserve"> illustrates how our forecast for the 2014–19 period has been constructed. The starting point on the left is what Endeavour Energy's opex would have been for the 2014–19 period if it was set based on Endeavour Energy's reported opex in 2012–13. We have made adjustments to this amount to reflect a change in the classification of services from standard control to alternative control and to reverse the effect of provisions</w:t>
      </w:r>
      <w:r>
        <w:rPr>
          <w:rStyle w:val="FootnoteReference"/>
        </w:rPr>
        <w:footnoteReference w:id="38"/>
      </w:r>
      <w:r w:rsidRPr="000D011E">
        <w:t xml:space="preserve"> </w:t>
      </w:r>
      <w:r>
        <w:t xml:space="preserve">and then added our forecast of output growth and price growth. </w:t>
      </w:r>
      <w:r w:rsidRPr="000D011E">
        <w:t xml:space="preserve"> </w:t>
      </w:r>
      <w:r>
        <w:t>From there we arrive at our total opex forecast for the 2014–19 period.</w:t>
      </w:r>
    </w:p>
    <w:p w:rsidR="00B8317F" w:rsidRDefault="00B8317F" w:rsidP="00B8317F">
      <w:pPr>
        <w:pStyle w:val="Caption"/>
      </w:pPr>
      <w:bookmarkStart w:id="28" w:name="_Ref417654980"/>
      <w:bookmarkEnd w:id="27"/>
      <w:r>
        <w:lastRenderedPageBreak/>
        <w:t xml:space="preserve">Figure </w:t>
      </w:r>
      <w:fldSimple w:instr=" STYLEREF 1 \s ">
        <w:r w:rsidR="00C57342">
          <w:rPr>
            <w:noProof/>
          </w:rPr>
          <w:t>7</w:t>
        </w:r>
      </w:fldSimple>
      <w:r>
        <w:t>.</w:t>
      </w:r>
      <w:r w:rsidR="00A66A4E">
        <w:fldChar w:fldCharType="begin"/>
      </w:r>
      <w:r w:rsidR="00A66A4E">
        <w:instrText xml:space="preserve"> SEQ Figure \* ARABIC \s 1 </w:instrText>
      </w:r>
      <w:r w:rsidR="00A66A4E">
        <w:fldChar w:fldCharType="separate"/>
      </w:r>
      <w:r w:rsidR="00C57342">
        <w:rPr>
          <w:noProof/>
        </w:rPr>
        <w:t>3</w:t>
      </w:r>
      <w:r w:rsidR="00A66A4E">
        <w:rPr>
          <w:noProof/>
        </w:rPr>
        <w:fldChar w:fldCharType="end"/>
      </w:r>
      <w:bookmarkEnd w:id="28"/>
      <w:r>
        <w:tab/>
        <w:t>Our final decision opex forecast for the 2014–19 period</w:t>
      </w:r>
    </w:p>
    <w:p w:rsidR="00B8317F" w:rsidRPr="003D2B1F" w:rsidRDefault="00B8317F" w:rsidP="00B8317F">
      <w:pPr>
        <w:pStyle w:val="AERbodytextnospace"/>
      </w:pPr>
      <w:r w:rsidRPr="003A52B4">
        <w:t xml:space="preserve"> </w:t>
      </w:r>
      <w:r w:rsidRPr="00B8317F">
        <w:rPr>
          <w:noProof/>
          <w:lang w:eastAsia="en-AU"/>
        </w:rPr>
        <w:drawing>
          <wp:inline distT="0" distB="0" distL="0" distR="0" wp14:anchorId="6D713065" wp14:editId="2A5A79B8">
            <wp:extent cx="5382895" cy="3218878"/>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3218878"/>
                    </a:xfrm>
                    <a:prstGeom prst="rect">
                      <a:avLst/>
                    </a:prstGeom>
                    <a:noFill/>
                    <a:ln>
                      <a:noFill/>
                    </a:ln>
                  </pic:spPr>
                </pic:pic>
              </a:graphicData>
            </a:graphic>
          </wp:inline>
        </w:drawing>
      </w:r>
    </w:p>
    <w:p w:rsidR="00B8317F" w:rsidRDefault="00B8317F" w:rsidP="00B8317F">
      <w:pPr>
        <w:pStyle w:val="AERtablesource"/>
      </w:pPr>
      <w:r>
        <w:t xml:space="preserve">Source: </w:t>
      </w:r>
      <w:r>
        <w:tab/>
        <w:t>AER analysis.</w:t>
      </w:r>
    </w:p>
    <w:p w:rsidR="00B8317F" w:rsidRDefault="00B8317F" w:rsidP="00B8317F">
      <w:pPr>
        <w:numPr>
          <w:ilvl w:val="0"/>
          <w:numId w:val="24"/>
        </w:numPr>
        <w:rPr>
          <w:rStyle w:val="AERbody"/>
        </w:rPr>
      </w:pPr>
      <w:r>
        <w:fldChar w:fldCharType="begin"/>
      </w:r>
      <w:r>
        <w:instrText xml:space="preserve"> REF _Ref417655073 \h </w:instrText>
      </w:r>
      <w:r>
        <w:fldChar w:fldCharType="separate"/>
      </w:r>
      <w:r w:rsidR="00C57342">
        <w:t xml:space="preserve">Table </w:t>
      </w:r>
      <w:r w:rsidR="00C57342">
        <w:rPr>
          <w:noProof/>
        </w:rPr>
        <w:t>7</w:t>
      </w:r>
      <w:r w:rsidR="00C57342">
        <w:t>.</w:t>
      </w:r>
      <w:r w:rsidR="00C57342">
        <w:rPr>
          <w:noProof/>
        </w:rPr>
        <w:t>2</w:t>
      </w:r>
      <w:r>
        <w:fldChar w:fldCharType="end"/>
      </w:r>
      <w:r>
        <w:t xml:space="preserve"> </w:t>
      </w:r>
      <w:r w:rsidRPr="00B03F39">
        <w:rPr>
          <w:rStyle w:val="AERbody"/>
        </w:rPr>
        <w:t>illustrates our forecast in each year of the 2014–19 period</w:t>
      </w:r>
      <w:r w:rsidRPr="00EF0C54">
        <w:rPr>
          <w:rStyle w:val="AERbody"/>
        </w:rPr>
        <w:t>.</w:t>
      </w:r>
    </w:p>
    <w:p w:rsidR="00B8317F" w:rsidRDefault="00B8317F" w:rsidP="00B8317F">
      <w:pPr>
        <w:pStyle w:val="Caption"/>
      </w:pPr>
      <w:bookmarkStart w:id="29" w:name="_Ref417655073"/>
      <w:bookmarkStart w:id="30" w:name="_Ref417654994"/>
      <w:r>
        <w:t xml:space="preserve">Table </w:t>
      </w:r>
      <w:fldSimple w:instr=" STYLEREF 1 \s ">
        <w:r w:rsidR="00C57342">
          <w:rPr>
            <w:noProof/>
          </w:rPr>
          <w:t>7</w:t>
        </w:r>
      </w:fldSimple>
      <w:r>
        <w:t>.</w:t>
      </w:r>
      <w:r w:rsidR="00A66A4E">
        <w:fldChar w:fldCharType="begin"/>
      </w:r>
      <w:r w:rsidR="00A66A4E">
        <w:instrText xml:space="preserve"> SEQ Table \* ARABIC \s 1 </w:instrText>
      </w:r>
      <w:r w:rsidR="00A66A4E">
        <w:fldChar w:fldCharType="separate"/>
      </w:r>
      <w:r w:rsidR="00C57342">
        <w:rPr>
          <w:noProof/>
        </w:rPr>
        <w:t>2</w:t>
      </w:r>
      <w:r w:rsidR="00A66A4E">
        <w:rPr>
          <w:noProof/>
        </w:rPr>
        <w:fldChar w:fldCharType="end"/>
      </w:r>
      <w:bookmarkEnd w:id="29"/>
      <w:r>
        <w:tab/>
      </w:r>
      <w:r w:rsidRPr="00B03F39">
        <w:t>Our final decision opex forecast</w:t>
      </w:r>
      <w:r>
        <w:t xml:space="preserve"> ($ million, </w:t>
      </w:r>
      <w:r w:rsidRPr="005B4F7A">
        <w:t>201</w:t>
      </w:r>
      <w:r>
        <w:t>3</w:t>
      </w:r>
      <w:r w:rsidRPr="005B4F7A">
        <w:t>–1</w:t>
      </w:r>
      <w:r>
        <w:t>4)</w:t>
      </w:r>
      <w:bookmarkEnd w:id="30"/>
    </w:p>
    <w:tbl>
      <w:tblPr>
        <w:tblStyle w:val="AERtable-numbers"/>
        <w:tblW w:w="0" w:type="auto"/>
        <w:tblLook w:val="04A0" w:firstRow="1" w:lastRow="0" w:firstColumn="1" w:lastColumn="0" w:noHBand="0" w:noVBand="1"/>
      </w:tblPr>
      <w:tblGrid>
        <w:gridCol w:w="2443"/>
        <w:gridCol w:w="1066"/>
        <w:gridCol w:w="1066"/>
        <w:gridCol w:w="1066"/>
        <w:gridCol w:w="1066"/>
        <w:gridCol w:w="1066"/>
        <w:gridCol w:w="919"/>
      </w:tblGrid>
      <w:tr w:rsidR="00B8317F" w:rsidTr="002B5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B8317F" w:rsidRPr="008E086D" w:rsidRDefault="00B8317F" w:rsidP="00B8317F"/>
        </w:tc>
        <w:tc>
          <w:tcPr>
            <w:tcW w:w="1066"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2014–15</w:t>
            </w:r>
          </w:p>
        </w:tc>
        <w:tc>
          <w:tcPr>
            <w:tcW w:w="1066"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2015–16</w:t>
            </w:r>
          </w:p>
        </w:tc>
        <w:tc>
          <w:tcPr>
            <w:tcW w:w="1066"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2016–17</w:t>
            </w:r>
          </w:p>
        </w:tc>
        <w:tc>
          <w:tcPr>
            <w:tcW w:w="1066"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2017–18</w:t>
            </w:r>
          </w:p>
        </w:tc>
        <w:tc>
          <w:tcPr>
            <w:tcW w:w="1066"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2018–19</w:t>
            </w:r>
          </w:p>
        </w:tc>
        <w:tc>
          <w:tcPr>
            <w:tcW w:w="919"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8E086D">
              <w:t>Total</w:t>
            </w:r>
          </w:p>
        </w:tc>
      </w:tr>
      <w:tr w:rsidR="00B8317F" w:rsidTr="002B5F41">
        <w:trPr>
          <w:trHeight w:val="80"/>
        </w:trPr>
        <w:tc>
          <w:tcPr>
            <w:cnfStyle w:val="001000000000" w:firstRow="0" w:lastRow="0" w:firstColumn="1" w:lastColumn="0" w:oddVBand="0" w:evenVBand="0" w:oddHBand="0" w:evenHBand="0" w:firstRowFirstColumn="0" w:firstRowLastColumn="0" w:lastRowFirstColumn="0" w:lastRowLastColumn="0"/>
            <w:tcW w:w="2444" w:type="dxa"/>
          </w:tcPr>
          <w:p w:rsidR="00B8317F" w:rsidRPr="00B8317F" w:rsidRDefault="00B8317F" w:rsidP="00B8317F">
            <w:r w:rsidRPr="004D6FA3">
              <w:t>Base opex</w:t>
            </w:r>
          </w:p>
        </w:tc>
        <w:tc>
          <w:tcPr>
            <w:tcW w:w="106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230.7</w:t>
            </w:r>
          </w:p>
        </w:tc>
        <w:tc>
          <w:tcPr>
            <w:tcW w:w="106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230.7</w:t>
            </w:r>
          </w:p>
        </w:tc>
        <w:tc>
          <w:tcPr>
            <w:tcW w:w="106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230.7</w:t>
            </w:r>
          </w:p>
        </w:tc>
        <w:tc>
          <w:tcPr>
            <w:tcW w:w="106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230.7</w:t>
            </w:r>
          </w:p>
        </w:tc>
        <w:tc>
          <w:tcPr>
            <w:tcW w:w="106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230.7</w:t>
            </w:r>
          </w:p>
        </w:tc>
        <w:tc>
          <w:tcPr>
            <w:tcW w:w="919"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1153.7</w:t>
            </w:r>
          </w:p>
        </w:tc>
      </w:tr>
      <w:tr w:rsidR="00B8317F" w:rsidTr="002B5F41">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44" w:type="dxa"/>
          </w:tcPr>
          <w:p w:rsidR="00B8317F" w:rsidRPr="00B8317F" w:rsidRDefault="00B8317F" w:rsidP="00B8317F">
            <w:r w:rsidRPr="004D6FA3">
              <w:t>Output growth</w:t>
            </w:r>
          </w:p>
        </w:tc>
        <w:tc>
          <w:tcPr>
            <w:tcW w:w="106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3.1</w:t>
            </w:r>
          </w:p>
        </w:tc>
        <w:tc>
          <w:tcPr>
            <w:tcW w:w="106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5.3</w:t>
            </w:r>
          </w:p>
        </w:tc>
        <w:tc>
          <w:tcPr>
            <w:tcW w:w="106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7.6</w:t>
            </w:r>
          </w:p>
        </w:tc>
        <w:tc>
          <w:tcPr>
            <w:tcW w:w="106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10.2</w:t>
            </w:r>
          </w:p>
        </w:tc>
        <w:tc>
          <w:tcPr>
            <w:tcW w:w="106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13.3</w:t>
            </w:r>
          </w:p>
        </w:tc>
        <w:tc>
          <w:tcPr>
            <w:tcW w:w="919"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39.7</w:t>
            </w:r>
          </w:p>
        </w:tc>
      </w:tr>
      <w:tr w:rsidR="00B8317F" w:rsidTr="002B5F41">
        <w:trPr>
          <w:trHeight w:val="80"/>
        </w:trPr>
        <w:tc>
          <w:tcPr>
            <w:cnfStyle w:val="001000000000" w:firstRow="0" w:lastRow="0" w:firstColumn="1" w:lastColumn="0" w:oddVBand="0" w:evenVBand="0" w:oddHBand="0" w:evenHBand="0" w:firstRowFirstColumn="0" w:firstRowLastColumn="0" w:lastRowFirstColumn="0" w:lastRowLastColumn="0"/>
            <w:tcW w:w="2444" w:type="dxa"/>
          </w:tcPr>
          <w:p w:rsidR="00B8317F" w:rsidRPr="00B8317F" w:rsidRDefault="00B8317F" w:rsidP="00B8317F">
            <w:r w:rsidRPr="004D6FA3">
              <w:t xml:space="preserve">Price </w:t>
            </w:r>
            <w:r w:rsidRPr="00B8317F">
              <w:t>growth</w:t>
            </w:r>
          </w:p>
        </w:tc>
        <w:tc>
          <w:tcPr>
            <w:tcW w:w="106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1.9</w:t>
            </w:r>
          </w:p>
        </w:tc>
        <w:tc>
          <w:tcPr>
            <w:tcW w:w="106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3.4</w:t>
            </w:r>
          </w:p>
        </w:tc>
        <w:tc>
          <w:tcPr>
            <w:tcW w:w="106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4.9</w:t>
            </w:r>
          </w:p>
        </w:tc>
        <w:tc>
          <w:tcPr>
            <w:tcW w:w="106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6.6</w:t>
            </w:r>
          </w:p>
        </w:tc>
        <w:tc>
          <w:tcPr>
            <w:tcW w:w="106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8.2</w:t>
            </w:r>
          </w:p>
        </w:tc>
        <w:tc>
          <w:tcPr>
            <w:tcW w:w="919"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4D6FA3">
              <w:t>25.0</w:t>
            </w:r>
          </w:p>
        </w:tc>
      </w:tr>
      <w:tr w:rsidR="00B8317F" w:rsidTr="002B5F41">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44" w:type="dxa"/>
          </w:tcPr>
          <w:p w:rsidR="00B8317F" w:rsidRPr="00B8317F" w:rsidRDefault="00B8317F" w:rsidP="00B8317F">
            <w:r w:rsidRPr="004D6FA3">
              <w:t>Final decision</w:t>
            </w:r>
          </w:p>
        </w:tc>
        <w:tc>
          <w:tcPr>
            <w:tcW w:w="106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235.8</w:t>
            </w:r>
          </w:p>
        </w:tc>
        <w:tc>
          <w:tcPr>
            <w:tcW w:w="106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239.5</w:t>
            </w:r>
          </w:p>
        </w:tc>
        <w:tc>
          <w:tcPr>
            <w:tcW w:w="106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243.3</w:t>
            </w:r>
          </w:p>
        </w:tc>
        <w:tc>
          <w:tcPr>
            <w:tcW w:w="106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247.5</w:t>
            </w:r>
          </w:p>
        </w:tc>
        <w:tc>
          <w:tcPr>
            <w:tcW w:w="106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252.3</w:t>
            </w:r>
          </w:p>
        </w:tc>
        <w:tc>
          <w:tcPr>
            <w:tcW w:w="919"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4D6FA3">
              <w:t>1218.3</w:t>
            </w:r>
          </w:p>
        </w:tc>
      </w:tr>
    </w:tbl>
    <w:p w:rsidR="00B8317F" w:rsidRPr="00160C31" w:rsidRDefault="00B8317F" w:rsidP="00B8317F">
      <w:pPr>
        <w:pStyle w:val="AERtablesource"/>
      </w:pPr>
      <w:r w:rsidRPr="00160C31">
        <w:t>Source:</w:t>
      </w:r>
      <w:r w:rsidRPr="00160C31">
        <w:tab/>
        <w:t>AER analysis.</w:t>
      </w:r>
    </w:p>
    <w:p w:rsidR="00B8317F" w:rsidRPr="00160C31" w:rsidRDefault="00B8317F" w:rsidP="00B8317F">
      <w:pPr>
        <w:pStyle w:val="AERtablesource"/>
      </w:pPr>
      <w:r w:rsidRPr="00160C31">
        <w:t>No</w:t>
      </w:r>
      <w:r>
        <w:t>te:</w:t>
      </w:r>
      <w:r>
        <w:tab/>
        <w:t xml:space="preserve">Excludes debt raising costs; </w:t>
      </w:r>
      <w:r w:rsidRPr="00B03F39">
        <w:t>Numbers may not add due to rounding</w:t>
      </w:r>
      <w:r>
        <w:t>.</w:t>
      </w:r>
    </w:p>
    <w:p w:rsidR="00B8317F" w:rsidRDefault="00B8317F" w:rsidP="00B8317F">
      <w:pPr>
        <w:numPr>
          <w:ilvl w:val="0"/>
          <w:numId w:val="24"/>
        </w:numPr>
      </w:pPr>
      <w:r w:rsidRPr="004D6FA3">
        <w:t>A summary of the main steps of our assessment are outlined below</w:t>
      </w:r>
      <w:r>
        <w:t>.</w:t>
      </w:r>
      <w:r>
        <w:rPr>
          <w:rStyle w:val="FootnoteReference"/>
        </w:rPr>
        <w:footnoteReference w:id="39"/>
      </w:r>
    </w:p>
    <w:p w:rsidR="00B8317F" w:rsidRDefault="00B8317F" w:rsidP="00B8317F">
      <w:pPr>
        <w:pStyle w:val="Heading3"/>
      </w:pPr>
      <w:bookmarkStart w:id="31" w:name="_Ref417657622"/>
      <w:bookmarkStart w:id="32" w:name="_Toc417659829"/>
      <w:bookmarkStart w:id="33" w:name="_Toc415754589"/>
      <w:r>
        <w:t>Forecasting method assessment</w:t>
      </w:r>
      <w:bookmarkEnd w:id="31"/>
      <w:bookmarkEnd w:id="32"/>
    </w:p>
    <w:p w:rsidR="00B8317F" w:rsidRDefault="00B8317F" w:rsidP="00B8317F">
      <w:r>
        <w:t>As noted above, o</w:t>
      </w:r>
      <w:r w:rsidRPr="00194080">
        <w:t xml:space="preserve">ur estimate of total opex is unlikely to exactly match </w:t>
      </w:r>
      <w:r>
        <w:t>Endeavour Energy</w:t>
      </w:r>
      <w:r w:rsidRPr="00194080">
        <w:t xml:space="preserve">'s. Broadly, differences between the two forecasts can be explained by </w:t>
      </w:r>
      <w:r w:rsidRPr="00194080">
        <w:lastRenderedPageBreak/>
        <w:t xml:space="preserve">differences in the forecasting methods adopted and the inputs and assumptions used to apply the method. </w:t>
      </w:r>
      <w:r>
        <w:t>W</w:t>
      </w:r>
      <w:r w:rsidRPr="00194080">
        <w:t xml:space="preserve">e </w:t>
      </w:r>
      <w:r>
        <w:t xml:space="preserve">have </w:t>
      </w:r>
      <w:r w:rsidRPr="00194080">
        <w:t xml:space="preserve">reviewed </w:t>
      </w:r>
      <w:r>
        <w:t>Endeavour Energy</w:t>
      </w:r>
      <w:r w:rsidRPr="00194080">
        <w:t xml:space="preserve">'s forecast method to identify if and where </w:t>
      </w:r>
      <w:r>
        <w:t>Endeavour Energy</w:t>
      </w:r>
      <w:r w:rsidRPr="00194080">
        <w:t xml:space="preserve">'s forecasting method departed from the method set out in </w:t>
      </w:r>
      <w:r>
        <w:t>the G</w:t>
      </w:r>
      <w:r w:rsidRPr="00194080">
        <w:t>uideline</w:t>
      </w:r>
      <w:r>
        <w:t xml:space="preserve">. </w:t>
      </w:r>
      <w:r w:rsidRPr="00194080">
        <w:t xml:space="preserve">Where </w:t>
      </w:r>
      <w:r>
        <w:t>Endeavour Energy's</w:t>
      </w:r>
      <w:r w:rsidRPr="00194080">
        <w:t xml:space="preserve"> forecasting method did depart from </w:t>
      </w:r>
      <w:r>
        <w:t>the</w:t>
      </w:r>
      <w:r w:rsidRPr="00194080">
        <w:t xml:space="preserve"> </w:t>
      </w:r>
      <w:r>
        <w:t xml:space="preserve">Guideline, </w:t>
      </w:r>
      <w:r w:rsidRPr="00194080">
        <w:t xml:space="preserve">we considered whether this departure explained the difference between </w:t>
      </w:r>
      <w:r>
        <w:t>Endeavour Energy's</w:t>
      </w:r>
      <w:r w:rsidRPr="00194080">
        <w:t xml:space="preserve"> forecast of total opex and our own. We also considered whether adopting </w:t>
      </w:r>
      <w:r>
        <w:t>Endeavour Energy's</w:t>
      </w:r>
      <w:r w:rsidRPr="00194080">
        <w:t xml:space="preserve"> approach was required to produce an opex forecast that reasonably reflects the opex criteria, having regard to the opex factors.</w:t>
      </w:r>
    </w:p>
    <w:p w:rsidR="00B8317F" w:rsidRDefault="00B8317F" w:rsidP="00B8317F">
      <w:r>
        <w:t>We provided reasons in our draft decision why adopting Endeavour Energy's forecasting method would not produce an opex forecast that better reflects the opex criteria.</w:t>
      </w:r>
      <w:r>
        <w:rPr>
          <w:rStyle w:val="FootnoteReference"/>
        </w:rPr>
        <w:footnoteReference w:id="40"/>
      </w:r>
      <w:r>
        <w:t xml:space="preserve"> However, Endeavour Energy adopted the same forecasting method to derive its opex forecast in its revised regulatory proposal. It did not address any of the concerns we raised with its forecasting method.</w:t>
      </w:r>
    </w:p>
    <w:p w:rsidR="00B8317F" w:rsidRDefault="00B8317F" w:rsidP="00B8317F">
      <w:r>
        <w:t>For the reasons outlined in our draft decision, w</w:t>
      </w:r>
      <w:r w:rsidRPr="00263859">
        <w:t xml:space="preserve">e are not satisfied that Endeavour Energy's forecasting method produces an opex forecast that reasonably reflects the opex criteria. </w:t>
      </w:r>
      <w:r>
        <w:t>For this final decision w</w:t>
      </w:r>
      <w:r w:rsidRPr="0068509C">
        <w:t xml:space="preserve">e have used </w:t>
      </w:r>
      <w:r>
        <w:t>the</w:t>
      </w:r>
      <w:r w:rsidRPr="0068509C">
        <w:t xml:space="preserve"> </w:t>
      </w:r>
      <w:r>
        <w:t>g</w:t>
      </w:r>
      <w:r w:rsidRPr="0068509C">
        <w:t>uideline forecasting method to derive our alternative estimate of opex as we did for our draft decision.</w:t>
      </w:r>
    </w:p>
    <w:p w:rsidR="00B8317F" w:rsidRPr="000D0625" w:rsidRDefault="00B8317F" w:rsidP="00B8317F">
      <w:pPr>
        <w:pStyle w:val="Heading3"/>
      </w:pPr>
      <w:bookmarkStart w:id="34" w:name="_Toc417659830"/>
      <w:r>
        <w:t>Base opex</w:t>
      </w:r>
      <w:bookmarkEnd w:id="33"/>
      <w:bookmarkEnd w:id="34"/>
    </w:p>
    <w:p w:rsidR="00B8317F" w:rsidRPr="00053E24" w:rsidRDefault="00B8317F" w:rsidP="00B8317F">
      <w:pPr>
        <w:pStyle w:val="HeadingBoldItalic"/>
        <w:numPr>
          <w:ilvl w:val="0"/>
          <w:numId w:val="24"/>
        </w:numPr>
      </w:pPr>
      <w:r w:rsidRPr="004D6FA3">
        <w:t xml:space="preserve">Assessing </w:t>
      </w:r>
      <w:r>
        <w:t>Endeavour</w:t>
      </w:r>
      <w:r w:rsidRPr="004D6FA3">
        <w:t xml:space="preserve"> Energy's base ope</w:t>
      </w:r>
      <w:r>
        <w:t>x</w:t>
      </w:r>
    </w:p>
    <w:p w:rsidR="00B8317F" w:rsidRPr="000D0625" w:rsidRDefault="00B8317F" w:rsidP="00B8317F">
      <w:pPr>
        <w:numPr>
          <w:ilvl w:val="0"/>
          <w:numId w:val="24"/>
        </w:numPr>
      </w:pPr>
      <w:bookmarkStart w:id="35" w:name="_Ref403135475"/>
      <w:r>
        <w:t xml:space="preserve">We assessed Endeavour Energy's proposed base year of 2012–13. We tested Endeavour Energy's base opex in 2012–13 using overall benchmarking techniques. We then examined the drivers of the results of these benchmarking techniques by examining key components of opex. For Endeavour Energy we looked specifically at Endeavour Energy's labour and workforce practices.  </w:t>
      </w:r>
    </w:p>
    <w:p w:rsidR="00B8317F" w:rsidRDefault="00B8317F" w:rsidP="00B8317F">
      <w:pPr>
        <w:numPr>
          <w:ilvl w:val="0"/>
          <w:numId w:val="24"/>
        </w:numPr>
      </w:pPr>
      <w:r>
        <w:t xml:space="preserve">The main techniques we used to test the efficiency of Endeavour Energy's base opex are outlined in </w:t>
      </w:r>
      <w:r>
        <w:fldChar w:fldCharType="begin"/>
      </w:r>
      <w:r>
        <w:instrText xml:space="preserve"> REF _Ref417655043 \h </w:instrText>
      </w:r>
      <w:r>
        <w:fldChar w:fldCharType="separate"/>
      </w:r>
      <w:r w:rsidR="00C57342">
        <w:t xml:space="preserve">Table </w:t>
      </w:r>
      <w:r w:rsidR="00C57342">
        <w:rPr>
          <w:noProof/>
        </w:rPr>
        <w:t>7</w:t>
      </w:r>
      <w:r w:rsidR="00C57342">
        <w:t>.</w:t>
      </w:r>
      <w:r w:rsidR="00C57342">
        <w:rPr>
          <w:noProof/>
        </w:rPr>
        <w:t>3</w:t>
      </w:r>
      <w:r>
        <w:fldChar w:fldCharType="end"/>
      </w:r>
      <w:r>
        <w:t xml:space="preserve">. Our findings from our examination of Endeavour Energy's labour and workforce practices support our overall benchmarking findings, which conclude that Endeavour Energy's actual base opex is likely to contain some inefficiency. </w:t>
      </w:r>
      <w:r w:rsidRPr="00F228EF">
        <w:t>This is the same conclusion we reached in our draft decision.</w:t>
      </w:r>
      <w:r>
        <w:t xml:space="preserve"> </w:t>
      </w:r>
      <w:r w:rsidRPr="00F228EF">
        <w:t>The evidence put forward by E</w:t>
      </w:r>
      <w:r>
        <w:t xml:space="preserve">ndeavour </w:t>
      </w:r>
      <w:r w:rsidRPr="00F228EF">
        <w:t>Energy in its revised proposal did not cause us to alter most of the findings in our draft decision.</w:t>
      </w:r>
      <w:r>
        <w:t xml:space="preserve"> </w:t>
      </w:r>
    </w:p>
    <w:p w:rsidR="00AF23F8" w:rsidRDefault="00AF23F8">
      <w:pPr>
        <w:spacing w:line="240" w:lineRule="auto"/>
      </w:pPr>
      <w:r>
        <w:br w:type="page"/>
      </w:r>
    </w:p>
    <w:p w:rsidR="00B8317F" w:rsidRPr="000D0625" w:rsidRDefault="00B8317F" w:rsidP="00B8317F">
      <w:pPr>
        <w:pStyle w:val="Caption"/>
      </w:pPr>
      <w:bookmarkStart w:id="36" w:name="_Ref417655043"/>
      <w:bookmarkEnd w:id="35"/>
      <w:r>
        <w:lastRenderedPageBreak/>
        <w:t xml:space="preserve">Table </w:t>
      </w:r>
      <w:fldSimple w:instr=" STYLEREF 1 \s ">
        <w:r w:rsidR="00C57342">
          <w:rPr>
            <w:noProof/>
          </w:rPr>
          <w:t>7</w:t>
        </w:r>
      </w:fldSimple>
      <w:r>
        <w:t>.</w:t>
      </w:r>
      <w:r w:rsidR="00A66A4E">
        <w:fldChar w:fldCharType="begin"/>
      </w:r>
      <w:r w:rsidR="00A66A4E">
        <w:instrText xml:space="preserve"> SEQ Table \* ARABIC \s 1 </w:instrText>
      </w:r>
      <w:r w:rsidR="00A66A4E">
        <w:fldChar w:fldCharType="separate"/>
      </w:r>
      <w:r w:rsidR="00C57342">
        <w:rPr>
          <w:noProof/>
        </w:rPr>
        <w:t>3</w:t>
      </w:r>
      <w:r w:rsidR="00A66A4E">
        <w:rPr>
          <w:noProof/>
        </w:rPr>
        <w:fldChar w:fldCharType="end"/>
      </w:r>
      <w:bookmarkEnd w:id="36"/>
      <w:r>
        <w:tab/>
      </w:r>
      <w:r w:rsidRPr="006B7CBF">
        <w:t xml:space="preserve">Assessment of </w:t>
      </w:r>
      <w:r>
        <w:t>Endeavour Energy's</w:t>
      </w:r>
      <w:r w:rsidRPr="006B7CBF">
        <w:t xml:space="preserve"> base opex</w:t>
      </w:r>
    </w:p>
    <w:tbl>
      <w:tblPr>
        <w:tblStyle w:val="AERtable-text0"/>
        <w:tblW w:w="5000" w:type="pct"/>
        <w:tblLook w:val="04A0" w:firstRow="1" w:lastRow="0" w:firstColumn="1" w:lastColumn="0" w:noHBand="0" w:noVBand="1"/>
      </w:tblPr>
      <w:tblGrid>
        <w:gridCol w:w="1527"/>
        <w:gridCol w:w="2409"/>
        <w:gridCol w:w="4756"/>
      </w:tblGrid>
      <w:tr w:rsidR="00B8317F" w:rsidRPr="00327764" w:rsidTr="00AF23F8">
        <w:trPr>
          <w:cnfStyle w:val="100000000000" w:firstRow="1" w:lastRow="0" w:firstColumn="0" w:lastColumn="0" w:oddVBand="0" w:evenVBand="0" w:oddHBand="0" w:evenHBand="0" w:firstRowFirstColumn="0" w:firstRowLastColumn="0" w:lastRowFirstColumn="0" w:lastRowLastColumn="0"/>
          <w:tblHeader/>
        </w:trPr>
        <w:tc>
          <w:tcPr>
            <w:tcW w:w="878" w:type="pct"/>
          </w:tcPr>
          <w:p w:rsidR="00B8317F" w:rsidRPr="00B8317F" w:rsidRDefault="00B8317F" w:rsidP="00B8317F">
            <w:r w:rsidRPr="005D1866">
              <w:t>Technique</w:t>
            </w:r>
          </w:p>
        </w:tc>
        <w:tc>
          <w:tcPr>
            <w:tcW w:w="1386" w:type="pct"/>
          </w:tcPr>
          <w:p w:rsidR="00B8317F" w:rsidRPr="00B8317F" w:rsidRDefault="00B8317F" w:rsidP="00B8317F">
            <w:r w:rsidRPr="005D1866">
              <w:t>Description of technique</w:t>
            </w:r>
          </w:p>
        </w:tc>
        <w:tc>
          <w:tcPr>
            <w:tcW w:w="2736" w:type="pct"/>
          </w:tcPr>
          <w:p w:rsidR="00B8317F" w:rsidRPr="00B8317F" w:rsidRDefault="00B8317F" w:rsidP="00B8317F">
            <w:r w:rsidRPr="005D1866">
              <w:t>Findings</w:t>
            </w:r>
          </w:p>
        </w:tc>
      </w:tr>
      <w:tr w:rsidR="00B8317F" w:rsidRPr="00327764" w:rsidTr="00AF23F8">
        <w:tc>
          <w:tcPr>
            <w:tcW w:w="878" w:type="pct"/>
          </w:tcPr>
          <w:p w:rsidR="00B8317F" w:rsidRPr="00B8317F" w:rsidRDefault="00B8317F" w:rsidP="00B8317F">
            <w:r>
              <w:t>Economic benchmarking</w:t>
            </w:r>
          </w:p>
        </w:tc>
        <w:tc>
          <w:tcPr>
            <w:tcW w:w="1386" w:type="pct"/>
          </w:tcPr>
          <w:p w:rsidR="00B8317F" w:rsidRPr="00B8317F" w:rsidRDefault="00B8317F" w:rsidP="00B8317F">
            <w:r w:rsidRPr="00327764">
              <w:t xml:space="preserve">Economic </w:t>
            </w:r>
            <w:r w:rsidRPr="00B8317F">
              <w:t>benchmarking measures the efficiency of a service provider in the use of its inputs to produce outputs.</w:t>
            </w:r>
          </w:p>
          <w:p w:rsidR="00B8317F" w:rsidRPr="00B8317F" w:rsidRDefault="00B8317F" w:rsidP="00B8317F">
            <w:r w:rsidRPr="00327764">
              <w:t xml:space="preserve">The economic benchmarking techniques we used to test </w:t>
            </w:r>
            <w:r w:rsidRPr="00B8317F">
              <w:t xml:space="preserve">Endeavour Energy's efficiency included Multilateral Total Factor Productivity, Multilateral Partial Factor Productivity and opex cost function modelling. We compared Endeavour Energy's efficiency to other service providers in the NEM. </w:t>
            </w:r>
          </w:p>
        </w:tc>
        <w:tc>
          <w:tcPr>
            <w:tcW w:w="2736" w:type="pct"/>
          </w:tcPr>
          <w:p w:rsidR="00B8317F" w:rsidRPr="00B8317F" w:rsidRDefault="00B8317F" w:rsidP="00B8317F">
            <w:r w:rsidRPr="00327764">
              <w:t xml:space="preserve">Despite differences in the techniques we used, all benchmarking techniques show </w:t>
            </w:r>
            <w:r w:rsidRPr="00B8317F">
              <w:t>Endeavour Energy does not perform as efficiently as some other service providers in the NEM. We consider that differences in Endeavour Energy's operating environment not captured in the benchmarking models do not adequately explain the different benchmarking results between Endeavour Energy and other service providers.</w:t>
            </w:r>
          </w:p>
        </w:tc>
      </w:tr>
      <w:tr w:rsidR="00B8317F" w:rsidRPr="00327764" w:rsidTr="00AF23F8">
        <w:trPr>
          <w:cnfStyle w:val="000000010000" w:firstRow="0" w:lastRow="0" w:firstColumn="0" w:lastColumn="0" w:oddVBand="0" w:evenVBand="0" w:oddHBand="0" w:evenHBand="1" w:firstRowFirstColumn="0" w:firstRowLastColumn="0" w:lastRowFirstColumn="0" w:lastRowLastColumn="0"/>
        </w:trPr>
        <w:tc>
          <w:tcPr>
            <w:tcW w:w="878" w:type="pct"/>
          </w:tcPr>
          <w:p w:rsidR="00B8317F" w:rsidRPr="00B8317F" w:rsidRDefault="00B8317F" w:rsidP="00B8317F">
            <w:r>
              <w:t>Review of labour and workforce practices</w:t>
            </w:r>
          </w:p>
        </w:tc>
        <w:tc>
          <w:tcPr>
            <w:tcW w:w="1386" w:type="pct"/>
            <w:vAlign w:val="top"/>
          </w:tcPr>
          <w:p w:rsidR="00487CE9" w:rsidRDefault="00487CE9" w:rsidP="00B8317F"/>
          <w:p w:rsidR="00487CE9" w:rsidRDefault="00487CE9" w:rsidP="00B8317F"/>
          <w:p w:rsidR="00487CE9" w:rsidRDefault="00487CE9" w:rsidP="00B8317F"/>
          <w:p w:rsidR="00487CE9" w:rsidRDefault="00487CE9" w:rsidP="00B8317F"/>
          <w:p w:rsidR="00487CE9" w:rsidRDefault="00487CE9" w:rsidP="00B8317F"/>
          <w:p w:rsidR="00487CE9" w:rsidRDefault="00487CE9" w:rsidP="00B8317F"/>
          <w:p w:rsidR="00487CE9" w:rsidRDefault="00487CE9" w:rsidP="00B8317F"/>
          <w:p w:rsidR="00487CE9" w:rsidRDefault="00487CE9" w:rsidP="00B8317F"/>
          <w:p w:rsidR="00487CE9" w:rsidRDefault="00487CE9" w:rsidP="00B8317F"/>
          <w:p w:rsidR="00487CE9" w:rsidRDefault="00487CE9" w:rsidP="00B8317F"/>
          <w:p w:rsidR="00B8317F" w:rsidRPr="00B8317F" w:rsidRDefault="00B8317F" w:rsidP="00B8317F">
            <w:r w:rsidRPr="006472D6" w:rsidDel="00EC264B">
              <w:t>Labour costs represent a large proportion of all NSW service providers' opex. We engaged Deloitte Access</w:t>
            </w:r>
            <w:r w:rsidRPr="00B8317F">
              <w:t xml:space="preserve"> Economics (Deloitte)</w:t>
            </w:r>
            <w:r w:rsidRPr="00B8317F" w:rsidDel="00EC264B">
              <w:t xml:space="preserve"> to review the NSW service providers' labour and workforce practices</w:t>
            </w:r>
            <w:r w:rsidRPr="00B8317F">
              <w:t>.</w:t>
            </w:r>
          </w:p>
        </w:tc>
        <w:tc>
          <w:tcPr>
            <w:tcW w:w="2736" w:type="pct"/>
            <w:vAlign w:val="top"/>
          </w:tcPr>
          <w:p w:rsidR="00B8317F" w:rsidRPr="00B8317F" w:rsidRDefault="00B8317F" w:rsidP="00B8317F">
            <w:r w:rsidRPr="006472D6">
              <w:t xml:space="preserve">Deloitte found that because of labour and workforce management issues, </w:t>
            </w:r>
            <w:r w:rsidRPr="00B8317F">
              <w:t>Endeavour Energy's base year would not likely represent efficient costs.</w:t>
            </w:r>
          </w:p>
          <w:p w:rsidR="00B8317F" w:rsidRPr="00B8317F" w:rsidRDefault="00B8317F" w:rsidP="00B8317F">
            <w:r w:rsidRPr="006472D6">
              <w:t>Deloitte concludes that:</w:t>
            </w:r>
            <w:r w:rsidRPr="00B8317F">
              <w:rPr>
                <w:rStyle w:val="FootnoteReference"/>
              </w:rPr>
              <w:footnoteReference w:id="41"/>
            </w:r>
          </w:p>
          <w:p w:rsidR="00B8317F" w:rsidRPr="00B8317F" w:rsidRDefault="00B8317F" w:rsidP="00B8317F">
            <w:pPr>
              <w:pStyle w:val="AERbulletlistfirststyle"/>
            </w:pPr>
            <w:r w:rsidRPr="006472D6">
              <w:t>the NSW service providers have high labour costs because they have too many employees. They all engaged permanent staff in preference to contractors over the 2009–14 period for transitory capex work. Now, due to EBA restrictions on redundancies, they have stranded labour</w:t>
            </w:r>
          </w:p>
          <w:p w:rsidR="00B8317F" w:rsidRPr="00B8317F" w:rsidRDefault="00B8317F" w:rsidP="00B8317F">
            <w:pPr>
              <w:pStyle w:val="AERbulletlistfirststyle"/>
            </w:pPr>
            <w:r w:rsidRPr="006472D6">
              <w:t>because the NSW service providers employ a high proportion of their employees through EBAs (more than 75 per cent) restrictive EBA clauses have a significant impact on workforce flexibility</w:t>
            </w:r>
          </w:p>
          <w:p w:rsidR="00B8317F" w:rsidRPr="00B8317F" w:rsidRDefault="00B8317F" w:rsidP="00B8317F">
            <w:pPr>
              <w:pStyle w:val="AERbulletlistfirststyle"/>
            </w:pPr>
            <w:r w:rsidRPr="006472D6">
              <w:t>the optimum level of outsourcing is likely to be higher than the level the NSW service providers outsourced at over the 2009–14 period; this is a key distinguishing factor from the Victorian service providers</w:t>
            </w:r>
          </w:p>
          <w:p w:rsidR="00B8317F" w:rsidRPr="00B8317F" w:rsidRDefault="00B8317F" w:rsidP="00B8317F">
            <w:pPr>
              <w:pStyle w:val="AERbulletlistfirststyle"/>
            </w:pPr>
            <w:r w:rsidRPr="006472D6">
              <w:t>while the NSW service provider have been implementing efficiency improvements, many efficiencies have not been realised until after the 2012–13 base year.</w:t>
            </w:r>
          </w:p>
          <w:p w:rsidR="00B8317F" w:rsidRPr="00F228EF" w:rsidRDefault="00B8317F" w:rsidP="00AF23F8">
            <w:pPr>
              <w:pStyle w:val="AERbulletlistfirststyle"/>
            </w:pPr>
            <w:r w:rsidRPr="00F228EF">
              <w:t>Deloitte considered that Endeavour Energy's base year opex was likely more efficient than Ausgrid's and Essential Energy's because it had commenced implementing efficiency improvements earlier. However, all NSW service providers (including Endeavour Energy) had efficiencies they were yet to realise because the reforms they had implemented to date did not consider potential opportunities to improve efficiency outside of the three NSW businesses. That is, they compared efficiency among themselves, but not to businesses in other jurisdictions.</w:t>
            </w:r>
          </w:p>
        </w:tc>
      </w:tr>
    </w:tbl>
    <w:p w:rsidR="00B8317F" w:rsidRDefault="00B8317F" w:rsidP="00B8317F">
      <w:pPr>
        <w:pStyle w:val="AERtablesource"/>
      </w:pPr>
      <w:r>
        <w:t xml:space="preserve">Source: </w:t>
      </w:r>
      <w:r>
        <w:tab/>
        <w:t>AER analysis.</w:t>
      </w:r>
    </w:p>
    <w:p w:rsidR="00B8317F" w:rsidRPr="00937576" w:rsidRDefault="00B8317F" w:rsidP="00B8317F">
      <w:pPr>
        <w:pStyle w:val="ListParagraph"/>
        <w:numPr>
          <w:ilvl w:val="0"/>
          <w:numId w:val="24"/>
        </w:numPr>
        <w:rPr>
          <w:rStyle w:val="AERbody"/>
        </w:rPr>
      </w:pPr>
      <w:r w:rsidRPr="00937576">
        <w:rPr>
          <w:rStyle w:val="AERbody"/>
        </w:rPr>
        <w:lastRenderedPageBreak/>
        <w:t xml:space="preserve">However, </w:t>
      </w:r>
      <w:r w:rsidRPr="00937576">
        <w:t>our preference in the Guideline is to rely on revealed costs and only adjust base opex where it is materially inefficient</w:t>
      </w:r>
      <w:r w:rsidRPr="00937576">
        <w:rPr>
          <w:rStyle w:val="AERbody"/>
        </w:rPr>
        <w:t xml:space="preserve">. Based on all evidence we considered, we are not satisfied that a forecast based on Endeavour Energy's actual opex in 2012–13 could be </w:t>
      </w:r>
      <w:r>
        <w:rPr>
          <w:rStyle w:val="AERbody"/>
        </w:rPr>
        <w:t>regarded</w:t>
      </w:r>
      <w:r w:rsidRPr="00937576">
        <w:rPr>
          <w:rStyle w:val="AERbody"/>
        </w:rPr>
        <w:t xml:space="preserve"> as materially inefficient. </w:t>
      </w:r>
    </w:p>
    <w:p w:rsidR="00B8317F" w:rsidRDefault="00B8317F" w:rsidP="00B8317F">
      <w:pPr>
        <w:pStyle w:val="ListParagraph"/>
        <w:numPr>
          <w:ilvl w:val="0"/>
          <w:numId w:val="24"/>
        </w:numPr>
      </w:pPr>
      <w:r>
        <w:t>As with our draft decision, w</w:t>
      </w:r>
      <w:r w:rsidRPr="00CB7E71">
        <w:t>e have used the results from our preferred benchmarking model (Cobb Douglas SFA) to determine whether Endeavour Energy's base opex is materially inefficient.</w:t>
      </w:r>
      <w:r w:rsidRPr="00CB7E71">
        <w:rPr>
          <w:rStyle w:val="FootnoteReference"/>
        </w:rPr>
        <w:footnoteReference w:id="42"/>
      </w:r>
      <w:r w:rsidRPr="00CB7E71">
        <w:t xml:space="preserve"> </w:t>
      </w:r>
      <w:r w:rsidRPr="00901CDA">
        <w:t>Our preferred benchmarking model measures the opex efficiency of all service providers in the NEM over the 2006 to 2013 period relative to a frontier service provider. The outputs in the model are customer numbers, line length and ratcheted maximum demand.</w:t>
      </w:r>
    </w:p>
    <w:p w:rsidR="00B8317F" w:rsidRPr="00937576" w:rsidRDefault="00B8317F" w:rsidP="00B8317F">
      <w:pPr>
        <w:pStyle w:val="ListParagraph"/>
        <w:numPr>
          <w:ilvl w:val="0"/>
          <w:numId w:val="24"/>
        </w:numPr>
      </w:pPr>
      <w:r w:rsidRPr="00937576">
        <w:rPr>
          <w:rStyle w:val="AERbody"/>
        </w:rPr>
        <w:t>The main reason for the change</w:t>
      </w:r>
      <w:r>
        <w:rPr>
          <w:rStyle w:val="AERbody"/>
        </w:rPr>
        <w:t xml:space="preserve"> in position</w:t>
      </w:r>
      <w:r w:rsidRPr="00937576">
        <w:rPr>
          <w:rStyle w:val="AERbody"/>
        </w:rPr>
        <w:t xml:space="preserve"> is because we have used a lower comparison point</w:t>
      </w:r>
      <w:r>
        <w:rPr>
          <w:rStyle w:val="AERbody"/>
        </w:rPr>
        <w:t xml:space="preserve"> in our preferred benchmarking model</w:t>
      </w:r>
      <w:r w:rsidRPr="00937576">
        <w:rPr>
          <w:rStyle w:val="AERbody"/>
        </w:rPr>
        <w:t xml:space="preserve"> to determine whether an adjustment</w:t>
      </w:r>
      <w:r>
        <w:rPr>
          <w:rStyle w:val="AERbody"/>
        </w:rPr>
        <w:t xml:space="preserve"> to Endeavour Energy's</w:t>
      </w:r>
      <w:r w:rsidRPr="00937576">
        <w:rPr>
          <w:rStyle w:val="AERbody"/>
        </w:rPr>
        <w:t xml:space="preserve"> </w:t>
      </w:r>
      <w:r>
        <w:rPr>
          <w:rStyle w:val="AERbody"/>
        </w:rPr>
        <w:t xml:space="preserve">base opex </w:t>
      </w:r>
      <w:r w:rsidRPr="00937576">
        <w:rPr>
          <w:rStyle w:val="AERbody"/>
        </w:rPr>
        <w:t>should apply.</w:t>
      </w:r>
      <w:r w:rsidRPr="00937576">
        <w:t xml:space="preserve"> </w:t>
      </w:r>
    </w:p>
    <w:p w:rsidR="00B8317F" w:rsidRPr="00937576" w:rsidRDefault="00B8317F" w:rsidP="00B8317F">
      <w:pPr>
        <w:pStyle w:val="ListParagraph"/>
        <w:numPr>
          <w:ilvl w:val="0"/>
          <w:numId w:val="24"/>
        </w:numPr>
      </w:pPr>
      <w:r>
        <w:t xml:space="preserve">For the final decision, </w:t>
      </w:r>
      <w:r w:rsidRPr="00937576">
        <w:t xml:space="preserve">we used a benchmark comparison point that is the lowest of the efficiency scores in the top quartile of possible scores. This is equivalent to the efficiency score for the business at the bottom of the upper third (top 33 per cent) of </w:t>
      </w:r>
      <w:r>
        <w:t>service providers</w:t>
      </w:r>
      <w:r w:rsidRPr="00937576">
        <w:t xml:space="preserve"> in the benchmark sample (represented by AusNet Services). </w:t>
      </w:r>
    </w:p>
    <w:p w:rsidR="00B8317F" w:rsidRPr="00937576" w:rsidRDefault="00B8317F" w:rsidP="00B8317F">
      <w:pPr>
        <w:pStyle w:val="ListParagraph"/>
        <w:numPr>
          <w:ilvl w:val="0"/>
          <w:numId w:val="24"/>
        </w:numPr>
      </w:pPr>
      <w:r w:rsidRPr="00937576">
        <w:t>We have done this because:</w:t>
      </w:r>
    </w:p>
    <w:p w:rsidR="00B8317F" w:rsidRPr="00937576" w:rsidRDefault="00B8317F" w:rsidP="00B8317F">
      <w:pPr>
        <w:pStyle w:val="AERbulletlistfirststyle"/>
      </w:pPr>
      <w:r w:rsidRPr="00937576">
        <w:t xml:space="preserve">this recognises that more than a third of the service providers in the NEM, operating in varied environments, are able to perform at or above our benchmark comparison point. We are confident that a firm that performs below this level is therefore spending in a manner that does not reasonably reflect the opex criteria. An adjustment back to this appropriately conservative point is sufficient to remove </w:t>
      </w:r>
      <w:r>
        <w:t>material inefficiency</w:t>
      </w:r>
      <w:r w:rsidRPr="00937576">
        <w:t xml:space="preserve"> while still incorporating an appropriately wide margin for potential modelling and data errors for the purposes of forecasting</w:t>
      </w:r>
    </w:p>
    <w:p w:rsidR="00B8317F" w:rsidRPr="00937576" w:rsidRDefault="00B8317F" w:rsidP="00B8317F">
      <w:pPr>
        <w:pStyle w:val="AERbulletlistfirststyle"/>
      </w:pPr>
      <w:r w:rsidRPr="00937576">
        <w:t>given it is our first application of benchmarking, it is appropriate to adopt a cautious approach</w:t>
      </w:r>
    </w:p>
    <w:p w:rsidR="00B8317F" w:rsidRPr="00937576" w:rsidRDefault="00B8317F" w:rsidP="00B8317F">
      <w:pPr>
        <w:pStyle w:val="AERbulletlistfirststyle"/>
      </w:pPr>
      <w:r w:rsidRPr="00937576">
        <w:rPr>
          <w:rStyle w:val="AERbody"/>
        </w:rPr>
        <w:t xml:space="preserve">we consider this approach achieves the NEO and RPP because it is </w:t>
      </w:r>
      <w:r w:rsidRPr="00937576">
        <w:t>sufficiently conservative to avoid the risks associated with undercompensating the service provider but also promotes efficiency incentives.</w:t>
      </w:r>
    </w:p>
    <w:p w:rsidR="00B8317F" w:rsidRDefault="00B8317F" w:rsidP="00B8317F">
      <w:r>
        <w:t>For the draft decision we used a benchmark comparison point based on the average efficiency scores of all service providers in the top quartile of possible scores. The lower benchmark comparison point we have chosen for the final decision, adjusted for our estimate of operating environment factors not captured in the model,</w:t>
      </w:r>
      <w:r w:rsidRPr="00BE6A28">
        <w:t xml:space="preserve"> </w:t>
      </w:r>
      <w:r>
        <w:t xml:space="preserve">is comparable to Endeavour Energy's base opex. </w:t>
      </w:r>
    </w:p>
    <w:p w:rsidR="00AF23F8" w:rsidRPr="00937576" w:rsidRDefault="00AF23F8" w:rsidP="00B8317F"/>
    <w:p w:rsidR="00B8317F" w:rsidRPr="002F5CA1" w:rsidRDefault="00B8317F" w:rsidP="00B8317F">
      <w:pPr>
        <w:pStyle w:val="Heading3"/>
      </w:pPr>
      <w:bookmarkStart w:id="37" w:name="_Toc415754590"/>
      <w:bookmarkStart w:id="38" w:name="_Toc417659831"/>
      <w:r>
        <w:lastRenderedPageBreak/>
        <w:t>Rate of change</w:t>
      </w:r>
      <w:bookmarkEnd w:id="37"/>
      <w:bookmarkEnd w:id="38"/>
    </w:p>
    <w:p w:rsidR="00B8317F" w:rsidRPr="00041E6E" w:rsidRDefault="00B8317F" w:rsidP="00B8317F">
      <w:pPr>
        <w:numPr>
          <w:ilvl w:val="0"/>
          <w:numId w:val="24"/>
        </w:numPr>
      </w:pPr>
      <w:r w:rsidRPr="00041E6E">
        <w:t>Our forecast rate of change in opex captures the forecast year on year change in efficient base opex. Specifically, it accounts for forecast changes in output levels, prices and productivity (such as economies of scale). The output and productivity change variables capture the forecast change in the inputs required. The price change variable captures the forecast change in the real prices of those inputs. These three opex drivers should account for the main reasons why the base level of opex changes over time.</w:t>
      </w:r>
    </w:p>
    <w:p w:rsidR="00B8317F" w:rsidRDefault="00B8317F" w:rsidP="00B8317F">
      <w:pPr>
        <w:numPr>
          <w:ilvl w:val="0"/>
          <w:numId w:val="24"/>
        </w:numPr>
      </w:pPr>
      <w:r>
        <w:t>We have maintained our draft decision method to forecasting the rate of change. We have updated our forecasts of labour costs to reflect the most recent forecast from Deloitte Access Economics (DAE) and Independent Economics.</w:t>
      </w:r>
    </w:p>
    <w:p w:rsidR="00B8317F" w:rsidRDefault="00B8317F" w:rsidP="00B8317F">
      <w:pPr>
        <w:pStyle w:val="ListParagraph"/>
        <w:numPr>
          <w:ilvl w:val="0"/>
          <w:numId w:val="24"/>
        </w:numPr>
      </w:pPr>
      <w:r>
        <w:t>Endeavour Energy</w:t>
      </w:r>
      <w:r w:rsidRPr="00B40EA6">
        <w:t xml:space="preserve"> maintained its initial proposal approach to forecasting output growth and productivity growth in its revised proposal. However, </w:t>
      </w:r>
      <w:r>
        <w:t>Endeavour Energy</w:t>
      </w:r>
      <w:r w:rsidRPr="00B40EA6">
        <w:t xml:space="preserve"> adopted our price growth method. </w:t>
      </w:r>
    </w:p>
    <w:p w:rsidR="00B8317F" w:rsidRDefault="00B8317F" w:rsidP="00B8317F">
      <w:pPr>
        <w:numPr>
          <w:ilvl w:val="0"/>
          <w:numId w:val="24"/>
        </w:numPr>
      </w:pPr>
      <w:r w:rsidRPr="00494E3F">
        <w:t xml:space="preserve">We consider our draft decision approach to forecasting output growth based on our economic benchmarking analysis </w:t>
      </w:r>
      <w:r>
        <w:t>produces a robust estimate</w:t>
      </w:r>
      <w:r w:rsidRPr="00494E3F">
        <w:t xml:space="preserve">. </w:t>
      </w:r>
      <w:r>
        <w:t xml:space="preserve">As outlined in our draft decision, we consider our output growth measure captures the key outputs of service providers, as valued by customers. </w:t>
      </w:r>
      <w:r w:rsidRPr="00494E3F">
        <w:t>Our use of economic benchmarking techn</w:t>
      </w:r>
      <w:r>
        <w:t>iques is detailed in appendix A</w:t>
      </w:r>
      <w:r w:rsidRPr="00494E3F">
        <w:t xml:space="preserve">. </w:t>
      </w:r>
    </w:p>
    <w:p w:rsidR="00B8317F" w:rsidRDefault="00B8317F" w:rsidP="00B8317F">
      <w:pPr>
        <w:pStyle w:val="ListParagraph"/>
        <w:numPr>
          <w:ilvl w:val="0"/>
          <w:numId w:val="24"/>
        </w:numPr>
      </w:pPr>
      <w:r>
        <w:t>We have forecast zero productivity growth. O</w:t>
      </w:r>
      <w:r w:rsidRPr="00494E3F">
        <w:t xml:space="preserve">ur productivity growth </w:t>
      </w:r>
      <w:r>
        <w:t xml:space="preserve">forecast </w:t>
      </w:r>
      <w:r w:rsidRPr="00494E3F">
        <w:t>is based on our expectations of productivity for a benchmark service provider over the 201</w:t>
      </w:r>
      <w:r>
        <w:t>4</w:t>
      </w:r>
      <w:r w:rsidRPr="00494E3F">
        <w:t>–</w:t>
      </w:r>
      <w:r>
        <w:t>19</w:t>
      </w:r>
      <w:r w:rsidRPr="00494E3F">
        <w:t xml:space="preserve"> period.</w:t>
      </w:r>
      <w:r>
        <w:t xml:space="preserve"> In estimating productivity growth we have had regard to a number of sources of evidence. This includes the results of our economic benchmarking analysis, the drivers of recent productivity trends for the distribution businesses and the productivity forecasts for the gas distribution and electricity transmission sectors.  In percentage terms, our forecast rate of change is higher than Endeavour Energy's. This mainly reflects our forecast productivity growth of zero compared to Endeavour Energy's forecast which </w:t>
      </w:r>
      <w:r w:rsidRPr="00B225FE">
        <w:t>offset</w:t>
      </w:r>
      <w:r>
        <w:t>s</w:t>
      </w:r>
      <w:r w:rsidRPr="00B225FE">
        <w:t xml:space="preserve"> all of its output growth following the first year of the 2014–19 period with productivity gains.</w:t>
      </w:r>
      <w:r>
        <w:t xml:space="preserve"> </w:t>
      </w:r>
    </w:p>
    <w:p w:rsidR="00B8317F" w:rsidRDefault="00B8317F" w:rsidP="00B8317F">
      <w:pPr>
        <w:numPr>
          <w:ilvl w:val="0"/>
          <w:numId w:val="24"/>
        </w:numPr>
      </w:pPr>
      <w:r>
        <w:fldChar w:fldCharType="begin"/>
      </w:r>
      <w:r>
        <w:instrText xml:space="preserve"> REF _Ref417655057 \h </w:instrText>
      </w:r>
      <w:r>
        <w:fldChar w:fldCharType="separate"/>
      </w:r>
      <w:r w:rsidR="00AF23F8">
        <w:t xml:space="preserve">Table </w:t>
      </w:r>
      <w:r w:rsidR="00AF23F8">
        <w:rPr>
          <w:noProof/>
        </w:rPr>
        <w:t>7</w:t>
      </w:r>
      <w:r w:rsidR="00AF23F8">
        <w:t>.</w:t>
      </w:r>
      <w:r w:rsidR="00AF23F8">
        <w:rPr>
          <w:noProof/>
        </w:rPr>
        <w:t>4</w:t>
      </w:r>
      <w:r>
        <w:fldChar w:fldCharType="end"/>
      </w:r>
      <w:r>
        <w:t xml:space="preserve"> compares the rate of change for Endeavour Energy's initial proposal, our draft decision and our final decision.</w:t>
      </w:r>
      <w:r>
        <w:rPr>
          <w:rStyle w:val="FootnoteReference"/>
        </w:rPr>
        <w:footnoteReference w:id="43"/>
      </w:r>
      <w:r w:rsidRPr="008309D8">
        <w:t xml:space="preserve"> </w:t>
      </w:r>
    </w:p>
    <w:p w:rsidR="00AF23F8" w:rsidRDefault="00AF23F8">
      <w:pPr>
        <w:spacing w:line="240" w:lineRule="auto"/>
      </w:pPr>
      <w:r>
        <w:br w:type="page"/>
      </w:r>
    </w:p>
    <w:p w:rsidR="00B8317F" w:rsidRDefault="00B8317F" w:rsidP="00B8317F">
      <w:pPr>
        <w:pStyle w:val="Caption"/>
        <w:numPr>
          <w:ilvl w:val="0"/>
          <w:numId w:val="24"/>
        </w:numPr>
      </w:pPr>
      <w:bookmarkStart w:id="39" w:name="_Ref417655057"/>
      <w:bookmarkStart w:id="40" w:name="_Ref417655021"/>
      <w:r>
        <w:lastRenderedPageBreak/>
        <w:t xml:space="preserve">Table </w:t>
      </w:r>
      <w:fldSimple w:instr=" STYLEREF 1 \s ">
        <w:r w:rsidR="00C57342">
          <w:rPr>
            <w:noProof/>
          </w:rPr>
          <w:t>7</w:t>
        </w:r>
      </w:fldSimple>
      <w:r>
        <w:t>.</w:t>
      </w:r>
      <w:fldSimple w:instr=" SEQ Table \* ARABIC \s 1 ">
        <w:r w:rsidR="00C57342">
          <w:rPr>
            <w:noProof/>
          </w:rPr>
          <w:t>4</w:t>
        </w:r>
      </w:fldSimple>
      <w:bookmarkEnd w:id="39"/>
      <w:r>
        <w:tab/>
      </w:r>
      <w:r w:rsidRPr="00400296">
        <w:t>Rate of change in opex</w:t>
      </w:r>
      <w:r>
        <w:t xml:space="preserve"> (per cent)</w:t>
      </w:r>
      <w:bookmarkEnd w:id="40"/>
    </w:p>
    <w:tbl>
      <w:tblPr>
        <w:tblStyle w:val="AERtable-numbers"/>
        <w:tblW w:w="0" w:type="auto"/>
        <w:tblLook w:val="04A0" w:firstRow="1" w:lastRow="0" w:firstColumn="1" w:lastColumn="0" w:noHBand="0" w:noVBand="1"/>
      </w:tblPr>
      <w:tblGrid>
        <w:gridCol w:w="2429"/>
        <w:gridCol w:w="1243"/>
        <w:gridCol w:w="1244"/>
        <w:gridCol w:w="1244"/>
        <w:gridCol w:w="1244"/>
        <w:gridCol w:w="1244"/>
      </w:tblGrid>
      <w:tr w:rsidR="00B8317F" w:rsidRPr="0062476B" w:rsidTr="002B5F41">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29" w:type="dxa"/>
          </w:tcPr>
          <w:p w:rsidR="00B8317F" w:rsidRPr="001172D7" w:rsidRDefault="00B8317F" w:rsidP="00B8317F"/>
        </w:tc>
        <w:tc>
          <w:tcPr>
            <w:tcW w:w="1243"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1172D7">
              <w:t>2014–15</w:t>
            </w:r>
          </w:p>
        </w:tc>
        <w:tc>
          <w:tcPr>
            <w:tcW w:w="1244"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1172D7">
              <w:t>2015–16</w:t>
            </w:r>
          </w:p>
        </w:tc>
        <w:tc>
          <w:tcPr>
            <w:tcW w:w="1244"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1172D7">
              <w:t>2016–17</w:t>
            </w:r>
          </w:p>
        </w:tc>
        <w:tc>
          <w:tcPr>
            <w:tcW w:w="1244"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1172D7">
              <w:t>2017–18</w:t>
            </w:r>
          </w:p>
        </w:tc>
        <w:tc>
          <w:tcPr>
            <w:tcW w:w="1244"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1172D7">
              <w:t>2018–19</w:t>
            </w:r>
          </w:p>
        </w:tc>
      </w:tr>
      <w:tr w:rsidR="00B8317F" w:rsidRPr="0062476B" w:rsidTr="002B5F41">
        <w:trPr>
          <w:trHeight w:val="645"/>
        </w:trPr>
        <w:tc>
          <w:tcPr>
            <w:cnfStyle w:val="001000000000" w:firstRow="0" w:lastRow="0" w:firstColumn="1" w:lastColumn="0" w:oddVBand="0" w:evenVBand="0" w:oddHBand="0" w:evenHBand="0" w:firstRowFirstColumn="0" w:firstRowLastColumn="0" w:lastRowFirstColumn="0" w:lastRowLastColumn="0"/>
            <w:tcW w:w="2429" w:type="dxa"/>
          </w:tcPr>
          <w:p w:rsidR="00B8317F" w:rsidRPr="00B8317F" w:rsidRDefault="00B8317F" w:rsidP="00B8317F">
            <w:r>
              <w:t>Endeavour Energy</w:t>
            </w:r>
            <w:r w:rsidRPr="00B8317F">
              <w:t xml:space="preserve"> initial proposal</w:t>
            </w:r>
          </w:p>
        </w:tc>
        <w:tc>
          <w:tcPr>
            <w:tcW w:w="1243"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D168D2">
              <w:t>1.72</w:t>
            </w:r>
          </w:p>
        </w:tc>
        <w:tc>
          <w:tcPr>
            <w:tcW w:w="124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D168D2">
              <w:t>–0.42</w:t>
            </w:r>
          </w:p>
        </w:tc>
        <w:tc>
          <w:tcPr>
            <w:tcW w:w="124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D168D2">
              <w:t>1.05</w:t>
            </w:r>
          </w:p>
        </w:tc>
        <w:tc>
          <w:tcPr>
            <w:tcW w:w="124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D168D2">
              <w:t>0.99</w:t>
            </w:r>
          </w:p>
        </w:tc>
        <w:tc>
          <w:tcPr>
            <w:tcW w:w="124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D168D2">
              <w:t>0.95</w:t>
            </w:r>
          </w:p>
        </w:tc>
      </w:tr>
      <w:tr w:rsidR="00B8317F" w:rsidRPr="0062476B" w:rsidTr="002B5F41">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29" w:type="dxa"/>
          </w:tcPr>
          <w:p w:rsidR="00B8317F" w:rsidRPr="00B8317F" w:rsidRDefault="00B8317F" w:rsidP="00B8317F">
            <w:r w:rsidRPr="0083557C">
              <w:t>AER draft decision</w:t>
            </w:r>
          </w:p>
        </w:tc>
        <w:tc>
          <w:tcPr>
            <w:tcW w:w="1243" w:type="dxa"/>
            <w:vAlign w:val="top"/>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83557C">
              <w:t>1.90</w:t>
            </w:r>
          </w:p>
        </w:tc>
        <w:tc>
          <w:tcPr>
            <w:tcW w:w="1244" w:type="dxa"/>
            <w:vAlign w:val="top"/>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83557C">
              <w:t>1.47</w:t>
            </w:r>
          </w:p>
        </w:tc>
        <w:tc>
          <w:tcPr>
            <w:tcW w:w="1244" w:type="dxa"/>
            <w:vAlign w:val="top"/>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83557C">
              <w:t>1.82</w:t>
            </w:r>
          </w:p>
        </w:tc>
        <w:tc>
          <w:tcPr>
            <w:tcW w:w="1244" w:type="dxa"/>
            <w:vAlign w:val="top"/>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83557C">
              <w:t>2.03</w:t>
            </w:r>
          </w:p>
        </w:tc>
        <w:tc>
          <w:tcPr>
            <w:tcW w:w="1244" w:type="dxa"/>
            <w:vAlign w:val="top"/>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83557C">
              <w:t>2.14</w:t>
            </w:r>
          </w:p>
        </w:tc>
      </w:tr>
      <w:tr w:rsidR="00B8317F" w:rsidRPr="0062476B" w:rsidTr="002B5F41">
        <w:trPr>
          <w:trHeight w:val="440"/>
        </w:trPr>
        <w:tc>
          <w:tcPr>
            <w:cnfStyle w:val="001000000000" w:firstRow="0" w:lastRow="0" w:firstColumn="1" w:lastColumn="0" w:oddVBand="0" w:evenVBand="0" w:oddHBand="0" w:evenHBand="0" w:firstRowFirstColumn="0" w:firstRowLastColumn="0" w:lastRowFirstColumn="0" w:lastRowLastColumn="0"/>
            <w:tcW w:w="2429" w:type="dxa"/>
          </w:tcPr>
          <w:p w:rsidR="00B8317F" w:rsidRPr="00B8317F" w:rsidRDefault="00B8317F" w:rsidP="00B8317F">
            <w:r w:rsidRPr="00083B40">
              <w:t>AER final decision</w:t>
            </w:r>
          </w:p>
        </w:tc>
        <w:tc>
          <w:tcPr>
            <w:tcW w:w="1243" w:type="dxa"/>
            <w:vAlign w:val="bottom"/>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083B40">
              <w:t>2.19</w:t>
            </w:r>
          </w:p>
        </w:tc>
        <w:tc>
          <w:tcPr>
            <w:tcW w:w="1244" w:type="dxa"/>
            <w:vAlign w:val="bottom"/>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083B40">
              <w:t>1.56</w:t>
            </w:r>
          </w:p>
        </w:tc>
        <w:tc>
          <w:tcPr>
            <w:tcW w:w="1244" w:type="dxa"/>
            <w:vAlign w:val="bottom"/>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083B40">
              <w:t>1.61</w:t>
            </w:r>
          </w:p>
        </w:tc>
        <w:tc>
          <w:tcPr>
            <w:tcW w:w="1244" w:type="dxa"/>
            <w:vAlign w:val="bottom"/>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083B40">
              <w:t>1.72</w:t>
            </w:r>
          </w:p>
        </w:tc>
        <w:tc>
          <w:tcPr>
            <w:tcW w:w="1244" w:type="dxa"/>
            <w:vAlign w:val="bottom"/>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083B40">
              <w:t>1.92</w:t>
            </w:r>
          </w:p>
        </w:tc>
      </w:tr>
    </w:tbl>
    <w:p w:rsidR="00B8317F" w:rsidRDefault="00B8317F" w:rsidP="00B8317F">
      <w:pPr>
        <w:pStyle w:val="AERtablesource"/>
        <w:numPr>
          <w:ilvl w:val="0"/>
          <w:numId w:val="24"/>
        </w:numPr>
      </w:pPr>
      <w:r w:rsidRPr="00400296">
        <w:t>Source:</w:t>
      </w:r>
      <w:r w:rsidRPr="00400296">
        <w:tab/>
        <w:t>AER analysis.</w:t>
      </w:r>
      <w:r>
        <w:t xml:space="preserve"> </w:t>
      </w:r>
    </w:p>
    <w:p w:rsidR="00B8317F" w:rsidRDefault="00B8317F" w:rsidP="00B8317F">
      <w:r>
        <w:t>Our detailed assessment of the rate of change is outlined in appendix B of this attachment.</w:t>
      </w:r>
    </w:p>
    <w:p w:rsidR="00B8317F" w:rsidRDefault="00B8317F" w:rsidP="00B8317F">
      <w:pPr>
        <w:pStyle w:val="Heading3"/>
      </w:pPr>
      <w:bookmarkStart w:id="41" w:name="_Toc415754591"/>
      <w:bookmarkStart w:id="42" w:name="_Toc417659832"/>
      <w:r>
        <w:t>Step changes</w:t>
      </w:r>
      <w:bookmarkEnd w:id="41"/>
      <w:bookmarkEnd w:id="42"/>
    </w:p>
    <w:p w:rsidR="00B8317F" w:rsidRDefault="00B8317F" w:rsidP="00B8317F">
      <w:pPr>
        <w:numPr>
          <w:ilvl w:val="0"/>
          <w:numId w:val="24"/>
        </w:numPr>
      </w:pPr>
      <w:r>
        <w:t>We have not included any step changes in our alternative opex forecast.</w:t>
      </w:r>
      <w:r w:rsidRPr="004E265D">
        <w:t xml:space="preserve"> </w:t>
      </w:r>
    </w:p>
    <w:p w:rsidR="00B8317F" w:rsidRDefault="00B8317F" w:rsidP="00B8317F">
      <w:pPr>
        <w:pStyle w:val="ListParagraph"/>
        <w:numPr>
          <w:ilvl w:val="0"/>
          <w:numId w:val="24"/>
        </w:numPr>
      </w:pPr>
      <w:bookmarkStart w:id="43" w:name="_Toc415754592"/>
      <w:r w:rsidRPr="00631CDC">
        <w:t>Endeavour Energy forecast an increase in opex associated with new vegetation management contracts. Endeavour Energy stated that it is targeting further improvements to conform to the minimum risk standards it must meet regarding the clearance distance between mains and vegetation. It considered that this affected the price charged by outsourced providers.</w:t>
      </w:r>
      <w:r w:rsidRPr="00631CDC">
        <w:rPr>
          <w:rStyle w:val="FootnoteReference"/>
        </w:rPr>
        <w:footnoteReference w:id="44"/>
      </w:r>
      <w:r>
        <w:t xml:space="preserve"> In its original proposal Endeavour Energy</w:t>
      </w:r>
      <w:r w:rsidRPr="00631CDC">
        <w:t xml:space="preserve"> estimated the increase in opex to be $130.6 million ($2013–14) over the </w:t>
      </w:r>
      <w:r>
        <w:t xml:space="preserve">2014-19 </w:t>
      </w:r>
      <w:r w:rsidRPr="00631CDC">
        <w:t>period.</w:t>
      </w:r>
      <w:r>
        <w:t xml:space="preserve"> In its revised proposal it forecast an additional $110.1 million </w:t>
      </w:r>
      <w:r>
        <w:br/>
        <w:t>($2013</w:t>
      </w:r>
      <w:r>
        <w:softHyphen/>
        <w:t>–14).</w:t>
      </w:r>
    </w:p>
    <w:p w:rsidR="00B8317F" w:rsidRPr="00401167" w:rsidRDefault="00B8317F" w:rsidP="00B8317F">
      <w:pPr>
        <w:numPr>
          <w:ilvl w:val="0"/>
          <w:numId w:val="24"/>
        </w:numPr>
      </w:pPr>
      <w:r>
        <w:t>W</w:t>
      </w:r>
      <w:r w:rsidRPr="00401167">
        <w:t>e consider our estimate of opex already reasonably reflects the opex a prudent and efficient service provider, with realistic estimates of demand forecasts and cost inputs (including operating and environmental factors), would require to achieve the opex objectives.</w:t>
      </w:r>
    </w:p>
    <w:p w:rsidR="00B8317F" w:rsidRPr="00361F5F" w:rsidRDefault="00B8317F" w:rsidP="00B8317F">
      <w:r>
        <w:t xml:space="preserve">We are not satisfied a </w:t>
      </w:r>
      <w:r w:rsidRPr="00361F5F">
        <w:t>further increase in our opex estimate is required to achieve these objectives.</w:t>
      </w:r>
    </w:p>
    <w:p w:rsidR="00B8317F" w:rsidRDefault="00B8317F" w:rsidP="00B8317F">
      <w:pPr>
        <w:pStyle w:val="ListParagraph"/>
        <w:numPr>
          <w:ilvl w:val="0"/>
          <w:numId w:val="24"/>
        </w:numPr>
      </w:pPr>
      <w:r>
        <w:t xml:space="preserve">For instance, our benchmarking already takes into account safety and reliability metrics, and differences in regulatory obligations between Endeavour Energy and other service providers. We are not satisfied that it would be efficient for Endeavour Energy to spend materially more opex than it incurred in 2012–13 to meet unchanged regulatory obligations. </w:t>
      </w:r>
      <w:r w:rsidRPr="0025720D">
        <w:t>Our detailed assessment of step changes is outlined in appendix C to this attachment.</w:t>
      </w:r>
    </w:p>
    <w:p w:rsidR="002B5F41" w:rsidRDefault="002B5F41">
      <w:pPr>
        <w:spacing w:line="240" w:lineRule="auto"/>
      </w:pPr>
      <w:r>
        <w:br w:type="page"/>
      </w:r>
    </w:p>
    <w:p w:rsidR="00B8317F" w:rsidRDefault="00B8317F" w:rsidP="00B8317F">
      <w:pPr>
        <w:pStyle w:val="Heading3"/>
      </w:pPr>
      <w:bookmarkStart w:id="44" w:name="_Toc417659833"/>
      <w:r>
        <w:lastRenderedPageBreak/>
        <w:t>Inflation</w:t>
      </w:r>
      <w:bookmarkEnd w:id="44"/>
    </w:p>
    <w:p w:rsidR="00B8317F" w:rsidRPr="00937576" w:rsidRDefault="00B8317F" w:rsidP="00B8317F">
      <w:bookmarkStart w:id="45" w:name="_Toc417294849"/>
      <w:bookmarkStart w:id="46" w:name="_Toc417294886"/>
      <w:bookmarkStart w:id="47" w:name="_Toc417294923"/>
      <w:bookmarkStart w:id="48" w:name="_Toc417294960"/>
      <w:bookmarkStart w:id="49" w:name="_Toc417483303"/>
      <w:bookmarkStart w:id="50" w:name="_Toc417294850"/>
      <w:bookmarkStart w:id="51" w:name="_Toc417294887"/>
      <w:bookmarkStart w:id="52" w:name="_Toc417294924"/>
      <w:bookmarkStart w:id="53" w:name="_Toc417294961"/>
      <w:bookmarkStart w:id="54" w:name="_Toc417483304"/>
      <w:bookmarkStart w:id="55" w:name="_Toc417294851"/>
      <w:bookmarkStart w:id="56" w:name="_Toc417294888"/>
      <w:bookmarkStart w:id="57" w:name="_Toc417294925"/>
      <w:bookmarkStart w:id="58" w:name="_Toc417294962"/>
      <w:bookmarkStart w:id="59" w:name="_Toc417483305"/>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937576">
        <w:t>For our draft decision, we lagged the inflation index we used to convert nominal opex amounts to real 2013–14 dollar terms. The lag used was consistent with the treatment of inflation in the roll forward model. Based on submissions received on our draft decision, we have conducted further analysis and agree there is no need to lag the inflation index for opex forecasting purposes for all our decisions.</w:t>
      </w:r>
      <w:r w:rsidRPr="00937576">
        <w:rPr>
          <w:rStyle w:val="FootnoteReference"/>
        </w:rPr>
        <w:footnoteReference w:id="45"/>
      </w:r>
      <w:r w:rsidRPr="00937576">
        <w:t xml:space="preserve"> Consequently we amended our opex model to apply the inflation index without any lag.</w:t>
      </w:r>
    </w:p>
    <w:p w:rsidR="00B8317F" w:rsidRPr="00B10C1A" w:rsidRDefault="00B8317F" w:rsidP="00B8317F">
      <w:pPr>
        <w:pStyle w:val="Heading3"/>
      </w:pPr>
      <w:bookmarkStart w:id="60" w:name="_Toc417659834"/>
      <w:r>
        <w:t>Debt raising costs</w:t>
      </w:r>
      <w:bookmarkEnd w:id="43"/>
      <w:bookmarkEnd w:id="60"/>
    </w:p>
    <w:p w:rsidR="00B8317F" w:rsidRDefault="00B8317F" w:rsidP="00B8317F">
      <w:pPr>
        <w:rPr>
          <w:rStyle w:val="AERbody"/>
        </w:rPr>
      </w:pPr>
      <w:r w:rsidRPr="00BC4DFC">
        <w:rPr>
          <w:rStyle w:val="AERbody"/>
        </w:rPr>
        <w:t xml:space="preserve">Debt raising costs are transaction costs incurred each time debt is raised or refinanced. We forecast them using our standard forecasting approach for this category which sets the forecast equal to the costs incurred by a benchmark firm. Our assessment approach and the reasons for those forecasts are set out in </w:t>
      </w:r>
      <w:r>
        <w:rPr>
          <w:rStyle w:val="AERbody"/>
        </w:rPr>
        <w:t>appendix H to attachment 3</w:t>
      </w:r>
      <w:r w:rsidRPr="00BC4DFC">
        <w:rPr>
          <w:rStyle w:val="AERbody"/>
        </w:rPr>
        <w:t>.</w:t>
      </w:r>
    </w:p>
    <w:p w:rsidR="00B8317F" w:rsidRDefault="00B8317F" w:rsidP="00B8317F">
      <w:pPr>
        <w:pStyle w:val="Heading2"/>
      </w:pPr>
      <w:bookmarkStart w:id="61" w:name="_Toc415754587"/>
      <w:bookmarkStart w:id="62" w:name="_Toc417290643"/>
      <w:bookmarkStart w:id="63" w:name="_Ref417657575"/>
      <w:bookmarkStart w:id="64" w:name="_Toc417659835"/>
      <w:bookmarkStart w:id="65" w:name="_Ref417660629"/>
      <w:r w:rsidRPr="0025720D">
        <w:t>The impact of our decision</w:t>
      </w:r>
      <w:bookmarkEnd w:id="61"/>
      <w:bookmarkEnd w:id="62"/>
      <w:bookmarkEnd w:id="63"/>
      <w:bookmarkEnd w:id="64"/>
      <w:bookmarkEnd w:id="65"/>
    </w:p>
    <w:p w:rsidR="002B5F41" w:rsidRPr="00FE6574" w:rsidRDefault="002B5F41" w:rsidP="002B5F41">
      <w:bookmarkStart w:id="66" w:name="_Ref397956595"/>
      <w:bookmarkStart w:id="67" w:name="_Toc387916729"/>
      <w:r w:rsidRPr="00FE6574">
        <w:t>In response to our draft decision, the service providers submitted that our approach will increase the safety, reliability and security risk of their networks because they will need to immediately restructure, reduce staff and stop certain expenditure programs. They also consider the associated revenue reductions will adversely affect their financial viability and pose a risk to investment.</w:t>
      </w:r>
      <w:r w:rsidRPr="00FE6574">
        <w:rPr>
          <w:rStyle w:val="FootnoteReference"/>
        </w:rPr>
        <w:footnoteReference w:id="46"/>
      </w:r>
      <w:r w:rsidRPr="00FE6574">
        <w:t xml:space="preserve"> </w:t>
      </w:r>
    </w:p>
    <w:p w:rsidR="002B5F41" w:rsidRPr="00FE6574" w:rsidRDefault="002B5F41" w:rsidP="002B5F41">
      <w:r w:rsidRPr="00FE6574">
        <w:t>The distributors also submit that if we were to implement the opex reductions from the draft decision, the NEL and NER require that we provide a realistic forecast of their actual costs while incentivising efficiency reductions over time in a realistic manner.</w:t>
      </w:r>
      <w:r w:rsidRPr="00FE6574">
        <w:rPr>
          <w:rStyle w:val="FootnoteReference"/>
        </w:rPr>
        <w:footnoteReference w:id="47"/>
      </w:r>
      <w:r w:rsidRPr="00FE6574">
        <w:t xml:space="preserve"> This includes:</w:t>
      </w:r>
    </w:p>
    <w:p w:rsidR="002B5F41" w:rsidRPr="00FE6574" w:rsidRDefault="002B5F41" w:rsidP="002B5F41">
      <w:pPr>
        <w:pStyle w:val="AERbulletlistfirststyle"/>
      </w:pPr>
      <w:r w:rsidRPr="00FE6574">
        <w:t>redundancy costs, which the service providers submit are legitimate and prudent in a time of transformation</w:t>
      </w:r>
      <w:r w:rsidRPr="00FE6574">
        <w:rPr>
          <w:rStyle w:val="FootnoteReference"/>
        </w:rPr>
        <w:footnoteReference w:id="48"/>
      </w:r>
    </w:p>
    <w:p w:rsidR="002B5F41" w:rsidRPr="00FE6574" w:rsidRDefault="002B5F41" w:rsidP="002B5F41">
      <w:pPr>
        <w:pStyle w:val="AERbulletlistfirststyle"/>
      </w:pPr>
      <w:r w:rsidRPr="00FE6574">
        <w:t>a transition to mitigate the consequences of requiring  service providers to immediately review, and substantially reduce, expenditure.</w:t>
      </w:r>
      <w:r w:rsidRPr="00FE6574">
        <w:rPr>
          <w:rStyle w:val="FootnoteReference"/>
        </w:rPr>
        <w:footnoteReference w:id="49"/>
      </w:r>
    </w:p>
    <w:p w:rsidR="002B5F41" w:rsidRPr="00FE6574" w:rsidRDefault="002B5F41" w:rsidP="002B5F41">
      <w:r w:rsidRPr="00FE6574">
        <w:t>This section clarifies our approach in light of these submissions.</w:t>
      </w:r>
    </w:p>
    <w:p w:rsidR="002B5F41" w:rsidRPr="00FE6574" w:rsidRDefault="002B5F41" w:rsidP="002B5F41">
      <w:pPr>
        <w:pStyle w:val="Heading3"/>
      </w:pPr>
      <w:bookmarkStart w:id="68" w:name="_Toc417646239"/>
      <w:bookmarkStart w:id="69" w:name="_Toc417649204"/>
      <w:bookmarkStart w:id="70" w:name="_Toc417659836"/>
      <w:r w:rsidRPr="00FE6574">
        <w:lastRenderedPageBreak/>
        <w:t>Safety and reliability</w:t>
      </w:r>
      <w:bookmarkEnd w:id="68"/>
      <w:bookmarkEnd w:id="69"/>
      <w:bookmarkEnd w:id="70"/>
      <w:r w:rsidRPr="00FE6574">
        <w:t xml:space="preserve"> </w:t>
      </w:r>
    </w:p>
    <w:p w:rsidR="002B5F41" w:rsidRPr="00181156" w:rsidRDefault="002B5F41" w:rsidP="002B5F41">
      <w:pPr>
        <w:rPr>
          <w:rStyle w:val="AERbody"/>
        </w:rPr>
      </w:pPr>
      <w:r w:rsidRPr="00181156">
        <w:rPr>
          <w:rStyle w:val="AERbody"/>
        </w:rPr>
        <w:t>The service providers have submitted that the reductions we are making to revenue based on our assessments of opex and capex will lead to safety and reliability risks. In making this submission, they are assuming that they would continue to run their businesses the way they are</w:t>
      </w:r>
      <w:r>
        <w:rPr>
          <w:rStyle w:val="AERbody"/>
        </w:rPr>
        <w:t xml:space="preserve"> </w:t>
      </w:r>
      <w:r w:rsidRPr="00181156">
        <w:rPr>
          <w:rStyle w:val="AERbody"/>
        </w:rPr>
        <w:t>currently, but with less funds. Therefore, the service providers submit, they would need to scale back activities and reduce staff.</w:t>
      </w:r>
      <w:r w:rsidRPr="00181156">
        <w:rPr>
          <w:rStyle w:val="FootnoteReference"/>
        </w:rPr>
        <w:footnoteReference w:id="50"/>
      </w:r>
      <w:r w:rsidRPr="00181156">
        <w:rPr>
          <w:rStyle w:val="AERbody"/>
        </w:rPr>
        <w:t xml:space="preserve"> This reflects their view that their proposed total opex forecast reasonably reflects the opex criteria so they cannot provide standard control services for any lower amount.</w:t>
      </w:r>
      <w:r w:rsidRPr="00181156">
        <w:rPr>
          <w:rStyle w:val="FootnoteReference"/>
        </w:rPr>
        <w:footnoteReference w:id="51"/>
      </w:r>
      <w:r w:rsidRPr="00181156">
        <w:rPr>
          <w:rStyle w:val="AERbody"/>
        </w:rPr>
        <w:t xml:space="preserve"> </w:t>
      </w:r>
    </w:p>
    <w:p w:rsidR="002B5F41" w:rsidRPr="00181156" w:rsidRDefault="002B5F41" w:rsidP="002B5F41">
      <w:pPr>
        <w:rPr>
          <w:rStyle w:val="AERbody"/>
        </w:rPr>
      </w:pPr>
      <w:r w:rsidRPr="00181156">
        <w:rPr>
          <w:rStyle w:val="AERbody"/>
        </w:rPr>
        <w:t xml:space="preserve">We recognise that service providers must meet their safety and reliability obligations. However, we must consider how much consumers should pay for a service provider to do so. The NER require that we determine a total forecast opex that includes the </w:t>
      </w:r>
      <w:r w:rsidRPr="00181156">
        <w:rPr>
          <w:rStyle w:val="AERtextitalic"/>
        </w:rPr>
        <w:t xml:space="preserve">efficient </w:t>
      </w:r>
      <w:r w:rsidRPr="00181156">
        <w:rPr>
          <w:rStyle w:val="AERbody"/>
        </w:rPr>
        <w:t xml:space="preserve">costs that a </w:t>
      </w:r>
      <w:r w:rsidRPr="00181156">
        <w:rPr>
          <w:rStyle w:val="AERtextitalic"/>
        </w:rPr>
        <w:t>prudent operator</w:t>
      </w:r>
      <w:r w:rsidRPr="00181156">
        <w:rPr>
          <w:rStyle w:val="AERbody"/>
        </w:rPr>
        <w:t xml:space="preserve"> would require to achieve the opex objectives (which include safety and reliability obligations).</w:t>
      </w:r>
    </w:p>
    <w:p w:rsidR="002B5F41" w:rsidRPr="00181156" w:rsidRDefault="002B5F41" w:rsidP="002B5F41">
      <w:pPr>
        <w:rPr>
          <w:rStyle w:val="AERbody"/>
        </w:rPr>
      </w:pPr>
      <w:r w:rsidRPr="00181156">
        <w:rPr>
          <w:rStyle w:val="AERbody"/>
        </w:rPr>
        <w:t>As we explain below, benchmarking enables us to determine the efficient costs that a prudent operator would require to achieve the opex objectives because we are comparing the NSW service providers to all other service providers in the NEM. As we explain in section</w:t>
      </w:r>
      <w:r>
        <w:rPr>
          <w:rStyle w:val="AERbody"/>
        </w:rPr>
        <w:t xml:space="preserve"> </w:t>
      </w:r>
      <w:r>
        <w:rPr>
          <w:rStyle w:val="AERbody"/>
        </w:rPr>
        <w:fldChar w:fldCharType="begin"/>
      </w:r>
      <w:r>
        <w:rPr>
          <w:rStyle w:val="AERbody"/>
        </w:rPr>
        <w:instrText xml:space="preserve"> REF _Ref417551822 \r \h </w:instrText>
      </w:r>
      <w:r>
        <w:rPr>
          <w:rStyle w:val="AERbody"/>
        </w:rPr>
      </w:r>
      <w:r>
        <w:rPr>
          <w:rStyle w:val="AERbody"/>
        </w:rPr>
        <w:fldChar w:fldCharType="separate"/>
      </w:r>
      <w:r w:rsidR="00C57342">
        <w:rPr>
          <w:rStyle w:val="AERbody"/>
        </w:rPr>
        <w:t>A.6</w:t>
      </w:r>
      <w:r>
        <w:rPr>
          <w:rStyle w:val="AERbody"/>
        </w:rPr>
        <w:fldChar w:fldCharType="end"/>
      </w:r>
      <w:r w:rsidRPr="00181156">
        <w:rPr>
          <w:rStyle w:val="AERbody"/>
        </w:rPr>
        <w:t>, all the NEM service providers are operating safe and reliable networks. Further, many are doing so for less cost than the NSW service providers.</w:t>
      </w:r>
    </w:p>
    <w:p w:rsidR="002B5F41" w:rsidRPr="00181156" w:rsidRDefault="002B5F41" w:rsidP="002B5F41">
      <w:pPr>
        <w:rPr>
          <w:rStyle w:val="AERbody"/>
        </w:rPr>
      </w:pPr>
      <w:r w:rsidRPr="00181156">
        <w:rPr>
          <w:rStyle w:val="AERbody"/>
        </w:rPr>
        <w:t>To the extent that differences between service providers may exist, we 'normalise' for these differences when we assess operating environment factors. Based on this assessment, we reduce the performance gap between the NSW service providers and the benchmark comparison point.</w:t>
      </w:r>
    </w:p>
    <w:p w:rsidR="002B5F41" w:rsidRPr="00181156" w:rsidRDefault="002B5F41" w:rsidP="002B5F41">
      <w:r w:rsidRPr="00181156">
        <w:rPr>
          <w:rStyle w:val="AERbody"/>
        </w:rPr>
        <w:t xml:space="preserve">Importantly, </w:t>
      </w:r>
      <w:r w:rsidRPr="00181156">
        <w:t xml:space="preserve">service providers have the flexibility (and indeed the responsibility) to reallocate funds and resources during the regulatory period in response to changing circumstances, events and risks. Service providers are not constrained to current plans and processes or by the assumptions and forecasts in either their proposals or the determinations we make. This may require a departure from a business as usual approach. </w:t>
      </w:r>
    </w:p>
    <w:p w:rsidR="002B5F41" w:rsidRPr="00181156" w:rsidRDefault="002B5F41" w:rsidP="002B5F41">
      <w:pPr>
        <w:rPr>
          <w:rStyle w:val="AERbody"/>
        </w:rPr>
      </w:pPr>
      <w:r w:rsidRPr="00181156">
        <w:t>We recognise that the NSW service providers may continue to incur costs above efficient levels due to, for example, their EBAs or other practices they have in place that prevents them from easily reducing costs. However, their shareholders, not consumers, must bear these costs.</w:t>
      </w:r>
    </w:p>
    <w:p w:rsidR="002B5F41" w:rsidRPr="00181156" w:rsidRDefault="002B5F41" w:rsidP="002B5F41">
      <w:pPr>
        <w:rPr>
          <w:rStyle w:val="AERbody"/>
        </w:rPr>
      </w:pPr>
      <w:r w:rsidRPr="00181156">
        <w:rPr>
          <w:rStyle w:val="AERbody"/>
        </w:rPr>
        <w:t xml:space="preserve">We are not satisfied that the service providers have provided sufficient evidence to support these claims such that we would change our approach to safety and reliability from the approach set out in our draft decision. We consider that our approach, </w:t>
      </w:r>
      <w:r w:rsidRPr="00181156">
        <w:rPr>
          <w:rStyle w:val="AERbody"/>
        </w:rPr>
        <w:lastRenderedPageBreak/>
        <w:t>including our use of benchmarking, appropriately accounts for safety and reliability obligations because:</w:t>
      </w:r>
    </w:p>
    <w:p w:rsidR="002B5F41" w:rsidRPr="00181156" w:rsidRDefault="002B5F41" w:rsidP="002B5F41">
      <w:pPr>
        <w:pStyle w:val="AERbulletlistfirststyle"/>
        <w:rPr>
          <w:rStyle w:val="AERbody"/>
        </w:rPr>
      </w:pPr>
      <w:r w:rsidRPr="00181156">
        <w:rPr>
          <w:rStyle w:val="AERbody"/>
        </w:rPr>
        <w:t>service providers at and above our benchmark comparison point are meeting their safety and reliability obligations at lower cost</w:t>
      </w:r>
    </w:p>
    <w:p w:rsidR="002B5F41" w:rsidRPr="00181156" w:rsidRDefault="002B5F41" w:rsidP="002B5F41">
      <w:pPr>
        <w:pStyle w:val="AERbulletlistfirststyle"/>
        <w:rPr>
          <w:rStyle w:val="AERbody"/>
        </w:rPr>
      </w:pPr>
      <w:r w:rsidRPr="00181156">
        <w:rPr>
          <w:rStyle w:val="AERbody"/>
        </w:rPr>
        <w:t>our decisions set the revenue service providers can recover from consumers, but  do not direct or constrain the quantum or allocation of a service provider's spending</w:t>
      </w:r>
    </w:p>
    <w:p w:rsidR="002B5F41" w:rsidRPr="00181156" w:rsidRDefault="002B5F41" w:rsidP="002B5F41">
      <w:pPr>
        <w:pStyle w:val="AERbulletlistfirststyle"/>
        <w:rPr>
          <w:rStyle w:val="AERbody"/>
        </w:rPr>
      </w:pPr>
      <w:r w:rsidRPr="00181156">
        <w:rPr>
          <w:rStyle w:val="AERbody"/>
        </w:rPr>
        <w:t>the enforcement of safety regulations is not determined by the quantum of regulatory revenue.</w:t>
      </w:r>
    </w:p>
    <w:p w:rsidR="002B5F41" w:rsidRPr="002B5F41" w:rsidRDefault="002B5F41" w:rsidP="002B5F41">
      <w:pPr>
        <w:rPr>
          <w:rStyle w:val="AERbody"/>
        </w:rPr>
      </w:pPr>
      <w:r w:rsidRPr="00181156">
        <w:rPr>
          <w:rStyle w:val="AERbody"/>
        </w:rPr>
        <w:t>We also address some specific safety submissions the service providers have raised in relation to bushfire risk and insurance.</w:t>
      </w:r>
      <w:r>
        <w:rPr>
          <w:rStyle w:val="AERbody"/>
        </w:rPr>
        <w:t xml:space="preserve"> </w:t>
      </w:r>
      <w:bookmarkStart w:id="71" w:name="_Toc417483309"/>
      <w:bookmarkStart w:id="72" w:name="_Toc417646240"/>
    </w:p>
    <w:p w:rsidR="002B5F41" w:rsidRPr="002B5F41" w:rsidRDefault="002B5F41" w:rsidP="002B5F41">
      <w:pPr>
        <w:pStyle w:val="HeadingBoldBlue"/>
      </w:pPr>
      <w:r w:rsidRPr="002B5F41">
        <w:t>The effect of using benchmarking on safety and reliability</w:t>
      </w:r>
      <w:bookmarkEnd w:id="71"/>
      <w:bookmarkEnd w:id="72"/>
    </w:p>
    <w:p w:rsidR="002B5F41" w:rsidRPr="00181156" w:rsidRDefault="002B5F41" w:rsidP="002B5F41">
      <w:pPr>
        <w:rPr>
          <w:rStyle w:val="AERbody"/>
        </w:rPr>
      </w:pPr>
      <w:r w:rsidRPr="00181156">
        <w:rPr>
          <w:rStyle w:val="AERbody"/>
        </w:rPr>
        <w:t xml:space="preserve">As we explain above, we use several assessment techniques—including benchmarking—to assess the efficiency of revealed opex and determine whether we need to adjust them before building up our alternative estimate. </w:t>
      </w:r>
    </w:p>
    <w:p w:rsidR="002B5F41" w:rsidRPr="00181156" w:rsidRDefault="002B5F41" w:rsidP="002B5F41">
      <w:pPr>
        <w:rPr>
          <w:rStyle w:val="AERbody"/>
        </w:rPr>
      </w:pPr>
      <w:r w:rsidRPr="00181156">
        <w:rPr>
          <w:rStyle w:val="AERbody"/>
        </w:rPr>
        <w:t xml:space="preserve">In section </w:t>
      </w:r>
      <w:r>
        <w:rPr>
          <w:rStyle w:val="AERbody"/>
        </w:rPr>
        <w:fldChar w:fldCharType="begin"/>
      </w:r>
      <w:r>
        <w:rPr>
          <w:rStyle w:val="AERbody"/>
        </w:rPr>
        <w:instrText xml:space="preserve"> REF _Ref417551812 \n \h </w:instrText>
      </w:r>
      <w:r>
        <w:rPr>
          <w:rStyle w:val="AERbody"/>
        </w:rPr>
      </w:r>
      <w:r>
        <w:rPr>
          <w:rStyle w:val="AERbody"/>
        </w:rPr>
        <w:fldChar w:fldCharType="separate"/>
      </w:r>
      <w:r w:rsidR="00C57342">
        <w:rPr>
          <w:rStyle w:val="AERbody"/>
        </w:rPr>
        <w:t>A.4</w:t>
      </w:r>
      <w:r>
        <w:rPr>
          <w:rStyle w:val="AERbody"/>
        </w:rPr>
        <w:fldChar w:fldCharType="end"/>
      </w:r>
      <w:r w:rsidRPr="00181156">
        <w:rPr>
          <w:rStyle w:val="AERbody"/>
        </w:rPr>
        <w:t xml:space="preserve">, we explain that we do not apply any benchmarking techniques 'deterministically' or 'mechanically'. As foreshadowed in the Guideline, improved data and the development of  benchmarking has  improved our ability, over simply using revealed costs, to determine a total opex forecast that reasonably reflects the opex criteria. In section </w:t>
      </w:r>
      <w:r>
        <w:rPr>
          <w:rStyle w:val="AERbody"/>
        </w:rPr>
        <w:fldChar w:fldCharType="begin"/>
      </w:r>
      <w:r>
        <w:rPr>
          <w:rStyle w:val="AERbody"/>
        </w:rPr>
        <w:instrText xml:space="preserve"> REF _Ref416803943 \n \h </w:instrText>
      </w:r>
      <w:r>
        <w:rPr>
          <w:rStyle w:val="AERbody"/>
        </w:rPr>
      </w:r>
      <w:r>
        <w:rPr>
          <w:rStyle w:val="AERbody"/>
        </w:rPr>
        <w:fldChar w:fldCharType="separate"/>
      </w:r>
      <w:r w:rsidR="00C57342">
        <w:rPr>
          <w:rStyle w:val="AERbody"/>
        </w:rPr>
        <w:t>A.7</w:t>
      </w:r>
      <w:r>
        <w:rPr>
          <w:rStyle w:val="AERbody"/>
        </w:rPr>
        <w:fldChar w:fldCharType="end"/>
      </w:r>
      <w:r w:rsidRPr="00181156">
        <w:rPr>
          <w:rStyle w:val="AERbody"/>
        </w:rPr>
        <w:t xml:space="preserve"> we explain how we use benchmarking to set a 'comparison point', to which we compare the service provider's opex efficiency. </w:t>
      </w:r>
    </w:p>
    <w:p w:rsidR="002B5F41" w:rsidRPr="00181156" w:rsidRDefault="002B5F41" w:rsidP="002B5F41">
      <w:pPr>
        <w:rPr>
          <w:rStyle w:val="AERbody"/>
        </w:rPr>
      </w:pPr>
      <w:r w:rsidRPr="00181156">
        <w:rPr>
          <w:rStyle w:val="AERbody"/>
        </w:rPr>
        <w:t>In doing this, we are appropriately determining an estimate of total forecast opex that is sufficient for a prudent and efficient service provider (facing the same exogenous circumstances as the service provider we are assessing) to meet its safety and reliability obligations</w:t>
      </w:r>
      <w:r w:rsidRPr="006C72DA">
        <w:rPr>
          <w:rStyle w:val="AERbody"/>
        </w:rPr>
        <w:t>, in light of realistic expectations of demand and cost inputs for such a service provider</w:t>
      </w:r>
      <w:r w:rsidRPr="00181156">
        <w:rPr>
          <w:rStyle w:val="AERbody"/>
        </w:rPr>
        <w:t>. This is because benchmarking enables us to compare the service provider we are assessing to the 'comparison' service providers that have efficiently achieved their legislated safety and reliability obligations over the benchmark period.</w:t>
      </w:r>
    </w:p>
    <w:p w:rsidR="002B5F41" w:rsidRPr="00181156" w:rsidRDefault="002B5F41" w:rsidP="002B5F41">
      <w:pPr>
        <w:rPr>
          <w:rStyle w:val="AERbody"/>
        </w:rPr>
      </w:pPr>
      <w:r w:rsidRPr="00181156">
        <w:rPr>
          <w:rStyle w:val="AERbody"/>
        </w:rPr>
        <w:t>However, to the extent differences may exist, we consider whether they will have an impact on benchmarking performance as part of our assessment of operating environment factors. As we explain in section</w:t>
      </w:r>
      <w:r>
        <w:rPr>
          <w:rStyle w:val="AERbody"/>
        </w:rPr>
        <w:t xml:space="preserve"> </w:t>
      </w:r>
      <w:r>
        <w:rPr>
          <w:rStyle w:val="AERbody"/>
        </w:rPr>
        <w:fldChar w:fldCharType="begin"/>
      </w:r>
      <w:r>
        <w:rPr>
          <w:rStyle w:val="AERbody"/>
        </w:rPr>
        <w:instrText xml:space="preserve"> REF _Ref417551822 \r \h </w:instrText>
      </w:r>
      <w:r>
        <w:rPr>
          <w:rStyle w:val="AERbody"/>
        </w:rPr>
      </w:r>
      <w:r>
        <w:rPr>
          <w:rStyle w:val="AERbody"/>
        </w:rPr>
        <w:fldChar w:fldCharType="separate"/>
      </w:r>
      <w:r w:rsidR="00C57342">
        <w:rPr>
          <w:rStyle w:val="AERbody"/>
        </w:rPr>
        <w:t>A.6</w:t>
      </w:r>
      <w:r>
        <w:rPr>
          <w:rStyle w:val="AERbody"/>
        </w:rPr>
        <w:fldChar w:fldCharType="end"/>
      </w:r>
      <w:r w:rsidRPr="00181156">
        <w:rPr>
          <w:rStyle w:val="AERbody"/>
        </w:rPr>
        <w:t xml:space="preserve">, we take into account all factors which we reasonably consider are exogenous and non-duplicative. These factors can result in substantial adjustments, providing additional opex to reflect the particular exogenous circumstances of each service provider. Several of these factors are directly relevant to safety and reliability, such as an allowance for different OH&amp;S regulations and licence conditions. We have adopted a conservative approach to factors which are individually immaterial but may have a collective impact. </w:t>
      </w:r>
    </w:p>
    <w:p w:rsidR="002B5F41" w:rsidRPr="00181156" w:rsidRDefault="002B5F41" w:rsidP="002B5F41">
      <w:pPr>
        <w:rPr>
          <w:rStyle w:val="AERbody"/>
        </w:rPr>
      </w:pPr>
      <w:r w:rsidRPr="00181156">
        <w:rPr>
          <w:rStyle w:val="AERbody"/>
        </w:rPr>
        <w:lastRenderedPageBreak/>
        <w:t xml:space="preserve">Otherwise, however, our examination in section </w:t>
      </w:r>
      <w:r>
        <w:rPr>
          <w:rStyle w:val="AERbody"/>
        </w:rPr>
        <w:fldChar w:fldCharType="begin"/>
      </w:r>
      <w:r>
        <w:rPr>
          <w:rStyle w:val="AERbody"/>
        </w:rPr>
        <w:instrText xml:space="preserve"> REF _Ref417551822 \r \h </w:instrText>
      </w:r>
      <w:r>
        <w:rPr>
          <w:rStyle w:val="AERbody"/>
        </w:rPr>
      </w:r>
      <w:r>
        <w:rPr>
          <w:rStyle w:val="AERbody"/>
        </w:rPr>
        <w:fldChar w:fldCharType="separate"/>
      </w:r>
      <w:r w:rsidR="00C57342">
        <w:rPr>
          <w:rStyle w:val="AERbody"/>
        </w:rPr>
        <w:t>A.6</w:t>
      </w:r>
      <w:r>
        <w:rPr>
          <w:rStyle w:val="AERbody"/>
        </w:rPr>
        <w:fldChar w:fldCharType="end"/>
      </w:r>
      <w:r>
        <w:rPr>
          <w:rStyle w:val="AERbody"/>
        </w:rPr>
        <w:t xml:space="preserve"> </w:t>
      </w:r>
      <w:r w:rsidRPr="00181156">
        <w:rPr>
          <w:rStyle w:val="AERbody"/>
        </w:rPr>
        <w:t>of safety metrics for all service providers (including those who form part of our benchmark comparison point</w:t>
      </w:r>
      <w:r w:rsidRPr="00181156">
        <w:rPr>
          <w:rStyle w:val="FootnoteReference"/>
        </w:rPr>
        <w:footnoteReference w:id="52"/>
      </w:r>
      <w:r w:rsidRPr="00181156">
        <w:rPr>
          <w:rStyle w:val="AERbody"/>
        </w:rPr>
        <w:t>) demonstrates that the comparator providers have managed to safely meet the requirements to provide standard control services in the relevant period. The comparator firms also operate reliable networks. Therefore, the service providers under assessment can operate safe and reliable networks but for a lower cost.</w:t>
      </w:r>
    </w:p>
    <w:p w:rsidR="002B5F41" w:rsidRPr="00FE6574" w:rsidRDefault="002B5F41" w:rsidP="002B5F41">
      <w:pPr>
        <w:rPr>
          <w:rStyle w:val="AERbody"/>
        </w:rPr>
      </w:pPr>
      <w:r w:rsidRPr="00FE6574">
        <w:rPr>
          <w:rStyle w:val="AERbody"/>
        </w:rPr>
        <w:t>Further, reliability is also included in our MTFP and opex MPFP benchmarking, which we use to cross-check our preferred benchmarking technique. Given the consistency in results across our benchmarking techniques, we can consider that the benchmark opex amounts will not undercompensate for reliability.</w:t>
      </w:r>
    </w:p>
    <w:p w:rsidR="00B8317F" w:rsidRPr="00563A57" w:rsidRDefault="00B8317F" w:rsidP="00B8317F">
      <w:pPr>
        <w:rPr>
          <w:rStyle w:val="AERbody"/>
        </w:rPr>
      </w:pPr>
      <w:r w:rsidRPr="00563A57">
        <w:rPr>
          <w:rStyle w:val="AERbody"/>
        </w:rPr>
        <w:t>that the benchmark opex amounts will not undercompensate for reliability.</w:t>
      </w:r>
    </w:p>
    <w:p w:rsidR="00B8317F" w:rsidRPr="00563A57" w:rsidRDefault="00B8317F" w:rsidP="00B8317F">
      <w:r w:rsidRPr="00563A57">
        <w:t xml:space="preserve">In addition, in our final decision on total forecast capex we have accepted Endeavour Energy’s proposed total forecast capex.  </w:t>
      </w:r>
    </w:p>
    <w:p w:rsidR="00B8317F" w:rsidRPr="00563A57" w:rsidRDefault="00B8317F" w:rsidP="00B8317F">
      <w:r w:rsidRPr="00563A57">
        <w:rPr>
          <w:rStyle w:val="AERbody"/>
        </w:rPr>
        <w:t>While capex is the subject of a separate forecast, many service providers have made broad statements about the combined effect of opex and capex reductions on safety.</w:t>
      </w:r>
      <w:r w:rsidRPr="00563A57">
        <w:rPr>
          <w:rStyle w:val="FootnoteReference"/>
        </w:rPr>
        <w:footnoteReference w:id="53"/>
      </w:r>
      <w:r w:rsidRPr="00563A57">
        <w:rPr>
          <w:rStyle w:val="AERbody"/>
        </w:rPr>
        <w:t xml:space="preserve"> </w:t>
      </w:r>
      <w:r w:rsidRPr="00563A57">
        <w:t xml:space="preserve">In approving its proposed total forecast capex, we specifically took into account </w:t>
      </w:r>
      <w:r w:rsidRPr="00563A57">
        <w:rPr>
          <w:rStyle w:val="AERbody"/>
        </w:rPr>
        <w:t>Endeavour Energy's ability</w:t>
      </w:r>
      <w:r w:rsidRPr="00563A57">
        <w:t xml:space="preserve"> to meet safety and reliability requirements and obligations.  The higher total forecast capex in this final decision is sufficient to meets these requirements and obligations. We consider this should ameliorate the points raised about the implications for safety both in relation to the capex required to address safety and the impact of any overall reduction in capex and opex combined.</w:t>
      </w:r>
    </w:p>
    <w:p w:rsidR="00B8317F" w:rsidRPr="002B5F41" w:rsidRDefault="00B8317F" w:rsidP="00B8317F">
      <w:pPr>
        <w:pStyle w:val="HeadingBoldBlue"/>
      </w:pPr>
      <w:bookmarkStart w:id="73" w:name="_Toc417483310"/>
      <w:r w:rsidRPr="002B5F41">
        <w:t>The AER does not direct or constrain service provider spending</w:t>
      </w:r>
      <w:bookmarkEnd w:id="73"/>
    </w:p>
    <w:p w:rsidR="002B5F41" w:rsidRPr="00181156" w:rsidRDefault="002B5F41" w:rsidP="002B5F41">
      <w:pPr>
        <w:rPr>
          <w:rStyle w:val="AERbody"/>
        </w:rPr>
      </w:pPr>
      <w:bookmarkStart w:id="74" w:name="ProcessAllFootersStartPos"/>
      <w:bookmarkStart w:id="75" w:name="_Toc414434492"/>
      <w:bookmarkStart w:id="76" w:name="_Toc414438974"/>
      <w:bookmarkStart w:id="77" w:name="_Toc414439128"/>
      <w:bookmarkStart w:id="78" w:name="_Toc414450182"/>
      <w:bookmarkStart w:id="79" w:name="_Toc414434493"/>
      <w:bookmarkStart w:id="80" w:name="_Toc414438975"/>
      <w:bookmarkStart w:id="81" w:name="_Toc414439129"/>
      <w:bookmarkStart w:id="82" w:name="_Toc414450183"/>
      <w:bookmarkStart w:id="83" w:name="_Toc414434494"/>
      <w:bookmarkStart w:id="84" w:name="_Toc414438976"/>
      <w:bookmarkStart w:id="85" w:name="_Toc414439130"/>
      <w:bookmarkStart w:id="86" w:name="_Toc414450184"/>
      <w:bookmarkStart w:id="87" w:name="_Toc414434500"/>
      <w:bookmarkStart w:id="88" w:name="_Toc414438982"/>
      <w:bookmarkStart w:id="89" w:name="_Toc414439136"/>
      <w:bookmarkStart w:id="90" w:name="_Toc414450190"/>
      <w:bookmarkStart w:id="91" w:name="_Toc414434501"/>
      <w:bookmarkStart w:id="92" w:name="_Toc414438983"/>
      <w:bookmarkStart w:id="93" w:name="_Toc414439137"/>
      <w:bookmarkStart w:id="94" w:name="_Toc414450191"/>
      <w:bookmarkStart w:id="95" w:name="_Toc414450197"/>
      <w:bookmarkStart w:id="96" w:name="_Toc414450198"/>
      <w:bookmarkStart w:id="97" w:name="_Toc414450199"/>
      <w:bookmarkStart w:id="98" w:name="_Toc416792074"/>
      <w:bookmarkStart w:id="99" w:name="_Toc416792076"/>
      <w:bookmarkStart w:id="100" w:name="_Toc416792078"/>
      <w:bookmarkStart w:id="101" w:name="_Toc416792079"/>
      <w:bookmarkStart w:id="102" w:name="_Toc416792080"/>
      <w:bookmarkStart w:id="103" w:name="_Toc416792081"/>
      <w:bookmarkStart w:id="104" w:name="_Toc416792082"/>
      <w:bookmarkEnd w:id="66"/>
      <w:bookmarkEnd w:id="67"/>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181156">
        <w:rPr>
          <w:rStyle w:val="AERbody"/>
        </w:rPr>
        <w:t>The service provider's submissions also suggested that, in determining total forecast opex, we were setting a "constraint"</w:t>
      </w:r>
      <w:r w:rsidRPr="00181156">
        <w:rPr>
          <w:rStyle w:val="FootnoteReference"/>
        </w:rPr>
        <w:footnoteReference w:id="54"/>
      </w:r>
      <w:r w:rsidRPr="00181156">
        <w:rPr>
          <w:rStyle w:val="AERbody"/>
        </w:rPr>
        <w:t xml:space="preserve"> or requiring service providers to make "immediate job reductions."</w:t>
      </w:r>
      <w:r w:rsidRPr="00181156">
        <w:rPr>
          <w:rStyle w:val="FootnoteReference"/>
        </w:rPr>
        <w:footnoteReference w:id="55"/>
      </w:r>
      <w:r w:rsidRPr="00181156">
        <w:rPr>
          <w:rStyle w:val="AERbody"/>
        </w:rPr>
        <w:t xml:space="preserve"> Some submissions criticised us for failing to conduct "bottom up" reviews of expenditure.</w:t>
      </w:r>
      <w:r w:rsidRPr="00181156">
        <w:rPr>
          <w:rStyle w:val="FootnoteReference"/>
        </w:rPr>
        <w:footnoteReference w:id="56"/>
      </w:r>
      <w:r w:rsidRPr="00181156">
        <w:rPr>
          <w:rStyle w:val="AERbody"/>
        </w:rPr>
        <w:t xml:space="preserve"> Essential Energy also submits that our </w:t>
      </w:r>
      <w:r w:rsidRPr="00181156">
        <w:rPr>
          <w:rStyle w:val="AERbody"/>
        </w:rPr>
        <w:lastRenderedPageBreak/>
        <w:t>assessment of its labour practices as inefficient means that we are attempting to unilaterally and retrospectively void its EBA obligations.</w:t>
      </w:r>
      <w:r w:rsidRPr="00181156">
        <w:rPr>
          <w:rStyle w:val="FootnoteReference"/>
        </w:rPr>
        <w:footnoteReference w:id="57"/>
      </w:r>
      <w:r w:rsidRPr="00181156">
        <w:rPr>
          <w:rStyle w:val="AERbody"/>
        </w:rPr>
        <w:t xml:space="preserve"> </w:t>
      </w:r>
    </w:p>
    <w:p w:rsidR="002B5F41" w:rsidRPr="00181156" w:rsidRDefault="002B5F41" w:rsidP="002B5F41">
      <w:pPr>
        <w:rPr>
          <w:rStyle w:val="AERbody"/>
        </w:rPr>
      </w:pPr>
      <w:r w:rsidRPr="00181156">
        <w:rPr>
          <w:rStyle w:val="AERbody"/>
        </w:rPr>
        <w:t xml:space="preserve">The assumption inherent in these statements is that we determine, dictate and limit what service providers can spend. This assumption also appears in the consultant reports relied on by the service providers. For example: </w:t>
      </w:r>
    </w:p>
    <w:p w:rsidR="002B5F41" w:rsidRPr="00181156" w:rsidRDefault="002B5F41" w:rsidP="002B5F41">
      <w:pPr>
        <w:pStyle w:val="AERbulletlistfirststyle"/>
        <w:rPr>
          <w:rStyle w:val="AERbody"/>
        </w:rPr>
      </w:pPr>
      <w:r w:rsidRPr="00181156">
        <w:rPr>
          <w:rStyle w:val="AERbody"/>
        </w:rPr>
        <w:t>CEPA assesses our adjustment as "an immediate and full change in the [price level]."</w:t>
      </w:r>
      <w:r w:rsidRPr="00181156">
        <w:rPr>
          <w:rStyle w:val="FootnoteReference"/>
        </w:rPr>
        <w:footnoteReference w:id="58"/>
      </w:r>
    </w:p>
    <w:p w:rsidR="002B5F41" w:rsidRPr="00181156" w:rsidRDefault="002B5F41" w:rsidP="002B5F41">
      <w:pPr>
        <w:pStyle w:val="AERbulletlistfirststyle"/>
        <w:rPr>
          <w:rStyle w:val="AERbody"/>
        </w:rPr>
      </w:pPr>
      <w:r w:rsidRPr="00181156">
        <w:rPr>
          <w:rStyle w:val="AERbody"/>
        </w:rPr>
        <w:t>R2A cites an "indication" from its client, Endeavour Energy, that our draft decision would result in "immediate job reductions" and have an "immediate and major impact" on inspections</w:t>
      </w:r>
      <w:r w:rsidRPr="00181156">
        <w:rPr>
          <w:rStyle w:val="FootnoteReference"/>
        </w:rPr>
        <w:footnoteReference w:id="59"/>
      </w:r>
      <w:r w:rsidRPr="00181156">
        <w:rPr>
          <w:rStyle w:val="AERbody"/>
        </w:rPr>
        <w:t xml:space="preserve"> (though the report also notes that the consequences of the latter would not really show up until the fifth year of the regulatory period).</w:t>
      </w:r>
      <w:r w:rsidRPr="00181156">
        <w:rPr>
          <w:rStyle w:val="FootnoteReference"/>
        </w:rPr>
        <w:footnoteReference w:id="60"/>
      </w:r>
      <w:r w:rsidRPr="00181156">
        <w:rPr>
          <w:rStyle w:val="AERbody"/>
        </w:rPr>
        <w:t xml:space="preserve"> </w:t>
      </w:r>
    </w:p>
    <w:p w:rsidR="002B5F41" w:rsidRPr="00181156" w:rsidRDefault="002B5F41" w:rsidP="002B5F41">
      <w:pPr>
        <w:pStyle w:val="AERbulletlistfirststyle"/>
        <w:rPr>
          <w:rStyle w:val="AERbody"/>
        </w:rPr>
      </w:pPr>
      <w:r w:rsidRPr="00181156">
        <w:rPr>
          <w:rStyle w:val="AERbody"/>
        </w:rPr>
        <w:t>AON, in advising on increased insurance premiums and potential withdrawal of insurer support, proceeds from the assumption that service providers will maintain the same percentage of opex forecast allocation to vegetation management. AON therefore assumes the service providers have no flexibility to reallocate spending within the opex forecast and no capacity for a service provider to choose to fund its own additional spending.</w:t>
      </w:r>
      <w:r w:rsidRPr="00181156">
        <w:rPr>
          <w:rStyle w:val="FootnoteReference"/>
        </w:rPr>
        <w:footnoteReference w:id="61"/>
      </w:r>
    </w:p>
    <w:p w:rsidR="002B5F41" w:rsidRPr="00181156" w:rsidRDefault="002B5F41" w:rsidP="002B5F41">
      <w:pPr>
        <w:rPr>
          <w:rStyle w:val="AERbody"/>
        </w:rPr>
      </w:pPr>
      <w:r w:rsidRPr="00181156">
        <w:rPr>
          <w:rStyle w:val="AERbody"/>
        </w:rPr>
        <w:t>This assumption is incorrect. We do not determine, dictate or limit what service providers can spend. As the AEMC notes, we determine the revenue required by a prudent and efficient service provider in a workably competitive market.</w:t>
      </w:r>
      <w:r w:rsidRPr="00181156">
        <w:rPr>
          <w:rStyle w:val="FootnoteReference"/>
        </w:rPr>
        <w:footnoteReference w:id="62"/>
      </w:r>
      <w:r w:rsidRPr="00181156">
        <w:rPr>
          <w:rStyle w:val="AERbody"/>
        </w:rPr>
        <w:t xml:space="preserve"> We allow service providers to recover </w:t>
      </w:r>
      <w:r>
        <w:rPr>
          <w:rStyle w:val="AERbody"/>
        </w:rPr>
        <w:t>this revenue</w:t>
      </w:r>
      <w:r w:rsidRPr="00181156">
        <w:rPr>
          <w:rStyle w:val="AERbody"/>
        </w:rPr>
        <w:t xml:space="preserve"> from consumers. It is for a service provider to take this revenue and direct it as it sees fit, including by changing its behaviour to meet new or changing circumstances.</w:t>
      </w:r>
      <w:r w:rsidRPr="00181156">
        <w:rPr>
          <w:rStyle w:val="FootnoteReference"/>
        </w:rPr>
        <w:footnoteReference w:id="63"/>
      </w:r>
      <w:r w:rsidRPr="00181156">
        <w:rPr>
          <w:rStyle w:val="AERbody"/>
        </w:rPr>
        <w:t xml:space="preserve"> </w:t>
      </w:r>
    </w:p>
    <w:p w:rsidR="002B5F41" w:rsidRPr="00181156" w:rsidRDefault="002B5F41" w:rsidP="002B5F41">
      <w:pPr>
        <w:rPr>
          <w:rStyle w:val="AERbody"/>
        </w:rPr>
      </w:pPr>
      <w:r w:rsidRPr="00181156">
        <w:rPr>
          <w:rStyle w:val="AERbody"/>
        </w:rPr>
        <w:t>Accordingly if a service provider, for whatever reason, wishes to spend above what we have determined to be prudent, efficient and realistic costs to achieve the opex objectives (for example because it has entered into a particular contract or it has decided to maintain activities at a level which require resourcing above an efficient cost level), it could do so. Alternatively, if the service provider considered its opex forecast should be spent differently to our alternative estimate or to its own proposal, including to achieve longer term efficiencies, it is entitled to do so.</w:t>
      </w:r>
    </w:p>
    <w:p w:rsidR="002B5F41" w:rsidRPr="00181156" w:rsidRDefault="002B5F41" w:rsidP="002B5F41">
      <w:pPr>
        <w:rPr>
          <w:rStyle w:val="AERbody"/>
        </w:rPr>
      </w:pPr>
      <w:r w:rsidRPr="00181156">
        <w:rPr>
          <w:rStyle w:val="AERbody"/>
        </w:rPr>
        <w:t>To the extent that service provider incurs costs above efficient levels, the service provider—not consumers—must bear the</w:t>
      </w:r>
      <w:r>
        <w:rPr>
          <w:rStyle w:val="AERbody"/>
        </w:rPr>
        <w:t>se</w:t>
      </w:r>
      <w:r w:rsidRPr="00181156">
        <w:rPr>
          <w:rStyle w:val="AERbody"/>
        </w:rPr>
        <w:t xml:space="preserve"> costs.</w:t>
      </w:r>
    </w:p>
    <w:p w:rsidR="002B5F41" w:rsidRPr="00181156" w:rsidRDefault="002B5F41" w:rsidP="002B5F41">
      <w:pPr>
        <w:rPr>
          <w:rStyle w:val="AERbody"/>
        </w:rPr>
      </w:pPr>
      <w:r w:rsidRPr="00181156">
        <w:rPr>
          <w:rStyle w:val="AERbody"/>
        </w:rPr>
        <w:lastRenderedPageBreak/>
        <w:t>In assessing the proposals put to us by service providers our task is to assess efficient costs that can be recovered by the service provider from its customers. We acknowledge and accept that a service provider may choose to spend in excess of the revenue that we have determined would be required of a prudent and efficient service provider (facing the relevant NSW service provider's exogenous circumstances). However, as noted by the AEMC in the 2012 Rule Determination:</w:t>
      </w:r>
      <w:r w:rsidRPr="00181156">
        <w:rPr>
          <w:rStyle w:val="FootnoteReference"/>
        </w:rPr>
        <w:footnoteReference w:id="64"/>
      </w:r>
    </w:p>
    <w:p w:rsidR="002B5F41" w:rsidRPr="00181156" w:rsidRDefault="002B5F41" w:rsidP="002B5F41">
      <w:pPr>
        <w:pStyle w:val="AERquote"/>
      </w:pPr>
      <w:r w:rsidRPr="00181156">
        <w:t>If a service provider is run inefficiently then its shareholders, and not its customers, should bear the financial consequences of inefficient financing practices.</w:t>
      </w:r>
    </w:p>
    <w:p w:rsidR="002B5F41" w:rsidRPr="00181156" w:rsidRDefault="002B5F41" w:rsidP="002B5F41">
      <w:pPr>
        <w:rPr>
          <w:rStyle w:val="AERbody"/>
        </w:rPr>
      </w:pPr>
      <w:r w:rsidRPr="00181156">
        <w:rPr>
          <w:rStyle w:val="AERbody"/>
        </w:rPr>
        <w:t>For example, Essential Energy has already committed to maintaining its current spending on vegetation management, regardless of our decision.</w:t>
      </w:r>
      <w:r w:rsidRPr="00181156">
        <w:rPr>
          <w:rStyle w:val="FootnoteReference"/>
        </w:rPr>
        <w:footnoteReference w:id="65"/>
      </w:r>
      <w:r w:rsidRPr="00181156">
        <w:rPr>
          <w:rStyle w:val="AERbody"/>
        </w:rPr>
        <w:t xml:space="preserve">  It is for Essential Energy to determine how to achieve this—whether funds can be reallocated, or whether its dividends should be reduced. </w:t>
      </w:r>
    </w:p>
    <w:p w:rsidR="002B5F41" w:rsidRPr="00181156" w:rsidRDefault="002B5F41" w:rsidP="002B5F41">
      <w:pPr>
        <w:rPr>
          <w:rStyle w:val="AERbody"/>
        </w:rPr>
      </w:pPr>
      <w:r w:rsidRPr="00181156">
        <w:rPr>
          <w:rStyle w:val="AERbody"/>
        </w:rPr>
        <w:t>Jacobs' report for the NSW service providers notes:</w:t>
      </w:r>
      <w:r w:rsidRPr="00181156">
        <w:rPr>
          <w:rStyle w:val="FootnoteReference"/>
        </w:rPr>
        <w:footnoteReference w:id="66"/>
      </w:r>
    </w:p>
    <w:p w:rsidR="002B5F41" w:rsidRPr="006C72DA" w:rsidRDefault="002B5F41" w:rsidP="002B5F41">
      <w:pPr>
        <w:pStyle w:val="AERquote"/>
      </w:pPr>
      <w:r w:rsidRPr="006C72DA">
        <w:t xml:space="preserve">There are many strategies open to the distributor management teams to attempt to prepare the organisations for the reduced opex expenditures... (and) Corporate responses such as workplace reforms, restructures, renegotiation of contracts etc. will take time to implement. </w:t>
      </w:r>
    </w:p>
    <w:p w:rsidR="002B5F41" w:rsidRPr="00181156" w:rsidRDefault="002B5F41" w:rsidP="002B5F41">
      <w:pPr>
        <w:rPr>
          <w:rStyle w:val="AERbody"/>
        </w:rPr>
      </w:pPr>
      <w:r w:rsidRPr="00181156">
        <w:rPr>
          <w:rStyle w:val="AERbody"/>
        </w:rPr>
        <w:t xml:space="preserve">How a service provider will respond in light of funded opex being reduced is a matter of corporate governance and for shareholders. Our role is to determine the revenue allowance that should be funded by consumers, which we base on an assessment of efficient costs. </w:t>
      </w:r>
    </w:p>
    <w:p w:rsidR="002B5F41" w:rsidRPr="002B5F41" w:rsidRDefault="002B5F41" w:rsidP="002B5F41">
      <w:pPr>
        <w:pStyle w:val="HeadingBoldBlue"/>
      </w:pPr>
      <w:bookmarkStart w:id="105" w:name="_Toc417483311"/>
      <w:bookmarkStart w:id="106" w:name="_Toc417646242"/>
      <w:r w:rsidRPr="002B5F41">
        <w:t>Safety regulation and enforcement is unaffected by regulatory forecasts</w:t>
      </w:r>
      <w:bookmarkEnd w:id="105"/>
      <w:bookmarkEnd w:id="106"/>
    </w:p>
    <w:p w:rsidR="002B5F41" w:rsidRPr="00181156" w:rsidRDefault="002B5F41" w:rsidP="002B5F41">
      <w:pPr>
        <w:rPr>
          <w:rStyle w:val="AERbody"/>
        </w:rPr>
      </w:pPr>
      <w:r w:rsidRPr="00181156">
        <w:rPr>
          <w:rStyle w:val="AERbody"/>
        </w:rPr>
        <w:t xml:space="preserve">Some service providers have suggested that we should have sought the advice of jurisdictional safety regulators in deciding on the appropriateness of our draft decision opex forecasts. Further, they submit that we would be in breach of our primary duty of care under the </w:t>
      </w:r>
      <w:r w:rsidRPr="00181156">
        <w:rPr>
          <w:rStyle w:val="AERtextitalic"/>
        </w:rPr>
        <w:t>Work Health and Safety Act 2011</w:t>
      </w:r>
      <w:r w:rsidRPr="00181156">
        <w:t xml:space="preserve"> (Cth) if, being aware of the safety impacts of the proposed opex forecast in the draft determination, we make the final determination allowing for the same level irrespective of the safety impacts</w:t>
      </w:r>
      <w:r w:rsidRPr="00181156">
        <w:rPr>
          <w:rStyle w:val="AERbody"/>
        </w:rPr>
        <w:t>.</w:t>
      </w:r>
      <w:r w:rsidRPr="00181156">
        <w:rPr>
          <w:rStyle w:val="FootnoteReference"/>
        </w:rPr>
        <w:footnoteReference w:id="67"/>
      </w:r>
    </w:p>
    <w:p w:rsidR="002B5F41" w:rsidRPr="00181156" w:rsidRDefault="002B5F41" w:rsidP="002B5F41">
      <w:pPr>
        <w:rPr>
          <w:rStyle w:val="AERbody"/>
        </w:rPr>
      </w:pPr>
      <w:r w:rsidRPr="00181156">
        <w:rPr>
          <w:rStyle w:val="AERbody"/>
        </w:rPr>
        <w:t xml:space="preserve">We disagree with these submissions. Just as we do not constrain service providers' decisions about safety, safety regulators do not take account of regulatory forecasts when regulating or taking enforcement action. These activities are, quite properly, </w:t>
      </w:r>
      <w:r w:rsidRPr="00181156">
        <w:rPr>
          <w:rStyle w:val="AERbody"/>
        </w:rPr>
        <w:lastRenderedPageBreak/>
        <w:t>carried out independently. For example in NSW the Operations and Programs Branch of the Department of Trade &amp; Investment, Resources and Energy administers safety and technical regulations, including the conduct of annual safety audits. Importantly, this Department does not undertake this work by reference to the financial outcomes of service providers or their shareholders. Nor does it consider the ability of a service provider to pay particular dividends.</w:t>
      </w:r>
      <w:r w:rsidRPr="00181156">
        <w:rPr>
          <w:rStyle w:val="FootnoteReference"/>
        </w:rPr>
        <w:footnoteReference w:id="68"/>
      </w:r>
    </w:p>
    <w:p w:rsidR="002B5F41" w:rsidRPr="00181156" w:rsidRDefault="002B5F41" w:rsidP="002B5F41">
      <w:pPr>
        <w:rPr>
          <w:rStyle w:val="AERbody"/>
        </w:rPr>
      </w:pPr>
      <w:r w:rsidRPr="00181156">
        <w:rPr>
          <w:rStyle w:val="AERbody"/>
        </w:rPr>
        <w:t xml:space="preserve">The legal advice by Norton Rose Fulbright (solicitors for ActewAGL) that we will be in breach of the WHS Act if we are warned about safety impacts and nevertheless reduce regulatory forecasts proceeds on the basis that it </w:t>
      </w:r>
      <w:r>
        <w:rPr>
          <w:rStyle w:val="AERbody"/>
        </w:rPr>
        <w:t>was instructed by ActewAGL</w:t>
      </w:r>
      <w:r w:rsidRPr="00181156">
        <w:rPr>
          <w:rStyle w:val="AERbody"/>
        </w:rPr>
        <w:t xml:space="preserve"> to identify:</w:t>
      </w:r>
      <w:r w:rsidRPr="00181156">
        <w:rPr>
          <w:rStyle w:val="FootnoteReference"/>
        </w:rPr>
        <w:t xml:space="preserve"> </w:t>
      </w:r>
      <w:r w:rsidRPr="00181156">
        <w:rPr>
          <w:rStyle w:val="FootnoteReference"/>
        </w:rPr>
        <w:footnoteReference w:id="69"/>
      </w:r>
    </w:p>
    <w:p w:rsidR="002B5F41" w:rsidRPr="00181156" w:rsidRDefault="002B5F41" w:rsidP="002B5F41">
      <w:pPr>
        <w:pStyle w:val="AERquote"/>
        <w:rPr>
          <w:rStyle w:val="AERbody"/>
        </w:rPr>
      </w:pPr>
      <w:r w:rsidRPr="00181156">
        <w:t>whether the AER has any obligation under the WHS Act which would preclude it from making a determination which would (sic) impeded ActewAGL's ability to operate safely.</w:t>
      </w:r>
      <w:r w:rsidRPr="00181156">
        <w:rPr>
          <w:rStyle w:val="AERbody"/>
        </w:rPr>
        <w:t xml:space="preserve"> </w:t>
      </w:r>
    </w:p>
    <w:p w:rsidR="002B5F41" w:rsidRPr="00181156" w:rsidRDefault="002B5F41" w:rsidP="002B5F41">
      <w:pPr>
        <w:rPr>
          <w:rStyle w:val="AERbody"/>
        </w:rPr>
      </w:pPr>
      <w:r w:rsidRPr="00181156">
        <w:rPr>
          <w:rStyle w:val="AERbody"/>
        </w:rPr>
        <w:t>We find that Norton Rose Fulbright's advice proceeds on two incorrect assumptions:</w:t>
      </w:r>
    </w:p>
    <w:p w:rsidR="002B5F41" w:rsidRPr="00181156" w:rsidRDefault="002B5F41" w:rsidP="002B5F41">
      <w:pPr>
        <w:pStyle w:val="AERbulletlistfirststyle"/>
        <w:rPr>
          <w:rStyle w:val="AERbody"/>
        </w:rPr>
      </w:pPr>
      <w:r w:rsidRPr="00181156">
        <w:rPr>
          <w:rStyle w:val="AERbody"/>
        </w:rPr>
        <w:t>that our forecasts dictate spending; and, accordingly</w:t>
      </w:r>
    </w:p>
    <w:p w:rsidR="002B5F41" w:rsidRPr="00181156" w:rsidRDefault="002B5F41" w:rsidP="002B5F41">
      <w:pPr>
        <w:pStyle w:val="AERbulletlistfirststyle"/>
        <w:rPr>
          <w:rStyle w:val="AERbody"/>
        </w:rPr>
      </w:pPr>
      <w:r w:rsidRPr="00181156">
        <w:rPr>
          <w:rStyle w:val="AERbody"/>
        </w:rPr>
        <w:t>that the reduction in opex forecasts will, inevitably, mean that service providers are unable to protect their workers.</w:t>
      </w:r>
    </w:p>
    <w:p w:rsidR="002B5F41" w:rsidRPr="00181156" w:rsidRDefault="002B5F41" w:rsidP="002B5F41">
      <w:pPr>
        <w:rPr>
          <w:rStyle w:val="AERbody"/>
        </w:rPr>
      </w:pPr>
      <w:r w:rsidRPr="00181156">
        <w:rPr>
          <w:rStyle w:val="AERbody"/>
        </w:rPr>
        <w:t xml:space="preserve">As we explain above, we do not dictate how much a service provider can or will actually spend during the regulatory control period. Our assessment of the opex forecast required for a service provider to carry out its statutory obligations is based on our benchmarking work and factors specific to the service provider. We determine an amount that the service provider acting prudently and incurring only efficient costs would require to provide a safe and reliable service and to meet its regulatory obligations, including its responsibilities in relation to the health and safety of its workers. It is the responsibility of the service provider to decide what it will spend its to meet these obligations. </w:t>
      </w:r>
    </w:p>
    <w:p w:rsidR="002B5F41" w:rsidRPr="00181156" w:rsidRDefault="002B5F41" w:rsidP="002B5F41">
      <w:pPr>
        <w:rPr>
          <w:rStyle w:val="AERbody"/>
        </w:rPr>
      </w:pPr>
      <w:r w:rsidRPr="00181156">
        <w:rPr>
          <w:rStyle w:val="AERbody"/>
        </w:rPr>
        <w:t xml:space="preserve">To the extent that the regulated forecast is less than that which the service provider proposed, it will need to consider factors such as reprioritising its spending programs or re-appraising the need for the level of activity it is considering. If the service provider incurs costs above the opex forecast we determine, it must seek alternative sources of funding as it will not be able to recover these additional expenditures from its customers. </w:t>
      </w:r>
    </w:p>
    <w:p w:rsidR="002B5F41" w:rsidRPr="00181156" w:rsidRDefault="002B5F41" w:rsidP="002B5F41">
      <w:pPr>
        <w:rPr>
          <w:rStyle w:val="AERbody"/>
        </w:rPr>
      </w:pPr>
      <w:r w:rsidRPr="00181156">
        <w:rPr>
          <w:rStyle w:val="AERbody"/>
        </w:rPr>
        <w:t xml:space="preserve">As set out above, health and safety obligations are not enforced by reference to regulatory revenue. Regardless of regulatory revenue, service providers are obligated to protect their workers and other persons involved in their operations. Accordingly, we are not persuaded by Norton Rose Fulbright's interpretation of the WHS Act. </w:t>
      </w:r>
    </w:p>
    <w:p w:rsidR="002B5F41" w:rsidRPr="002B5F41" w:rsidRDefault="002B5F41" w:rsidP="002B5F41">
      <w:pPr>
        <w:pStyle w:val="HeadingBoldBlue"/>
      </w:pPr>
      <w:bookmarkStart w:id="107" w:name="_Toc417483312"/>
      <w:bookmarkStart w:id="108" w:name="_Toc417646243"/>
      <w:r w:rsidRPr="002B5F41">
        <w:rPr>
          <w:rStyle w:val="AERbody"/>
        </w:rPr>
        <w:br w:type="page"/>
      </w:r>
      <w:r w:rsidRPr="002B5F41">
        <w:lastRenderedPageBreak/>
        <w:t>Specific safety concerns</w:t>
      </w:r>
      <w:bookmarkEnd w:id="107"/>
      <w:bookmarkEnd w:id="108"/>
    </w:p>
    <w:p w:rsidR="002B5F41" w:rsidRPr="00181156" w:rsidRDefault="002B5F41" w:rsidP="002B5F41">
      <w:pPr>
        <w:rPr>
          <w:rStyle w:val="AERbody"/>
        </w:rPr>
      </w:pPr>
      <w:r w:rsidRPr="00181156">
        <w:rPr>
          <w:rStyle w:val="AERbody"/>
        </w:rPr>
        <w:t>The service providers' proposals, submissions and consultant reports present some common issues with respect to the impact of our draft decision opex forecast regarding:</w:t>
      </w:r>
    </w:p>
    <w:p w:rsidR="002B5F41" w:rsidRPr="00181156" w:rsidRDefault="002B5F41" w:rsidP="002B5F41">
      <w:pPr>
        <w:pStyle w:val="AERbulletlistfirststyle"/>
        <w:rPr>
          <w:rStyle w:val="AERbody"/>
        </w:rPr>
      </w:pPr>
      <w:r w:rsidRPr="00181156">
        <w:rPr>
          <w:rStyle w:val="AERbody"/>
        </w:rPr>
        <w:t>increased bushfire risk, particularly due to reduced vegetation management activities</w:t>
      </w:r>
    </w:p>
    <w:p w:rsidR="002B5F41" w:rsidRPr="00181156" w:rsidRDefault="002B5F41" w:rsidP="002B5F41">
      <w:pPr>
        <w:pStyle w:val="AERbulletlistfirststyle"/>
        <w:rPr>
          <w:rStyle w:val="AERbody"/>
        </w:rPr>
      </w:pPr>
      <w:r w:rsidRPr="00181156">
        <w:rPr>
          <w:rStyle w:val="AERbody"/>
        </w:rPr>
        <w:t xml:space="preserve">the impact reduced vegetation management will have on insurance premiums.  </w:t>
      </w:r>
    </w:p>
    <w:p w:rsidR="002B5F41" w:rsidRPr="002B5F41" w:rsidRDefault="002B5F41" w:rsidP="002B5F41">
      <w:pPr>
        <w:pStyle w:val="HeadingBoldItalic"/>
      </w:pPr>
      <w:r w:rsidRPr="002B5F41">
        <w:t>Bushfire risk</w:t>
      </w:r>
    </w:p>
    <w:p w:rsidR="002B5F41" w:rsidRPr="00181156" w:rsidRDefault="002B5F41" w:rsidP="002B5F41">
      <w:pPr>
        <w:rPr>
          <w:rStyle w:val="AERbody"/>
        </w:rPr>
      </w:pPr>
      <w:r w:rsidRPr="00181156">
        <w:rPr>
          <w:rStyle w:val="AERbody"/>
        </w:rPr>
        <w:t>Networks NSW engaged R2A to conduct a safety risk assessment arising from "'implementing" our draft determination opex forecast. R2A considers safety risks to employees and the public would increase and the likelihood of catastrophic bushfires would more than double.</w:t>
      </w:r>
      <w:r w:rsidRPr="00181156">
        <w:rPr>
          <w:rStyle w:val="FootnoteReference"/>
        </w:rPr>
        <w:footnoteReference w:id="70"/>
      </w:r>
      <w:r w:rsidRPr="00181156">
        <w:rPr>
          <w:rStyle w:val="AERbody"/>
        </w:rPr>
        <w:t xml:space="preserve"> Likewise, statutory declarations by the service providers' Chief Operating Officers (COOs) identify the impact of opex reductions vis-à-vis the necessary opex requirement.</w:t>
      </w:r>
      <w:r w:rsidRPr="00181156">
        <w:rPr>
          <w:rStyle w:val="FootnoteReference"/>
        </w:rPr>
        <w:footnoteReference w:id="71"/>
      </w:r>
      <w:r w:rsidRPr="00181156">
        <w:rPr>
          <w:rStyle w:val="AERbody"/>
        </w:rPr>
        <w:t xml:space="preserve"> However, R2A and the service providers' COOs assume that each NSW service provider will face increased inspection cycles, shorter asset lives and increased fire risk on the basis that it:</w:t>
      </w:r>
      <w:r w:rsidRPr="00181156">
        <w:rPr>
          <w:rStyle w:val="FootnoteReference"/>
        </w:rPr>
        <w:footnoteReference w:id="72"/>
      </w:r>
    </w:p>
    <w:p w:rsidR="002B5F41" w:rsidRPr="00181156" w:rsidRDefault="002B5F41" w:rsidP="002B5F41">
      <w:pPr>
        <w:pStyle w:val="AERbulletlistfirststyle"/>
        <w:rPr>
          <w:rStyle w:val="AERbody"/>
        </w:rPr>
      </w:pPr>
      <w:r w:rsidRPr="00181156">
        <w:rPr>
          <w:rStyle w:val="AERbody"/>
        </w:rPr>
        <w:t>will spend the same proportion of its total opex on inspections as in its revised proposal, proportionally reduced to our draft decision (that is, will not reallocate or find additional efficiencies to enable it to spend more on inspections)</w:t>
      </w:r>
    </w:p>
    <w:p w:rsidR="002B5F41" w:rsidRPr="00181156" w:rsidRDefault="002B5F41" w:rsidP="002B5F41">
      <w:pPr>
        <w:pStyle w:val="AERbulletlistfirststyle"/>
        <w:rPr>
          <w:rStyle w:val="AERbody"/>
        </w:rPr>
      </w:pPr>
      <w:r w:rsidRPr="00181156">
        <w:rPr>
          <w:rStyle w:val="AERbody"/>
        </w:rPr>
        <w:t>will not spend beyond its opex forecast under any circumstances</w:t>
      </w:r>
    </w:p>
    <w:p w:rsidR="002B5F41" w:rsidRPr="00181156" w:rsidRDefault="002B5F41" w:rsidP="002B5F41">
      <w:pPr>
        <w:pStyle w:val="AERbulletlistfirststyle"/>
        <w:rPr>
          <w:rStyle w:val="AERbody"/>
        </w:rPr>
      </w:pPr>
      <w:r w:rsidRPr="00181156">
        <w:rPr>
          <w:rStyle w:val="AERbody"/>
        </w:rPr>
        <w:t>undertakes an identical program to what it would have undertaken, with reduced resources.</w:t>
      </w:r>
    </w:p>
    <w:p w:rsidR="002B5F41" w:rsidRPr="00181156" w:rsidRDefault="002B5F41" w:rsidP="002B5F41">
      <w:pPr>
        <w:rPr>
          <w:rStyle w:val="AERbody"/>
        </w:rPr>
      </w:pPr>
      <w:r w:rsidRPr="00181156">
        <w:rPr>
          <w:rStyle w:val="AERbody"/>
        </w:rPr>
        <w:t>We do not agree that any of the above assumptions are a required result of our decision. We consider that this analysis is overly prescriptive of a service provider's expected behaviour. As stated above, we determine an amount that the service provider acting prudently and incurring only efficient costs would require to provide a safe and reliable service and to meet its regulatory obligations. It is the responsibility of the service provider to decide how it will spend the approved forecast including considering factors such as reprioritising its spending programs or re-appraising the need for the level of activity it is considering.</w:t>
      </w:r>
    </w:p>
    <w:p w:rsidR="002B5F41" w:rsidRPr="00181156" w:rsidRDefault="002B5F41" w:rsidP="002B5F41">
      <w:r w:rsidRPr="00181156">
        <w:rPr>
          <w:rStyle w:val="AERbody"/>
        </w:rPr>
        <w:t xml:space="preserve">The service providers also rely on correspondence from the Commissioners of Fire and Rescue NSW and the NSW Rural Fire Service. The Commissioners indicate their concern regarding any reduction in vegetation management. While we acknowledge </w:t>
      </w:r>
      <w:r w:rsidRPr="00181156">
        <w:rPr>
          <w:rStyle w:val="AERbody"/>
        </w:rPr>
        <w:lastRenderedPageBreak/>
        <w:t>that this concern is relevant to the task of the Commissioners, we do not consider that this view, of itself, provides any evidence of a difference in the risk faced by the NSW distributors and the benchmark service providers.</w:t>
      </w:r>
    </w:p>
    <w:p w:rsidR="002B5F41" w:rsidRPr="002B5F41" w:rsidRDefault="002B5F41" w:rsidP="002B5F41">
      <w:pPr>
        <w:pStyle w:val="HeadingBoldItalic"/>
      </w:pPr>
      <w:r w:rsidRPr="002B5F41">
        <w:t>Insurance costs</w:t>
      </w:r>
    </w:p>
    <w:p w:rsidR="002B5F41" w:rsidRPr="00181156" w:rsidRDefault="002B5F41" w:rsidP="002B5F41">
      <w:pPr>
        <w:rPr>
          <w:rStyle w:val="AERbody"/>
        </w:rPr>
      </w:pPr>
      <w:r w:rsidRPr="00181156">
        <w:rPr>
          <w:rStyle w:val="AERbody"/>
        </w:rPr>
        <w:t>The NSW service providers submitted that if they implemented our draft decision, their insurance costs would increase.</w:t>
      </w:r>
      <w:r w:rsidRPr="00181156">
        <w:rPr>
          <w:rStyle w:val="FootnoteReference"/>
        </w:rPr>
        <w:footnoteReference w:id="73"/>
      </w:r>
      <w:r w:rsidRPr="00181156">
        <w:rPr>
          <w:rStyle w:val="AERbody"/>
        </w:rPr>
        <w:t xml:space="preserve"> They rely on a partially confidential report prepared for Networks NSW by AON.</w:t>
      </w:r>
      <w:r w:rsidRPr="00181156">
        <w:rPr>
          <w:rStyle w:val="FootnoteReference"/>
        </w:rPr>
        <w:footnoteReference w:id="74"/>
      </w:r>
      <w:r w:rsidRPr="00181156">
        <w:rPr>
          <w:rStyle w:val="AERbody"/>
        </w:rPr>
        <w:t xml:space="preserve"> AON provide services to Ausgrid, Essential Energy and Endeavour Energy (amongst others). AON's report is therefore an informed, but not independent, perspective on the impact of our draft decision. AON's report proceeds on the following basis:</w:t>
      </w:r>
      <w:r w:rsidRPr="00181156">
        <w:rPr>
          <w:rStyle w:val="FootnoteReference"/>
        </w:rPr>
        <w:footnoteReference w:id="75"/>
      </w:r>
    </w:p>
    <w:p w:rsidR="002B5F41" w:rsidRPr="00181156" w:rsidRDefault="002B5F41" w:rsidP="002B5F41">
      <w:pPr>
        <w:pStyle w:val="AERquote"/>
      </w:pPr>
      <w:r w:rsidRPr="00181156">
        <w:t>Aon’s advice is supplied to assist NNSW assess the impact on insurance costs and coverage if the overall proposed AER operational expenditure percentage Opex and/or Capex cuts were applied in the same proportion to vegetation management expenditure (i.e. Ausgrid (39%), Endeavour (23%), Essential (38%)) for the 2014–2019 regulatory period.</w:t>
      </w:r>
    </w:p>
    <w:p w:rsidR="002B5F41" w:rsidRPr="00181156" w:rsidRDefault="002B5F41" w:rsidP="002B5F41">
      <w:pPr>
        <w:rPr>
          <w:rStyle w:val="AERbody"/>
        </w:rPr>
      </w:pPr>
      <w:r w:rsidRPr="00181156">
        <w:rPr>
          <w:rStyle w:val="AERbody"/>
        </w:rPr>
        <w:t>That is, AON assumes that each of its clients:</w:t>
      </w:r>
    </w:p>
    <w:p w:rsidR="002B5F41" w:rsidRPr="00181156" w:rsidRDefault="002B5F41" w:rsidP="002B5F41">
      <w:pPr>
        <w:pStyle w:val="AERbulletlistfirststyle"/>
        <w:rPr>
          <w:rStyle w:val="AERbody"/>
        </w:rPr>
      </w:pPr>
      <w:r w:rsidRPr="00181156">
        <w:rPr>
          <w:rStyle w:val="AERbody"/>
        </w:rPr>
        <w:t>have only the amount we forecast an efficient and prudent provider would spend on vegetation management to spend on this activity</w:t>
      </w:r>
    </w:p>
    <w:p w:rsidR="002B5F41" w:rsidRPr="00181156" w:rsidRDefault="002B5F41" w:rsidP="002B5F41">
      <w:pPr>
        <w:pStyle w:val="AERbulletlistfirststyle"/>
        <w:rPr>
          <w:rStyle w:val="AERbody"/>
        </w:rPr>
      </w:pPr>
      <w:r w:rsidRPr="00181156">
        <w:rPr>
          <w:rStyle w:val="AERbody"/>
        </w:rPr>
        <w:t xml:space="preserve">will make no adjustments or changes other than reducing their overall spending on vegetation management. </w:t>
      </w:r>
    </w:p>
    <w:p w:rsidR="002B5F41" w:rsidRPr="00181156" w:rsidRDefault="002B5F41" w:rsidP="002B5F41">
      <w:pPr>
        <w:rPr>
          <w:rStyle w:val="AERbody"/>
        </w:rPr>
      </w:pPr>
      <w:r w:rsidRPr="00181156">
        <w:rPr>
          <w:rStyle w:val="AERbody"/>
        </w:rPr>
        <w:t>AON's findings are inconsistent with, for example, Essential Energy's announced commitment to maintaining its current spending on vegetation management, regardless of our decision.</w:t>
      </w:r>
      <w:r w:rsidRPr="00181156">
        <w:rPr>
          <w:rStyle w:val="FootnoteReference"/>
        </w:rPr>
        <w:footnoteReference w:id="76"/>
      </w:r>
      <w:r w:rsidRPr="00181156">
        <w:rPr>
          <w:rStyle w:val="AERbody"/>
        </w:rPr>
        <w:t xml:space="preserve">  AON also, quite unfairly, assumes that the management of service providers are mere conduits feeding regulatory forecasts into activities in the exact proportion we estimate. We regard the directors and executives of service providers as sophisticated, intelligent and capable. We expect them to take necessary steps to change their practices to take account of changing conditions, including regulatory forecasts. </w:t>
      </w:r>
    </w:p>
    <w:p w:rsidR="002B5F41" w:rsidRDefault="002B5F41" w:rsidP="002B5F41">
      <w:pPr>
        <w:rPr>
          <w:rStyle w:val="AERbody"/>
        </w:rPr>
      </w:pPr>
      <w:r w:rsidRPr="00181156">
        <w:rPr>
          <w:rStyle w:val="AERbody"/>
        </w:rPr>
        <w:t>Jacobs suggests what some of these steps may be,</w:t>
      </w:r>
      <w:r w:rsidRPr="00181156">
        <w:rPr>
          <w:rStyle w:val="FootnoteReference"/>
        </w:rPr>
        <w:footnoteReference w:id="77"/>
      </w:r>
      <w:r w:rsidRPr="00181156">
        <w:rPr>
          <w:rStyle w:val="AERbody"/>
        </w:rPr>
        <w:t xml:space="preserve"> but we are confident in the ability of service providers to determine appropriate responses to our decision—including ensuring that they maintain adequate external and self-insurance coverage. </w:t>
      </w:r>
    </w:p>
    <w:p w:rsidR="002B5F41" w:rsidRPr="00181156" w:rsidRDefault="002B5F41" w:rsidP="002B5F41">
      <w:pPr>
        <w:pStyle w:val="Heading3"/>
      </w:pPr>
      <w:bookmarkStart w:id="109" w:name="_Toc414450181"/>
      <w:bookmarkStart w:id="110" w:name="_Toc417483313"/>
      <w:bookmarkStart w:id="111" w:name="_Ref417645971"/>
      <w:bookmarkStart w:id="112" w:name="_Toc417646244"/>
      <w:bookmarkStart w:id="113" w:name="_Toc417649205"/>
      <w:bookmarkStart w:id="114" w:name="_Toc417659837"/>
      <w:r w:rsidRPr="00181156">
        <w:lastRenderedPageBreak/>
        <w:t>Realistic outcomes</w:t>
      </w:r>
      <w:bookmarkEnd w:id="109"/>
      <w:bookmarkEnd w:id="110"/>
      <w:bookmarkEnd w:id="111"/>
      <w:bookmarkEnd w:id="112"/>
      <w:bookmarkEnd w:id="113"/>
      <w:bookmarkEnd w:id="114"/>
    </w:p>
    <w:p w:rsidR="002B5F41" w:rsidRPr="00181156" w:rsidRDefault="002B5F41" w:rsidP="002B5F41">
      <w:r w:rsidRPr="00181156">
        <w:t>The NSW service providers submit that if they are to implement the opex reductions from the draft decision, the NEL and NER require that we provide a realistic forecast of their actual costs while incentivising efficiency reductions over time in a realistic manner.</w:t>
      </w:r>
      <w:r w:rsidRPr="00181156">
        <w:rPr>
          <w:rStyle w:val="FootnoteReference"/>
        </w:rPr>
        <w:footnoteReference w:id="78"/>
      </w:r>
      <w:r w:rsidRPr="00181156">
        <w:t xml:space="preserve"> This includes, they submit:</w:t>
      </w:r>
    </w:p>
    <w:p w:rsidR="002B5F41" w:rsidRPr="00181156" w:rsidRDefault="002B5F41" w:rsidP="002B5F41">
      <w:pPr>
        <w:pStyle w:val="AERbulletlistfirststyle"/>
      </w:pPr>
      <w:r w:rsidRPr="00181156">
        <w:t>redundancy costs, which the service providers submit are legitimate and prudent in a time of transformation</w:t>
      </w:r>
      <w:r w:rsidRPr="00181156">
        <w:rPr>
          <w:rStyle w:val="FootnoteReference"/>
        </w:rPr>
        <w:footnoteReference w:id="79"/>
      </w:r>
    </w:p>
    <w:p w:rsidR="002B5F41" w:rsidRPr="00181156" w:rsidRDefault="002B5F41" w:rsidP="002B5F41">
      <w:pPr>
        <w:pStyle w:val="AERbulletlistfirststyle"/>
      </w:pPr>
      <w:r w:rsidRPr="00181156">
        <w:t>a transition to mitigate the consequences of requiring  service providers to immediately review, and substantially reduce, expenditure.</w:t>
      </w:r>
      <w:r w:rsidRPr="00181156">
        <w:rPr>
          <w:rStyle w:val="FootnoteReference"/>
        </w:rPr>
        <w:footnoteReference w:id="80"/>
      </w:r>
    </w:p>
    <w:p w:rsidR="002B5F41" w:rsidRPr="00181156" w:rsidRDefault="002B5F41" w:rsidP="002B5F41">
      <w:r w:rsidRPr="00181156">
        <w:t>The service providers point to the third opex criterion—"a realistic expectation of the demand forecast and cost inputs required to achieve the operating expenditure objectives"</w:t>
      </w:r>
      <w:r w:rsidRPr="00181156">
        <w:rPr>
          <w:rStyle w:val="FootnoteReference"/>
        </w:rPr>
        <w:footnoteReference w:id="81"/>
      </w:r>
      <w:r w:rsidRPr="00181156">
        <w:t xml:space="preserve">—as the driver of this apparent requirement. </w:t>
      </w:r>
    </w:p>
    <w:p w:rsidR="002B5F41" w:rsidRPr="00181156" w:rsidRDefault="002B5F41" w:rsidP="002B5F41">
      <w:r w:rsidRPr="00181156">
        <w:t>We disagree with these submissions for two reasons. Firstly, our view is the service providers' interpretation of the 'realistic' criterion is incorrect. In our view, this criterion is concerned with ensuring that there is a proper basis for estimating the demand and cost inputs that a prudent and efficient service provider would incur over the forecast period.</w:t>
      </w:r>
      <w:r w:rsidRPr="00181156">
        <w:rPr>
          <w:rStyle w:val="FootnoteReference"/>
        </w:rPr>
        <w:footnoteReference w:id="82"/>
      </w:r>
      <w:r w:rsidRPr="00181156">
        <w:t xml:space="preserve"> The </w:t>
      </w:r>
      <w:r w:rsidRPr="00181156">
        <w:rPr>
          <w:rStyle w:val="AERbody"/>
        </w:rPr>
        <w:t xml:space="preserve">demand forecast and cost inputs are for those of a prudent and efficient service provider operating the relevant service provider's network. They are not the cost inputs which result from previous inefficient decision making. </w:t>
      </w:r>
      <w:r w:rsidRPr="00181156">
        <w:t>Such an approach would undermine the incentive based aims of the regulatory scheme when read as a whole, because a service provider that bound itself by less than efficient decisions would be rewarded with a forecast that includes increased cost inputs.</w:t>
      </w:r>
      <w:r w:rsidRPr="00181156">
        <w:rPr>
          <w:rStyle w:val="AERbody"/>
        </w:rPr>
        <w:t xml:space="preserve"> </w:t>
      </w:r>
    </w:p>
    <w:p w:rsidR="002B5F41" w:rsidRPr="00181156" w:rsidRDefault="002B5F41" w:rsidP="002B5F41">
      <w:r w:rsidRPr="00181156">
        <w:t xml:space="preserve">We consider, therefore, that the opex criteria do not impose a requirement for the AER to be satisfied as to how the service provider in question will actually operate its business with the efficient total forecast opex. Such an interpretation runs counter to the notion of a prudent and efficient service provider—albeit facing the same exogenous circumstances as the service provider in question—implied by the opex criteria. Consumers should not be required to fund the consequences of long-term inefficient contracts. This notion was affirmed by the AEMC's removal of "individual circumstances" from the 'prudent' criterion. We are not persuaded by submissions to the effect that we must consider a service provider's actual cost inputs because the </w:t>
      </w:r>
      <w:r w:rsidRPr="00181156">
        <w:lastRenderedPageBreak/>
        <w:t>AEMC did not remove "individual circumstances" from the 'realistic' criterion.</w:t>
      </w:r>
      <w:r w:rsidRPr="00181156">
        <w:rPr>
          <w:rStyle w:val="FootnoteReference"/>
        </w:rPr>
        <w:footnoteReference w:id="83"/>
      </w:r>
      <w:r w:rsidRPr="00181156">
        <w:t xml:space="preserve"> The phrase "individual circumstances" does not form part of the criterion.</w:t>
      </w:r>
    </w:p>
    <w:p w:rsidR="002B5F41" w:rsidRPr="00181156" w:rsidRDefault="002B5F41" w:rsidP="002B5F41">
      <w:r w:rsidRPr="00181156">
        <w:t>Secondly, the service providers' views are based upon the incorrect assumption that it is the AER's role to dictate how they must run their businesses. As we explained in our draft decision, w</w:t>
      </w:r>
      <w:r w:rsidRPr="00181156">
        <w:rPr>
          <w:rStyle w:val="AERbody"/>
        </w:rPr>
        <w:t xml:space="preserve">e do not approve </w:t>
      </w:r>
      <w:r w:rsidRPr="00181156">
        <w:t xml:space="preserve">specific projects or dictate the legal obligations a service provider enters into. Our task is to determine an efficient level of </w:t>
      </w:r>
      <w:r w:rsidRPr="00181156">
        <w:rPr>
          <w:rStyle w:val="AERtextitalic"/>
        </w:rPr>
        <w:t>total</w:t>
      </w:r>
      <w:r w:rsidRPr="00181156">
        <w:t xml:space="preserve"> opex for a prudent service provider to meet the opex objectives over a five year regulatory control period. As the AEMC notes, this underpins the incentive properties of the regulatory regime:</w:t>
      </w:r>
      <w:r w:rsidRPr="00181156">
        <w:rPr>
          <w:rStyle w:val="FootnoteReference"/>
        </w:rPr>
        <w:footnoteReference w:id="84"/>
      </w:r>
    </w:p>
    <w:p w:rsidR="002B5F41" w:rsidRPr="00181156" w:rsidRDefault="002B5F41" w:rsidP="002B5F41">
      <w:pPr>
        <w:pStyle w:val="AERquote"/>
      </w:pPr>
      <w:r w:rsidRPr="00181156">
        <w:t>The level, rather than the specific contents, of the approved expenditure allowances underpin the incentive properties of the regulatory regime in the NEM. That is, once a level of expenditure is set, it is locked in for a period of time, and it is up to the NSP to carry out its functions as it sees fit, subject to any service standards.</w:t>
      </w:r>
    </w:p>
    <w:p w:rsidR="002B5F41" w:rsidRPr="00181156" w:rsidRDefault="002B5F41" w:rsidP="002B5F41">
      <w:r w:rsidRPr="00181156">
        <w:t xml:space="preserve">Therefore, as we stated in our draft decision and above, we are providing the service providers with a forecast that we are satisfied reasonably reflects the opex criteria. </w:t>
      </w:r>
      <w:r w:rsidRPr="00181156">
        <w:rPr>
          <w:rStyle w:val="AERbody"/>
        </w:rPr>
        <w:t>It is the responsibility of the service provider to decide how it will spend the revenue it recovers from consumers. If the service provider decides to spend more than it recovers from consumers it must seek alternative sources of funding to do so.</w:t>
      </w:r>
    </w:p>
    <w:p w:rsidR="002B5F41" w:rsidRPr="00181156" w:rsidRDefault="002B5F41" w:rsidP="002B5F41">
      <w:pPr>
        <w:pStyle w:val="HeadingBoldBlue"/>
      </w:pPr>
      <w:bookmarkStart w:id="115" w:name="_Toc417483314"/>
      <w:bookmarkStart w:id="116" w:name="_Toc417646245"/>
      <w:r w:rsidRPr="00181156">
        <w:t>Redundancy costs</w:t>
      </w:r>
      <w:bookmarkEnd w:id="115"/>
      <w:bookmarkEnd w:id="116"/>
    </w:p>
    <w:p w:rsidR="002B5F41" w:rsidRPr="00181156" w:rsidRDefault="002B5F41" w:rsidP="002B5F41">
      <w:r w:rsidRPr="00181156">
        <w:t>The service providers submit that they are entitled to recover redundancy costs from consumers. They consider hiring staff is a legitimate cost so removing staff should be too.</w:t>
      </w:r>
      <w:r w:rsidRPr="00181156">
        <w:rPr>
          <w:rStyle w:val="FootnoteReference"/>
        </w:rPr>
        <w:footnoteReference w:id="85"/>
      </w:r>
      <w:r w:rsidRPr="00181156">
        <w:t xml:space="preserve"> The service providers also submit that incurring redundancy costs is no different to any other business undergoing necessary transformation to respond to changing circumstances and drivers. Such an approach, they contend, is prudent so to deny the transformation and costs will hinder the incentives to drive efficiencies when it is effective to do so.</w:t>
      </w:r>
      <w:r w:rsidRPr="00181156">
        <w:rPr>
          <w:rStyle w:val="FootnoteReference"/>
        </w:rPr>
        <w:footnoteReference w:id="86"/>
      </w:r>
      <w:r w:rsidRPr="00181156">
        <w:t xml:space="preserve"> They also reiterate their view that obligations under the </w:t>
      </w:r>
      <w:r w:rsidRPr="00181156">
        <w:rPr>
          <w:rStyle w:val="AERtextitalic"/>
        </w:rPr>
        <w:t>Fair Work Act 2009</w:t>
      </w:r>
      <w:r w:rsidRPr="00181156">
        <w:t xml:space="preserve"> fall within the definition of 'regulatory obligation or requirements' in the NEL.</w:t>
      </w:r>
      <w:r w:rsidRPr="00181156">
        <w:rPr>
          <w:rStyle w:val="FootnoteReference"/>
        </w:rPr>
        <w:footnoteReference w:id="87"/>
      </w:r>
    </w:p>
    <w:p w:rsidR="002B5F41" w:rsidRPr="00181156" w:rsidRDefault="002B5F41" w:rsidP="002B5F41">
      <w:r w:rsidRPr="00181156">
        <w:t xml:space="preserve">Consistent with our approach in our draft decision, we do not agree with these submissions. We are not denying the service providers the ability to transform their businesses and pay staff their entitlements. Recruitment and removal of staff are both </w:t>
      </w:r>
      <w:r w:rsidRPr="00181156">
        <w:lastRenderedPageBreak/>
        <w:t xml:space="preserve">'legitimate costs' that the service providers would need to incur. However, we do not 'fund' the service providers for these (or any specific) activities. We assess a service provider's revealed opex in order to form a view on whether it reasonably reflects the opex a prudent and efficient (objective) service provider would require in the future to comply with its obligations. Service providers have broad discretion about all contractual arrangements and the manner in which they carry out those obligations. </w:t>
      </w:r>
    </w:p>
    <w:p w:rsidR="002B5F41" w:rsidRPr="00181156" w:rsidRDefault="002B5F41" w:rsidP="002B5F41">
      <w:pPr>
        <w:rPr>
          <w:rStyle w:val="AERbody"/>
        </w:rPr>
      </w:pPr>
      <w:r w:rsidRPr="00181156">
        <w:t xml:space="preserve">Further, we reiterate our draft decision view that obligations under the </w:t>
      </w:r>
      <w:r w:rsidRPr="00181156">
        <w:rPr>
          <w:rStyle w:val="AERtextitalic"/>
        </w:rPr>
        <w:t>Fair Work Act 2009</w:t>
      </w:r>
      <w:r w:rsidRPr="00181156">
        <w:rPr>
          <w:rStyle w:val="AERbody"/>
        </w:rPr>
        <w:t xml:space="preserve"> fall outside the definition of 'regulatory obligations or requirements' in section 2D of the NEL. The service providers have not provided evidence supporting their view that enterprise agreement obligations fall within this NEL definition. Rather, they have simply stated that our draft decision opex forecasts were insufficient to cover their labour commitments arising from their enterprise agreements.</w:t>
      </w:r>
      <w:r w:rsidRPr="00181156">
        <w:rPr>
          <w:rStyle w:val="FootnoteReference"/>
        </w:rPr>
        <w:footnoteReference w:id="88"/>
      </w:r>
    </w:p>
    <w:p w:rsidR="002B5F41" w:rsidRPr="00181156" w:rsidRDefault="002B5F41" w:rsidP="002B5F41">
      <w:r w:rsidRPr="00181156">
        <w:t>While a contractual arrangement may have been entered it in the previous period, this does not mean the associated costs should form the basis for the opex forecast (and, hence, the overall revenue allowance) in the next period. The service providers received their revenue allowances for the previous period and we are not taking any of the allowances away. However, we are determining the appropriate starting point for the forecast period. New information and better assessment techniques reveal that Ausgrid's and Essential Energy's revealed opex is not the appropriate starting point.</w:t>
      </w:r>
    </w:p>
    <w:p w:rsidR="002B5F41" w:rsidRPr="00181156" w:rsidRDefault="002B5F41" w:rsidP="002B5F41">
      <w:r w:rsidRPr="00181156">
        <w:t xml:space="preserve">If we estimated a forecast by reference to a provider in all the same circumstances as the service provider in question we would potentially need to make a decision that incorporated matters as specific as the service provider's staffing levels or car leasing arrangements, and other matters that are completely within the discretionary control of management.  If a service provider entered into a long term inefficient contract, we would be required to include the associated costs in our forecast. These decisions are not part of our role. Such an approach would be contrary to the incentive basis for the regulatory regime. Rather our role is to determine a forecast that we are satisfied reasonably reflects the opex criteria. </w:t>
      </w:r>
    </w:p>
    <w:p w:rsidR="002B5F41" w:rsidRPr="00181156" w:rsidRDefault="002B5F41" w:rsidP="002B5F41">
      <w:r w:rsidRPr="00181156">
        <w:t>Deloitte's independent review of labour and workforce practices found that the service providers relied predominantly on hiring permanent staff employed under EBAs rather than contractors.</w:t>
      </w:r>
      <w:r w:rsidRPr="00181156">
        <w:rPr>
          <w:rStyle w:val="FootnoteReference"/>
        </w:rPr>
        <w:footnoteReference w:id="89"/>
      </w:r>
      <w:r w:rsidRPr="00181156">
        <w:t xml:space="preserve"> Many of these staff were hired on a full time basis to complete the service providers' large, but temporary, capex programs in the 2009–14 period.</w:t>
      </w:r>
      <w:r w:rsidRPr="00181156">
        <w:rPr>
          <w:rStyle w:val="FootnoteReference"/>
        </w:rPr>
        <w:footnoteReference w:id="90"/>
      </w:r>
      <w:r w:rsidRPr="00181156">
        <w:t xml:space="preserve"> This is due to EBA restrictions which make it difficult for the service providers to change their resourcing arrangements quickly and flexibly. Now, due to EBA restrictions that do not allow for forced redundancies, the service providers have stranded resources.</w:t>
      </w:r>
    </w:p>
    <w:p w:rsidR="002B5F41" w:rsidRPr="00181156" w:rsidRDefault="002B5F41" w:rsidP="002B5F41">
      <w:r w:rsidRPr="00181156">
        <w:lastRenderedPageBreak/>
        <w:t>Our view is that this would not have been an efficient practice for a prudent service provider.</w:t>
      </w:r>
    </w:p>
    <w:p w:rsidR="002B5F41" w:rsidRPr="002B5F41" w:rsidRDefault="002B5F41" w:rsidP="002B5F41">
      <w:r w:rsidRPr="00181156">
        <w:t xml:space="preserve">In line with the incentive regime, it is for the service providers to determine the appropriate response to excess labour needs and to bear the costs associated with those earlier decisions. The service providers could do this either within their regulated forecast by prioritising expenditure programs or with alternative sources of funding not recovered from customers. </w:t>
      </w:r>
      <w:bookmarkStart w:id="117" w:name="_Toc417483315"/>
      <w:bookmarkStart w:id="118" w:name="_Toc417646246"/>
    </w:p>
    <w:p w:rsidR="002B5F41" w:rsidRPr="00181156" w:rsidRDefault="002B5F41" w:rsidP="002B5F41">
      <w:pPr>
        <w:pStyle w:val="HeadingBoldBlue"/>
      </w:pPr>
      <w:r w:rsidRPr="00181156">
        <w:t>Transition path</w:t>
      </w:r>
      <w:bookmarkEnd w:id="117"/>
      <w:bookmarkEnd w:id="118"/>
    </w:p>
    <w:p w:rsidR="002B5F41" w:rsidRPr="00181156" w:rsidRDefault="002B5F41" w:rsidP="002B5F41">
      <w:r w:rsidRPr="00181156">
        <w:t>Some service providers have submitted that the NEL and NER enable (and require) us to provide a transition to efficient expenditure in the event we make large reductions in opex.</w:t>
      </w:r>
      <w:r w:rsidRPr="00181156">
        <w:rPr>
          <w:rStyle w:val="FootnoteReference"/>
        </w:rPr>
        <w:footnoteReference w:id="91"/>
      </w:r>
      <w:r w:rsidRPr="00181156">
        <w:t xml:space="preserve"> Their opinion is the NER provide us with sufficient discretion to apply a transition or, in the alternative, the control mechanism provides a means of doing so. To not provide a transition would be unachievable and not 'realistic' because they would need to immediately review and substantially reduce their opex, jeopardising the safety of the network.</w:t>
      </w:r>
      <w:r w:rsidRPr="00181156">
        <w:rPr>
          <w:rStyle w:val="FootnoteReference"/>
        </w:rPr>
        <w:footnoteReference w:id="92"/>
      </w:r>
      <w:r w:rsidRPr="00181156">
        <w:t xml:space="preserve">  </w:t>
      </w:r>
    </w:p>
    <w:p w:rsidR="002B5F41" w:rsidRPr="00181156" w:rsidRDefault="002B5F41" w:rsidP="002B5F41">
      <w:r w:rsidRPr="00181156">
        <w:t>The NSW service providers' position on transition path is unclear. In their revised proposals they submit that a transition path is unnecessary when the AER's "allowance" is sufficient to achieve the opex objectives.</w:t>
      </w:r>
      <w:r w:rsidRPr="00181156">
        <w:rPr>
          <w:rStyle w:val="FootnoteReference"/>
        </w:rPr>
        <w:footnoteReference w:id="93"/>
      </w:r>
      <w:r w:rsidRPr="00181156">
        <w:t xml:space="preserve"> However, they also submit that adjustments in opex must reflect the time it would realistically take to implement them and propose a control mechanism adjustment.</w:t>
      </w:r>
      <w:r w:rsidRPr="00181156">
        <w:rPr>
          <w:rStyle w:val="FootnoteReference"/>
        </w:rPr>
        <w:footnoteReference w:id="94"/>
      </w:r>
    </w:p>
    <w:p w:rsidR="002B5F41" w:rsidRPr="00181156" w:rsidRDefault="002B5F41" w:rsidP="002B5F41">
      <w:r w:rsidRPr="00181156">
        <w:t>We agree that a transition path is unnecessary when our forecast is sufficient to achieve the opex objectives. We have not been persuaded by any submissions that suggest it is more appropriate for the consumers, rather than service providers, to bear the cost of becoming more efficient. We have also received several submissions from stakeholders that argue the opposite.  That is, the type of approach advocated by service providers would be inconsistent with the NEL and NER.</w:t>
      </w:r>
      <w:r w:rsidRPr="00181156">
        <w:rPr>
          <w:rStyle w:val="FootnoteReference"/>
        </w:rPr>
        <w:footnoteReference w:id="95"/>
      </w:r>
      <w:r w:rsidRPr="00181156">
        <w:t xml:space="preserve"> </w:t>
      </w:r>
    </w:p>
    <w:p w:rsidR="002B5F41" w:rsidRPr="00181156" w:rsidRDefault="002B5F41" w:rsidP="002B5F41">
      <w:r w:rsidRPr="00181156">
        <w:lastRenderedPageBreak/>
        <w:t xml:space="preserve">If a transition is a "premium" above the efficient costs that a prudent operator would require, we cannot include that premium in our estimate of total forecast opex that we are satisfied reasonably reflects these opex criteria. Conversely, if a transition is included as part of a forecast that does reasonably reflect the opex criteria, no further premium is required or possible. </w:t>
      </w:r>
    </w:p>
    <w:p w:rsidR="002B5F41" w:rsidRPr="00181156" w:rsidRDefault="002B5F41" w:rsidP="002B5F41">
      <w:r w:rsidRPr="00181156">
        <w:t>We also note that legal advice provided to ActewAGL contradicts the service providers' view. That advice states that if we applied a transition path pursuant to clause 6.12.1(11) of the NER we would likely be in error:</w:t>
      </w:r>
      <w:r w:rsidRPr="00181156">
        <w:rPr>
          <w:rStyle w:val="FootnoteReference"/>
        </w:rPr>
        <w:footnoteReference w:id="96"/>
      </w:r>
    </w:p>
    <w:p w:rsidR="002B5F41" w:rsidRPr="00F15B7D" w:rsidRDefault="002B5F41" w:rsidP="002B5F41">
      <w:pPr>
        <w:pStyle w:val="AERquote"/>
      </w:pPr>
      <w:r w:rsidRPr="00F15B7D">
        <w:t>Although we think that the establishment of a “glide path” is open to the AER, having regard to the analysis above, there is a tension in this conclusion, in that it proceeds on the assumption that the NEO requires ActewAGL to be allowed forecast opex at a level which exceeds that which the AER has legitimately allowed to ActewAGL pursuant to clause 6.12.1(4)(ii) of the NER. In our view, it is difficult to imagine a circumstance in which that consequence might arise, without the AER’s decision under clause 6.12.1(4)(ii) involving errors of the kind specified in section 71C of the NEL.</w:t>
      </w:r>
    </w:p>
    <w:p w:rsidR="002B5F41" w:rsidRPr="00181156" w:rsidRDefault="002B5F41" w:rsidP="002B5F41">
      <w:r w:rsidRPr="00181156">
        <w:t xml:space="preserve">This legal advice suggests, in the alternative, that clause 6.12.1(4)(ii) allows the AER to use its discretion to take endogenous circumstances (such as the actual business structure vis-á-vis the prudent service provider's structure) into account because it would be inconsistent with the NEO for us to "presume, from the outset, that [our] discretion is circumscribed so that [we] must </w:t>
      </w:r>
      <w:r w:rsidRPr="00181156">
        <w:rPr>
          <w:rStyle w:val="AERtextitalic"/>
        </w:rPr>
        <w:t>only</w:t>
      </w:r>
      <w:r w:rsidRPr="00181156">
        <w:t xml:space="preserve"> consider the efficient costs that an objectively prudent </w:t>
      </w:r>
      <w:r w:rsidR="00C867C5">
        <w:t>distributor</w:t>
      </w:r>
      <w:r w:rsidRPr="00181156">
        <w:t xml:space="preserve"> might incur. In particular, [it is asserted that] we have an obligation to consider the manner in which a service provider has structured its business in reliance on previous determinations made by [us], and its ability to transition to much lower levels of opex immediately."</w:t>
      </w:r>
      <w:r w:rsidRPr="00181156">
        <w:rPr>
          <w:rStyle w:val="FootnoteReference"/>
        </w:rPr>
        <w:footnoteReference w:id="97"/>
      </w:r>
    </w:p>
    <w:p w:rsidR="002B5F41" w:rsidRPr="00181156" w:rsidRDefault="002B5F41" w:rsidP="002B5F41">
      <w:r w:rsidRPr="00181156">
        <w:t>We have carefully considered this view and we are not convinced it is a sound interpretation of the NEO and the NER. It assumes that:</w:t>
      </w:r>
    </w:p>
    <w:p w:rsidR="002B5F41" w:rsidRPr="00181156" w:rsidRDefault="002B5F41" w:rsidP="002B5F41">
      <w:pPr>
        <w:pStyle w:val="AERbulletlistfirststyle"/>
      </w:pPr>
      <w:r w:rsidRPr="00181156">
        <w:t xml:space="preserve">service providers should expect that opex forecasts for future regulatory periods will be of the same order as opex forecasts for previous regulatory periods </w:t>
      </w:r>
    </w:p>
    <w:p w:rsidR="002B5F41" w:rsidRPr="00181156" w:rsidRDefault="002B5F41" w:rsidP="002B5F41">
      <w:pPr>
        <w:pStyle w:val="AERbulletlistfirststyle"/>
      </w:pPr>
      <w:r w:rsidRPr="00181156">
        <w:t xml:space="preserve">service providers are entitled to structure their business on that assumption.  </w:t>
      </w:r>
    </w:p>
    <w:p w:rsidR="002B5F41" w:rsidRPr="00181156" w:rsidRDefault="002B5F41" w:rsidP="002B5F41">
      <w:pPr>
        <w:pStyle w:val="AERbulletlistfirststyle"/>
      </w:pPr>
      <w:r w:rsidRPr="00181156">
        <w:t xml:space="preserve">Neither of these assumptions is correct.  We determine the opex forecast (which forms part of the revenue which a service provider may recover from consumers) </w:t>
      </w:r>
      <w:r w:rsidRPr="00181156">
        <w:lastRenderedPageBreak/>
        <w:t xml:space="preserve">on the basis of the best information available to us at the time.  If new benchmarking data shows that efficient costs are lower than previously thought, this information will be reflected in our determination.  </w:t>
      </w:r>
    </w:p>
    <w:p w:rsidR="002B5F41" w:rsidRPr="00181156" w:rsidRDefault="002B5F41" w:rsidP="002B5F41">
      <w:r w:rsidRPr="00181156">
        <w:t xml:space="preserve">The legal advice submitted by ActewAGL also assumes that we are requiring service providers to immediately change their circumstances. As set out above, this is not the case. </w:t>
      </w:r>
    </w:p>
    <w:p w:rsidR="002B5F41" w:rsidRPr="00181156" w:rsidRDefault="002B5F41" w:rsidP="002B5F41">
      <w:r w:rsidRPr="00181156">
        <w:t>We consider that requiring service providers to bear their own transition costs is in both the short and long term interests of consumers. It will encourage service providers to make decisions that are prudent, reasonable and efficient in the long term. It will ensure consumers are not required to pay for inefficient expenditure or the consequences of inefficient expenditure. We consider that such incentives and consumer protections are likely to contribute substantially to the NEO.</w:t>
      </w:r>
    </w:p>
    <w:p w:rsidR="002B5F41" w:rsidRPr="00181156" w:rsidRDefault="002B5F41" w:rsidP="002B5F41">
      <w:r w:rsidRPr="00181156">
        <w:t xml:space="preserve">This does not constrain service providers from taking time to transition to efficient levels or spend their opex forecasts on transition costs. As we explained in our draft decision, we do not prevent service providers from carrying out inefficient spending—including because of previous agreements, practices or arrangements. A service provider may have bound itself, contractually, to inefficient practices. However, the funds for inefficient spending should not be provided from a forecast which is assessed at the level of prudent and efficient spending. Accordingly, a service provider would need to fund any desired or required transition spending by: </w:t>
      </w:r>
    </w:p>
    <w:p w:rsidR="002B5F41" w:rsidRPr="00181156" w:rsidRDefault="002B5F41" w:rsidP="002B5F41">
      <w:pPr>
        <w:pStyle w:val="AERbulletlistfirststyle"/>
      </w:pPr>
      <w:r w:rsidRPr="00181156">
        <w:t>achieving greater efficiencies elsewhere in its practices; or</w:t>
      </w:r>
    </w:p>
    <w:p w:rsidR="002B5F41" w:rsidRPr="00181156" w:rsidRDefault="002B5F41" w:rsidP="002B5F41">
      <w:pPr>
        <w:pStyle w:val="AERbulletlistfirststyle"/>
      </w:pPr>
      <w:r w:rsidRPr="00181156">
        <w:t>paying lower dividends to shareholders.</w:t>
      </w:r>
    </w:p>
    <w:p w:rsidR="002B5F41" w:rsidRPr="00181156" w:rsidRDefault="002B5F41" w:rsidP="002B5F41">
      <w:r w:rsidRPr="00181156">
        <w:rPr>
          <w:rStyle w:val="AERbody"/>
        </w:rPr>
        <w:t>These are the choices a competitive business must make, where efficiencies are revealed by a market.</w:t>
      </w:r>
      <w:r w:rsidRPr="00181156">
        <w:rPr>
          <w:rStyle w:val="FootnoteReference"/>
        </w:rPr>
        <w:footnoteReference w:id="98"/>
      </w:r>
      <w:r w:rsidRPr="00181156">
        <w:rPr>
          <w:rStyle w:val="AERbody"/>
        </w:rPr>
        <w:t xml:space="preserve"> These are the choices a regulated business, funded by consumers, should also make, where efficiencies are revealed by robust analysis. We consider that if this results in a disparity in profits between more and less efficient service providers, it indicates our approach is creating appropriate incentives and a better approximation of a workably competitive market.</w:t>
      </w:r>
    </w:p>
    <w:p w:rsidR="00B8317F" w:rsidRPr="00563A57" w:rsidRDefault="00B8317F" w:rsidP="00B8317F">
      <w:pPr>
        <w:pStyle w:val="Heading3"/>
      </w:pPr>
      <w:bookmarkStart w:id="119" w:name="_Toc417659838"/>
      <w:r w:rsidRPr="00563A57">
        <w:t>Financeability</w:t>
      </w:r>
      <w:bookmarkEnd w:id="119"/>
    </w:p>
    <w:p w:rsidR="00B8317F" w:rsidRPr="00563A57" w:rsidRDefault="00B8317F" w:rsidP="00B8317F">
      <w:r w:rsidRPr="00563A57">
        <w:rPr>
          <w:rStyle w:val="AERbody"/>
        </w:rPr>
        <w:t>With their revised regulatory proposals, the NSW service providers submitted reports by CEPA.</w:t>
      </w:r>
      <w:r w:rsidRPr="00563A57">
        <w:rPr>
          <w:rStyle w:val="FootnoteReference"/>
        </w:rPr>
        <w:footnoteReference w:id="99"/>
      </w:r>
      <w:r w:rsidRPr="00563A57">
        <w:rPr>
          <w:rStyle w:val="AERbody"/>
        </w:rPr>
        <w:t xml:space="preserve"> CEPA considered our draft decision alternative opex forecasts and the 'speed to reduce the efficiency gap' would put at risk the achievement of the NEO because it could impact on the service providers' financial viability.</w:t>
      </w:r>
      <w:r w:rsidRPr="00563A57">
        <w:rPr>
          <w:rStyle w:val="FootnoteReference"/>
        </w:rPr>
        <w:footnoteReference w:id="100"/>
      </w:r>
    </w:p>
    <w:p w:rsidR="00B8317F" w:rsidRPr="00563A57" w:rsidRDefault="00B8317F" w:rsidP="00B8317F">
      <w:pPr>
        <w:rPr>
          <w:rStyle w:val="AERbody"/>
        </w:rPr>
      </w:pPr>
      <w:r w:rsidRPr="00563A57">
        <w:lastRenderedPageBreak/>
        <w:t>The financeability implications of our decisions do not form part of our obligations under the NER. CEPA acknowledges this, but suggests that such an obligation may implied into the NEO.</w:t>
      </w:r>
      <w:r w:rsidRPr="00563A57">
        <w:rPr>
          <w:rStyle w:val="FootnoteReference"/>
        </w:rPr>
        <w:footnoteReference w:id="101"/>
      </w:r>
      <w:r w:rsidRPr="00563A57">
        <w:t xml:space="preserve"> </w:t>
      </w:r>
      <w:r>
        <w:t>F</w:t>
      </w:r>
      <w:r w:rsidRPr="00563A57">
        <w:t xml:space="preserve">inanceability is an underlying theme of the service providers’ revised regulatory proposals. In particular, they raise the magnitude of our draft decision </w:t>
      </w:r>
      <w:r w:rsidRPr="00563A57">
        <w:rPr>
          <w:rStyle w:val="AERbody"/>
        </w:rPr>
        <w:t>opex and capex adjustments as a driver of financeability concerns.</w:t>
      </w:r>
      <w:r w:rsidRPr="000432D9">
        <w:rPr>
          <w:rStyle w:val="AERsuperscript"/>
        </w:rPr>
        <w:footnoteReference w:id="102"/>
      </w:r>
      <w:r w:rsidRPr="000432D9">
        <w:rPr>
          <w:rStyle w:val="AERsuperscript"/>
        </w:rPr>
        <w:t xml:space="preserve"> </w:t>
      </w:r>
      <w:r w:rsidRPr="00563A57">
        <w:rPr>
          <w:rStyle w:val="AERbody"/>
        </w:rPr>
        <w:t xml:space="preserve">As a result, we have examined CEPA’s submissions in the overview to this final decision and in Attachment </w:t>
      </w:r>
      <w:r>
        <w:rPr>
          <w:rStyle w:val="AERbody"/>
        </w:rPr>
        <w:t>20</w:t>
      </w:r>
      <w:r w:rsidRPr="00563A57">
        <w:rPr>
          <w:rStyle w:val="AERbody"/>
        </w:rPr>
        <w:t>.</w:t>
      </w:r>
    </w:p>
    <w:p w:rsidR="00B8317F" w:rsidRPr="00E26102" w:rsidRDefault="00B8317F" w:rsidP="00B8317F">
      <w:pPr>
        <w:rPr>
          <w:rStyle w:val="AERbody"/>
        </w:rPr>
      </w:pPr>
      <w:r w:rsidRPr="00E26102">
        <w:rPr>
          <w:rStyle w:val="AERbody"/>
        </w:rPr>
        <w:t xml:space="preserve">We do not dispute CEPA's findings that </w:t>
      </w:r>
      <w:r>
        <w:rPr>
          <w:rStyle w:val="AERbody"/>
        </w:rPr>
        <w:t>the service providers</w:t>
      </w:r>
      <w:r w:rsidRPr="00E26102">
        <w:rPr>
          <w:rStyle w:val="AERbody"/>
        </w:rPr>
        <w:t xml:space="preserve"> may face financeability concerns under the restrictive assumptions that are used by CEPA in their analysis.  CEPA undertook its analysis under the assumptions that </w:t>
      </w:r>
      <w:r>
        <w:rPr>
          <w:rStyle w:val="AERbody"/>
        </w:rPr>
        <w:t xml:space="preserve">the service providers </w:t>
      </w:r>
      <w:r w:rsidRPr="00E26102">
        <w:rPr>
          <w:rStyle w:val="AERbody"/>
        </w:rPr>
        <w:t>will not make any changes to its level of opex or capex in response to our decision.  The analysis also assumes that inefficient costs should be funded by consumers and not by shareholders through reduced returns. We do not find this to be appropriate.</w:t>
      </w:r>
    </w:p>
    <w:p w:rsidR="00B8317F" w:rsidRDefault="00B8317F" w:rsidP="00B8317F">
      <w:r w:rsidRPr="00E26102">
        <w:rPr>
          <w:rStyle w:val="AERbody"/>
        </w:rPr>
        <w:t xml:space="preserve">In order to arrive at a more realistic conclusion on financeability we conducted our own analysis and tested various assumptions </w:t>
      </w:r>
      <w:r>
        <w:rPr>
          <w:rStyle w:val="AERbody"/>
        </w:rPr>
        <w:t>of the NSW service providers</w:t>
      </w:r>
      <w:r w:rsidRPr="00E26102">
        <w:rPr>
          <w:rStyle w:val="AERbody"/>
        </w:rPr>
        <w:t xml:space="preserve"> achieving efficiencies over the regulatory period.</w:t>
      </w:r>
      <w:r>
        <w:rPr>
          <w:rStyle w:val="AERbody"/>
        </w:rPr>
        <w:t xml:space="preserve"> </w:t>
      </w:r>
      <w:r w:rsidRPr="00563A57">
        <w:t>In summary, our analysis demonstrates that, for each service provider, our estimate of the total forecast opex that reasonably reflects the opex criteria will not adversely affect its financial viability.</w:t>
      </w:r>
    </w:p>
    <w:p w:rsidR="00B8317F" w:rsidRPr="00B10C1A" w:rsidRDefault="00B8317F" w:rsidP="00B8317F">
      <w:pPr>
        <w:pStyle w:val="Heading2"/>
      </w:pPr>
      <w:bookmarkStart w:id="120" w:name="_Toc417483317"/>
      <w:bookmarkStart w:id="121" w:name="_Toc415754593"/>
      <w:bookmarkStart w:id="122" w:name="_Toc417659839"/>
      <w:bookmarkEnd w:id="120"/>
      <w:r w:rsidRPr="00E40A0B">
        <w:t>Interrelationships</w:t>
      </w:r>
      <w:bookmarkEnd w:id="121"/>
      <w:bookmarkEnd w:id="122"/>
    </w:p>
    <w:p w:rsidR="00B8317F" w:rsidRPr="00DA1745" w:rsidRDefault="00B8317F" w:rsidP="00B8317F">
      <w:pPr>
        <w:numPr>
          <w:ilvl w:val="0"/>
          <w:numId w:val="24"/>
        </w:numPr>
      </w:pPr>
      <w:r w:rsidRPr="00DA1745">
        <w:t xml:space="preserve">In assessing </w:t>
      </w:r>
      <w:r>
        <w:t>Endeavour Energy's</w:t>
      </w:r>
      <w:r w:rsidRPr="00DA1745">
        <w:t xml:space="preserve"> total forecast opex we took into account other components of it</w:t>
      </w:r>
      <w:r>
        <w:t>s regulatory proposal</w:t>
      </w:r>
      <w:r w:rsidRPr="00DA1745">
        <w:t>:</w:t>
      </w:r>
    </w:p>
    <w:p w:rsidR="00B8317F" w:rsidRPr="00B10C1A" w:rsidRDefault="00B8317F" w:rsidP="00B8317F">
      <w:pPr>
        <w:pStyle w:val="AERbulletlistfirststyle"/>
      </w:pPr>
      <w:r>
        <w:t>t</w:t>
      </w:r>
      <w:r w:rsidRPr="00B10C1A">
        <w:t>he impact of cost drivers that affect both forecast opex and forecast capex. For instance forecast maximum demand affects forecast augmentation capex and forecast output growth used in estimating the rate of change in opex.</w:t>
      </w:r>
    </w:p>
    <w:p w:rsidR="00B8317F" w:rsidRPr="00B10C1A" w:rsidRDefault="00B8317F" w:rsidP="00B8317F">
      <w:pPr>
        <w:pStyle w:val="AERbulletlistfirststyle"/>
      </w:pPr>
      <w:r>
        <w:t>t</w:t>
      </w:r>
      <w:r w:rsidRPr="00B10C1A">
        <w:t xml:space="preserve">he approach to assessing rate of return, to ensure there is consistency between our determination of debt raising costs and the rate of return building block. </w:t>
      </w:r>
    </w:p>
    <w:p w:rsidR="00B8317F" w:rsidRPr="00B10C1A" w:rsidRDefault="00B8317F" w:rsidP="00B8317F">
      <w:pPr>
        <w:pStyle w:val="AERbulletlistfirststyle"/>
      </w:pPr>
      <w:r>
        <w:t>c</w:t>
      </w:r>
      <w:r w:rsidRPr="00B10C1A">
        <w:t>hanges to the classification of services from standard control services to alternative control services.</w:t>
      </w:r>
    </w:p>
    <w:p w:rsidR="00B8317F" w:rsidRPr="00B10C1A" w:rsidRDefault="00B8317F" w:rsidP="00B8317F">
      <w:pPr>
        <w:pStyle w:val="AERbulletlistfirststyle"/>
      </w:pPr>
      <w:r>
        <w:t>c</w:t>
      </w:r>
      <w:r w:rsidRPr="00B10C1A">
        <w:t xml:space="preserve">onsistency with the application of incentive schemes - in particular </w:t>
      </w:r>
      <w:r>
        <w:t>in considering Endeavour Energy's proposed increase in opex for vegetation management.</w:t>
      </w:r>
    </w:p>
    <w:p w:rsidR="00B8317F" w:rsidRDefault="00B8317F" w:rsidP="00B8317F">
      <w:pPr>
        <w:pStyle w:val="AERbulletlistfirststyle"/>
      </w:pPr>
      <w:r>
        <w:t>c</w:t>
      </w:r>
      <w:r w:rsidRPr="00B10C1A">
        <w:t>oncerns of electricity consumers identified in the course of its engagement with consumers.</w:t>
      </w:r>
    </w:p>
    <w:p w:rsidR="00B8317F" w:rsidRPr="0024243B" w:rsidRDefault="00B8317F" w:rsidP="00B8317F">
      <w:r w:rsidRPr="0024243B">
        <w:rPr>
          <w:rStyle w:val="AERbody"/>
        </w:rPr>
        <w:t xml:space="preserve">While capex is the subject of a separate forecast, many service providers have made broad statements about the combined effect of opex and capex reductions on </w:t>
      </w:r>
      <w:r w:rsidRPr="0024243B">
        <w:rPr>
          <w:rStyle w:val="AERbody"/>
        </w:rPr>
        <w:lastRenderedPageBreak/>
        <w:t>safety.</w:t>
      </w:r>
      <w:r w:rsidRPr="0024243B">
        <w:rPr>
          <w:rStyle w:val="FootnoteReference"/>
        </w:rPr>
        <w:footnoteReference w:id="103"/>
      </w:r>
      <w:r w:rsidRPr="0024243B">
        <w:rPr>
          <w:rStyle w:val="AERbody"/>
        </w:rPr>
        <w:t xml:space="preserve"> In addition, the extent to which costs are expensed or capitalised by a service provider, or the extent to which there may be appropriate substitution between capex and opex when developing forecasts, are important interrelationships that we take into account when making our decision. </w:t>
      </w:r>
    </w:p>
    <w:p w:rsidR="00B8317F" w:rsidRPr="00B10C1A" w:rsidRDefault="00B8317F" w:rsidP="00B8317F">
      <w:pPr>
        <w:pStyle w:val="Heading2"/>
      </w:pPr>
      <w:bookmarkStart w:id="123" w:name="_Toc417294867"/>
      <w:bookmarkStart w:id="124" w:name="_Toc417294904"/>
      <w:bookmarkStart w:id="125" w:name="_Toc417294941"/>
      <w:bookmarkStart w:id="126" w:name="_Toc417294978"/>
      <w:bookmarkStart w:id="127" w:name="_Toc417483322"/>
      <w:bookmarkStart w:id="128" w:name="_Toc415754594"/>
      <w:bookmarkStart w:id="129" w:name="_Toc417659840"/>
      <w:bookmarkEnd w:id="123"/>
      <w:bookmarkEnd w:id="124"/>
      <w:bookmarkEnd w:id="125"/>
      <w:bookmarkEnd w:id="126"/>
      <w:bookmarkEnd w:id="127"/>
      <w:r>
        <w:t>Assessment of opex factors</w:t>
      </w:r>
      <w:bookmarkEnd w:id="128"/>
      <w:bookmarkEnd w:id="129"/>
    </w:p>
    <w:p w:rsidR="00B8317F" w:rsidRPr="00360900" w:rsidRDefault="00B8317F" w:rsidP="00B8317F">
      <w:pPr>
        <w:numPr>
          <w:ilvl w:val="0"/>
          <w:numId w:val="24"/>
        </w:numPr>
      </w:pPr>
      <w:r>
        <w:t xml:space="preserve">In deciding whether or not we are satisfied </w:t>
      </w:r>
      <w:r w:rsidRPr="008F796D">
        <w:t>the service provider's forecast reasonably reflects the opex criteria we have regard to the opex factors.</w:t>
      </w:r>
      <w:r w:rsidRPr="008F796D">
        <w:rPr>
          <w:rStyle w:val="FootnoteReference"/>
        </w:rPr>
        <w:footnoteReference w:id="104"/>
      </w:r>
      <w:r w:rsidRPr="008F796D">
        <w:t xml:space="preserve"> </w:t>
      </w:r>
      <w:r>
        <w:fldChar w:fldCharType="begin"/>
      </w:r>
      <w:r>
        <w:instrText xml:space="preserve"> REF _Ref417655099 \h </w:instrText>
      </w:r>
      <w:r>
        <w:fldChar w:fldCharType="separate"/>
      </w:r>
      <w:r w:rsidR="00C57342">
        <w:t xml:space="preserve">Table </w:t>
      </w:r>
      <w:r w:rsidR="00C57342">
        <w:rPr>
          <w:noProof/>
        </w:rPr>
        <w:t>7</w:t>
      </w:r>
      <w:r w:rsidR="00C57342">
        <w:t>.</w:t>
      </w:r>
      <w:r w:rsidR="00C57342">
        <w:rPr>
          <w:noProof/>
        </w:rPr>
        <w:t>5</w:t>
      </w:r>
      <w:r>
        <w:fldChar w:fldCharType="end"/>
      </w:r>
      <w:r>
        <w:t xml:space="preserve"> summarises how we have taken the opex factors into account in making our final decision.</w:t>
      </w:r>
    </w:p>
    <w:p w:rsidR="00B8317F" w:rsidRDefault="00B8317F" w:rsidP="00B8317F">
      <w:pPr>
        <w:pStyle w:val="Caption"/>
      </w:pPr>
      <w:bookmarkStart w:id="130" w:name="_Ref417655099"/>
      <w:r>
        <w:t xml:space="preserve">Table </w:t>
      </w:r>
      <w:fldSimple w:instr=" STYLEREF 1 \s ">
        <w:r w:rsidR="00C57342">
          <w:rPr>
            <w:noProof/>
          </w:rPr>
          <w:t>7</w:t>
        </w:r>
      </w:fldSimple>
      <w:r>
        <w:t>.</w:t>
      </w:r>
      <w:r w:rsidR="00A66A4E">
        <w:fldChar w:fldCharType="begin"/>
      </w:r>
      <w:r w:rsidR="00A66A4E">
        <w:instrText xml:space="preserve"> SEQ Table \* ARABIC \s 1 </w:instrText>
      </w:r>
      <w:r w:rsidR="00A66A4E">
        <w:fldChar w:fldCharType="separate"/>
      </w:r>
      <w:r w:rsidR="00C57342">
        <w:rPr>
          <w:noProof/>
        </w:rPr>
        <w:t>5</w:t>
      </w:r>
      <w:r w:rsidR="00A66A4E">
        <w:rPr>
          <w:noProof/>
        </w:rPr>
        <w:fldChar w:fldCharType="end"/>
      </w:r>
      <w:bookmarkEnd w:id="130"/>
      <w:r>
        <w:tab/>
        <w:t>Our consideration of opex factors</w:t>
      </w:r>
    </w:p>
    <w:tbl>
      <w:tblPr>
        <w:tblStyle w:val="AERtable-text0"/>
        <w:tblW w:w="0" w:type="auto"/>
        <w:tblLook w:val="04A0" w:firstRow="1" w:lastRow="0" w:firstColumn="1" w:lastColumn="0" w:noHBand="0" w:noVBand="1"/>
      </w:tblPr>
      <w:tblGrid>
        <w:gridCol w:w="4343"/>
        <w:gridCol w:w="4349"/>
      </w:tblGrid>
      <w:tr w:rsidR="00B8317F" w:rsidRPr="00327764" w:rsidTr="002B5F41">
        <w:trPr>
          <w:cnfStyle w:val="100000000000" w:firstRow="1" w:lastRow="0" w:firstColumn="0" w:lastColumn="0" w:oddVBand="0" w:evenVBand="0" w:oddHBand="0" w:evenHBand="0" w:firstRowFirstColumn="0" w:firstRowLastColumn="0" w:lastRowFirstColumn="0" w:lastRowLastColumn="0"/>
          <w:tblHeader/>
        </w:trPr>
        <w:tc>
          <w:tcPr>
            <w:tcW w:w="4344" w:type="dxa"/>
          </w:tcPr>
          <w:p w:rsidR="00B8317F" w:rsidRPr="00B8317F" w:rsidRDefault="00B8317F" w:rsidP="00B8317F">
            <w:r w:rsidRPr="00327764">
              <w:t>Opex factor</w:t>
            </w:r>
          </w:p>
        </w:tc>
        <w:tc>
          <w:tcPr>
            <w:tcW w:w="4349" w:type="dxa"/>
          </w:tcPr>
          <w:p w:rsidR="00B8317F" w:rsidRPr="00B8317F" w:rsidRDefault="00B8317F" w:rsidP="00B8317F">
            <w:r w:rsidRPr="00327764">
              <w:t>Consideration</w:t>
            </w:r>
          </w:p>
        </w:tc>
      </w:tr>
      <w:tr w:rsidR="00B8317F" w:rsidRPr="00327764" w:rsidTr="002B5F41">
        <w:tc>
          <w:tcPr>
            <w:tcW w:w="4344" w:type="dxa"/>
            <w:vAlign w:val="top"/>
          </w:tcPr>
          <w:p w:rsidR="00B8317F" w:rsidRPr="00B8317F" w:rsidRDefault="00B8317F" w:rsidP="00B8317F">
            <w:r w:rsidRPr="00603E64">
              <w:t>The most recent annual benchmarking report that has been published under rule 6.27 and the benchmark operating expenditure that would be incurred by an efficient Distribution Network Service Provider over the relevant regulatory control period.</w:t>
            </w:r>
          </w:p>
        </w:tc>
        <w:tc>
          <w:tcPr>
            <w:tcW w:w="4349" w:type="dxa"/>
            <w:vAlign w:val="top"/>
          </w:tcPr>
          <w:p w:rsidR="00B8317F" w:rsidRPr="00B8317F" w:rsidRDefault="00B8317F" w:rsidP="00B8317F">
            <w:r w:rsidRPr="00381DC7">
              <w:t xml:space="preserve">There are two elements to this factor. First, we must have regard to the most recent annual benchmarking report. Second, we must have regard to the benchmark operating expenditure that would be incurred by an efficient distribution network service provider over the period.  The annual benchmarking report is intended to provide an annual snapshot of the relative efficiency of each service provider.  </w:t>
            </w:r>
          </w:p>
          <w:p w:rsidR="00B8317F" w:rsidRPr="00B8317F" w:rsidRDefault="00B8317F" w:rsidP="00B8317F">
            <w:r w:rsidRPr="00381DC7">
              <w:t>The second element, that is, the benchmark operating expenditure that would be incurred an efficient provider during the forecast period, necessarily provides a different focus.  This is because this second element requires us to construct the benchmark opex that would be incurred by a hypothetically efficient provider for that particular network over the relevant period.</w:t>
            </w:r>
          </w:p>
          <w:p w:rsidR="00B8317F" w:rsidRPr="00B8317F" w:rsidRDefault="00B8317F" w:rsidP="00B8317F">
            <w:r w:rsidRPr="00381DC7">
              <w:t>We have used several assessment techniques that enable us to estimate the benchmark opex that an efficient service provider would require over the forecast period. These techniques include economic benchmarking, opex cost function modelling, category analysis and a detailed review of Endeavour Energy's labour and workforce practices. We have used our judgment based on the results from all of these techniques to holistically form a view on the efficiency of Endeavour Energy's proposed total forecast opex compared to the benchmark efficient opex that would be incurred over the relevant regulatory control period.</w:t>
            </w:r>
            <w:r w:rsidRPr="00B8317F">
              <w:t xml:space="preserve">  </w:t>
            </w:r>
          </w:p>
        </w:tc>
      </w:tr>
      <w:tr w:rsidR="00B8317F" w:rsidRPr="00327764" w:rsidTr="002B5F41">
        <w:trPr>
          <w:cnfStyle w:val="000000010000" w:firstRow="0" w:lastRow="0" w:firstColumn="0" w:lastColumn="0" w:oddVBand="0" w:evenVBand="0" w:oddHBand="0" w:evenHBand="1" w:firstRowFirstColumn="0" w:firstRowLastColumn="0" w:lastRowFirstColumn="0" w:lastRowLastColumn="0"/>
        </w:trPr>
        <w:tc>
          <w:tcPr>
            <w:tcW w:w="4344" w:type="dxa"/>
            <w:vAlign w:val="top"/>
          </w:tcPr>
          <w:p w:rsidR="00B8317F" w:rsidRPr="00B8317F" w:rsidRDefault="00B8317F" w:rsidP="00B8317F">
            <w:r w:rsidRPr="00603E64">
              <w:t>The actual and expected operating expenditure of the Distribution Network Service Provider during any proceeding regulatory control periods.</w:t>
            </w:r>
          </w:p>
        </w:tc>
        <w:tc>
          <w:tcPr>
            <w:tcW w:w="4349" w:type="dxa"/>
            <w:vAlign w:val="top"/>
          </w:tcPr>
          <w:p w:rsidR="00B8317F" w:rsidRPr="00B8317F" w:rsidRDefault="00B8317F" w:rsidP="00B8317F">
            <w:r w:rsidRPr="00603E64">
              <w:t>Our forecasting approach uses the service provider's actual opex as the starting point. We have compared several years of Endeavour Energy's actual past opex with that of other service providers to form a view about whether or not its revealed expenditure is sufficiently efficient to rely on it as the basis for forecasting required opex in the forthcoming period.</w:t>
            </w:r>
          </w:p>
        </w:tc>
      </w:tr>
      <w:tr w:rsidR="00B8317F" w:rsidRPr="00327764" w:rsidTr="002B5F41">
        <w:tc>
          <w:tcPr>
            <w:tcW w:w="4344" w:type="dxa"/>
            <w:vAlign w:val="top"/>
          </w:tcPr>
          <w:p w:rsidR="00B8317F" w:rsidRPr="00B8317F" w:rsidRDefault="00B8317F" w:rsidP="00B8317F">
            <w:r w:rsidRPr="00603E64">
              <w:lastRenderedPageBreak/>
              <w:t>The extent to which the operating expenditure forecast includes expenditure to address the concerns of electricity consumers as identified by the Distribution Network Service Provider in the course of its engagement with electricity consumers.</w:t>
            </w:r>
          </w:p>
        </w:tc>
        <w:tc>
          <w:tcPr>
            <w:tcW w:w="4349" w:type="dxa"/>
            <w:vAlign w:val="top"/>
          </w:tcPr>
          <w:p w:rsidR="00B8317F" w:rsidRPr="00B8317F" w:rsidRDefault="00B8317F" w:rsidP="00B8317F">
            <w:r w:rsidRPr="00381DC7">
              <w:t xml:space="preserve">We understand the intention of this particular factor is to require us to have regard to the extent to which service providers have engaged with consumers in preparing their regulatory proposals, such that they factor in the needs of consumers.  </w:t>
            </w:r>
          </w:p>
          <w:p w:rsidR="00B8317F" w:rsidRPr="00B8317F" w:rsidRDefault="00B8317F" w:rsidP="00B8317F">
            <w:r w:rsidRPr="00327764">
              <w:t xml:space="preserve">We have considered the concerns of electricity consumers as identified by </w:t>
            </w:r>
            <w:r w:rsidRPr="00B8317F">
              <w:t>Endeavour Energy in assessing its proposal</w:t>
            </w:r>
          </w:p>
        </w:tc>
      </w:tr>
      <w:tr w:rsidR="00B8317F" w:rsidRPr="00327764" w:rsidTr="002B5F41">
        <w:trPr>
          <w:cnfStyle w:val="000000010000" w:firstRow="0" w:lastRow="0" w:firstColumn="0" w:lastColumn="0" w:oddVBand="0" w:evenVBand="0" w:oddHBand="0" w:evenHBand="1" w:firstRowFirstColumn="0" w:firstRowLastColumn="0" w:lastRowFirstColumn="0" w:lastRowLastColumn="0"/>
        </w:trPr>
        <w:tc>
          <w:tcPr>
            <w:tcW w:w="4344" w:type="dxa"/>
            <w:vAlign w:val="top"/>
          </w:tcPr>
          <w:p w:rsidR="00B8317F" w:rsidRPr="00B8317F" w:rsidRDefault="00B8317F" w:rsidP="00B8317F">
            <w:r w:rsidRPr="00603E64">
              <w:t xml:space="preserve">The relative prices of capital and </w:t>
            </w:r>
            <w:r w:rsidRPr="00B8317F">
              <w:t>operating inputs</w:t>
            </w:r>
          </w:p>
        </w:tc>
        <w:tc>
          <w:tcPr>
            <w:tcW w:w="4349" w:type="dxa"/>
            <w:vAlign w:val="top"/>
          </w:tcPr>
          <w:p w:rsidR="00B8317F" w:rsidRPr="00B8317F" w:rsidRDefault="00B8317F" w:rsidP="00B8317F">
            <w:r w:rsidRPr="00124A65">
              <w:t>Our rate of change adjustment of base year opex captures our estimate of the inputs that Endeavour Energy is likely to face in the forecast period. This ensures our estimate includes adequate compensation for efficient changes in inputs over time.</w:t>
            </w:r>
          </w:p>
          <w:p w:rsidR="00B8317F" w:rsidRPr="00B8317F" w:rsidRDefault="00B8317F" w:rsidP="00B8317F">
            <w:r w:rsidRPr="00124A65">
              <w:t>We have had regard to multilateral total factor productivity benchmarking when deciding whether or not forecast opex reflects the opex criteria. Our multilateral total factor productivity analysis considers the ove</w:t>
            </w:r>
            <w:r w:rsidRPr="00B8317F">
              <w:t>rall efficiency of networks in the use of both capital and operating inputs with respect to the prices of capital and operating inputs.</w:t>
            </w:r>
          </w:p>
        </w:tc>
      </w:tr>
      <w:tr w:rsidR="00B8317F" w:rsidRPr="00327764" w:rsidTr="002B5F41">
        <w:tc>
          <w:tcPr>
            <w:tcW w:w="4344" w:type="dxa"/>
            <w:vAlign w:val="top"/>
          </w:tcPr>
          <w:p w:rsidR="00B8317F" w:rsidRPr="00B8317F" w:rsidRDefault="00B8317F" w:rsidP="00B8317F">
            <w:r w:rsidRPr="00603E64">
              <w:t>The substitution possibilities between operating and capital expenditure.</w:t>
            </w:r>
          </w:p>
        </w:tc>
        <w:tc>
          <w:tcPr>
            <w:tcW w:w="4349" w:type="dxa"/>
            <w:vAlign w:val="top"/>
          </w:tcPr>
          <w:p w:rsidR="00B8317F" w:rsidRPr="00B8317F" w:rsidRDefault="00B8317F" w:rsidP="00B8317F">
            <w:r w:rsidRPr="00124A65">
              <w:t xml:space="preserve">Some of our assessment techniques examine opex in isolation – either at the total level or by category. Other techniques consider service providers' overall efficiency, including their capital efficiency. We have relied on several metrics when assessing efficiency to ensure we appropriately capture capex and opex substitutability. </w:t>
            </w:r>
          </w:p>
          <w:p w:rsidR="00B8317F" w:rsidRPr="00B8317F" w:rsidRDefault="00B8317F" w:rsidP="00B8317F">
            <w:r w:rsidRPr="00124A65">
              <w:t>In developing our benchmarking models we have had regard to the relationship between capital, opex and outputs.</w:t>
            </w:r>
          </w:p>
          <w:p w:rsidR="00B8317F" w:rsidRPr="00B8317F" w:rsidRDefault="00B8317F" w:rsidP="00B8317F">
            <w:r w:rsidRPr="00124A65">
              <w:t>We also had regard to multilateral total factor productivity benchmarking when deciding whether or not forecast opex reflects the opex criteria. Our multilateral total factor productivity analysis considers the overall efficiency of networks with in the use of both capital and operating inputs.</w:t>
            </w:r>
          </w:p>
          <w:p w:rsidR="00B8317F" w:rsidRPr="00B8317F" w:rsidRDefault="00B8317F" w:rsidP="00B8317F">
            <w:r w:rsidRPr="00124A65">
              <w:t>Further, we considered the different capitalisation policies of the service providers' and how this may affect opex performance under benchmarking.</w:t>
            </w:r>
          </w:p>
        </w:tc>
      </w:tr>
      <w:tr w:rsidR="00B8317F" w:rsidRPr="00327764" w:rsidTr="002B5F41">
        <w:trPr>
          <w:cnfStyle w:val="000000010000" w:firstRow="0" w:lastRow="0" w:firstColumn="0" w:lastColumn="0" w:oddVBand="0" w:evenVBand="0" w:oddHBand="0" w:evenHBand="1" w:firstRowFirstColumn="0" w:firstRowLastColumn="0" w:lastRowFirstColumn="0" w:lastRowLastColumn="0"/>
        </w:trPr>
        <w:tc>
          <w:tcPr>
            <w:tcW w:w="4344" w:type="dxa"/>
            <w:vAlign w:val="top"/>
          </w:tcPr>
          <w:p w:rsidR="00B8317F" w:rsidRPr="00B8317F" w:rsidRDefault="00B8317F" w:rsidP="00B8317F">
            <w:r w:rsidRPr="00124A65">
              <w:t>Whether the operating expenditure forecast is consistent with any incentive scheme or schemes that apply to the Distribution Network Service Provider under clauses 6.5.8 or 6.6.2 to 6.6.4.</w:t>
            </w:r>
          </w:p>
        </w:tc>
        <w:tc>
          <w:tcPr>
            <w:tcW w:w="4349" w:type="dxa"/>
            <w:vAlign w:val="top"/>
          </w:tcPr>
          <w:p w:rsidR="00B8317F" w:rsidRPr="00B8317F" w:rsidRDefault="00B8317F" w:rsidP="00B8317F">
            <w:r w:rsidRPr="00124A65">
              <w:t>The incentive scheme that applied to Endeavour Energy's opex in the 2009–14 regulatory control period, the EBSS, was intended to work in conjunction with a revealed cost forecasting approach.</w:t>
            </w:r>
          </w:p>
          <w:p w:rsidR="00B8317F" w:rsidRPr="00B8317F" w:rsidRDefault="00B8317F" w:rsidP="00B8317F">
            <w:r w:rsidRPr="00124A65">
              <w:t xml:space="preserve">In this instance, </w:t>
            </w:r>
            <w:r w:rsidRPr="00B8317F">
              <w:t>Endeavour Energy has earned positive EBSS carryover amounts but it is not proposing to pass these cost savings through to consumers. We have considered this in assessing Endeavour Energy's proposed step change for vegetation management.</w:t>
            </w:r>
          </w:p>
        </w:tc>
      </w:tr>
      <w:tr w:rsidR="00B8317F" w:rsidRPr="00327764" w:rsidTr="002B5F41">
        <w:tc>
          <w:tcPr>
            <w:tcW w:w="4344" w:type="dxa"/>
            <w:vAlign w:val="top"/>
          </w:tcPr>
          <w:p w:rsidR="00B8317F" w:rsidRPr="00B8317F" w:rsidRDefault="00B8317F" w:rsidP="00B8317F">
            <w:r>
              <w:t>T</w:t>
            </w:r>
            <w:r w:rsidRPr="00B8317F">
              <w:t>he extent the operating expenditure forecast is referable to arrangements with a person other than the Distribution Network Service Provider that, in the opinion of the AER, do not reflect arm's length terms.</w:t>
            </w:r>
          </w:p>
        </w:tc>
        <w:tc>
          <w:tcPr>
            <w:tcW w:w="4349" w:type="dxa"/>
            <w:vAlign w:val="top"/>
          </w:tcPr>
          <w:p w:rsidR="00B8317F" w:rsidRPr="00B8317F" w:rsidRDefault="00B8317F" w:rsidP="00B8317F">
            <w:r>
              <w:t xml:space="preserve">Some of our techniques assess the total expenditure efficiency of service providers and some assess the total opex efficiency. Given this, we are not necessarily concerned </w:t>
            </w:r>
            <w:r w:rsidRPr="00B8317F">
              <w:t xml:space="preserve">whether arrangements do or do not reflect arm's length terms. A service provider which uses related party providers could be efficient or it could be inefficient. Likewise, for a service provider who does not use related party providers. If a service provider is inefficient, we adjust their total forecast opex proposal, regardless of </w:t>
            </w:r>
            <w:r w:rsidRPr="00B8317F">
              <w:lastRenderedPageBreak/>
              <w:t>their arrangements with related providers.</w:t>
            </w:r>
          </w:p>
        </w:tc>
      </w:tr>
      <w:tr w:rsidR="00B8317F" w:rsidRPr="00327764" w:rsidTr="002B5F41">
        <w:trPr>
          <w:cnfStyle w:val="000000010000" w:firstRow="0" w:lastRow="0" w:firstColumn="0" w:lastColumn="0" w:oddVBand="0" w:evenVBand="0" w:oddHBand="0" w:evenHBand="1" w:firstRowFirstColumn="0" w:firstRowLastColumn="0" w:lastRowFirstColumn="0" w:lastRowLastColumn="0"/>
        </w:trPr>
        <w:tc>
          <w:tcPr>
            <w:tcW w:w="4344" w:type="dxa"/>
            <w:vAlign w:val="top"/>
          </w:tcPr>
          <w:p w:rsidR="00B8317F" w:rsidRPr="00B8317F" w:rsidRDefault="00B8317F" w:rsidP="00B8317F">
            <w:r>
              <w:lastRenderedPageBreak/>
              <w:t>W</w:t>
            </w:r>
            <w:r w:rsidRPr="00B8317F">
              <w:t>hether the operating expenditure forecast includes an amount relating to a project that should more appropriately be included as a contingent project under clause 6.6A.1(b).</w:t>
            </w:r>
          </w:p>
        </w:tc>
        <w:tc>
          <w:tcPr>
            <w:tcW w:w="4349" w:type="dxa"/>
            <w:vAlign w:val="top"/>
          </w:tcPr>
          <w:p w:rsidR="00B8317F" w:rsidRPr="00B8317F" w:rsidRDefault="00B8317F" w:rsidP="00B8317F">
            <w:r>
              <w:t>T</w:t>
            </w:r>
            <w:r w:rsidRPr="00B8317F">
              <w:t>his factor is only relevant in the context of assessing proposed step changes (which may be explicit projects or programs). We did not identify any contingent projects in reaching our final decision.</w:t>
            </w:r>
          </w:p>
        </w:tc>
      </w:tr>
      <w:tr w:rsidR="00B8317F" w:rsidRPr="00327764" w:rsidTr="002B5F41">
        <w:tc>
          <w:tcPr>
            <w:tcW w:w="4344" w:type="dxa"/>
            <w:vAlign w:val="top"/>
          </w:tcPr>
          <w:p w:rsidR="00B8317F" w:rsidRPr="00B8317F" w:rsidRDefault="00B8317F" w:rsidP="00B8317F">
            <w:r w:rsidRPr="00124A65">
              <w:t>The extent the Distribution Network Service Provider has considered, and made provision for, efficient and prudent non-network alternatives.</w:t>
            </w:r>
          </w:p>
        </w:tc>
        <w:tc>
          <w:tcPr>
            <w:tcW w:w="4349" w:type="dxa"/>
            <w:vAlign w:val="top"/>
          </w:tcPr>
          <w:p w:rsidR="00B8317F" w:rsidRPr="00B8317F" w:rsidRDefault="00B8317F" w:rsidP="00B8317F">
            <w:r w:rsidRPr="00124A65">
              <w:t xml:space="preserve">We have not found this factor to be significant in reaching our </w:t>
            </w:r>
            <w:r w:rsidRPr="00B8317F">
              <w:t>final decision.</w:t>
            </w:r>
          </w:p>
        </w:tc>
      </w:tr>
    </w:tbl>
    <w:p w:rsidR="00B8317F" w:rsidRDefault="00B8317F" w:rsidP="00B8317F">
      <w:pPr>
        <w:pStyle w:val="AERtablesource"/>
        <w:numPr>
          <w:ilvl w:val="0"/>
          <w:numId w:val="24"/>
        </w:numPr>
      </w:pPr>
      <w:r>
        <w:t xml:space="preserve">Source: </w:t>
      </w:r>
      <w:r>
        <w:tab/>
        <w:t>AER analysis.</w:t>
      </w:r>
    </w:p>
    <w:p w:rsidR="00B8317F" w:rsidRDefault="00B8317F" w:rsidP="00B8317F">
      <w:pPr>
        <w:numPr>
          <w:ilvl w:val="0"/>
          <w:numId w:val="24"/>
        </w:numPr>
      </w:pPr>
      <w:r>
        <w:t xml:space="preserve">The NER require that we </w:t>
      </w:r>
      <w:r w:rsidRPr="000D0625">
        <w:t>notify the service provider in writing of any other factor we identify as relevant to our assessment, prior to the service provider submitting its revised regulatory proposal.</w:t>
      </w:r>
      <w:r w:rsidRPr="000D0625">
        <w:rPr>
          <w:rStyle w:val="FootnoteReference"/>
        </w:rPr>
        <w:footnoteReference w:id="105"/>
      </w:r>
      <w:r w:rsidRPr="000D0625">
        <w:t xml:space="preserve"> </w:t>
      </w:r>
      <w:r>
        <w:fldChar w:fldCharType="begin"/>
      </w:r>
      <w:r>
        <w:instrText xml:space="preserve"> REF _Ref417655108 \h </w:instrText>
      </w:r>
      <w:r>
        <w:fldChar w:fldCharType="separate"/>
      </w:r>
      <w:r w:rsidR="00C57342">
        <w:t xml:space="preserve">Table </w:t>
      </w:r>
      <w:r w:rsidR="00C57342">
        <w:rPr>
          <w:noProof/>
        </w:rPr>
        <w:t>7</w:t>
      </w:r>
      <w:r w:rsidR="00C57342">
        <w:t>.</w:t>
      </w:r>
      <w:r w:rsidR="00C57342">
        <w:rPr>
          <w:noProof/>
        </w:rPr>
        <w:t>6</w:t>
      </w:r>
      <w:r>
        <w:fldChar w:fldCharType="end"/>
      </w:r>
      <w:r w:rsidRPr="000D0625">
        <w:t xml:space="preserve"> identifies these factors.</w:t>
      </w:r>
    </w:p>
    <w:p w:rsidR="00B8317F" w:rsidRDefault="00B8317F" w:rsidP="00B8317F">
      <w:pPr>
        <w:pStyle w:val="Caption"/>
      </w:pPr>
      <w:bookmarkStart w:id="131" w:name="_Ref417655108"/>
      <w:r>
        <w:t xml:space="preserve">Table </w:t>
      </w:r>
      <w:fldSimple w:instr=" STYLEREF 1 \s ">
        <w:r w:rsidR="00C57342">
          <w:rPr>
            <w:noProof/>
          </w:rPr>
          <w:t>7</w:t>
        </w:r>
      </w:fldSimple>
      <w:r>
        <w:t>.</w:t>
      </w:r>
      <w:r w:rsidR="00A66A4E">
        <w:fldChar w:fldCharType="begin"/>
      </w:r>
      <w:r w:rsidR="00A66A4E">
        <w:instrText xml:space="preserve"> SEQ Table \* ARABIC \s 1 </w:instrText>
      </w:r>
      <w:r w:rsidR="00A66A4E">
        <w:fldChar w:fldCharType="separate"/>
      </w:r>
      <w:r w:rsidR="00C57342">
        <w:rPr>
          <w:noProof/>
        </w:rPr>
        <w:t>6</w:t>
      </w:r>
      <w:r w:rsidR="00A66A4E">
        <w:rPr>
          <w:noProof/>
        </w:rPr>
        <w:fldChar w:fldCharType="end"/>
      </w:r>
      <w:bookmarkEnd w:id="131"/>
      <w:r>
        <w:tab/>
        <w:t>Other factors we have had regard to</w:t>
      </w:r>
    </w:p>
    <w:tbl>
      <w:tblPr>
        <w:tblStyle w:val="AERtable-text0"/>
        <w:tblW w:w="0" w:type="auto"/>
        <w:tblLook w:val="04A0" w:firstRow="1" w:lastRow="0" w:firstColumn="1" w:lastColumn="0" w:noHBand="0" w:noVBand="1"/>
      </w:tblPr>
      <w:tblGrid>
        <w:gridCol w:w="4343"/>
        <w:gridCol w:w="4349"/>
      </w:tblGrid>
      <w:tr w:rsidR="00B8317F" w:rsidRPr="00327764" w:rsidTr="002B5F41">
        <w:trPr>
          <w:cnfStyle w:val="100000000000" w:firstRow="1" w:lastRow="0" w:firstColumn="0" w:lastColumn="0" w:oddVBand="0" w:evenVBand="0" w:oddHBand="0" w:evenHBand="0" w:firstRowFirstColumn="0" w:firstRowLastColumn="0" w:lastRowFirstColumn="0" w:lastRowLastColumn="0"/>
        </w:trPr>
        <w:tc>
          <w:tcPr>
            <w:tcW w:w="4621" w:type="dxa"/>
          </w:tcPr>
          <w:p w:rsidR="00B8317F" w:rsidRPr="00B8317F" w:rsidRDefault="00B8317F" w:rsidP="00B8317F">
            <w:r w:rsidRPr="00327764">
              <w:t>Opex factor</w:t>
            </w:r>
          </w:p>
        </w:tc>
        <w:tc>
          <w:tcPr>
            <w:tcW w:w="4621" w:type="dxa"/>
          </w:tcPr>
          <w:p w:rsidR="00B8317F" w:rsidRPr="00B8317F" w:rsidRDefault="00B8317F" w:rsidP="00B8317F">
            <w:r w:rsidRPr="00327764">
              <w:t>Consideration</w:t>
            </w:r>
          </w:p>
        </w:tc>
      </w:tr>
      <w:tr w:rsidR="00B8317F" w:rsidRPr="00327764" w:rsidTr="002B5F41">
        <w:tc>
          <w:tcPr>
            <w:tcW w:w="4621" w:type="dxa"/>
          </w:tcPr>
          <w:p w:rsidR="00B8317F" w:rsidRPr="00B8317F" w:rsidRDefault="00B8317F" w:rsidP="00B8317F">
            <w:r w:rsidRPr="00327764">
              <w:t xml:space="preserve">Our benchmarking data sets, including, </w:t>
            </w:r>
            <w:r w:rsidRPr="00B8317F">
              <w:t>but not necessarily limited to:</w:t>
            </w:r>
          </w:p>
          <w:p w:rsidR="00B8317F" w:rsidRPr="00B8317F" w:rsidRDefault="00B8317F" w:rsidP="00B8317F">
            <w:pPr>
              <w:pStyle w:val="ListNumber"/>
            </w:pPr>
            <w:r w:rsidRPr="00327764">
              <w:t>data contained in any economic benchmarking RIN, category analysis RIN, reset RIN or annual reporting RIN</w:t>
            </w:r>
          </w:p>
          <w:p w:rsidR="00B8317F" w:rsidRPr="00B8317F" w:rsidRDefault="00B8317F" w:rsidP="00B8317F">
            <w:pPr>
              <w:pStyle w:val="ListNumber"/>
            </w:pPr>
            <w:r w:rsidRPr="00327764">
              <w:t>any relevant data from international sources</w:t>
            </w:r>
          </w:p>
          <w:p w:rsidR="00B8317F" w:rsidRPr="00B8317F" w:rsidRDefault="00B8317F" w:rsidP="00B8317F">
            <w:pPr>
              <w:pStyle w:val="ListNumber"/>
            </w:pPr>
            <w:r w:rsidRPr="00327764">
              <w:t xml:space="preserve">data sets that support econometric modelling and other assessment techniques consistent with the approach set out in </w:t>
            </w:r>
            <w:r w:rsidRPr="00B8317F">
              <w:t>the Guideline</w:t>
            </w:r>
          </w:p>
          <w:p w:rsidR="00B8317F" w:rsidRPr="00B8317F" w:rsidRDefault="00B8317F" w:rsidP="00B8317F">
            <w:r w:rsidRPr="00327764">
              <w:t>as updated from time to time.</w:t>
            </w:r>
          </w:p>
        </w:tc>
        <w:tc>
          <w:tcPr>
            <w:tcW w:w="4621" w:type="dxa"/>
          </w:tcPr>
          <w:p w:rsidR="00B8317F" w:rsidRPr="00B8317F" w:rsidRDefault="00B8317F" w:rsidP="00B8317F">
            <w:r w:rsidRPr="00327764">
              <w:t>This information may potentially fall within opex factor (4). However, for absolute clarity, we are using data we gather from NEM service providers, and data from service providers in other countries to provide insight into the benchmark operating expenditure that would be incurred by an efficient and prudent distribution network service provider over the relevant regulatory period.</w:t>
            </w:r>
          </w:p>
        </w:tc>
      </w:tr>
      <w:tr w:rsidR="00B8317F" w:rsidRPr="00327764" w:rsidTr="002B5F41">
        <w:trPr>
          <w:cnfStyle w:val="000000010000" w:firstRow="0" w:lastRow="0" w:firstColumn="0" w:lastColumn="0" w:oddVBand="0" w:evenVBand="0" w:oddHBand="0" w:evenHBand="1" w:firstRowFirstColumn="0" w:firstRowLastColumn="0" w:lastRowFirstColumn="0" w:lastRowLastColumn="0"/>
        </w:trPr>
        <w:tc>
          <w:tcPr>
            <w:tcW w:w="4621" w:type="dxa"/>
          </w:tcPr>
          <w:p w:rsidR="00B8317F" w:rsidRPr="00B8317F" w:rsidRDefault="00B8317F" w:rsidP="00B8317F">
            <w:r w:rsidRPr="00327764">
              <w:t>Economic benchmarking techniques for assessing benchmark efficient expenditure including stochastic frontier analysis and regressions utilising functional forms such as Cobb Douglas and Translog.</w:t>
            </w:r>
          </w:p>
        </w:tc>
        <w:tc>
          <w:tcPr>
            <w:tcW w:w="4621" w:type="dxa"/>
          </w:tcPr>
          <w:p w:rsidR="00B8317F" w:rsidRPr="00B8317F" w:rsidRDefault="00B8317F" w:rsidP="00B8317F">
            <w:r w:rsidRPr="00327764">
              <w:t xml:space="preserve">This information may potentially fall within opex factor (4). For clarity, and consistent with our approach to assessment set out in </w:t>
            </w:r>
            <w:r w:rsidRPr="00B8317F">
              <w:t>the Guideline, we are have regard to a range of assessment techniques to provide insight into the benchmark operating expenditure that an efficient and prudent service provider would incur over the relevant regulatory control period.</w:t>
            </w:r>
          </w:p>
        </w:tc>
      </w:tr>
    </w:tbl>
    <w:p w:rsidR="00B8317F" w:rsidRDefault="00B8317F" w:rsidP="00B8317F">
      <w:pPr>
        <w:pStyle w:val="AERtablesource"/>
      </w:pPr>
      <w:r>
        <w:t xml:space="preserve">Source: </w:t>
      </w:r>
      <w:r>
        <w:tab/>
        <w:t>AER analysis.</w:t>
      </w:r>
    </w:p>
    <w:p w:rsidR="00B8317F" w:rsidRDefault="00B8317F" w:rsidP="00B8317F">
      <w:pPr>
        <w:numPr>
          <w:ilvl w:val="0"/>
          <w:numId w:val="24"/>
        </w:numPr>
      </w:pPr>
    </w:p>
    <w:p w:rsidR="00B8317F" w:rsidRDefault="00B8317F" w:rsidP="00B8317F">
      <w:pPr>
        <w:numPr>
          <w:ilvl w:val="0"/>
          <w:numId w:val="24"/>
        </w:numPr>
      </w:pPr>
    </w:p>
    <w:p w:rsidR="00B8317F" w:rsidRDefault="00B8317F" w:rsidP="00B8317F">
      <w:pPr>
        <w:pStyle w:val="Heading7"/>
      </w:pPr>
      <w:bookmarkStart w:id="132" w:name="_Toc415230973"/>
      <w:bookmarkStart w:id="133" w:name="_Toc417659841"/>
      <w:r>
        <w:lastRenderedPageBreak/>
        <w:t>Base year opex</w:t>
      </w:r>
      <w:bookmarkEnd w:id="132"/>
      <w:bookmarkEnd w:id="133"/>
    </w:p>
    <w:p w:rsidR="00D1590E" w:rsidRPr="00D1590E" w:rsidRDefault="00D1590E" w:rsidP="00D1590E">
      <w:pPr>
        <w:numPr>
          <w:ilvl w:val="0"/>
          <w:numId w:val="24"/>
        </w:numPr>
      </w:pPr>
      <w:r w:rsidRPr="00D1590E">
        <w:t>In this appendix, we present our detailed analysis of the NSW service providers' base year opex. Base year opex is the starting point for our approach to developing an estimate of the total forecast opex we consider meets the requirements of the NER.</w:t>
      </w:r>
      <w:r w:rsidRPr="00D1590E">
        <w:rPr>
          <w:rStyle w:val="FootnoteReference"/>
        </w:rPr>
        <w:footnoteReference w:id="106"/>
      </w:r>
      <w:r w:rsidRPr="00D1590E">
        <w:t xml:space="preserve"> We use this approach to assess each of the service providers' total forecast opex proposals. If we are not satisfied the service providers' opex proposals reasonably reflect the opex criteria, our estimates form the basis of any adjustments we will make.</w:t>
      </w:r>
      <w:r w:rsidRPr="00D1590E">
        <w:rPr>
          <w:rStyle w:val="FootnoteReference"/>
        </w:rPr>
        <w:footnoteReference w:id="107"/>
      </w:r>
      <w:r w:rsidRPr="00D1590E">
        <w:t xml:space="preserve"> This approach is set out in the </w:t>
      </w:r>
      <w:r w:rsidRPr="00D1590E">
        <w:rPr>
          <w:rStyle w:val="AERbody"/>
        </w:rPr>
        <w:t xml:space="preserve">Guideline and is in accordance with principles that have been </w:t>
      </w:r>
      <w:r w:rsidRPr="00D1590E">
        <w:t>endorsed by the AEMC.</w:t>
      </w:r>
      <w:r w:rsidRPr="00D1590E">
        <w:rPr>
          <w:rStyle w:val="FootnoteReference"/>
        </w:rPr>
        <w:footnoteReference w:id="108"/>
      </w:r>
      <w:r w:rsidRPr="00D1590E">
        <w:t xml:space="preserve"> </w:t>
      </w:r>
    </w:p>
    <w:p w:rsidR="00D1590E" w:rsidRPr="00D1590E" w:rsidRDefault="00D1590E" w:rsidP="00D1590E">
      <w:pPr>
        <w:numPr>
          <w:ilvl w:val="0"/>
          <w:numId w:val="24"/>
        </w:numPr>
      </w:pPr>
      <w:r w:rsidRPr="00D1590E">
        <w:t xml:space="preserve">To ensure our estimates of total forecast opex reasonably reflect the opex criteria, we must be satisfied the starting point is an appropriate reflection of the ongoing efficient costs a prudent operator would require in the forecast period. If we use the service provider's revealed expenditure that includes, for example, inherent inefficiencies as the basis for a forecast, the forecast will also contain these inefficiencies. Therefore, if we find that the base year expenditure is inefficient or in some other way unrepresentative of the expenditure needed to achieve the opex objectives in the forecast period, we adjust it. </w:t>
      </w:r>
    </w:p>
    <w:p w:rsidR="00D1590E" w:rsidRPr="00D1590E" w:rsidRDefault="00D1590E" w:rsidP="00D1590E">
      <w:pPr>
        <w:numPr>
          <w:ilvl w:val="0"/>
          <w:numId w:val="24"/>
        </w:numPr>
      </w:pPr>
      <w:r w:rsidRPr="00D1590E">
        <w:t>When presenting our detailed analysis of base opex in this appendix, we explain how we have taken account of the issues raised in the revised proposals and the submissions made by various stakeholders on our draft decision and the revised proposals. To the extent this involves additional analysis, we present it. The structure of this appendix is:</w:t>
      </w:r>
    </w:p>
    <w:p w:rsidR="00D1590E" w:rsidRPr="00D1590E" w:rsidRDefault="00D1590E" w:rsidP="00D1590E">
      <w:pPr>
        <w:pStyle w:val="AERbulletlistfirststyle"/>
      </w:pPr>
      <w:r w:rsidRPr="00D1590E">
        <w:t xml:space="preserve">Section </w:t>
      </w:r>
      <w:r w:rsidRPr="00D1590E">
        <w:fldChar w:fldCharType="begin"/>
      </w:r>
      <w:r w:rsidRPr="00D1590E">
        <w:instrText xml:space="preserve"> REF _Ref414439321 \n \h </w:instrText>
      </w:r>
      <w:r w:rsidRPr="00D1590E">
        <w:fldChar w:fldCharType="separate"/>
      </w:r>
      <w:r w:rsidR="00C57342">
        <w:t>A.1</w:t>
      </w:r>
      <w:r w:rsidRPr="00D1590E">
        <w:fldChar w:fldCharType="end"/>
      </w:r>
      <w:r w:rsidRPr="00D1590E">
        <w:t xml:space="preserve"> sets out a summary of our findings and base year adjustments and the extent to which they have changed since our draft decision </w:t>
      </w:r>
    </w:p>
    <w:p w:rsidR="00D1590E" w:rsidRPr="00D1590E" w:rsidRDefault="00D1590E" w:rsidP="00D1590E">
      <w:pPr>
        <w:pStyle w:val="AERbulletlistfirststyle"/>
      </w:pPr>
      <w:r w:rsidRPr="00D1590E">
        <w:t xml:space="preserve">Section </w:t>
      </w:r>
      <w:r w:rsidRPr="00D1590E">
        <w:fldChar w:fldCharType="begin"/>
      </w:r>
      <w:r w:rsidRPr="00D1590E">
        <w:instrText xml:space="preserve"> REF _Ref417384454 \n \h </w:instrText>
      </w:r>
      <w:r w:rsidRPr="00D1590E">
        <w:fldChar w:fldCharType="separate"/>
      </w:r>
      <w:r w:rsidR="00C57342">
        <w:t>A.2</w:t>
      </w:r>
      <w:r w:rsidRPr="00D1590E">
        <w:fldChar w:fldCharType="end"/>
      </w:r>
      <w:r w:rsidRPr="00D1590E">
        <w:t xml:space="preserve"> provides an exposition of ex ante incentive regulation and the role of benchmarking</w:t>
      </w:r>
    </w:p>
    <w:p w:rsidR="00D1590E" w:rsidRPr="00D1590E" w:rsidRDefault="00D1590E" w:rsidP="00D1590E">
      <w:pPr>
        <w:pStyle w:val="AERbulletlistfirststyle"/>
      </w:pPr>
      <w:r w:rsidRPr="00D1590E">
        <w:t xml:space="preserve">Section </w:t>
      </w:r>
      <w:r w:rsidRPr="00D1590E">
        <w:fldChar w:fldCharType="begin"/>
      </w:r>
      <w:r w:rsidRPr="00D1590E">
        <w:instrText xml:space="preserve"> REF _Ref415580420 \n \h </w:instrText>
      </w:r>
      <w:r w:rsidRPr="00D1590E">
        <w:fldChar w:fldCharType="separate"/>
      </w:r>
      <w:r w:rsidR="00C57342">
        <w:t>A.3</w:t>
      </w:r>
      <w:r w:rsidRPr="00D1590E">
        <w:fldChar w:fldCharType="end"/>
      </w:r>
      <w:r w:rsidRPr="00D1590E">
        <w:t xml:space="preserve"> outlines our approach to assessing base opex</w:t>
      </w:r>
    </w:p>
    <w:p w:rsidR="00D1590E" w:rsidRPr="00D1590E" w:rsidRDefault="00D1590E" w:rsidP="00D1590E">
      <w:pPr>
        <w:pStyle w:val="AERbulletlistfirststyle"/>
      </w:pPr>
      <w:r w:rsidRPr="00D1590E">
        <w:t xml:space="preserve">Section </w:t>
      </w:r>
      <w:r w:rsidRPr="00D1590E">
        <w:fldChar w:fldCharType="begin"/>
      </w:r>
      <w:r w:rsidRPr="00D1590E">
        <w:instrText xml:space="preserve"> REF _Ref417551812 \n \h </w:instrText>
      </w:r>
      <w:r w:rsidRPr="00D1590E">
        <w:fldChar w:fldCharType="separate"/>
      </w:r>
      <w:r w:rsidR="00C57342">
        <w:t>A.4</w:t>
      </w:r>
      <w:r w:rsidRPr="00D1590E">
        <w:fldChar w:fldCharType="end"/>
      </w:r>
      <w:r w:rsidRPr="00D1590E">
        <w:t xml:space="preserve"> presents the results of our benchmarking  </w:t>
      </w:r>
    </w:p>
    <w:p w:rsidR="00D1590E" w:rsidRPr="00D1590E" w:rsidRDefault="00D1590E" w:rsidP="00D1590E">
      <w:pPr>
        <w:pStyle w:val="AERbulletlistfirststyle"/>
      </w:pPr>
      <w:r w:rsidRPr="00D1590E">
        <w:t xml:space="preserve">Section </w:t>
      </w:r>
      <w:r w:rsidRPr="00D1590E">
        <w:fldChar w:fldCharType="begin"/>
      </w:r>
      <w:r w:rsidRPr="00D1590E">
        <w:instrText xml:space="preserve"> REF _Ref415580439 \n \h </w:instrText>
      </w:r>
      <w:r w:rsidRPr="00D1590E">
        <w:fldChar w:fldCharType="separate"/>
      </w:r>
      <w:r w:rsidR="00C57342">
        <w:t>A.5</w:t>
      </w:r>
      <w:r w:rsidRPr="00D1590E">
        <w:fldChar w:fldCharType="end"/>
      </w:r>
      <w:r w:rsidRPr="00D1590E">
        <w:t xml:space="preserve"> presents the results of our category analysis and qualitative review </w:t>
      </w:r>
    </w:p>
    <w:p w:rsidR="00D1590E" w:rsidRPr="00D1590E" w:rsidRDefault="00D1590E" w:rsidP="00D1590E">
      <w:pPr>
        <w:pStyle w:val="AERbulletlistfirststyle"/>
      </w:pPr>
      <w:r w:rsidRPr="00D1590E">
        <w:t xml:space="preserve">Section </w:t>
      </w:r>
      <w:r w:rsidRPr="00D1590E">
        <w:fldChar w:fldCharType="begin"/>
      </w:r>
      <w:r w:rsidRPr="00D1590E">
        <w:instrText xml:space="preserve"> REF _Ref417551822 \n \h </w:instrText>
      </w:r>
      <w:r w:rsidRPr="00D1590E">
        <w:fldChar w:fldCharType="separate"/>
      </w:r>
      <w:r w:rsidR="00C57342">
        <w:t>A.6</w:t>
      </w:r>
      <w:r w:rsidRPr="00D1590E">
        <w:fldChar w:fldCharType="end"/>
      </w:r>
      <w:r w:rsidRPr="00D1590E">
        <w:t xml:space="preserve"> contains our assessment of operating environment factors </w:t>
      </w:r>
    </w:p>
    <w:p w:rsidR="00D1590E" w:rsidRPr="00D1590E" w:rsidRDefault="00D1590E" w:rsidP="00D1590E">
      <w:pPr>
        <w:pStyle w:val="AERbulletlistfirststyle"/>
      </w:pPr>
      <w:r w:rsidRPr="00D1590E">
        <w:lastRenderedPageBreak/>
        <w:t xml:space="preserve">Section </w:t>
      </w:r>
      <w:r w:rsidRPr="00D1590E">
        <w:fldChar w:fldCharType="begin"/>
      </w:r>
      <w:r w:rsidRPr="00D1590E">
        <w:instrText xml:space="preserve"> REF _Ref415737208 \n \h </w:instrText>
      </w:r>
      <w:r w:rsidRPr="00D1590E">
        <w:fldChar w:fldCharType="separate"/>
      </w:r>
      <w:r w:rsidR="00C57342">
        <w:t>A.7</w:t>
      </w:r>
      <w:r w:rsidRPr="00D1590E">
        <w:fldChar w:fldCharType="end"/>
      </w:r>
      <w:r w:rsidRPr="00D1590E">
        <w:t xml:space="preserve"> explains our conclusions on base opex and whether we propose to make any adjustments to base year opex for the purposes of constructing an alternative total opex forecast.</w:t>
      </w:r>
    </w:p>
    <w:p w:rsidR="00D1590E" w:rsidRPr="00D1590E" w:rsidRDefault="00D1590E" w:rsidP="00D1590E">
      <w:pPr>
        <w:pStyle w:val="Heading8"/>
      </w:pPr>
      <w:bookmarkStart w:id="134" w:name="_Ref414439321"/>
      <w:bookmarkStart w:id="135" w:name="_Toc415230974"/>
      <w:bookmarkStart w:id="136" w:name="_Toc417649210"/>
      <w:bookmarkStart w:id="137" w:name="_Toc417659842"/>
      <w:bookmarkStart w:id="138" w:name="_Ref400554986"/>
      <w:bookmarkStart w:id="139" w:name="_Toc404697038"/>
      <w:bookmarkStart w:id="140" w:name="_Toc410292993"/>
      <w:r w:rsidRPr="00D1590E">
        <w:t>Summary</w:t>
      </w:r>
      <w:bookmarkEnd w:id="134"/>
      <w:bookmarkEnd w:id="135"/>
      <w:bookmarkEnd w:id="136"/>
      <w:bookmarkEnd w:id="137"/>
    </w:p>
    <w:p w:rsidR="00D1590E" w:rsidRPr="00D1590E" w:rsidRDefault="00D1590E" w:rsidP="00D1590E">
      <w:r w:rsidRPr="00D1590E">
        <w:rPr>
          <w:rStyle w:val="AERbody"/>
        </w:rPr>
        <w:t>In this section we provide a summary of our findings and our view of the base year opex that we are satisfied represents a starting point for total forecast opex that reasonably reflects the opex criteria. We have carefully considered all material before us, including our own analysis, the service providers' revised regulatory proposals and submissions in forming our view on base year opex for each service provider.</w:t>
      </w:r>
    </w:p>
    <w:p w:rsidR="00D1590E" w:rsidRPr="00D1590E" w:rsidRDefault="00D1590E" w:rsidP="00D1590E">
      <w:pPr>
        <w:pStyle w:val="Heading9"/>
      </w:pPr>
      <w:bookmarkStart w:id="141" w:name="_Toc417646252"/>
      <w:bookmarkStart w:id="142" w:name="_Toc417649211"/>
      <w:bookmarkStart w:id="143" w:name="_Toc417659843"/>
      <w:bookmarkStart w:id="144" w:name="_Toc415230975"/>
      <w:r w:rsidRPr="00D1590E">
        <w:t>Final decision adjustments</w:t>
      </w:r>
      <w:bookmarkEnd w:id="141"/>
      <w:bookmarkEnd w:id="142"/>
      <w:bookmarkEnd w:id="143"/>
    </w:p>
    <w:bookmarkStart w:id="145" w:name="_Ref414451620"/>
    <w:p w:rsidR="00D1590E" w:rsidRPr="00D1590E" w:rsidRDefault="00D1590E" w:rsidP="00D1590E">
      <w:pPr>
        <w:rPr>
          <w:rStyle w:val="AERbody"/>
        </w:rPr>
      </w:pPr>
      <w:r w:rsidRPr="00D1590E">
        <w:rPr>
          <w:rStyle w:val="AERbody"/>
        </w:rPr>
        <w:fldChar w:fldCharType="begin"/>
      </w:r>
      <w:r w:rsidRPr="00D1590E">
        <w:rPr>
          <w:rStyle w:val="AERbody"/>
        </w:rPr>
        <w:instrText xml:space="preserve"> REF _Ref417644611 \h </w:instrText>
      </w:r>
      <w:r w:rsidRPr="00D1590E">
        <w:rPr>
          <w:rStyle w:val="AERbody"/>
        </w:rPr>
      </w:r>
      <w:r w:rsidRPr="00D1590E">
        <w:rPr>
          <w:rStyle w:val="AERbody"/>
        </w:rPr>
        <w:fldChar w:fldCharType="separate"/>
      </w:r>
      <w:r w:rsidR="00C57342" w:rsidRPr="00D1590E">
        <w:t xml:space="preserve">Table </w:t>
      </w:r>
      <w:r w:rsidR="00C57342">
        <w:rPr>
          <w:noProof/>
        </w:rPr>
        <w:t>A</w:t>
      </w:r>
      <w:r w:rsidR="00C57342" w:rsidRPr="00D1590E">
        <w:t>.</w:t>
      </w:r>
      <w:r w:rsidR="00C57342">
        <w:rPr>
          <w:noProof/>
        </w:rPr>
        <w:t>1</w:t>
      </w:r>
      <w:r w:rsidRPr="00D1590E">
        <w:rPr>
          <w:rStyle w:val="AERbody"/>
        </w:rPr>
        <w:fldChar w:fldCharType="end"/>
      </w:r>
      <w:r w:rsidRPr="00D1590E">
        <w:rPr>
          <w:rStyle w:val="AERbody"/>
        </w:rPr>
        <w:t xml:space="preserve"> contains our final determination estimates of base year opex.</w:t>
      </w:r>
    </w:p>
    <w:p w:rsidR="00D1590E" w:rsidRPr="00D1590E" w:rsidRDefault="00D1590E" w:rsidP="00D1590E">
      <w:pPr>
        <w:pStyle w:val="Caption"/>
      </w:pPr>
      <w:bookmarkStart w:id="146" w:name="_Ref417644611"/>
      <w:r w:rsidRPr="00D1590E">
        <w:t xml:space="preserve">Table </w:t>
      </w:r>
      <w:fldSimple w:instr=" STYLEREF 7 \s ">
        <w:r w:rsidR="00C57342">
          <w:rPr>
            <w:noProof/>
          </w:rPr>
          <w:t>A</w:t>
        </w:r>
      </w:fldSimple>
      <w:r w:rsidRPr="00D1590E">
        <w:t>.</w:t>
      </w:r>
      <w:fldSimple w:instr=" SEQ ATable \* ARABIC \s 7 ">
        <w:r w:rsidR="00C57342">
          <w:rPr>
            <w:noProof/>
          </w:rPr>
          <w:t>1</w:t>
        </w:r>
      </w:fldSimple>
      <w:bookmarkEnd w:id="145"/>
      <w:bookmarkEnd w:id="146"/>
      <w:r w:rsidRPr="00D1590E">
        <w:tab/>
        <w:t>Final determination estimates of efficient base year opex ($million 2013–14)</w:t>
      </w:r>
    </w:p>
    <w:tbl>
      <w:tblPr>
        <w:tblStyle w:val="AERtable-numbers"/>
        <w:tblW w:w="5000" w:type="pct"/>
        <w:tblLook w:val="04A0" w:firstRow="1" w:lastRow="0" w:firstColumn="1" w:lastColumn="0" w:noHBand="0" w:noVBand="1"/>
      </w:tblPr>
      <w:tblGrid>
        <w:gridCol w:w="3489"/>
        <w:gridCol w:w="1768"/>
        <w:gridCol w:w="1763"/>
        <w:gridCol w:w="1672"/>
      </w:tblGrid>
      <w:tr w:rsidR="00D1590E" w:rsidTr="00D15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vAlign w:val="top"/>
          </w:tcPr>
          <w:p w:rsidR="00D1590E" w:rsidRPr="00D1590E" w:rsidRDefault="00D1590E" w:rsidP="00D1590E">
            <w:pPr>
              <w:pStyle w:val="AERtabletextleft"/>
            </w:pPr>
          </w:p>
        </w:tc>
        <w:tc>
          <w:tcPr>
            <w:tcW w:w="1017" w:type="pct"/>
            <w:vAlign w:val="top"/>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ab/>
              <w:t>Ausgrid</w:t>
            </w:r>
          </w:p>
        </w:tc>
        <w:tc>
          <w:tcPr>
            <w:tcW w:w="1014" w:type="pct"/>
            <w:vAlign w:val="top"/>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Endeavour</w:t>
            </w:r>
          </w:p>
        </w:tc>
        <w:tc>
          <w:tcPr>
            <w:tcW w:w="962" w:type="pct"/>
            <w:vAlign w:val="top"/>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Essential</w:t>
            </w:r>
          </w:p>
        </w:tc>
      </w:tr>
      <w:tr w:rsidR="00D1590E" w:rsidTr="00D1590E">
        <w:tc>
          <w:tcPr>
            <w:cnfStyle w:val="001000000000" w:firstRow="0" w:lastRow="0" w:firstColumn="1" w:lastColumn="0" w:oddVBand="0" w:evenVBand="0" w:oddHBand="0" w:evenHBand="0" w:firstRowFirstColumn="0" w:firstRowLastColumn="0" w:lastRowFirstColumn="0" w:lastRowLastColumn="0"/>
            <w:tcW w:w="2007" w:type="pct"/>
            <w:vAlign w:val="top"/>
          </w:tcPr>
          <w:p w:rsidR="00D1590E" w:rsidRPr="00D1590E" w:rsidRDefault="00D1590E" w:rsidP="00D1590E">
            <w:pPr>
              <w:pStyle w:val="AERtabletextleft"/>
            </w:pPr>
            <w:r w:rsidRPr="00D1590E">
              <w:t>Revealed base opex (adjusted)</w:t>
            </w:r>
            <w:r w:rsidRPr="00D1590E">
              <w:rPr>
                <w:rStyle w:val="AERsuperscript"/>
              </w:rPr>
              <w:t>a</w:t>
            </w:r>
          </w:p>
        </w:tc>
        <w:tc>
          <w:tcPr>
            <w:tcW w:w="1017" w:type="pct"/>
            <w:vAlign w:val="top"/>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492.2</w:t>
            </w:r>
          </w:p>
        </w:tc>
        <w:tc>
          <w:tcPr>
            <w:tcW w:w="1014" w:type="pct"/>
            <w:vAlign w:val="top"/>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225.7</w:t>
            </w:r>
          </w:p>
        </w:tc>
        <w:tc>
          <w:tcPr>
            <w:tcW w:w="962" w:type="pct"/>
            <w:vAlign w:val="top"/>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418.0</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vAlign w:val="top"/>
          </w:tcPr>
          <w:p w:rsidR="00D1590E" w:rsidRPr="00D1590E" w:rsidRDefault="00D1590E" w:rsidP="00D1590E">
            <w:pPr>
              <w:pStyle w:val="AERtabletextleft"/>
              <w:rPr>
                <w:rStyle w:val="Strong"/>
              </w:rPr>
            </w:pPr>
            <w:r w:rsidRPr="00D1590E">
              <w:rPr>
                <w:rStyle w:val="Strong"/>
              </w:rPr>
              <w:t>AER base opex</w:t>
            </w:r>
          </w:p>
        </w:tc>
        <w:tc>
          <w:tcPr>
            <w:tcW w:w="1017" w:type="pct"/>
            <w:vAlign w:val="top"/>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374.2</w:t>
            </w:r>
          </w:p>
        </w:tc>
        <w:tc>
          <w:tcPr>
            <w:tcW w:w="1014" w:type="pct"/>
            <w:vAlign w:val="top"/>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233.3</w:t>
            </w:r>
          </w:p>
        </w:tc>
        <w:tc>
          <w:tcPr>
            <w:tcW w:w="962" w:type="pct"/>
            <w:vAlign w:val="top"/>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308.2</w:t>
            </w:r>
          </w:p>
        </w:tc>
      </w:tr>
      <w:tr w:rsidR="00D1590E" w:rsidTr="00D1590E">
        <w:tc>
          <w:tcPr>
            <w:cnfStyle w:val="001000000000" w:firstRow="0" w:lastRow="0" w:firstColumn="1" w:lastColumn="0" w:oddVBand="0" w:evenVBand="0" w:oddHBand="0" w:evenHBand="0" w:firstRowFirstColumn="0" w:firstRowLastColumn="0" w:lastRowFirstColumn="0" w:lastRowLastColumn="0"/>
            <w:tcW w:w="2007" w:type="pct"/>
            <w:vAlign w:val="top"/>
          </w:tcPr>
          <w:p w:rsidR="00D1590E" w:rsidRPr="00D1590E" w:rsidRDefault="00D1590E" w:rsidP="00D1590E">
            <w:pPr>
              <w:pStyle w:val="AERtabletextleft"/>
            </w:pPr>
            <w:r w:rsidRPr="00D1590E">
              <w:t>Difference</w:t>
            </w:r>
          </w:p>
        </w:tc>
        <w:tc>
          <w:tcPr>
            <w:tcW w:w="1017" w:type="pct"/>
            <w:vAlign w:val="top"/>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118.0</w:t>
            </w:r>
          </w:p>
        </w:tc>
        <w:tc>
          <w:tcPr>
            <w:tcW w:w="1014" w:type="pct"/>
            <w:vAlign w:val="top"/>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-7.6</w:t>
            </w:r>
            <w:r w:rsidRPr="00D1590E">
              <w:rPr>
                <w:rStyle w:val="AERsuperscript"/>
              </w:rPr>
              <w:t>b</w:t>
            </w:r>
          </w:p>
        </w:tc>
        <w:tc>
          <w:tcPr>
            <w:tcW w:w="962" w:type="pct"/>
            <w:vAlign w:val="top"/>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109.8</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vAlign w:val="top"/>
          </w:tcPr>
          <w:p w:rsidR="00D1590E" w:rsidRPr="00D1590E" w:rsidRDefault="00D1590E" w:rsidP="00D1590E">
            <w:pPr>
              <w:pStyle w:val="AERtabletextleft"/>
              <w:rPr>
                <w:rStyle w:val="Strong"/>
              </w:rPr>
            </w:pPr>
            <w:r w:rsidRPr="00D1590E">
              <w:rPr>
                <w:rStyle w:val="Strong"/>
              </w:rPr>
              <w:t>Percentage base opex reduction</w:t>
            </w:r>
          </w:p>
        </w:tc>
        <w:tc>
          <w:tcPr>
            <w:tcW w:w="1017" w:type="pct"/>
            <w:vAlign w:val="top"/>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24.0%</w:t>
            </w:r>
          </w:p>
        </w:tc>
        <w:tc>
          <w:tcPr>
            <w:tcW w:w="1014" w:type="pct"/>
            <w:vAlign w:val="top"/>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N/A</w:t>
            </w:r>
          </w:p>
        </w:tc>
        <w:tc>
          <w:tcPr>
            <w:tcW w:w="962" w:type="pct"/>
            <w:vAlign w:val="top"/>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26.3%</w:t>
            </w:r>
          </w:p>
        </w:tc>
      </w:tr>
    </w:tbl>
    <w:p w:rsidR="00D1590E" w:rsidRPr="00D1590E" w:rsidRDefault="00D1590E" w:rsidP="00D1590E">
      <w:pPr>
        <w:pStyle w:val="AERtablesource"/>
      </w:pPr>
      <w:r w:rsidRPr="00D1590E">
        <w:t>Note:</w:t>
      </w:r>
      <w:r w:rsidRPr="00D1590E">
        <w:tab/>
        <w:t>(a) This number is the revealed 2012–13 opex, so it differs from the starting number in Table 7.4, which is average opex over 2006–13. We have adjusted the service providers’ revealed opex for debt raising costs, new CAM (if applicable) and new service classifications.</w:t>
      </w:r>
    </w:p>
    <w:p w:rsidR="00D1590E" w:rsidRPr="00D1590E" w:rsidRDefault="00D1590E" w:rsidP="00D1590E">
      <w:pPr>
        <w:pStyle w:val="AERtablesource"/>
      </w:pPr>
      <w:r w:rsidRPr="00D1590E">
        <w:tab/>
        <w:t xml:space="preserve">(b) Our estimate of base opex for Endeavour is slightly higher than Endeavour's because the reduced benchmark comparison point means its revealed costs are lower than the efficiency target. </w:t>
      </w:r>
    </w:p>
    <w:p w:rsidR="00D1590E" w:rsidRPr="00D1590E" w:rsidRDefault="00D1590E" w:rsidP="00D1590E">
      <w:pPr>
        <w:pStyle w:val="AERtablesource"/>
        <w:rPr>
          <w:rStyle w:val="AERbody"/>
        </w:rPr>
      </w:pPr>
      <w:r w:rsidRPr="00D1590E">
        <w:t>Source:</w:t>
      </w:r>
      <w:r w:rsidRPr="00D1590E">
        <w:tab/>
        <w:t>AER analysis.</w:t>
      </w:r>
    </w:p>
    <w:p w:rsidR="00D1590E" w:rsidRPr="00D1590E" w:rsidRDefault="00D1590E" w:rsidP="00D1590E">
      <w:pPr>
        <w:rPr>
          <w:rStyle w:val="AERbody"/>
        </w:rPr>
      </w:pPr>
      <w:r w:rsidRPr="00D1590E">
        <w:rPr>
          <w:rStyle w:val="AERbody"/>
        </w:rPr>
        <w:t>We are not satisfied that Ausgrid's and Essential Energy's revealed expenditure in 2012–13 are appropriate starting points for determining our estimates of total forecast opex. However, we are satisfied that Endeavour Energy's revealed expenditure in 2012–13 is an appropriate starting point for determining our estimate of total forecast opex. We take this view based on quantitative and qualitative analysis using several assessment techniques, which included:</w:t>
      </w:r>
    </w:p>
    <w:p w:rsidR="00D1590E" w:rsidRPr="00D1590E" w:rsidRDefault="00D1590E" w:rsidP="00D1590E">
      <w:pPr>
        <w:pStyle w:val="AERbulletlistfirststyle"/>
        <w:rPr>
          <w:rStyle w:val="AERbody"/>
        </w:rPr>
      </w:pPr>
      <w:r w:rsidRPr="00D1590E">
        <w:rPr>
          <w:rStyle w:val="AERbody"/>
        </w:rPr>
        <w:t>review of the service providers' regulatory proposals</w:t>
      </w:r>
    </w:p>
    <w:p w:rsidR="00D1590E" w:rsidRPr="00D1590E" w:rsidRDefault="00D1590E" w:rsidP="00D1590E">
      <w:pPr>
        <w:pStyle w:val="AERbulletlistfirststyle"/>
        <w:rPr>
          <w:rStyle w:val="AERbody"/>
        </w:rPr>
      </w:pPr>
      <w:r w:rsidRPr="00D1590E">
        <w:rPr>
          <w:rStyle w:val="AERbody"/>
        </w:rPr>
        <w:t>four economic benchmarking techniques—three econometric and one index-based—including consideration of operating environment factors</w:t>
      </w:r>
    </w:p>
    <w:p w:rsidR="00D1590E" w:rsidRPr="00D1590E" w:rsidRDefault="00D1590E" w:rsidP="00D1590E">
      <w:pPr>
        <w:pStyle w:val="AERbulletlistfirststyle"/>
        <w:rPr>
          <w:rStyle w:val="AERbody"/>
        </w:rPr>
      </w:pPr>
      <w:r w:rsidRPr="00D1590E">
        <w:rPr>
          <w:rStyle w:val="AERbody"/>
        </w:rPr>
        <w:t>partial performance indicators</w:t>
      </w:r>
    </w:p>
    <w:p w:rsidR="00D1590E" w:rsidRPr="00D1590E" w:rsidRDefault="00D1590E" w:rsidP="00D1590E">
      <w:pPr>
        <w:pStyle w:val="AERbulletlistfirststyle"/>
        <w:rPr>
          <w:rStyle w:val="AERbody"/>
        </w:rPr>
      </w:pPr>
      <w:r w:rsidRPr="00D1590E">
        <w:rPr>
          <w:rStyle w:val="AERbody"/>
        </w:rPr>
        <w:t>category analysis</w:t>
      </w:r>
    </w:p>
    <w:p w:rsidR="00D1590E" w:rsidRPr="00D1590E" w:rsidRDefault="00D1590E" w:rsidP="00D1590E">
      <w:pPr>
        <w:pStyle w:val="AERbulletlistfirststyle"/>
        <w:rPr>
          <w:rStyle w:val="AERbody"/>
        </w:rPr>
      </w:pPr>
      <w:r w:rsidRPr="00D1590E">
        <w:rPr>
          <w:rStyle w:val="AERbody"/>
        </w:rPr>
        <w:lastRenderedPageBreak/>
        <w:t>targeted detailed review of certain types of expenditure.</w:t>
      </w:r>
    </w:p>
    <w:p w:rsidR="00D1590E" w:rsidRPr="00D1590E" w:rsidRDefault="00D1590E" w:rsidP="00D1590E">
      <w:pPr>
        <w:rPr>
          <w:rStyle w:val="AERbody"/>
        </w:rPr>
      </w:pPr>
      <w:r w:rsidRPr="00D1590E">
        <w:rPr>
          <w:rStyle w:val="AERbody"/>
        </w:rPr>
        <w:t xml:space="preserve">All of these techniques suggested that material inefficiency existed in the service providers' revealed expenditure. Therefore, and in accordance with the process we outlined in the Guideline, we reduced the service providers' revealed expenditure to estimate base year opex amounts that we were satisfied reasonably reflected the opex criteria and would therefore represent an appropriate starting point for developing a total opex forecast. </w:t>
      </w:r>
    </w:p>
    <w:p w:rsidR="00D1590E" w:rsidRPr="00D1590E" w:rsidRDefault="00D1590E" w:rsidP="00D1590E">
      <w:pPr>
        <w:rPr>
          <w:rStyle w:val="AERbody"/>
        </w:rPr>
      </w:pPr>
      <w:r w:rsidRPr="00D1590E">
        <w:rPr>
          <w:rStyle w:val="AERbody"/>
        </w:rPr>
        <w:t>Our reduction to Endeavour Energy's revealed opex was lower than that for Essential Energy and Ausgrid. Our analysis showed that Endeavour Energy had implemented efficiency programs earlier and to a greater extent than its two peers. However, we considered that as at 2012–13 (the base year), Endeavour Energy had further efficiency improvements to realise.</w:t>
      </w:r>
    </w:p>
    <w:p w:rsidR="00D1590E" w:rsidRPr="00D1590E" w:rsidRDefault="00D1590E" w:rsidP="00D1590E">
      <w:pPr>
        <w:rPr>
          <w:rStyle w:val="AERbody"/>
        </w:rPr>
      </w:pPr>
      <w:r w:rsidRPr="00D1590E">
        <w:rPr>
          <w:rStyle w:val="AERbody"/>
        </w:rPr>
        <w:t xml:space="preserve">In this final decision, we have made two changes to our approach since our draft decision, which impact on the base year reductions we have made in developing our alternative forecasts. </w:t>
      </w:r>
    </w:p>
    <w:p w:rsidR="00D1590E" w:rsidRPr="00D1590E" w:rsidRDefault="00D1590E" w:rsidP="00D1590E">
      <w:pPr>
        <w:rPr>
          <w:rStyle w:val="AERbody"/>
        </w:rPr>
      </w:pPr>
      <w:r w:rsidRPr="00D1590E">
        <w:rPr>
          <w:rStyle w:val="AERbody"/>
        </w:rPr>
        <w:t xml:space="preserve">First, we have adjusted the benchmark comparison point for determining whether a service provider's revealed opex is materially inefficient. We explain our reasons for this change below and in detail in section </w:t>
      </w:r>
      <w:r w:rsidRPr="00D1590E">
        <w:rPr>
          <w:rStyle w:val="AERbody"/>
        </w:rPr>
        <w:fldChar w:fldCharType="begin"/>
      </w:r>
      <w:r w:rsidRPr="00D1590E">
        <w:rPr>
          <w:rStyle w:val="AERbody"/>
        </w:rPr>
        <w:instrText xml:space="preserve"> REF _Ref415585317 \n \h </w:instrText>
      </w:r>
      <w:r w:rsidRPr="00D1590E">
        <w:rPr>
          <w:rStyle w:val="AERbody"/>
        </w:rPr>
      </w:r>
      <w:r w:rsidRPr="00D1590E">
        <w:rPr>
          <w:rStyle w:val="AERbody"/>
        </w:rPr>
        <w:fldChar w:fldCharType="separate"/>
      </w:r>
      <w:r w:rsidR="00C57342">
        <w:rPr>
          <w:rStyle w:val="AERbody"/>
        </w:rPr>
        <w:t>A.7</w:t>
      </w:r>
      <w:r w:rsidRPr="00D1590E">
        <w:rPr>
          <w:rStyle w:val="AERbody"/>
        </w:rPr>
        <w:fldChar w:fldCharType="end"/>
      </w:r>
      <w:r w:rsidRPr="00D1590E">
        <w:rPr>
          <w:rStyle w:val="AERbody"/>
        </w:rPr>
        <w:t>.</w:t>
      </w:r>
    </w:p>
    <w:p w:rsidR="00D1590E" w:rsidRPr="00D1590E" w:rsidRDefault="00D1590E" w:rsidP="00D1590E">
      <w:pPr>
        <w:rPr>
          <w:rStyle w:val="AERbody"/>
        </w:rPr>
      </w:pPr>
      <w:r w:rsidRPr="00D1590E">
        <w:rPr>
          <w:rStyle w:val="AERbody"/>
        </w:rPr>
        <w:t xml:space="preserve">Second, we have modified our approach to determining the operating environment factor adjustments. This increases the allowance for exogenous differences between service providers and the benchmark comparison point for Endeavour Energy from 10 per cent to 13 per cent. Ausgrid's allowance has increased from 10 per cent to 12 per cent. Essential Energy's allowance has increased from 10 per cent to 11 per cent. We explain our reasons for this change in section </w:t>
      </w:r>
      <w:r w:rsidRPr="00D1590E">
        <w:rPr>
          <w:rStyle w:val="AERbody"/>
        </w:rPr>
        <w:fldChar w:fldCharType="begin"/>
      </w:r>
      <w:r w:rsidRPr="00D1590E">
        <w:rPr>
          <w:rStyle w:val="AERbody"/>
        </w:rPr>
        <w:instrText xml:space="preserve"> REF _Ref417551822 \n \h </w:instrText>
      </w:r>
      <w:r w:rsidRPr="00D1590E">
        <w:rPr>
          <w:rStyle w:val="AERbody"/>
        </w:rPr>
      </w:r>
      <w:r w:rsidRPr="00D1590E">
        <w:rPr>
          <w:rStyle w:val="AERbody"/>
        </w:rPr>
        <w:fldChar w:fldCharType="separate"/>
      </w:r>
      <w:r w:rsidR="00C57342">
        <w:rPr>
          <w:rStyle w:val="AERbody"/>
        </w:rPr>
        <w:t>A.6</w:t>
      </w:r>
      <w:r w:rsidRPr="00D1590E">
        <w:rPr>
          <w:rStyle w:val="AERbody"/>
        </w:rPr>
        <w:fldChar w:fldCharType="end"/>
      </w:r>
      <w:r w:rsidRPr="00D1590E">
        <w:rPr>
          <w:rStyle w:val="AERbody"/>
        </w:rPr>
        <w:t>.</w:t>
      </w:r>
    </w:p>
    <w:p w:rsidR="00D1590E" w:rsidRPr="00D1590E" w:rsidRDefault="00D1590E" w:rsidP="00D1590E">
      <w:pPr>
        <w:rPr>
          <w:rStyle w:val="AERbody"/>
        </w:rPr>
      </w:pPr>
      <w:r w:rsidRPr="00D1590E">
        <w:rPr>
          <w:rStyle w:val="AERbody"/>
        </w:rPr>
        <w:t xml:space="preserve">These changes result in smaller reductions to revealed opex than those from the draft decisions. For Endeavour Energy the lower benchmark comparison point results in a slightly lower efficiency target than its revealed costs. Therefore, an adjustment to Endeavour Energy's base year opex is unnecessary and we can rely on its revealed expenditure in 2012–13 as the starting point for determining our estimate of total forecast opex. </w:t>
      </w:r>
    </w:p>
    <w:p w:rsidR="00D1590E" w:rsidRPr="00D1590E" w:rsidRDefault="00D1590E" w:rsidP="00D1590E">
      <w:r w:rsidRPr="00D1590E">
        <w:rPr>
          <w:rStyle w:val="AERbody"/>
        </w:rPr>
        <w:t xml:space="preserve">While Endeavour Energy's revealed opex still includes inefficiencies, the change in our approach means we have determined it is not </w:t>
      </w:r>
      <w:r w:rsidRPr="00D1590E">
        <w:rPr>
          <w:rStyle w:val="AERtextitalic"/>
        </w:rPr>
        <w:t>materially</w:t>
      </w:r>
      <w:r w:rsidRPr="00D1590E">
        <w:rPr>
          <w:rStyle w:val="AERbody"/>
        </w:rPr>
        <w:t xml:space="preserve"> inefficient for the purposes of developing an alternative forecast that we are satisfied reasonably reflects the opex criteria. </w:t>
      </w:r>
    </w:p>
    <w:p w:rsidR="00D1590E" w:rsidRPr="00D1590E" w:rsidRDefault="00D1590E" w:rsidP="00D1590E">
      <w:pPr>
        <w:pStyle w:val="Heading9"/>
      </w:pPr>
      <w:bookmarkStart w:id="147" w:name="_Toc417646253"/>
      <w:bookmarkStart w:id="148" w:name="_Toc417649212"/>
      <w:bookmarkStart w:id="149" w:name="_Toc417659844"/>
      <w:r w:rsidRPr="00D1590E">
        <w:t>Why Ausgrid's and Essential Energy's revealed opex are not appropriate starting points for estimating total forecast opex</w:t>
      </w:r>
      <w:bookmarkEnd w:id="147"/>
      <w:bookmarkEnd w:id="148"/>
      <w:bookmarkEnd w:id="149"/>
    </w:p>
    <w:p w:rsidR="00D1590E" w:rsidRPr="00D1590E" w:rsidRDefault="00D1590E" w:rsidP="00D1590E">
      <w:pPr>
        <w:rPr>
          <w:rStyle w:val="AERbody"/>
        </w:rPr>
      </w:pPr>
      <w:r w:rsidRPr="00D1590E">
        <w:rPr>
          <w:rStyle w:val="AERbody"/>
        </w:rPr>
        <w:t xml:space="preserve">Our analysis shows that it would not be appropriate to rely on Ausgrid's or Essential Energy's revealed opex as starting points for estimating total forecast opex that reasonably reflects the opex criteria. Our benchmarking demonstrates that the service </w:t>
      </w:r>
      <w:r w:rsidRPr="00D1590E">
        <w:rPr>
          <w:rStyle w:val="AERbody"/>
        </w:rPr>
        <w:lastRenderedPageBreak/>
        <w:t>providers' revealed opex is inefficient. Other quantitative techniques as well as the qualitative review of labour costs by Deloitte Access Economics (Deloitte) support the benchmarking findings.</w:t>
      </w:r>
    </w:p>
    <w:p w:rsidR="00D1590E" w:rsidRPr="00D1590E" w:rsidRDefault="00D1590E" w:rsidP="00D1590E">
      <w:pPr>
        <w:pStyle w:val="HeadingBoldBlue"/>
      </w:pPr>
      <w:bookmarkStart w:id="150" w:name="_Toc417646254"/>
      <w:r w:rsidRPr="00D1590E">
        <w:t>Our review</w:t>
      </w:r>
      <w:bookmarkEnd w:id="150"/>
    </w:p>
    <w:p w:rsidR="00D1590E" w:rsidRPr="00D1590E" w:rsidRDefault="00D1590E" w:rsidP="00D1590E">
      <w:r w:rsidRPr="00D1590E">
        <w:t>As set out in the Guideline, our preference is to rely on revealed expenditure as the basis for determining our estimate of total forecast opex that reasonably reflects the opex criteria. However, we cannot simply assume that revealed expenditure for 2012-13 is reflective of the opex criteria for the 2014-19 regulatory control period. We use benchmarking to test the service providers' revealed expenditure against that of their peers.</w:t>
      </w:r>
      <w:r w:rsidRPr="00D1590E">
        <w:rPr>
          <w:rStyle w:val="FootnoteReference"/>
        </w:rPr>
        <w:footnoteReference w:id="109"/>
      </w:r>
      <w:r w:rsidRPr="00D1590E">
        <w:t xml:space="preserve"> We then use category analysis and detailed review of significant cost categories to see if they are consistent with our benchmarking findings.  This approach is set out in the Guideline and in section </w:t>
      </w:r>
      <w:r w:rsidRPr="00D1590E">
        <w:fldChar w:fldCharType="begin"/>
      </w:r>
      <w:r w:rsidRPr="00D1590E">
        <w:instrText xml:space="preserve"> REF _Ref415580420 \n \h </w:instrText>
      </w:r>
      <w:r w:rsidRPr="00D1590E">
        <w:fldChar w:fldCharType="separate"/>
      </w:r>
      <w:r w:rsidR="00C57342">
        <w:t>A.3</w:t>
      </w:r>
      <w:r w:rsidRPr="00D1590E">
        <w:fldChar w:fldCharType="end"/>
      </w:r>
      <w:r w:rsidRPr="00D1590E">
        <w:t xml:space="preserve"> (which details our assessment approach for base opex).</w:t>
      </w:r>
    </w:p>
    <w:p w:rsidR="00D1590E" w:rsidRPr="00D1590E" w:rsidRDefault="00D1590E" w:rsidP="00D1590E">
      <w:pPr>
        <w:pStyle w:val="HeadingBoldItalic"/>
      </w:pPr>
      <w:r w:rsidRPr="00D1590E">
        <w:t>Benchmarking</w:t>
      </w:r>
    </w:p>
    <w:p w:rsidR="00D1590E" w:rsidRPr="00D1590E" w:rsidRDefault="00D1590E" w:rsidP="00D1590E">
      <w:pPr>
        <w:pStyle w:val="ListParagraph"/>
        <w:numPr>
          <w:ilvl w:val="0"/>
          <w:numId w:val="24"/>
        </w:numPr>
      </w:pPr>
      <w:r w:rsidRPr="00D1590E">
        <w:t xml:space="preserve">In the draft decision, we assessed the service providers' revealed expenditure using economic benchmarking and partial performance indicators (PPIs). We have not changed our approach to using benchmarking since the draft decisions so the benchmarking techniques we rely on in this final decision are the same. </w:t>
      </w:r>
    </w:p>
    <w:p w:rsidR="00D1590E" w:rsidRPr="00D1590E" w:rsidRDefault="00D1590E" w:rsidP="00D1590E">
      <w:pPr>
        <w:pStyle w:val="HeadingItalic"/>
      </w:pPr>
      <w:r w:rsidRPr="00D1590E">
        <w:t>Economic benchmarking</w:t>
      </w:r>
    </w:p>
    <w:p w:rsidR="00D1590E" w:rsidRPr="00D1590E" w:rsidRDefault="00D1590E" w:rsidP="00D1590E">
      <w:r w:rsidRPr="00D1590E">
        <w:t>For this final decision, we continue to rely on the economic benchmarking techniques developed by Economic Insights for assessing the relative efficiency of service providers compared to their peers. Economic Insights developed four benchmarking techniques that specifically compare opex performance, using data submitted by all service providers, over the period 2006 to 2013.</w:t>
      </w:r>
    </w:p>
    <w:p w:rsidR="00D1590E" w:rsidRPr="00D1590E" w:rsidRDefault="00D1590E" w:rsidP="00D1590E">
      <w:pPr>
        <w:rPr>
          <w:rStyle w:val="AERbody"/>
        </w:rPr>
      </w:pPr>
      <w:r w:rsidRPr="00D1590E">
        <w:rPr>
          <w:rStyle w:val="AERbody"/>
        </w:rPr>
        <w:fldChar w:fldCharType="begin"/>
      </w:r>
      <w:r w:rsidRPr="00D1590E">
        <w:rPr>
          <w:rStyle w:val="AERbody"/>
        </w:rPr>
        <w:instrText xml:space="preserve"> REF _Ref401669052 \h  \* MERGEFORMAT </w:instrText>
      </w:r>
      <w:r w:rsidRPr="00D1590E">
        <w:rPr>
          <w:rStyle w:val="AERbody"/>
        </w:rPr>
      </w:r>
      <w:r w:rsidRPr="00D1590E">
        <w:rPr>
          <w:rStyle w:val="AERbody"/>
        </w:rPr>
        <w:fldChar w:fldCharType="separate"/>
      </w:r>
      <w:r w:rsidR="00C57342" w:rsidRPr="00D1590E">
        <w:t xml:space="preserve">Figure </w:t>
      </w:r>
      <w:r w:rsidR="00C57342">
        <w:t>A</w:t>
      </w:r>
      <w:r w:rsidR="00C57342" w:rsidRPr="00D1590E">
        <w:t>.</w:t>
      </w:r>
      <w:r w:rsidR="00C57342">
        <w:t>1</w:t>
      </w:r>
      <w:r w:rsidRPr="00D1590E">
        <w:rPr>
          <w:rStyle w:val="AERbody"/>
        </w:rPr>
        <w:fldChar w:fldCharType="end"/>
      </w:r>
      <w:r w:rsidRPr="00D1590E">
        <w:rPr>
          <w:rStyle w:val="AERbody"/>
        </w:rPr>
        <w:t xml:space="preserve"> presents the results of each of Economic Insights' opex models (stochastic frontier analysis (SFA), econometric regressions and opex MPFP) for each service provider in the NEM. </w:t>
      </w:r>
    </w:p>
    <w:p w:rsidR="00D1590E" w:rsidRPr="00D1590E" w:rsidRDefault="00D1590E" w:rsidP="00D1590E">
      <w:pPr>
        <w:pStyle w:val="Caption"/>
      </w:pPr>
      <w:bookmarkStart w:id="151" w:name="_Ref401669052"/>
      <w:r w:rsidRPr="00D1590E">
        <w:lastRenderedPageBreak/>
        <w:t xml:space="preserve">Figure </w:t>
      </w:r>
      <w:fldSimple w:instr=" STYLEREF 7 \s ">
        <w:r w:rsidR="00C57342">
          <w:rPr>
            <w:noProof/>
          </w:rPr>
          <w:t>A</w:t>
        </w:r>
      </w:fldSimple>
      <w:r w:rsidRPr="00D1590E">
        <w:t>.</w:t>
      </w:r>
      <w:fldSimple w:instr=" SEQ AFigure \* ARABIC \s 7 ">
        <w:r w:rsidR="00C57342">
          <w:rPr>
            <w:noProof/>
          </w:rPr>
          <w:t>1</w:t>
        </w:r>
      </w:fldSimple>
      <w:bookmarkEnd w:id="151"/>
      <w:r w:rsidRPr="00D1590E">
        <w:tab/>
        <w:t>Econometric modelling and opex MPFP results (average efficiency scores for 2006 to 2013)</w:t>
      </w:r>
    </w:p>
    <w:p w:rsidR="00D1590E" w:rsidRPr="00D1590E" w:rsidRDefault="00D1590E" w:rsidP="00D1590E">
      <w:pPr>
        <w:numPr>
          <w:ilvl w:val="0"/>
          <w:numId w:val="24"/>
        </w:numPr>
      </w:pPr>
      <w:r w:rsidRPr="00D1590E">
        <w:rPr>
          <w:noProof/>
          <w:lang w:eastAsia="en-AU"/>
        </w:rPr>
        <w:drawing>
          <wp:inline distT="0" distB="0" distL="0" distR="0" wp14:anchorId="6BFC5864" wp14:editId="4AD7D848">
            <wp:extent cx="5316280" cy="323636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8814" cy="3237906"/>
                    </a:xfrm>
                    <a:prstGeom prst="rect">
                      <a:avLst/>
                    </a:prstGeom>
                    <a:noFill/>
                    <a:ln>
                      <a:noFill/>
                    </a:ln>
                  </pic:spPr>
                </pic:pic>
              </a:graphicData>
            </a:graphic>
          </wp:inline>
        </w:drawing>
      </w:r>
    </w:p>
    <w:p w:rsidR="00D1590E" w:rsidRPr="00D1590E" w:rsidRDefault="00D1590E" w:rsidP="00D1590E">
      <w:pPr>
        <w:pStyle w:val="AERtablesource"/>
      </w:pPr>
      <w:r w:rsidRPr="00D1590E">
        <w:t>Source:</w:t>
      </w:r>
      <w:r w:rsidRPr="00D1590E">
        <w:tab/>
        <w:t>Economic Insights, 2014.</w:t>
      </w:r>
    </w:p>
    <w:p w:rsidR="00D1590E" w:rsidRPr="00D1590E" w:rsidRDefault="00D1590E" w:rsidP="00D1590E">
      <w:pPr>
        <w:rPr>
          <w:rStyle w:val="AERbody"/>
        </w:rPr>
      </w:pPr>
      <w:r w:rsidRPr="00D1590E">
        <w:rPr>
          <w:rStyle w:val="AERbody"/>
        </w:rPr>
        <w:t xml:space="preserve">Each model differs in terms of estimation method or model specification and accounts for key operating environment factors (such as differences in customer density and degree of network undergrounding that may differentiate service providers) to differing degrees. Accordingly, the results will never be identical. However, </w:t>
      </w:r>
      <w:r w:rsidRPr="00D1590E">
        <w:rPr>
          <w:rStyle w:val="AERbody"/>
        </w:rPr>
        <w:fldChar w:fldCharType="begin"/>
      </w:r>
      <w:r w:rsidRPr="00D1590E">
        <w:rPr>
          <w:rStyle w:val="AERbody"/>
        </w:rPr>
        <w:instrText xml:space="preserve"> REF _Ref401669052 \h  \* MERGEFORMAT </w:instrText>
      </w:r>
      <w:r w:rsidRPr="00D1590E">
        <w:rPr>
          <w:rStyle w:val="AERbody"/>
        </w:rPr>
      </w:r>
      <w:r w:rsidRPr="00D1590E">
        <w:rPr>
          <w:rStyle w:val="AERbody"/>
        </w:rPr>
        <w:fldChar w:fldCharType="separate"/>
      </w:r>
      <w:r w:rsidR="00C57342" w:rsidRPr="00C57342">
        <w:rPr>
          <w:rStyle w:val="AERbody"/>
        </w:rPr>
        <w:t>Figure A.1</w:t>
      </w:r>
      <w:r w:rsidRPr="00D1590E">
        <w:rPr>
          <w:rStyle w:val="AERbody"/>
        </w:rPr>
        <w:fldChar w:fldCharType="end"/>
      </w:r>
      <w:r w:rsidRPr="00D1590E">
        <w:rPr>
          <w:rStyle w:val="AERbody"/>
        </w:rPr>
        <w:t xml:space="preserve"> demonstrates that the results of the four models are consistent. All models show that the efficiency of the NSW service providers' revealed expenditure does not compare favourably with that of many of their peers. Ausgrid performs more poorly than Endeavour Energy and Essential Energy on each measure. Essential Energy performs more poorly than Endeavour Energy on two of the four measures.</w:t>
      </w:r>
    </w:p>
    <w:p w:rsidR="00D1590E" w:rsidRPr="00D1590E" w:rsidRDefault="00D1590E" w:rsidP="00D1590E">
      <w:r w:rsidRPr="00D1590E">
        <w:t>Our preferred model is SFA (in red on the chart above) because it can directly estimate efficiency scores and has superior statistical properties.</w:t>
      </w:r>
      <w:r w:rsidRPr="00D1590E">
        <w:rPr>
          <w:rStyle w:val="FootnoteReference"/>
        </w:rPr>
        <w:footnoteReference w:id="110"/>
      </w:r>
      <w:r w:rsidRPr="00D1590E">
        <w:t xml:space="preserve">  The best performing business under this model is Citipower, with a score of 0.95.  We refer to CitiPower as the 'frontier' firm throughout this appendix.</w:t>
      </w:r>
    </w:p>
    <w:p w:rsidR="00D1590E" w:rsidRPr="00D1590E" w:rsidRDefault="00D1590E" w:rsidP="00D1590E">
      <w:r w:rsidRPr="00D1590E">
        <w:t xml:space="preserve">Section </w:t>
      </w:r>
      <w:r w:rsidRPr="00D1590E">
        <w:fldChar w:fldCharType="begin"/>
      </w:r>
      <w:r w:rsidRPr="00D1590E">
        <w:instrText xml:space="preserve"> REF _Ref417551812 \n \h </w:instrText>
      </w:r>
      <w:r w:rsidRPr="00D1590E">
        <w:fldChar w:fldCharType="separate"/>
      </w:r>
      <w:r w:rsidR="00C57342">
        <w:t>A.4</w:t>
      </w:r>
      <w:r w:rsidRPr="00D1590E">
        <w:fldChar w:fldCharType="end"/>
      </w:r>
      <w:r w:rsidRPr="00D1590E">
        <w:t xml:space="preserve"> discusses economic benchmarking in more detail.  Our benchmarking techniques and benchmarking results were the subject of many submissions filed in response to our draft decisions.  In considering the various points raised in submissions, we have been able to further test the robustness of our approach.  The </w:t>
      </w:r>
      <w:r w:rsidRPr="00D1590E">
        <w:lastRenderedPageBreak/>
        <w:t xml:space="preserve">submissions we received on benchmarking and the manner in which we have taken those submissions into account in our final decisions are also discussed in section </w:t>
      </w:r>
      <w:r w:rsidRPr="00D1590E">
        <w:fldChar w:fldCharType="begin"/>
      </w:r>
      <w:r w:rsidRPr="00D1590E">
        <w:instrText xml:space="preserve"> REF _Ref417551812 \n \h </w:instrText>
      </w:r>
      <w:r w:rsidRPr="00D1590E">
        <w:fldChar w:fldCharType="separate"/>
      </w:r>
      <w:r w:rsidR="00C57342">
        <w:t>A.4</w:t>
      </w:r>
      <w:r w:rsidRPr="00D1590E">
        <w:fldChar w:fldCharType="end"/>
      </w:r>
      <w:r w:rsidRPr="00D1590E">
        <w:t>. Economic Insights' final decision report provides further detail, including analysis of the positions and alternative models advanced by the service providers' consultants.</w:t>
      </w:r>
      <w:r w:rsidRPr="00D1590E">
        <w:rPr>
          <w:rStyle w:val="FootnoteReference"/>
        </w:rPr>
        <w:footnoteReference w:id="111"/>
      </w:r>
    </w:p>
    <w:p w:rsidR="00D1590E" w:rsidRPr="00D1590E" w:rsidRDefault="00D1590E" w:rsidP="00D1590E">
      <w:pPr>
        <w:pStyle w:val="HeadingItalic"/>
      </w:pPr>
      <w:r w:rsidRPr="00D1590E">
        <w:t>Partial performance indicators</w:t>
      </w:r>
    </w:p>
    <w:p w:rsidR="00D1590E" w:rsidRPr="00D1590E" w:rsidRDefault="00D1590E" w:rsidP="00D1590E">
      <w:pPr>
        <w:numPr>
          <w:ilvl w:val="0"/>
          <w:numId w:val="24"/>
        </w:numPr>
      </w:pPr>
      <w:r w:rsidRPr="00D1590E">
        <w:t>PPIs are a simplistic form of benchmarking. They measure the ratio of total output and one input factor.  They are often used as they are easy to calculate and understand. However when used in isolation their results should be interpreted with caution because they are not as robust as our economic benchmarking techniques that relate inputs to multiple outputs using a cost function.</w:t>
      </w:r>
    </w:p>
    <w:p w:rsidR="00D1590E" w:rsidRPr="00D1590E" w:rsidRDefault="00D1590E" w:rsidP="00D1590E">
      <w:pPr>
        <w:numPr>
          <w:ilvl w:val="0"/>
          <w:numId w:val="24"/>
        </w:numPr>
      </w:pPr>
      <w:r w:rsidRPr="00D1590E">
        <w:t xml:space="preserve">When examined in conjunction with other indicators they can provide supporting evidence of efficiency. We consider the PPI results do provide further evidence to support the results of our economic benchmarking techniques. </w:t>
      </w:r>
      <w:r w:rsidRPr="00D1590E">
        <w:fldChar w:fldCharType="begin"/>
      </w:r>
      <w:r w:rsidRPr="00D1590E">
        <w:instrText xml:space="preserve"> REF _Ref401582012 \h </w:instrText>
      </w:r>
      <w:r w:rsidRPr="00D1590E">
        <w:fldChar w:fldCharType="separate"/>
      </w:r>
      <w:r w:rsidR="00C57342" w:rsidRPr="00D1590E">
        <w:t xml:space="preserve">Figure </w:t>
      </w:r>
      <w:r w:rsidR="00C57342">
        <w:rPr>
          <w:noProof/>
        </w:rPr>
        <w:t>A</w:t>
      </w:r>
      <w:r w:rsidR="00C57342" w:rsidRPr="00D1590E">
        <w:t>.</w:t>
      </w:r>
      <w:r w:rsidR="00C57342">
        <w:rPr>
          <w:noProof/>
        </w:rPr>
        <w:t>2</w:t>
      </w:r>
      <w:r w:rsidRPr="00D1590E">
        <w:fldChar w:fldCharType="end"/>
      </w:r>
      <w:r w:rsidRPr="00D1590E">
        <w:t xml:space="preserve">, a key metric, compares average annual opex per customer for each service provider. </w:t>
      </w:r>
    </w:p>
    <w:p w:rsidR="00D1590E" w:rsidRPr="00D1590E" w:rsidRDefault="00D1590E" w:rsidP="00D1590E">
      <w:pPr>
        <w:pStyle w:val="Caption"/>
      </w:pPr>
      <w:bookmarkStart w:id="152" w:name="_Ref401582012"/>
      <w:r w:rsidRPr="00D1590E">
        <w:t xml:space="preserve">Figure </w:t>
      </w:r>
      <w:fldSimple w:instr=" STYLEREF 7 \s ">
        <w:r w:rsidR="00C57342">
          <w:rPr>
            <w:noProof/>
          </w:rPr>
          <w:t>A</w:t>
        </w:r>
      </w:fldSimple>
      <w:r w:rsidRPr="00D1590E">
        <w:t>.</w:t>
      </w:r>
      <w:fldSimple w:instr=" SEQ AFigure \* ARABIC \s 7 ">
        <w:r w:rsidR="00C57342">
          <w:rPr>
            <w:noProof/>
          </w:rPr>
          <w:t>2</w:t>
        </w:r>
      </w:fldSimple>
      <w:bookmarkEnd w:id="152"/>
      <w:r w:rsidRPr="00D1590E">
        <w:tab/>
        <w:t>Average annual opex per customer for 2009 to 2013 against customer density ($2013-14)</w:t>
      </w:r>
    </w:p>
    <w:p w:rsidR="00D1590E" w:rsidRPr="00D1590E" w:rsidRDefault="00D1590E" w:rsidP="00D1590E">
      <w:pPr>
        <w:pStyle w:val="AERtablesource"/>
      </w:pPr>
      <w:r w:rsidRPr="00D1590E">
        <w:rPr>
          <w:noProof/>
          <w:lang w:eastAsia="en-AU"/>
        </w:rPr>
        <w:drawing>
          <wp:inline distT="0" distB="0" distL="0" distR="0" wp14:anchorId="559127D5" wp14:editId="3CB202E0">
            <wp:extent cx="4956725" cy="344384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5703" cy="3450082"/>
                    </a:xfrm>
                    <a:prstGeom prst="rect">
                      <a:avLst/>
                    </a:prstGeom>
                    <a:noFill/>
                    <a:ln>
                      <a:noFill/>
                    </a:ln>
                  </pic:spPr>
                </pic:pic>
              </a:graphicData>
            </a:graphic>
          </wp:inline>
        </w:drawing>
      </w:r>
      <w:r w:rsidRPr="00D1590E">
        <w:t xml:space="preserve"> </w:t>
      </w:r>
    </w:p>
    <w:p w:rsidR="00D1590E" w:rsidRPr="00D1590E" w:rsidRDefault="00D1590E" w:rsidP="00D1590E">
      <w:pPr>
        <w:pStyle w:val="AERtablesource"/>
      </w:pPr>
      <w:r w:rsidRPr="00D1590E">
        <w:t>Source: Economic benchmarking RIN data.</w:t>
      </w:r>
    </w:p>
    <w:p w:rsidR="00D1590E" w:rsidRPr="00D1590E" w:rsidRDefault="00D1590E" w:rsidP="00D1590E">
      <w:pPr>
        <w:pStyle w:val="AERtablesource"/>
      </w:pPr>
      <w:r w:rsidRPr="00D1590E">
        <w:t>Note:</w:t>
      </w:r>
      <w:r w:rsidRPr="00D1590E">
        <w:tab/>
        <w:t>ACT = ActewAGL, AGD = Ausgrid, CIT = CItiPower, END = Endeavour, ENX = Energex, ERG = Ergon, ESS = Essential, JEN = Jemena, PCR = Powercor, SAP = SA PowerNetworks, SPD = AusNet, TND = TasNetworks, UED = United Energy.</w:t>
      </w:r>
    </w:p>
    <w:p w:rsidR="00D1590E" w:rsidRPr="00D1590E" w:rsidRDefault="00D1590E" w:rsidP="00D1590E">
      <w:pPr>
        <w:numPr>
          <w:ilvl w:val="0"/>
          <w:numId w:val="24"/>
        </w:numPr>
      </w:pPr>
      <w:r w:rsidRPr="00D1590E">
        <w:lastRenderedPageBreak/>
        <w:fldChar w:fldCharType="begin"/>
      </w:r>
      <w:r w:rsidRPr="00D1590E">
        <w:instrText xml:space="preserve"> REF _Ref401582012 \h </w:instrText>
      </w:r>
      <w:r w:rsidRPr="00D1590E">
        <w:fldChar w:fldCharType="separate"/>
      </w:r>
      <w:r w:rsidR="00C57342" w:rsidRPr="00D1590E">
        <w:t xml:space="preserve">Figure </w:t>
      </w:r>
      <w:r w:rsidR="00C57342">
        <w:rPr>
          <w:noProof/>
        </w:rPr>
        <w:t>A</w:t>
      </w:r>
      <w:r w:rsidR="00C57342" w:rsidRPr="00D1590E">
        <w:t>.</w:t>
      </w:r>
      <w:r w:rsidR="00C57342">
        <w:rPr>
          <w:noProof/>
        </w:rPr>
        <w:t>2</w:t>
      </w:r>
      <w:r w:rsidRPr="00D1590E">
        <w:fldChar w:fldCharType="end"/>
      </w:r>
      <w:r w:rsidRPr="00D1590E">
        <w:t xml:space="preserve"> demonstrates a clear demarcation between Ausgrid, Essential Energy and the majority of their peers (predominantly the Victorian and South Australian service providers but also TasNetworks and Energex. Based on this measure, Endeavour Energy performs somewhat more favourably than Ausgrid and Essential Energy because it appears comparatively lower (which is better) and is almost comparable to AusNet Services. This is consistent with the economic benchmarking results which generally indicate that Endeavour Energy performs better than the two other NSW service providers.</w:t>
      </w:r>
    </w:p>
    <w:p w:rsidR="00D1590E" w:rsidRPr="00D1590E" w:rsidRDefault="00D1590E" w:rsidP="00D1590E">
      <w:pPr>
        <w:numPr>
          <w:ilvl w:val="0"/>
          <w:numId w:val="24"/>
        </w:numPr>
      </w:pPr>
      <w:r w:rsidRPr="00D1590E">
        <w:t xml:space="preserve">'Per customer' PPIs tend to be less favourable towards rural service providers who typically operate more assets per customer. We must bear this in mind when we consider the results in </w:t>
      </w:r>
      <w:r w:rsidRPr="00D1590E">
        <w:fldChar w:fldCharType="begin"/>
      </w:r>
      <w:r w:rsidRPr="00D1590E">
        <w:instrText xml:space="preserve"> REF _Ref401582012 \h </w:instrText>
      </w:r>
      <w:r w:rsidRPr="00D1590E">
        <w:fldChar w:fldCharType="separate"/>
      </w:r>
      <w:r w:rsidR="00C57342" w:rsidRPr="00D1590E">
        <w:t xml:space="preserve">Figure </w:t>
      </w:r>
      <w:r w:rsidR="00C57342">
        <w:rPr>
          <w:noProof/>
        </w:rPr>
        <w:t>A</w:t>
      </w:r>
      <w:r w:rsidR="00C57342" w:rsidRPr="00D1590E">
        <w:t>.</w:t>
      </w:r>
      <w:r w:rsidR="00C57342">
        <w:rPr>
          <w:noProof/>
        </w:rPr>
        <w:t>2</w:t>
      </w:r>
      <w:r w:rsidRPr="00D1590E">
        <w:fldChar w:fldCharType="end"/>
      </w:r>
      <w:r w:rsidRPr="00D1590E">
        <w:t>. In particular, Essential Energy has a low density network so it will appear to perform worse on PPIs than it does on the economic benchmarking models – particularly when compared to frontier performers CitiPower and Powercor. We would expect Ausgrid and Endeavour Energy to compare more favourably to Powercor due to their higher customer densities, but less favourably to CitiPower because CitiPower is very dense.</w:t>
      </w:r>
    </w:p>
    <w:p w:rsidR="00D1590E" w:rsidRPr="00D1590E" w:rsidRDefault="00D1590E" w:rsidP="00D1590E">
      <w:pPr>
        <w:numPr>
          <w:ilvl w:val="0"/>
          <w:numId w:val="24"/>
        </w:numPr>
      </w:pPr>
      <w:r w:rsidRPr="00D1590E">
        <w:t>PPIs do not explicitly account for operating environment differences and examine only one output. However, bearing these limitations in mind, our PPI metrics (opex per customer and total user cost per customer) support the economic benchmarking results. We consider these PPIs remain useful tools of comparison if their limitations are understood. Further, our first annual benchmarking report contains additional PPIs that examine different outputs. These PPIs similarly show the NSW service providers generally perform poorly compared to their peers.</w:t>
      </w:r>
      <w:r w:rsidRPr="00D1590E">
        <w:rPr>
          <w:rStyle w:val="FootnoteReference"/>
        </w:rPr>
        <w:footnoteReference w:id="112"/>
      </w:r>
      <w:r w:rsidRPr="00D1590E">
        <w:t xml:space="preserve"> PPIs were the subject of some submissions from stakeholders. We consider PPIs in more detail </w:t>
      </w:r>
      <w:r w:rsidRPr="00D1590E">
        <w:rPr>
          <w:rStyle w:val="AERbody"/>
        </w:rPr>
        <w:t xml:space="preserve">in section </w:t>
      </w:r>
      <w:r w:rsidRPr="00D1590E">
        <w:rPr>
          <w:rStyle w:val="AERbody"/>
        </w:rPr>
        <w:fldChar w:fldCharType="begin"/>
      </w:r>
      <w:r w:rsidRPr="00D1590E">
        <w:rPr>
          <w:rStyle w:val="AERbody"/>
        </w:rPr>
        <w:instrText xml:space="preserve"> REF _Ref417551812 \n \h </w:instrText>
      </w:r>
      <w:r w:rsidRPr="00D1590E">
        <w:rPr>
          <w:rStyle w:val="AERbody"/>
        </w:rPr>
      </w:r>
      <w:r w:rsidRPr="00D1590E">
        <w:rPr>
          <w:rStyle w:val="AERbody"/>
        </w:rPr>
        <w:fldChar w:fldCharType="separate"/>
      </w:r>
      <w:r w:rsidR="00C57342">
        <w:rPr>
          <w:rStyle w:val="AERbody"/>
        </w:rPr>
        <w:t>A.4</w:t>
      </w:r>
      <w:r w:rsidRPr="00D1590E">
        <w:rPr>
          <w:rStyle w:val="AERbody"/>
        </w:rPr>
        <w:fldChar w:fldCharType="end"/>
      </w:r>
      <w:r w:rsidRPr="00D1590E">
        <w:rPr>
          <w:rStyle w:val="AERbody"/>
        </w:rPr>
        <w:t>.</w:t>
      </w:r>
    </w:p>
    <w:p w:rsidR="00D1590E" w:rsidRPr="00D1590E" w:rsidRDefault="00D1590E" w:rsidP="00D1590E">
      <w:pPr>
        <w:pStyle w:val="HeadingItalic"/>
      </w:pPr>
      <w:r w:rsidRPr="00D1590E">
        <w:t>Incorporating differences between service providers</w:t>
      </w:r>
    </w:p>
    <w:p w:rsidR="00D1590E" w:rsidRPr="00D1590E" w:rsidRDefault="00D1590E" w:rsidP="00D1590E">
      <w:r w:rsidRPr="00D1590E">
        <w:t xml:space="preserve">While Economic Insights' benchmarking models account for key differences between service providers—customer density, network line length and degree of network undergrounding, for example—they do not account for all differences. This is because accounting for too many differences in the model can lead to unstable results. The available data on operating environment differences is also a limiting factor. </w:t>
      </w:r>
    </w:p>
    <w:p w:rsidR="00D1590E" w:rsidRPr="00D1590E" w:rsidRDefault="00D1590E" w:rsidP="00D1590E">
      <w:pPr>
        <w:rPr>
          <w:rStyle w:val="AERbody"/>
        </w:rPr>
      </w:pPr>
      <w:r w:rsidRPr="00D1590E">
        <w:t xml:space="preserve">Accordingly, in our draft decision, we conducted a detailed examination of the </w:t>
      </w:r>
      <w:r w:rsidRPr="00D1590E">
        <w:rPr>
          <w:rStyle w:val="AERbody"/>
        </w:rPr>
        <w:t>operating environment factors (OEFs) that might impact the benchmark performance of service providers. In the draft decision, we concluded that we needed to increase the NSW service providers' efficiency scores by 10 per cent to account for exogenous differences particular to their networks. The most significant exogenous difference between the best performing service providers and the NSW service providers is the proportion of subtransmission network over 66kV. We considered these differences would adversely impact on the NSW service providers' efficiency scores and should not be interpreted as inefficiency.</w:t>
      </w:r>
    </w:p>
    <w:p w:rsidR="00D1590E" w:rsidRPr="00D1590E" w:rsidRDefault="00D1590E" w:rsidP="00D1590E">
      <w:pPr>
        <w:rPr>
          <w:rStyle w:val="AERbody"/>
        </w:rPr>
      </w:pPr>
      <w:r w:rsidRPr="00D1590E">
        <w:rPr>
          <w:rStyle w:val="AERbody"/>
        </w:rPr>
        <w:lastRenderedPageBreak/>
        <w:t xml:space="preserve">Following further analysis, in this final decision, we have reviewed which factors we will adjust for and as a result of this analysis have increased the adjustment from 10 per cent to 12 per cent for Ausgrid, 13 per cent for Endeavour Energy and 11 per cent for Essential Energy. Our assessment of operating environment factors and how it contributes to the adjustments is set out in detail in section A.5. </w:t>
      </w:r>
    </w:p>
    <w:p w:rsidR="00D1590E" w:rsidRPr="00D1590E" w:rsidRDefault="00C57342" w:rsidP="00D1590E">
      <w:pPr>
        <w:rPr>
          <w:rStyle w:val="AERbody"/>
        </w:rPr>
      </w:pPr>
      <w:r>
        <w:rPr>
          <w:rStyle w:val="AERbody"/>
        </w:rPr>
        <w:fldChar w:fldCharType="begin"/>
      </w:r>
      <w:r>
        <w:rPr>
          <w:rStyle w:val="AERbody"/>
        </w:rPr>
        <w:instrText xml:space="preserve"> REF _Ref417659983 \h </w:instrText>
      </w:r>
      <w:r>
        <w:rPr>
          <w:rStyle w:val="AERbody"/>
        </w:rPr>
      </w:r>
      <w:r>
        <w:rPr>
          <w:rStyle w:val="AERbody"/>
        </w:rPr>
        <w:fldChar w:fldCharType="separate"/>
      </w:r>
      <w:r w:rsidRPr="00D1590E">
        <w:t xml:space="preserve">Figure </w:t>
      </w:r>
      <w:r>
        <w:rPr>
          <w:noProof/>
        </w:rPr>
        <w:t>A</w:t>
      </w:r>
      <w:r w:rsidRPr="00D1590E">
        <w:t>.</w:t>
      </w:r>
      <w:r>
        <w:rPr>
          <w:noProof/>
        </w:rPr>
        <w:t>3</w:t>
      </w:r>
      <w:r>
        <w:rPr>
          <w:rStyle w:val="AERbody"/>
        </w:rPr>
        <w:fldChar w:fldCharType="end"/>
      </w:r>
      <w:r>
        <w:rPr>
          <w:rStyle w:val="AERbody"/>
        </w:rPr>
        <w:t xml:space="preserve"> </w:t>
      </w:r>
      <w:r w:rsidR="00D1590E" w:rsidRPr="00D1590E">
        <w:rPr>
          <w:rStyle w:val="AERbody"/>
        </w:rPr>
        <w:t>shows the efficiency scores for the NSW service providers compared to the frontier service provider (CitiPower):</w:t>
      </w:r>
    </w:p>
    <w:p w:rsidR="00D1590E" w:rsidRPr="00D1590E" w:rsidRDefault="00D1590E" w:rsidP="00D1590E">
      <w:pPr>
        <w:pStyle w:val="AERbulletlistfirststyle"/>
        <w:rPr>
          <w:rStyle w:val="AERbody"/>
        </w:rPr>
      </w:pPr>
      <w:r w:rsidRPr="00D1590E">
        <w:rPr>
          <w:rStyle w:val="AERbody"/>
        </w:rPr>
        <w:t>using the Cobb Douglas SFA model (Economic Insights' recommended model for quantifying an adjustment to revealed opex) and</w:t>
      </w:r>
    </w:p>
    <w:p w:rsidR="00D1590E" w:rsidRPr="00D1590E" w:rsidRDefault="00D1590E" w:rsidP="00D1590E">
      <w:pPr>
        <w:pStyle w:val="AERbulletlistfirststyle"/>
        <w:rPr>
          <w:rStyle w:val="AERbody"/>
        </w:rPr>
      </w:pPr>
      <w:r w:rsidRPr="00D1590E">
        <w:rPr>
          <w:rStyle w:val="AERbody"/>
        </w:rPr>
        <w:t xml:space="preserve">incorporating the allowance for exogenous differences in operating environments. </w:t>
      </w:r>
    </w:p>
    <w:p w:rsidR="00D1590E" w:rsidRPr="00D1590E" w:rsidRDefault="00D1590E" w:rsidP="00D1590E">
      <w:bookmarkStart w:id="153" w:name="_Ref415495221"/>
      <w:r w:rsidRPr="00D1590E">
        <w:t>Our operating environment factor adjustments are percentage adjustments relative to the frontier. Therefore, the operating environment factor adjustments in Figure A.3</w:t>
      </w:r>
      <w:r w:rsidRPr="00D1590E">
        <w:rPr>
          <w:rStyle w:val="AERbody"/>
        </w:rPr>
        <w:t xml:space="preserve"> will not reflect the absolute percentages reported above. That is, the dark blue proportion represents 12 per cent for Ausgrid, 13 per cent for Endeavour Energy and 11 per cent for Essential Energy of the frontier efficiency score rather than an addition of 11,12 or 13 percentage points on top of the SFA opex efficiency score.</w:t>
      </w:r>
    </w:p>
    <w:p w:rsidR="00D1590E" w:rsidRPr="00D1590E" w:rsidRDefault="00D1590E" w:rsidP="00D1590E">
      <w:pPr>
        <w:pStyle w:val="Caption"/>
      </w:pPr>
      <w:bookmarkStart w:id="154" w:name="_Ref417659983"/>
      <w:r w:rsidRPr="00D1590E">
        <w:t xml:space="preserve">Figure </w:t>
      </w:r>
      <w:fldSimple w:instr=" STYLEREF 7 \s ">
        <w:r w:rsidR="00C57342">
          <w:rPr>
            <w:noProof/>
          </w:rPr>
          <w:t>A</w:t>
        </w:r>
      </w:fldSimple>
      <w:r w:rsidRPr="00D1590E">
        <w:t>.</w:t>
      </w:r>
      <w:fldSimple w:instr=" SEQ AFigure \* ARABIC \s 7 ">
        <w:r w:rsidR="00C57342">
          <w:rPr>
            <w:noProof/>
          </w:rPr>
          <w:t>3</w:t>
        </w:r>
      </w:fldSimple>
      <w:bookmarkEnd w:id="153"/>
      <w:bookmarkEnd w:id="154"/>
      <w:r w:rsidRPr="00D1590E">
        <w:tab/>
        <w:t>Comparison of raw SFA efficiency scores to the frontier, adjusted for operating environment factors</w:t>
      </w:r>
    </w:p>
    <w:p w:rsidR="00D1590E" w:rsidRPr="00D1590E" w:rsidRDefault="00D1590E" w:rsidP="00D1590E">
      <w:r w:rsidRPr="00D1590E">
        <w:rPr>
          <w:noProof/>
          <w:lang w:eastAsia="en-AU"/>
        </w:rPr>
        <w:drawing>
          <wp:inline distT="0" distB="0" distL="0" distR="0" wp14:anchorId="142525D1" wp14:editId="70287F9D">
            <wp:extent cx="4980940" cy="2901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0940" cy="2901950"/>
                    </a:xfrm>
                    <a:prstGeom prst="rect">
                      <a:avLst/>
                    </a:prstGeom>
                    <a:noFill/>
                  </pic:spPr>
                </pic:pic>
              </a:graphicData>
            </a:graphic>
          </wp:inline>
        </w:drawing>
      </w:r>
    </w:p>
    <w:p w:rsidR="00D1590E" w:rsidRPr="00D1590E" w:rsidRDefault="00D1590E" w:rsidP="00D1590E">
      <w:pPr>
        <w:pStyle w:val="AERtablesource"/>
      </w:pPr>
      <w:r w:rsidRPr="00D1590E">
        <w:t xml:space="preserve">Source: </w:t>
      </w:r>
      <w:r w:rsidRPr="00D1590E">
        <w:tab/>
        <w:t>AER analysis.</w:t>
      </w:r>
    </w:p>
    <w:p w:rsidR="00D1590E" w:rsidRPr="00D1590E" w:rsidRDefault="00D1590E" w:rsidP="00D1590E">
      <w:pPr>
        <w:pStyle w:val="AERtablesource"/>
      </w:pPr>
      <w:r w:rsidRPr="00D1590E">
        <w:t>Note:</w:t>
      </w:r>
      <w:r w:rsidRPr="00D1590E">
        <w:tab/>
        <w:t xml:space="preserve">The raw SFA efficiency scores displayed are 'rolled forward' from a period-average basis (for 2006-2013) to the 2012–13 base year. We explain this in section </w:t>
      </w:r>
      <w:r w:rsidRPr="00D1590E">
        <w:fldChar w:fldCharType="begin"/>
      </w:r>
      <w:r w:rsidRPr="00D1590E">
        <w:instrText xml:space="preserve"> REF _Ref416803943 \n \h </w:instrText>
      </w:r>
      <w:r w:rsidRPr="00D1590E">
        <w:fldChar w:fldCharType="separate"/>
      </w:r>
      <w:r w:rsidR="00C57342">
        <w:t>A.7</w:t>
      </w:r>
      <w:r w:rsidRPr="00D1590E">
        <w:fldChar w:fldCharType="end"/>
      </w:r>
      <w:r w:rsidRPr="00D1590E">
        <w:t xml:space="preserve"> in our discussion of the adjustment process.</w:t>
      </w:r>
    </w:p>
    <w:p w:rsidR="00D1590E" w:rsidRPr="00D1590E" w:rsidRDefault="00C57342" w:rsidP="00D1590E">
      <w:pPr>
        <w:rPr>
          <w:rStyle w:val="AERbody"/>
        </w:rPr>
      </w:pPr>
      <w:r>
        <w:rPr>
          <w:rStyle w:val="AERbody"/>
        </w:rPr>
        <w:fldChar w:fldCharType="begin"/>
      </w:r>
      <w:r>
        <w:rPr>
          <w:rStyle w:val="AERbody"/>
        </w:rPr>
        <w:instrText xml:space="preserve"> REF _Ref417659983 \h </w:instrText>
      </w:r>
      <w:r>
        <w:rPr>
          <w:rStyle w:val="AERbody"/>
        </w:rPr>
      </w:r>
      <w:r>
        <w:rPr>
          <w:rStyle w:val="AERbody"/>
        </w:rPr>
        <w:fldChar w:fldCharType="separate"/>
      </w:r>
      <w:r w:rsidRPr="00D1590E">
        <w:t xml:space="preserve">Figure </w:t>
      </w:r>
      <w:r>
        <w:rPr>
          <w:noProof/>
        </w:rPr>
        <w:t>A</w:t>
      </w:r>
      <w:r w:rsidRPr="00D1590E">
        <w:t>.</w:t>
      </w:r>
      <w:r>
        <w:rPr>
          <w:noProof/>
        </w:rPr>
        <w:t>3</w:t>
      </w:r>
      <w:r>
        <w:rPr>
          <w:rStyle w:val="AERbody"/>
        </w:rPr>
        <w:fldChar w:fldCharType="end"/>
      </w:r>
      <w:r>
        <w:rPr>
          <w:rStyle w:val="AERbody"/>
        </w:rPr>
        <w:t xml:space="preserve"> </w:t>
      </w:r>
      <w:r w:rsidR="00D1590E" w:rsidRPr="00D1590E">
        <w:rPr>
          <w:rStyle w:val="AERbody"/>
        </w:rPr>
        <w:t>demonstrates that, even allowing for operating environment factors, Ausgrid and Essential Energy have efficiency scores well below the frontier efficiency score of 95 per cent using our SFA benchmark model. Endeavour Energy, even with its comparatively higher score of 78 per cent, remains almost 20 percentage points below the frontier.</w:t>
      </w:r>
    </w:p>
    <w:p w:rsidR="00D1590E" w:rsidRPr="00D1590E" w:rsidRDefault="00D1590E" w:rsidP="00D1590E">
      <w:r w:rsidRPr="00D1590E">
        <w:rPr>
          <w:rStyle w:val="AERbody"/>
        </w:rPr>
        <w:lastRenderedPageBreak/>
        <w:t>We used additional assessment techniques to see if they supported the benchmarking results and to help us understand what might be driving differences in benchmark performance.</w:t>
      </w:r>
    </w:p>
    <w:p w:rsidR="00D1590E" w:rsidRPr="00D1590E" w:rsidRDefault="00D1590E" w:rsidP="00D1590E">
      <w:pPr>
        <w:pStyle w:val="HeadingBoldItalic"/>
      </w:pPr>
      <w:r w:rsidRPr="00D1590E">
        <w:t>Category analysis and qualitative assessment</w:t>
      </w:r>
    </w:p>
    <w:p w:rsidR="00D1590E" w:rsidRPr="00D1590E" w:rsidRDefault="00D1590E" w:rsidP="00D1590E">
      <w:r w:rsidRPr="00D1590E">
        <w:t>In our draft decisions, we used more granular assessment techniques in two stages as a means of understanding what drives the benchmarking results. In the first stage, we examined the service providers' regulatory proposals and conducted category analysis of key opex categories. We have also applied this assessment technique in making our final decision.</w:t>
      </w:r>
    </w:p>
    <w:p w:rsidR="00D1590E" w:rsidRPr="00D1590E" w:rsidRDefault="00D1590E" w:rsidP="00D1590E">
      <w:r w:rsidRPr="00D1590E">
        <w:t>All three service providers stated in their proposals that they were facing stranded labour problems due to reductions in capex, resulting in a need to incur voluntary redundancy costs.</w:t>
      </w:r>
      <w:r w:rsidRPr="00D1590E">
        <w:rPr>
          <w:rStyle w:val="FootnoteReference"/>
        </w:rPr>
        <w:footnoteReference w:id="113"/>
      </w:r>
      <w:r w:rsidRPr="00D1590E">
        <w:t xml:space="preserve"> This suggested labour costs could be one of the drivers of the NSW service providers' benchmarking performance. Essential Energy also submitted a step down in vegetation management expenditure in the forecast period. This suggested vegetation management practices may also be a driver of Essential Energy's benchmarking performance.</w:t>
      </w:r>
      <w:r w:rsidRPr="00D1590E">
        <w:rPr>
          <w:rStyle w:val="AERsuperscript"/>
        </w:rPr>
        <w:footnoteReference w:id="114"/>
      </w:r>
    </w:p>
    <w:p w:rsidR="00D1590E" w:rsidRPr="00D1590E" w:rsidRDefault="00D1590E" w:rsidP="00D1590E">
      <w:r w:rsidRPr="00D1590E">
        <w:t>Further, category analysis showed the NSW service providers had 'high' or 'very high' costs on labour and overheads metrics compared to most of their peers. Essential Energy also showed 'very high' costs on the vegetation management metrics, and a significant increase in vegetation costs over the 2009–13 period.</w:t>
      </w:r>
    </w:p>
    <w:p w:rsidR="00D1590E" w:rsidRPr="00D1590E" w:rsidRDefault="00D1590E" w:rsidP="00D1590E">
      <w:r w:rsidRPr="00D1590E">
        <w:t>Accordingly (and because these categories account for a significant proportion of the NSW service providers' opex—labour is approximately 70 per cent</w:t>
      </w:r>
      <w:r w:rsidRPr="00D1590E">
        <w:rPr>
          <w:rStyle w:val="FootnoteReference"/>
        </w:rPr>
        <w:footnoteReference w:id="115"/>
      </w:r>
      <w:r w:rsidRPr="00D1590E">
        <w:t>) for the second stage, we engaged Deloitte to conduct an independent detailed review of each of the NSW service providers' labour practices. We also conducted a review of Essential Energy's vegetation management opex. Through the detailed reviews, we found significant issues in these categories of the NSW service providers' opex, which we considered was evidence of base year inefficiency, supporting our benchmarking results.</w:t>
      </w:r>
    </w:p>
    <w:p w:rsidR="00D1590E" w:rsidRPr="00D1590E" w:rsidRDefault="00D1590E" w:rsidP="00D1590E">
      <w:pPr>
        <w:pStyle w:val="HeadingItalic"/>
      </w:pPr>
      <w:r w:rsidRPr="00D1590E">
        <w:t>Deloitte's detailed review findings</w:t>
      </w:r>
    </w:p>
    <w:p w:rsidR="00D1590E" w:rsidRPr="00D1590E" w:rsidRDefault="00D1590E" w:rsidP="00D1590E">
      <w:r w:rsidRPr="00D1590E">
        <w:t>For our final decisions, we engaged Deloitte to provide an addendum to its draft decision findings, which includes a response to the service providers' revised proposals and related consultants' reports. After taking into account the new information, Deloitte's overall findings remain the same as those in its earlier report.</w:t>
      </w:r>
      <w:r w:rsidRPr="00D1590E">
        <w:rPr>
          <w:rStyle w:val="FootnoteReference"/>
        </w:rPr>
        <w:footnoteReference w:id="116"/>
      </w:r>
    </w:p>
    <w:p w:rsidR="00D1590E" w:rsidRPr="00D1590E" w:rsidRDefault="00D1590E" w:rsidP="00D1590E">
      <w:r w:rsidRPr="00D1590E">
        <w:lastRenderedPageBreak/>
        <w:t>Deloitte's overall findings for labour costs are:</w:t>
      </w:r>
      <w:r w:rsidRPr="00D1590E">
        <w:rPr>
          <w:rStyle w:val="FootnoteReference"/>
        </w:rPr>
        <w:footnoteReference w:id="117"/>
      </w:r>
    </w:p>
    <w:p w:rsidR="00D1590E" w:rsidRPr="00D1590E" w:rsidRDefault="00D1590E" w:rsidP="00D1590E">
      <w:pPr>
        <w:pStyle w:val="AERbulletlistfirststyle"/>
      </w:pPr>
      <w:r w:rsidRPr="00D1590E">
        <w:t>the NSW service providers have high labour costs because they have too many employees. They all engaged permanent staff in preference to contractors over the 2009–14 period for transitory capex work. Now, due to EBA restrictions on redundancies, they have stranded labour</w:t>
      </w:r>
    </w:p>
    <w:p w:rsidR="00D1590E" w:rsidRPr="00D1590E" w:rsidRDefault="00D1590E" w:rsidP="00D1590E">
      <w:pPr>
        <w:pStyle w:val="AERbulletlistfirststyle"/>
      </w:pPr>
      <w:r w:rsidRPr="00D1590E">
        <w:t>because the NSW service providers employ a high proportion of their employees through EBAs (more than 75 per cent) restrictive EBA clauses have a significant impact on workforce flexibility</w:t>
      </w:r>
    </w:p>
    <w:p w:rsidR="00D1590E" w:rsidRPr="00D1590E" w:rsidRDefault="00D1590E" w:rsidP="00D1590E">
      <w:pPr>
        <w:pStyle w:val="AERbulletlistfirststyle"/>
      </w:pPr>
      <w:r w:rsidRPr="00D1590E">
        <w:t>the optimum level of outsourcing is likely to be higher than the level the NSW service providers outsourced at over the 2009–14 period; this is a key distinguishing factor from the Victorian service providers</w:t>
      </w:r>
    </w:p>
    <w:p w:rsidR="00D1590E" w:rsidRPr="00D1590E" w:rsidRDefault="00D1590E" w:rsidP="00D1590E">
      <w:pPr>
        <w:pStyle w:val="AERbulletlistfirststyle"/>
      </w:pPr>
      <w:r w:rsidRPr="00D1590E">
        <w:t>while the NSW service provider have been implementing efficiency improvements, many efficiencies have not been realised until after the 2012–13 base year.</w:t>
      </w:r>
    </w:p>
    <w:p w:rsidR="00D1590E" w:rsidRPr="00D1590E" w:rsidRDefault="00D1590E" w:rsidP="00D1590E">
      <w:r w:rsidRPr="00D1590E">
        <w:t>Deloitte considered that Endeavour Energy's base year opex was likely more efficient than Ausgrid's and Essential Energy's because it had commenced implementing efficiency improvements earlier. However, all NSW service providers (including Endeavour Energy) had efficiencies they were yet to realise because the reforms they had implemented to date did not consider potential opportunities to improve efficiency outside of the three NSW businesses. That is, they compared efficiency among themselves, but not to businesses in other jurisdictions.</w:t>
      </w:r>
      <w:r w:rsidRPr="00D1590E">
        <w:rPr>
          <w:rStyle w:val="FootnoteReference"/>
        </w:rPr>
        <w:footnoteReference w:id="118"/>
      </w:r>
      <w:r w:rsidRPr="00D1590E">
        <w:t xml:space="preserve"> </w:t>
      </w:r>
    </w:p>
    <w:p w:rsidR="00D1590E" w:rsidRPr="00D1590E" w:rsidRDefault="00D1590E" w:rsidP="00D1590E">
      <w:r w:rsidRPr="00D1590E">
        <w:t>Deloitte's findings align with statements reportedly made by Networks NSW CEO and chairman.</w:t>
      </w:r>
      <w:r w:rsidRPr="00D1590E">
        <w:rPr>
          <w:rStyle w:val="FootnoteReference"/>
        </w:rPr>
        <w:footnoteReference w:id="119"/>
      </w:r>
      <w:r w:rsidRPr="00D1590E">
        <w:t xml:space="preserve"> </w:t>
      </w:r>
    </w:p>
    <w:p w:rsidR="00D1590E" w:rsidRPr="00D1590E" w:rsidRDefault="00D1590E" w:rsidP="00D1590E">
      <w:r w:rsidRPr="00D1590E">
        <w:t xml:space="preserve">We discuss our labour review findings in more detail in section </w:t>
      </w:r>
      <w:r w:rsidRPr="00D1590E">
        <w:fldChar w:fldCharType="begin"/>
      </w:r>
      <w:r w:rsidRPr="00D1590E">
        <w:instrText xml:space="preserve"> REF _Ref417310513 \n \h </w:instrText>
      </w:r>
      <w:r w:rsidRPr="00D1590E">
        <w:fldChar w:fldCharType="separate"/>
      </w:r>
      <w:r w:rsidR="00C57342">
        <w:t>A.5</w:t>
      </w:r>
      <w:r w:rsidRPr="00D1590E">
        <w:fldChar w:fldCharType="end"/>
      </w:r>
      <w:r w:rsidR="00AF23F8">
        <w:t>.</w:t>
      </w:r>
    </w:p>
    <w:p w:rsidR="00D1590E" w:rsidRPr="00D1590E" w:rsidRDefault="00D1590E" w:rsidP="00D1590E">
      <w:pPr>
        <w:pStyle w:val="HeadingItalic"/>
      </w:pPr>
      <w:r w:rsidRPr="00D1590E">
        <w:t>Essential Energy's vegetation management detailed review findings</w:t>
      </w:r>
      <w:r w:rsidRPr="00D1590E">
        <w:rPr>
          <w:rStyle w:val="FootnoteReference"/>
        </w:rPr>
        <w:footnoteReference w:id="120"/>
      </w:r>
    </w:p>
    <w:p w:rsidR="00D1590E" w:rsidRPr="00D1590E" w:rsidRDefault="00D1590E" w:rsidP="00D1590E">
      <w:pPr>
        <w:numPr>
          <w:ilvl w:val="0"/>
          <w:numId w:val="24"/>
        </w:numPr>
      </w:pPr>
      <w:r w:rsidRPr="00D1590E">
        <w:t xml:space="preserve">Our overall findings for vegetation management remain the same as those from our draft decision. That is, Essential Energy's own documentation, including a report it commissioned from Select Solutions, provide evidence that its vegetation management </w:t>
      </w:r>
      <w:r w:rsidRPr="00D1590E">
        <w:lastRenderedPageBreak/>
        <w:t>practices in the base year (2012–13) were inefficient.</w:t>
      </w:r>
      <w:r w:rsidRPr="00D1590E">
        <w:rPr>
          <w:rStyle w:val="FootnoteReference"/>
        </w:rPr>
        <w:footnoteReference w:id="121"/>
      </w:r>
      <w:r w:rsidRPr="00D1590E">
        <w:t xml:space="preserve">  Select Solutions' review found that Essential Energy must move to a "significantly more efficient" vegetation management model to reduce the impact of its expenditure on customer prices.</w:t>
      </w:r>
      <w:r w:rsidRPr="00D1590E">
        <w:rPr>
          <w:rStyle w:val="AERsuperscript"/>
        </w:rPr>
        <w:footnoteReference w:id="122"/>
      </w:r>
      <w:r w:rsidRPr="00D1590E">
        <w:t xml:space="preserve"> Select Solutions found several causes of inefficiency, including:</w:t>
      </w:r>
    </w:p>
    <w:p w:rsidR="00D1590E" w:rsidRPr="00D1590E" w:rsidRDefault="00D1590E" w:rsidP="00D1590E">
      <w:pPr>
        <w:pStyle w:val="AERbulletlistfirststyle"/>
      </w:pPr>
      <w:r w:rsidRPr="00D1590E">
        <w:t>attributing too much vegetation management effort to reactive spot clearing rather than proactive cyclic maintenance</w:t>
      </w:r>
    </w:p>
    <w:p w:rsidR="00D1590E" w:rsidRPr="00D1590E" w:rsidRDefault="00D1590E" w:rsidP="00D1590E">
      <w:pPr>
        <w:pStyle w:val="AERbulletlistfirststyle"/>
      </w:pPr>
      <w:r w:rsidRPr="00D1590E">
        <w:t xml:space="preserve">primarily engaging contractors for cutting on a demonstrably less efficient hourly rate basis </w:t>
      </w:r>
    </w:p>
    <w:p w:rsidR="00D1590E" w:rsidRPr="00D1590E" w:rsidRDefault="00D1590E" w:rsidP="00D1590E">
      <w:pPr>
        <w:pStyle w:val="AERbulletlistfirststyle"/>
      </w:pPr>
      <w:r w:rsidRPr="00D1590E">
        <w:t>less than optimal outsourcing.</w:t>
      </w:r>
    </w:p>
    <w:p w:rsidR="00D1590E" w:rsidRPr="00D1590E" w:rsidRDefault="00D1590E" w:rsidP="00D1590E">
      <w:r w:rsidRPr="00D1590E">
        <w:t xml:space="preserve">We discuss our vegetation management findings in more detail in section </w:t>
      </w:r>
      <w:r w:rsidRPr="00D1590E">
        <w:fldChar w:fldCharType="begin"/>
      </w:r>
      <w:r w:rsidRPr="00D1590E">
        <w:instrText xml:space="preserve"> REF _Ref417310513 \n \h </w:instrText>
      </w:r>
      <w:r w:rsidRPr="00D1590E">
        <w:fldChar w:fldCharType="separate"/>
      </w:r>
      <w:r w:rsidR="00C57342">
        <w:t>A.5</w:t>
      </w:r>
      <w:r w:rsidRPr="00D1590E">
        <w:fldChar w:fldCharType="end"/>
      </w:r>
      <w:r w:rsidRPr="00D1590E">
        <w:t>.</w:t>
      </w:r>
    </w:p>
    <w:p w:rsidR="00D1590E" w:rsidRPr="00D1590E" w:rsidRDefault="00D1590E" w:rsidP="00D1590E">
      <w:pPr>
        <w:pStyle w:val="HeadingBoldBlue"/>
      </w:pPr>
      <w:bookmarkStart w:id="155" w:name="_Toc417646255"/>
      <w:r w:rsidRPr="00D1590E">
        <w:t>Adjustments to revealed opex</w:t>
      </w:r>
      <w:bookmarkEnd w:id="155"/>
    </w:p>
    <w:p w:rsidR="00D1590E" w:rsidRPr="00D1590E" w:rsidRDefault="00D1590E" w:rsidP="00D1590E">
      <w:pPr>
        <w:pStyle w:val="ListParagraph"/>
        <w:numPr>
          <w:ilvl w:val="0"/>
          <w:numId w:val="24"/>
        </w:numPr>
      </w:pPr>
      <w:r w:rsidRPr="00D1590E">
        <w:t xml:space="preserve">For each of the NSW providers, the evidence shows that there is a gap between the revealed costs in the base year and the benchmark opex that an efficient provider would incur. This gap is larger for Ausgrid and Essential Energy than it is for Eneavour Energy. In these circumstances we may need to make an adjustment to the revealed base opex. </w:t>
      </w:r>
      <w:r w:rsidRPr="00D1590E">
        <w:rPr>
          <w:rStyle w:val="AERbody"/>
        </w:rPr>
        <w:t xml:space="preserve">Making an adjustment involves consideration of the appropriate technique, the appropriate benchmark comparison point and the appropriate manner in which to make the adjustment. </w:t>
      </w:r>
      <w:r w:rsidRPr="00D1590E">
        <w:t>Our approach of using benchmarking as a basis for making adjustments to opex is consistent with Ofgem's approach.</w:t>
      </w:r>
      <w:r w:rsidRPr="00D1590E">
        <w:rPr>
          <w:rStyle w:val="FootnoteReference"/>
        </w:rPr>
        <w:footnoteReference w:id="123"/>
      </w:r>
    </w:p>
    <w:p w:rsidR="00D1590E" w:rsidRPr="008552DD" w:rsidRDefault="00D1590E" w:rsidP="00D1590E">
      <w:pPr>
        <w:pStyle w:val="HeadingBoldItalic"/>
      </w:pPr>
      <w:r w:rsidRPr="008552DD">
        <w:t>The best technique for the adjustment</w:t>
      </w:r>
    </w:p>
    <w:p w:rsidR="00D1590E" w:rsidRPr="00D1590E" w:rsidRDefault="00D1590E" w:rsidP="00D1590E">
      <w:pPr>
        <w:pStyle w:val="ListParagraph"/>
        <w:numPr>
          <w:ilvl w:val="0"/>
          <w:numId w:val="24"/>
        </w:numPr>
      </w:pPr>
      <w:r w:rsidRPr="00D1590E">
        <w:rPr>
          <w:rStyle w:val="AERbody"/>
        </w:rPr>
        <w:t>Consistent with our draft decision approach, we continue to adopt Economic Insights' recommendation to rely on the Cobb Douglas SFA model as the preferred technique upon which we base an adjustment to revealed opex. This technique directly estimates efficiency scores and has superior statistical properties</w:t>
      </w:r>
      <w:r w:rsidRPr="00D1590E">
        <w:t>.</w:t>
      </w:r>
      <w:r w:rsidRPr="00D1590E">
        <w:rPr>
          <w:rStyle w:val="FootnoteReference"/>
        </w:rPr>
        <w:footnoteReference w:id="124"/>
      </w:r>
      <w:r w:rsidR="00AF23F8">
        <w:t xml:space="preserve"> </w:t>
      </w:r>
    </w:p>
    <w:p w:rsidR="00D1590E" w:rsidRPr="00D1590E" w:rsidRDefault="00D1590E" w:rsidP="00D1590E">
      <w:pPr>
        <w:pStyle w:val="HeadingBoldItalic"/>
      </w:pPr>
      <w:r w:rsidRPr="00D1590E">
        <w:t>The benchmark comparison point</w:t>
      </w:r>
    </w:p>
    <w:p w:rsidR="00D1590E" w:rsidRPr="00D1590E" w:rsidRDefault="00D1590E" w:rsidP="00D1590E">
      <w:pPr>
        <w:pStyle w:val="ListParagraph"/>
        <w:numPr>
          <w:ilvl w:val="0"/>
          <w:numId w:val="24"/>
        </w:numPr>
      </w:pPr>
      <w:r w:rsidRPr="00D1590E">
        <w:t>In our draft decisions, we adopted a benchmark comparison point based on the weighted average efficiency scores of all service providers with efficiency scores greater than 0.75 to account for potential data and modelling issues. This weighted average reduced the efficiency target from 0.95 (the frontier firm) to 0.86.</w:t>
      </w:r>
    </w:p>
    <w:p w:rsidR="00D1590E" w:rsidRPr="00D1590E" w:rsidRDefault="00D1590E" w:rsidP="00D1590E">
      <w:pPr>
        <w:pStyle w:val="ListParagraph"/>
        <w:numPr>
          <w:ilvl w:val="0"/>
          <w:numId w:val="24"/>
        </w:numPr>
      </w:pPr>
      <w:r w:rsidRPr="00D1590E">
        <w:lastRenderedPageBreak/>
        <w:t xml:space="preserve">For the reasons we outline in detail in section </w:t>
      </w:r>
      <w:r w:rsidRPr="00D1590E">
        <w:fldChar w:fldCharType="begin"/>
      </w:r>
      <w:r w:rsidRPr="00D1590E">
        <w:instrText xml:space="preserve"> REF _Ref415737208 \n \h </w:instrText>
      </w:r>
      <w:r w:rsidRPr="00D1590E">
        <w:fldChar w:fldCharType="separate"/>
      </w:r>
      <w:r w:rsidR="00C57342">
        <w:t>A.7</w:t>
      </w:r>
      <w:r w:rsidRPr="00D1590E">
        <w:fldChar w:fldCharType="end"/>
      </w:r>
      <w:r w:rsidRPr="00D1590E">
        <w:t>, we have reconsidered the benchmark comparison point in our final decisions. We have decided that, on balance, a more appropriate benchmark comparison point is the efficiency score for the business at the upper third (top 33 per cent) of companies in the benchmark sample (represented by AusNet Services). It reduces the benchmark comparison point from 0.86 (used in the draft decisions) to 0.77. We have done this because:</w:t>
      </w:r>
    </w:p>
    <w:p w:rsidR="00D1590E" w:rsidRPr="00D1590E" w:rsidRDefault="00D1590E" w:rsidP="00D1590E">
      <w:pPr>
        <w:pStyle w:val="AERbulletlistfirststyle"/>
      </w:pPr>
      <w:r w:rsidRPr="00D1590E">
        <w:t>this recognises that more than a third of the service providers in the NEM, operating in varied environments, are able to perform at or above our benchmark comparison point. We are confident that a firm that performs below this level is therefore spending in a manner that does not reasonably reflect the opex criteria. An adjustment back to this appropriately conservative point is sufficient to remove the material over-expenditure in the revealed costs while still incorporating an appropriately wide margin for potential modelling and data errors for the purposes of forecasting</w:t>
      </w:r>
    </w:p>
    <w:p w:rsidR="00D1590E" w:rsidRPr="00D1590E" w:rsidRDefault="00D1590E" w:rsidP="00D1590E">
      <w:pPr>
        <w:pStyle w:val="AERbulletlistfirststyle"/>
      </w:pPr>
      <w:r w:rsidRPr="00D1590E">
        <w:t>given it is our first application of benchmarking, it is appropriate to adopt a cautious approach</w:t>
      </w:r>
    </w:p>
    <w:p w:rsidR="00D1590E" w:rsidRPr="00D1590E" w:rsidRDefault="00D1590E" w:rsidP="00D1590E">
      <w:pPr>
        <w:pStyle w:val="AERbulletlistfirststyle"/>
        <w:rPr>
          <w:rStyle w:val="AERbody"/>
        </w:rPr>
      </w:pPr>
      <w:r w:rsidRPr="00D1590E">
        <w:rPr>
          <w:rStyle w:val="AERbody"/>
        </w:rPr>
        <w:t>our draft decision averaging approach produced an unusual result for service providers ranked in the top quartile of efficiency scores, but below the average of that top quartile. These service providers would require an efficiency adjustment to reach the average benchmark comparison point (because their scores are below the average) despite being efficient enough to be ranked in the top quartile and, hence, included in the average</w:t>
      </w:r>
    </w:p>
    <w:p w:rsidR="00D1590E" w:rsidRPr="00D1590E" w:rsidRDefault="00D1590E" w:rsidP="00D1590E">
      <w:pPr>
        <w:pStyle w:val="AERbulletlistfirststyle"/>
      </w:pPr>
      <w:r w:rsidRPr="00D1590E">
        <w:rPr>
          <w:rStyle w:val="AERbody"/>
        </w:rPr>
        <w:t xml:space="preserve">we consider this approach better achieves the NEO and RPP because it is </w:t>
      </w:r>
      <w:r w:rsidRPr="00D1590E">
        <w:t xml:space="preserve">sufficiently conservative to avoid the risks associated with undercompensating the service provider but also promotes efficiency incentives. </w:t>
      </w:r>
    </w:p>
    <w:p w:rsidR="00D1590E" w:rsidRPr="00D1590E" w:rsidRDefault="00D1590E" w:rsidP="00D1590E">
      <w:pPr>
        <w:pStyle w:val="ListParagraph"/>
        <w:numPr>
          <w:ilvl w:val="0"/>
          <w:numId w:val="24"/>
        </w:numPr>
      </w:pPr>
      <w:r w:rsidRPr="00D1590E">
        <w:fldChar w:fldCharType="begin"/>
      </w:r>
      <w:r w:rsidRPr="00D1590E">
        <w:instrText xml:space="preserve"> REF _Ref417644612 \h </w:instrText>
      </w:r>
      <w:r w:rsidRPr="00D1590E">
        <w:fldChar w:fldCharType="separate"/>
      </w:r>
      <w:r w:rsidR="00C57342" w:rsidRPr="00D1590E">
        <w:t xml:space="preserve">Figure </w:t>
      </w:r>
      <w:r w:rsidR="00C57342">
        <w:rPr>
          <w:noProof/>
        </w:rPr>
        <w:t>A</w:t>
      </w:r>
      <w:r w:rsidR="00C57342" w:rsidRPr="00D1590E">
        <w:t>.</w:t>
      </w:r>
      <w:r w:rsidR="00C57342">
        <w:rPr>
          <w:noProof/>
        </w:rPr>
        <w:t>4</w:t>
      </w:r>
      <w:r w:rsidRPr="00D1590E">
        <w:fldChar w:fldCharType="end"/>
      </w:r>
      <w:r w:rsidRPr="00D1590E">
        <w:t xml:space="preserve"> shows the </w:t>
      </w:r>
      <w:r w:rsidRPr="00D1590E">
        <w:rPr>
          <w:rStyle w:val="AERbody"/>
        </w:rPr>
        <w:t>efficiency scores using our SFA model for the NSW service providers compared to the modified benchmark comparison point, represented by the red line (AusNet Services). The blue line represents the frontier firm (CitiPower).</w:t>
      </w:r>
    </w:p>
    <w:p w:rsidR="00D1590E" w:rsidRPr="00D1590E" w:rsidRDefault="00D1590E" w:rsidP="00D1590E">
      <w:pPr>
        <w:pStyle w:val="Caption"/>
        <w:numPr>
          <w:ilvl w:val="0"/>
          <w:numId w:val="24"/>
        </w:numPr>
      </w:pPr>
      <w:bookmarkStart w:id="156" w:name="_Ref417644612"/>
      <w:r w:rsidRPr="00D1590E">
        <w:lastRenderedPageBreak/>
        <w:t xml:space="preserve">Figure </w:t>
      </w:r>
      <w:fldSimple w:instr=" STYLEREF 7 \s ">
        <w:r w:rsidR="00C57342">
          <w:rPr>
            <w:noProof/>
          </w:rPr>
          <w:t>A</w:t>
        </w:r>
      </w:fldSimple>
      <w:r w:rsidRPr="00D1590E">
        <w:t>.</w:t>
      </w:r>
      <w:fldSimple w:instr=" SEQ AFigure \* ARABIC \s 7 ">
        <w:r w:rsidR="00C57342">
          <w:rPr>
            <w:noProof/>
          </w:rPr>
          <w:t>4</w:t>
        </w:r>
      </w:fldSimple>
      <w:bookmarkEnd w:id="156"/>
      <w:r w:rsidRPr="00D1590E">
        <w:tab/>
        <w:t>Comparison of raw SFA efficiency scores to the revised benchmark comparison point, adjusted for operating environment factors</w:t>
      </w:r>
    </w:p>
    <w:p w:rsidR="00D1590E" w:rsidRPr="00D1590E" w:rsidRDefault="00D1590E" w:rsidP="00D1590E">
      <w:pPr>
        <w:pStyle w:val="ListParagraph"/>
        <w:numPr>
          <w:ilvl w:val="0"/>
          <w:numId w:val="24"/>
        </w:numPr>
      </w:pPr>
      <w:r w:rsidRPr="00D1590E">
        <w:rPr>
          <w:noProof/>
          <w:lang w:eastAsia="en-AU"/>
        </w:rPr>
        <w:drawing>
          <wp:inline distT="0" distB="0" distL="0" distR="0" wp14:anchorId="5CB4AF2E" wp14:editId="1AB16F60">
            <wp:extent cx="4980940" cy="29083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0940" cy="2908300"/>
                    </a:xfrm>
                    <a:prstGeom prst="rect">
                      <a:avLst/>
                    </a:prstGeom>
                    <a:noFill/>
                  </pic:spPr>
                </pic:pic>
              </a:graphicData>
            </a:graphic>
          </wp:inline>
        </w:drawing>
      </w:r>
    </w:p>
    <w:p w:rsidR="00D1590E" w:rsidRPr="00D1590E" w:rsidRDefault="00D1590E" w:rsidP="00D1590E">
      <w:pPr>
        <w:pStyle w:val="AERtablesource"/>
        <w:numPr>
          <w:ilvl w:val="0"/>
          <w:numId w:val="24"/>
        </w:numPr>
      </w:pPr>
      <w:r w:rsidRPr="00D1590E">
        <w:t xml:space="preserve">Source: </w:t>
      </w:r>
      <w:r w:rsidRPr="00D1590E">
        <w:tab/>
        <w:t>AER analysis.</w:t>
      </w:r>
    </w:p>
    <w:p w:rsidR="00D1590E" w:rsidRPr="00D1590E" w:rsidRDefault="00D1590E" w:rsidP="00D1590E">
      <w:pPr>
        <w:pStyle w:val="AERtablesource"/>
      </w:pPr>
      <w:r w:rsidRPr="00D1590E">
        <w:t>Note:</w:t>
      </w:r>
      <w:r w:rsidRPr="00D1590E">
        <w:tab/>
        <w:t>(1)</w:t>
      </w:r>
      <w:r w:rsidRPr="00D1590E">
        <w:tab/>
        <w:t xml:space="preserve">The raw SFA efficiency scores displayed are 'rolled forward' from a period-average basis (for 2006-2013) to the 2012–13 base year. We explain this in section </w:t>
      </w:r>
      <w:r w:rsidRPr="00D1590E">
        <w:fldChar w:fldCharType="begin"/>
      </w:r>
      <w:r w:rsidRPr="00D1590E">
        <w:instrText xml:space="preserve"> REF _Ref416803943 \n \h </w:instrText>
      </w:r>
      <w:r w:rsidRPr="00D1590E">
        <w:fldChar w:fldCharType="separate"/>
      </w:r>
      <w:r w:rsidR="00C57342">
        <w:t>A.7</w:t>
      </w:r>
      <w:r w:rsidRPr="00D1590E">
        <w:fldChar w:fldCharType="end"/>
      </w:r>
      <w:r w:rsidRPr="00D1590E">
        <w:t xml:space="preserve"> in our discussion of the adjustment process.</w:t>
      </w:r>
    </w:p>
    <w:p w:rsidR="00D1590E" w:rsidRPr="00D1590E" w:rsidRDefault="00D1590E" w:rsidP="00D1590E">
      <w:pPr>
        <w:pStyle w:val="AERtablesource"/>
      </w:pPr>
      <w:r w:rsidRPr="00D1590E">
        <w:tab/>
        <w:t>(2)</w:t>
      </w:r>
      <w:r w:rsidRPr="00D1590E">
        <w:tab/>
        <w:t xml:space="preserve">As explained above, our operating environment factor adjustments are percentage adjustments relative to the frontier. Therefore, the operating environment factor adjustments in </w:t>
      </w:r>
      <w:r w:rsidRPr="00D1590E">
        <w:fldChar w:fldCharType="begin"/>
      </w:r>
      <w:r w:rsidRPr="00D1590E">
        <w:instrText xml:space="preserve"> REF _Ref417644612 \h </w:instrText>
      </w:r>
      <w:r w:rsidRPr="00D1590E">
        <w:fldChar w:fldCharType="separate"/>
      </w:r>
      <w:r w:rsidR="00C57342" w:rsidRPr="00D1590E">
        <w:t xml:space="preserve">Figure </w:t>
      </w:r>
      <w:r w:rsidR="00C57342">
        <w:rPr>
          <w:noProof/>
        </w:rPr>
        <w:t>A</w:t>
      </w:r>
      <w:r w:rsidR="00C57342" w:rsidRPr="00D1590E">
        <w:t>.</w:t>
      </w:r>
      <w:r w:rsidR="00C57342">
        <w:rPr>
          <w:noProof/>
        </w:rPr>
        <w:t>4</w:t>
      </w:r>
      <w:r w:rsidRPr="00D1590E">
        <w:fldChar w:fldCharType="end"/>
      </w:r>
      <w:r w:rsidRPr="00D1590E">
        <w:t xml:space="preserve"> (in dark blue) will not reflect the absolute percentages (12% for Ausgrid and Endeavour Energy, 11% for Essential Energy). </w:t>
      </w:r>
    </w:p>
    <w:p w:rsidR="00D1590E" w:rsidRPr="00D1590E" w:rsidRDefault="00D1590E" w:rsidP="00D1590E">
      <w:pPr>
        <w:pStyle w:val="ListParagraph"/>
        <w:numPr>
          <w:ilvl w:val="0"/>
          <w:numId w:val="24"/>
        </w:numPr>
        <w:rPr>
          <w:rStyle w:val="AERbody"/>
        </w:rPr>
      </w:pPr>
      <w:r w:rsidRPr="00D1590E">
        <w:fldChar w:fldCharType="begin"/>
      </w:r>
      <w:r w:rsidRPr="00D1590E">
        <w:instrText xml:space="preserve"> REF _Ref417644612 \h </w:instrText>
      </w:r>
      <w:r w:rsidRPr="00D1590E">
        <w:fldChar w:fldCharType="separate"/>
      </w:r>
      <w:r w:rsidR="00C57342" w:rsidRPr="00D1590E">
        <w:t xml:space="preserve">Figure </w:t>
      </w:r>
      <w:r w:rsidR="00C57342">
        <w:rPr>
          <w:noProof/>
        </w:rPr>
        <w:t>A</w:t>
      </w:r>
      <w:r w:rsidR="00C57342" w:rsidRPr="00D1590E">
        <w:t>.</w:t>
      </w:r>
      <w:r w:rsidR="00C57342">
        <w:rPr>
          <w:noProof/>
        </w:rPr>
        <w:t>4</w:t>
      </w:r>
      <w:r w:rsidRPr="00D1590E">
        <w:fldChar w:fldCharType="end"/>
      </w:r>
      <w:r w:rsidRPr="00D1590E">
        <w:t xml:space="preserve"> demonstrates the difference between the frontier firm and our modified benchmark comparison point. Due to the lower benchmark comparison point, Endeavour Energy's result is now </w:t>
      </w:r>
      <w:r w:rsidRPr="00D1590E">
        <w:rPr>
          <w:rStyle w:val="AERbody"/>
        </w:rPr>
        <w:t>above</w:t>
      </w:r>
      <w:r w:rsidRPr="00D1590E">
        <w:t xml:space="preserve"> it. This means we are able to rely on Endeavour Energy's revealed opex because it is not materially inefficient. However, </w:t>
      </w:r>
      <w:r w:rsidRPr="00D1590E">
        <w:fldChar w:fldCharType="begin"/>
      </w:r>
      <w:r w:rsidRPr="00D1590E">
        <w:instrText xml:space="preserve"> REF _Ref417644612 \h </w:instrText>
      </w:r>
      <w:r w:rsidRPr="00D1590E">
        <w:fldChar w:fldCharType="separate"/>
      </w:r>
      <w:r w:rsidR="00C57342" w:rsidRPr="00D1590E">
        <w:t xml:space="preserve">Figure </w:t>
      </w:r>
      <w:r w:rsidR="00C57342">
        <w:rPr>
          <w:noProof/>
        </w:rPr>
        <w:t>A</w:t>
      </w:r>
      <w:r w:rsidR="00C57342" w:rsidRPr="00D1590E">
        <w:t>.</w:t>
      </w:r>
      <w:r w:rsidR="00C57342">
        <w:rPr>
          <w:noProof/>
        </w:rPr>
        <w:t>4</w:t>
      </w:r>
      <w:r w:rsidRPr="00D1590E">
        <w:fldChar w:fldCharType="end"/>
      </w:r>
      <w:r w:rsidRPr="00D1590E">
        <w:t xml:space="preserve"> </w:t>
      </w:r>
      <w:r w:rsidRPr="00D1590E">
        <w:rPr>
          <w:rStyle w:val="AERbody"/>
        </w:rPr>
        <w:t xml:space="preserve">also shows that Endeavour Energy is still inefficient when compared to the frontier. </w:t>
      </w:r>
    </w:p>
    <w:p w:rsidR="00D1590E" w:rsidRPr="00D1590E" w:rsidRDefault="00D1590E" w:rsidP="00D1590E">
      <w:pPr>
        <w:pStyle w:val="ListParagraph"/>
        <w:numPr>
          <w:ilvl w:val="0"/>
          <w:numId w:val="24"/>
        </w:numPr>
      </w:pPr>
      <w:r w:rsidRPr="00D1590E">
        <w:t xml:space="preserve">In addition, a substantial gap remains between Ausgrid's and Essential Energy's efficiency scores, adjusted for operating environment factors, and the benchmark comparison point. </w:t>
      </w:r>
      <w:r w:rsidRPr="00D1590E">
        <w:rPr>
          <w:rStyle w:val="AERbody"/>
        </w:rPr>
        <w:t xml:space="preserve">This is explained in more detail in section </w:t>
      </w:r>
      <w:r w:rsidRPr="00D1590E">
        <w:rPr>
          <w:rStyle w:val="AERbody"/>
        </w:rPr>
        <w:fldChar w:fldCharType="begin"/>
      </w:r>
      <w:r w:rsidRPr="00D1590E">
        <w:rPr>
          <w:rStyle w:val="AERbody"/>
        </w:rPr>
        <w:instrText xml:space="preserve"> REF _Ref415737208 \n \h </w:instrText>
      </w:r>
      <w:r w:rsidRPr="00D1590E">
        <w:rPr>
          <w:rStyle w:val="AERbody"/>
        </w:rPr>
      </w:r>
      <w:r w:rsidRPr="00D1590E">
        <w:rPr>
          <w:rStyle w:val="AERbody"/>
        </w:rPr>
        <w:fldChar w:fldCharType="separate"/>
      </w:r>
      <w:r w:rsidR="00C57342">
        <w:rPr>
          <w:rStyle w:val="AERbody"/>
        </w:rPr>
        <w:t>A.7</w:t>
      </w:r>
      <w:r w:rsidRPr="00D1590E">
        <w:rPr>
          <w:rStyle w:val="AERbody"/>
        </w:rPr>
        <w:fldChar w:fldCharType="end"/>
      </w:r>
      <w:r w:rsidRPr="00D1590E">
        <w:rPr>
          <w:rStyle w:val="AERbody"/>
        </w:rPr>
        <w:t>.</w:t>
      </w:r>
    </w:p>
    <w:p w:rsidR="00D1590E" w:rsidRPr="00D1590E" w:rsidRDefault="00D1590E" w:rsidP="00D1590E">
      <w:pPr>
        <w:pStyle w:val="HeadingBoldItalic"/>
      </w:pPr>
      <w:r w:rsidRPr="00D1590E">
        <w:t>The adjustment process</w:t>
      </w:r>
    </w:p>
    <w:p w:rsidR="00D1590E" w:rsidRPr="00D1590E" w:rsidRDefault="00D1590E" w:rsidP="00D1590E">
      <w:pPr>
        <w:pStyle w:val="ListParagraph"/>
        <w:numPr>
          <w:ilvl w:val="0"/>
          <w:numId w:val="24"/>
        </w:numPr>
      </w:pPr>
      <w:r w:rsidRPr="00D1590E">
        <w:t xml:space="preserve">The adjustment process involves using the SFA model (our most robust benchmarking technique) to estimate average efficiency over the 2006–13 period. We then adjust the SFA results to take into account the reduced benchmark comparison point and operating environment factor allowances that we discussed above. Because we compare average efficiency, we must 'roll forward' the average efficient opex to the 2012–13 base year, because that is the relevant starting point for estimating total </w:t>
      </w:r>
      <w:r w:rsidRPr="00D1590E">
        <w:lastRenderedPageBreak/>
        <w:t>forecast opex that reasonably reflects the opex criteria. We do this by applying the measured rate of change, which accounts for the difference between output, price and productivity in the 2012–13 base year and at the period average (2006 to 2013).</w:t>
      </w:r>
      <w:r w:rsidRPr="00D1590E">
        <w:rPr>
          <w:rStyle w:val="FootnoteReference"/>
        </w:rPr>
        <w:footnoteReference w:id="125"/>
      </w:r>
    </w:p>
    <w:p w:rsidR="00D1590E" w:rsidRPr="00D1590E" w:rsidRDefault="00D1590E" w:rsidP="00D1590E">
      <w:pPr>
        <w:pStyle w:val="ListParagraph"/>
        <w:numPr>
          <w:ilvl w:val="0"/>
          <w:numId w:val="24"/>
        </w:numPr>
      </w:pPr>
      <w:r w:rsidRPr="00D1590E">
        <w:t>A key reason we use average period efficiency scores is because they reduce the impact of year–specific fluctuations not under the control of the service provider (such as weather conditions). Given the sample period is only eight years, Economic Insights considers the average is sufficiently recent to avoid potential loss of current relevance.</w:t>
      </w:r>
      <w:r w:rsidRPr="00D1590E">
        <w:rPr>
          <w:rStyle w:val="FootnoteReference"/>
        </w:rPr>
        <w:footnoteReference w:id="126"/>
      </w:r>
    </w:p>
    <w:p w:rsidR="00D1590E" w:rsidRPr="00D1590E" w:rsidRDefault="00D1590E" w:rsidP="00D1590E">
      <w:pPr>
        <w:pStyle w:val="ListParagraph"/>
        <w:numPr>
          <w:ilvl w:val="0"/>
          <w:numId w:val="24"/>
        </w:numPr>
      </w:pPr>
      <w:r w:rsidRPr="00D1590E">
        <w:t xml:space="preserve">Average efficiency results also provide us with an estimate of underlying recurrent expenditure not influenced by year on year changes, which we require for the Guideline approach to estimating total forecast opex. </w:t>
      </w:r>
    </w:p>
    <w:p w:rsidR="00D1590E" w:rsidRPr="00D1590E" w:rsidRDefault="00D1590E" w:rsidP="00D1590E">
      <w:pPr>
        <w:pStyle w:val="ListParagraph"/>
        <w:numPr>
          <w:ilvl w:val="0"/>
          <w:numId w:val="24"/>
        </w:numPr>
      </w:pPr>
      <w:r w:rsidRPr="00D1590E">
        <w:t xml:space="preserve">We discuss our adjustment in detail in section </w:t>
      </w:r>
      <w:r w:rsidRPr="00D1590E">
        <w:rPr>
          <w:rStyle w:val="AERbody"/>
        </w:rPr>
        <w:fldChar w:fldCharType="begin"/>
      </w:r>
      <w:r w:rsidRPr="00D1590E">
        <w:rPr>
          <w:rStyle w:val="AERbody"/>
        </w:rPr>
        <w:instrText xml:space="preserve"> REF _Ref415737208 \n \h </w:instrText>
      </w:r>
      <w:r w:rsidRPr="00D1590E">
        <w:rPr>
          <w:rStyle w:val="AERbody"/>
        </w:rPr>
      </w:r>
      <w:r w:rsidRPr="00D1590E">
        <w:rPr>
          <w:rStyle w:val="AERbody"/>
        </w:rPr>
        <w:fldChar w:fldCharType="separate"/>
      </w:r>
      <w:r w:rsidR="00C57342">
        <w:rPr>
          <w:rStyle w:val="AERbody"/>
        </w:rPr>
        <w:t>A.7</w:t>
      </w:r>
      <w:r w:rsidRPr="00D1590E">
        <w:rPr>
          <w:rStyle w:val="AERbody"/>
        </w:rPr>
        <w:fldChar w:fldCharType="end"/>
      </w:r>
      <w:r w:rsidRPr="00D1590E">
        <w:t>.</w:t>
      </w:r>
    </w:p>
    <w:p w:rsidR="00D1590E" w:rsidRPr="00D1590E" w:rsidRDefault="00D1590E" w:rsidP="00D1590E">
      <w:pPr>
        <w:pStyle w:val="Heading9"/>
      </w:pPr>
      <w:bookmarkStart w:id="157" w:name="_Toc417646256"/>
      <w:bookmarkStart w:id="158" w:name="_Toc417649213"/>
      <w:bookmarkStart w:id="159" w:name="_Toc417659845"/>
      <w:r w:rsidRPr="00D1590E">
        <w:t>Summary responses to the service providers' submissions</w:t>
      </w:r>
      <w:bookmarkEnd w:id="157"/>
      <w:bookmarkEnd w:id="158"/>
      <w:bookmarkEnd w:id="159"/>
    </w:p>
    <w:p w:rsidR="00D1590E" w:rsidRPr="00D1590E" w:rsidRDefault="00D1590E" w:rsidP="00D1590E">
      <w:pPr>
        <w:rPr>
          <w:rStyle w:val="AERbody"/>
        </w:rPr>
      </w:pPr>
      <w:r w:rsidRPr="00D1590E">
        <w:rPr>
          <w:rStyle w:val="AERbody"/>
        </w:rPr>
        <w:t>In their revised regulatory proposals, the service providers submitted a large amount of material commenting on our draft decision approach to assessing opex. Key submissions made by the service providers that are relevant to base year opex include:</w:t>
      </w:r>
    </w:p>
    <w:p w:rsidR="00D1590E" w:rsidRPr="00D1590E" w:rsidRDefault="00D1590E" w:rsidP="00D1590E">
      <w:pPr>
        <w:pStyle w:val="AERbulletlistfirststyle"/>
        <w:rPr>
          <w:rStyle w:val="AERbody"/>
        </w:rPr>
      </w:pPr>
      <w:r w:rsidRPr="00D1590E">
        <w:rPr>
          <w:rStyle w:val="AERbody"/>
        </w:rPr>
        <w:t>our approach "placed unreasonable weight on…benchmarking results" and, therefore, is inconsistent with the NEL and the NER</w:t>
      </w:r>
    </w:p>
    <w:p w:rsidR="00D1590E" w:rsidRPr="00D1590E" w:rsidRDefault="00D1590E" w:rsidP="00D1590E">
      <w:pPr>
        <w:pStyle w:val="AERbulletlistfirststyle"/>
        <w:rPr>
          <w:rStyle w:val="AERbody"/>
        </w:rPr>
      </w:pPr>
      <w:r w:rsidRPr="00D1590E">
        <w:rPr>
          <w:rStyle w:val="AERbody"/>
        </w:rPr>
        <w:t>our benchmarking is "fundamentally flawed" and not supported by our other assessment techniques</w:t>
      </w:r>
    </w:p>
    <w:p w:rsidR="00D1590E" w:rsidRPr="00D1590E" w:rsidRDefault="00D1590E" w:rsidP="00D1590E">
      <w:pPr>
        <w:pStyle w:val="AERbulletlistfirststyle"/>
        <w:rPr>
          <w:rStyle w:val="AERbody"/>
        </w:rPr>
      </w:pPr>
      <w:r w:rsidRPr="00D1590E">
        <w:rPr>
          <w:rStyle w:val="AERbody"/>
        </w:rPr>
        <w:t>we did not adequately consider the service providers' regulatory proposals or their individual circumstances.</w:t>
      </w:r>
    </w:p>
    <w:p w:rsidR="00D1590E" w:rsidRPr="00D1590E" w:rsidRDefault="00D1590E" w:rsidP="00D1590E">
      <w:r w:rsidRPr="00D1590E">
        <w:rPr>
          <w:rStyle w:val="AERbody"/>
        </w:rPr>
        <w:t>Throughout this appendix, we respond to the submissions put forward by the service providers and other stakeholders in the course of explaining our approach and findings. This section provides an overview of our response to the above three key submissions.</w:t>
      </w:r>
    </w:p>
    <w:p w:rsidR="00D1590E" w:rsidRPr="00D1590E" w:rsidRDefault="00D1590E" w:rsidP="00D1590E">
      <w:pPr>
        <w:pStyle w:val="HeadingBoldBlue"/>
      </w:pPr>
      <w:bookmarkStart w:id="160" w:name="_Toc417646257"/>
      <w:r w:rsidRPr="00D1590E">
        <w:t>Reasonable weight placed on benchmarking</w:t>
      </w:r>
      <w:bookmarkEnd w:id="160"/>
    </w:p>
    <w:p w:rsidR="00D1590E" w:rsidRPr="00D1590E" w:rsidRDefault="00D1590E" w:rsidP="00D1590E">
      <w:r w:rsidRPr="00D1590E">
        <w:t xml:space="preserve">The service providers submit that our decisions on forecast opex rely exclusively on benchmarking to both reject the companies' proposed forecast opex and as the basis for substituted opex. In so doing, the NSW service providers submit that our draft </w:t>
      </w:r>
      <w:r w:rsidRPr="00D1590E">
        <w:lastRenderedPageBreak/>
        <w:t>decisions have not properly addressed the requirements of the opex criteria, having regard to the 11 opex factors under the NER. Additionally, they consider the NER "seek the AER to undertake a broader examination of a DNSP's proposal", but that we have not done this. This, they submit, amounts to effectively disregarding our 2009–14 distribution determination of efficient forecast opex.</w:t>
      </w:r>
      <w:r w:rsidRPr="00D1590E">
        <w:rPr>
          <w:rStyle w:val="FootnoteReference"/>
        </w:rPr>
        <w:footnoteReference w:id="127"/>
      </w:r>
      <w:r w:rsidRPr="00D1590E">
        <w:t xml:space="preserve"> </w:t>
      </w:r>
    </w:p>
    <w:p w:rsidR="00D1590E" w:rsidRPr="00D1590E" w:rsidRDefault="00D1590E" w:rsidP="00D1590E">
      <w:pPr>
        <w:rPr>
          <w:rStyle w:val="AERbody"/>
        </w:rPr>
      </w:pPr>
      <w:r w:rsidRPr="00D1590E">
        <w:t>We do not agree. As outlined in the Guideline, in our draft decisions and in this final decision, we have relied on</w:t>
      </w:r>
      <w:r w:rsidRPr="00D1590E">
        <w:rPr>
          <w:rStyle w:val="AERbody"/>
        </w:rPr>
        <w:t xml:space="preserve"> several assessment techniques, both quantitative and qualitative to assess the service providers' proposed forecast opex. In doing so, we have used the same techniques as the basis for determining substitute opex. We have used our discretion to give benchmarking prominent, but appropriate weight based on its robustness and utility. </w:t>
      </w:r>
    </w:p>
    <w:p w:rsidR="00D1590E" w:rsidRPr="00D1590E" w:rsidRDefault="00D1590E" w:rsidP="00D1590E">
      <w:pPr>
        <w:rPr>
          <w:rStyle w:val="AERbody"/>
        </w:rPr>
      </w:pPr>
      <w:r w:rsidRPr="00D1590E">
        <w:rPr>
          <w:rStyle w:val="AERbody"/>
        </w:rPr>
        <w:t>We have assessed the service providers' proposals using the techniques outlined in the Guideline. We have engaged with the details of the service providers' proposals to the extent they are relevant to our assessment of base opex. They were the starting point for our assessment. Ultimately, however, we must form a view on the amount of a service provider's forecast, not the specific contents of the proposal.</w:t>
      </w:r>
      <w:r w:rsidRPr="00D1590E">
        <w:rPr>
          <w:rStyle w:val="FootnoteReference"/>
        </w:rPr>
        <w:footnoteReference w:id="128"/>
      </w:r>
    </w:p>
    <w:p w:rsidR="00D1590E" w:rsidRPr="00D1590E" w:rsidRDefault="00D1590E" w:rsidP="00D1590E">
      <w:r w:rsidRPr="00D1590E">
        <w:rPr>
          <w:rStyle w:val="AERbody"/>
        </w:rPr>
        <w:t xml:space="preserve">Further, since our 2009–14 determination, we have developed new techniques that give us better insight into assessing expenditure and have new information that we are able to take into account. </w:t>
      </w:r>
      <w:r w:rsidRPr="00D1590E">
        <w:t>All stakeholders should expect us to use new techniques and information when they become available.</w:t>
      </w:r>
      <w:r w:rsidRPr="00D1590E">
        <w:rPr>
          <w:rStyle w:val="FootnoteReference"/>
        </w:rPr>
        <w:footnoteReference w:id="129"/>
      </w:r>
      <w:r w:rsidRPr="00D1590E">
        <w:t xml:space="preserve"> This new information demonstrates that the service providers' revealed costs are inefficient. However, we have not moved away from revealed costs—we use them when it is appropriate to do so. Rather, we have used new techniques to ensure that we are better able to make a decision that reasonably reflects the opex criteria for the future. Our approach represents a refinement of our longstanding approach to assessing opex. </w:t>
      </w:r>
    </w:p>
    <w:p w:rsidR="00D1590E" w:rsidRPr="00D1590E" w:rsidRDefault="00D1590E" w:rsidP="00D1590E">
      <w:pPr>
        <w:rPr>
          <w:rStyle w:val="AERbody"/>
        </w:rPr>
      </w:pPr>
      <w:r w:rsidRPr="00D1590E">
        <w:rPr>
          <w:rStyle w:val="AERbody"/>
        </w:rPr>
        <w:t xml:space="preserve">We discuss these issues in detail in section </w:t>
      </w:r>
      <w:r w:rsidRPr="00D1590E">
        <w:rPr>
          <w:rStyle w:val="AERbody"/>
        </w:rPr>
        <w:fldChar w:fldCharType="begin"/>
      </w:r>
      <w:r w:rsidRPr="00D1590E">
        <w:rPr>
          <w:rStyle w:val="AERbody"/>
        </w:rPr>
        <w:instrText xml:space="preserve"> REF _Ref415580420 \n \h </w:instrText>
      </w:r>
      <w:r w:rsidRPr="00D1590E">
        <w:rPr>
          <w:rStyle w:val="AERbody"/>
        </w:rPr>
      </w:r>
      <w:r w:rsidRPr="00D1590E">
        <w:rPr>
          <w:rStyle w:val="AERbody"/>
        </w:rPr>
        <w:fldChar w:fldCharType="separate"/>
      </w:r>
      <w:r w:rsidR="00C57342">
        <w:rPr>
          <w:rStyle w:val="AERbody"/>
        </w:rPr>
        <w:t>A.3</w:t>
      </w:r>
      <w:r w:rsidRPr="00D1590E">
        <w:rPr>
          <w:rStyle w:val="AERbody"/>
        </w:rPr>
        <w:fldChar w:fldCharType="end"/>
      </w:r>
      <w:r w:rsidRPr="00D1590E">
        <w:rPr>
          <w:rStyle w:val="AERbody"/>
        </w:rPr>
        <w:t>.</w:t>
      </w:r>
    </w:p>
    <w:p w:rsidR="00D1590E" w:rsidRPr="00D1590E" w:rsidRDefault="00D1590E" w:rsidP="00D1590E">
      <w:pPr>
        <w:pStyle w:val="HeadingBoldBlue"/>
      </w:pPr>
      <w:bookmarkStart w:id="161" w:name="_Toc417646258"/>
      <w:r w:rsidRPr="00D1590E">
        <w:t>Benchmarking is robust, reliable and reasonable</w:t>
      </w:r>
      <w:bookmarkEnd w:id="161"/>
    </w:p>
    <w:p w:rsidR="00D1590E" w:rsidRPr="00D1590E" w:rsidRDefault="00D1590E" w:rsidP="00D1590E">
      <w:r w:rsidRPr="00D1590E">
        <w:t>The service providers have all submitted (and used consultants to support their view) that our benchmarking is fundamentally flawed due to, for example:</w:t>
      </w:r>
      <w:r w:rsidRPr="00D1590E">
        <w:rPr>
          <w:rStyle w:val="FootnoteReference"/>
        </w:rPr>
        <w:footnoteReference w:id="130"/>
      </w:r>
    </w:p>
    <w:p w:rsidR="00D1590E" w:rsidRPr="00D1590E" w:rsidRDefault="00D1590E" w:rsidP="00D1590E">
      <w:pPr>
        <w:pStyle w:val="AERbulletlistfirststyle"/>
      </w:pPr>
      <w:r w:rsidRPr="00D1590E">
        <w:t>conceptual limitations</w:t>
      </w:r>
    </w:p>
    <w:p w:rsidR="00D1590E" w:rsidRPr="00D1590E" w:rsidRDefault="00D1590E" w:rsidP="00D1590E">
      <w:pPr>
        <w:pStyle w:val="AERbulletlistfirststyle"/>
      </w:pPr>
      <w:r w:rsidRPr="00D1590E">
        <w:lastRenderedPageBreak/>
        <w:t>variable selection</w:t>
      </w:r>
    </w:p>
    <w:p w:rsidR="00D1590E" w:rsidRPr="00D1590E" w:rsidRDefault="00D1590E" w:rsidP="00D1590E">
      <w:pPr>
        <w:pStyle w:val="AERbulletlistfirststyle"/>
      </w:pPr>
      <w:r w:rsidRPr="00D1590E">
        <w:t>data comparability and reliability</w:t>
      </w:r>
    </w:p>
    <w:p w:rsidR="00D1590E" w:rsidRPr="00D1590E" w:rsidRDefault="00D1590E" w:rsidP="00D1590E">
      <w:pPr>
        <w:pStyle w:val="AERbulletlistfirststyle"/>
      </w:pPr>
      <w:r w:rsidRPr="00D1590E">
        <w:t>lack of a reasonableness check.</w:t>
      </w:r>
    </w:p>
    <w:p w:rsidR="00D1590E" w:rsidRPr="00D1590E" w:rsidRDefault="00D1590E" w:rsidP="00D1590E">
      <w:r w:rsidRPr="00D1590E">
        <w:t>Our view is that Economic Insights' benchmarking is robust and reliable. The model specification and estimation methods are superior to the alternatives proposed by the service providers and their consultants. In addition, the Australian data we are using are robust because we have gathered, tested and validated it over three years of consultation with service providers and other interested stakeholders. The international data Economic Insights has used (to improve the precision of the models) has been used by the electricity regulators in the respective jurisdictions in recent regulatory decisions.</w:t>
      </w:r>
      <w:r w:rsidRPr="00D1590E">
        <w:rPr>
          <w:rStyle w:val="FootnoteReference"/>
        </w:rPr>
        <w:footnoteReference w:id="131"/>
      </w:r>
    </w:p>
    <w:p w:rsidR="00D1590E" w:rsidRPr="00D1590E" w:rsidRDefault="00D1590E" w:rsidP="00D1590E">
      <w:r w:rsidRPr="00D1590E">
        <w:t>Economic Insights responds to the service providers' submissions in detail in its final decision report.</w:t>
      </w:r>
      <w:r w:rsidRPr="00D1590E">
        <w:rPr>
          <w:rStyle w:val="FootnoteReference"/>
        </w:rPr>
        <w:footnoteReference w:id="132"/>
      </w:r>
      <w:r w:rsidRPr="00D1590E">
        <w:t xml:space="preserve"> We also discuss this further in section </w:t>
      </w:r>
      <w:r w:rsidRPr="00D1590E">
        <w:fldChar w:fldCharType="begin"/>
      </w:r>
      <w:r w:rsidRPr="00D1590E">
        <w:instrText xml:space="preserve"> REF _Ref417551812 \n \h </w:instrText>
      </w:r>
      <w:r w:rsidRPr="00D1590E">
        <w:fldChar w:fldCharType="separate"/>
      </w:r>
      <w:r w:rsidR="00C57342">
        <w:t>A.4</w:t>
      </w:r>
      <w:r w:rsidRPr="00D1590E">
        <w:fldChar w:fldCharType="end"/>
      </w:r>
      <w:r w:rsidRPr="00D1590E">
        <w:t>.</w:t>
      </w:r>
    </w:p>
    <w:p w:rsidR="00D1590E" w:rsidRPr="00D1590E" w:rsidRDefault="00D1590E" w:rsidP="00D1590E">
      <w:pPr>
        <w:pStyle w:val="HeadingBoldBlue"/>
      </w:pPr>
      <w:bookmarkStart w:id="162" w:name="_Toc417646259"/>
      <w:r w:rsidRPr="00D1590E">
        <w:t>Regulatory proposals and individual circumstances are considered</w:t>
      </w:r>
      <w:bookmarkEnd w:id="162"/>
    </w:p>
    <w:p w:rsidR="00D1590E" w:rsidRPr="00D1590E" w:rsidRDefault="00D1590E" w:rsidP="00D1590E">
      <w:r w:rsidRPr="00D1590E">
        <w:t>Broadly, the service providers submit that by relying on benchmarking as part of our assessment approach, we have:</w:t>
      </w:r>
      <w:r w:rsidR="00AF23F8">
        <w:rPr>
          <w:rStyle w:val="FootnoteReference"/>
        </w:rPr>
        <w:footnoteReference w:id="133"/>
      </w:r>
    </w:p>
    <w:p w:rsidR="00D1590E" w:rsidRPr="00D1590E" w:rsidRDefault="00D1590E" w:rsidP="00D1590E">
      <w:pPr>
        <w:pStyle w:val="AERbulletlistfirststyle"/>
      </w:pPr>
      <w:r w:rsidRPr="00D1590E">
        <w:t>not started our assessment with their regulatory proposals or examined which aspects of their proposals involve inefficient expenditure in any level of detail</w:t>
      </w:r>
    </w:p>
    <w:p w:rsidR="00D1590E" w:rsidRPr="00D1590E" w:rsidRDefault="00D1590E" w:rsidP="00D1590E">
      <w:pPr>
        <w:pStyle w:val="AERbulletlistfirststyle"/>
      </w:pPr>
      <w:r w:rsidRPr="00D1590E">
        <w:t>failed to comply with the NER requirements to have regard to their individual circumstances.</w:t>
      </w:r>
    </w:p>
    <w:p w:rsidR="00D1590E" w:rsidRPr="00D1590E" w:rsidRDefault="00D1590E" w:rsidP="00D1590E">
      <w:r w:rsidRPr="00D1590E">
        <w:t xml:space="preserve">Benchmarking is a tool we use to assess regulatory proposals. We also use it in setting a substitute forecast if we are not satisfied that a service provider's proposed forecast reasonably reflects the opex criteria. We have considered the service providers' proposals in significant detail in conducting our assessments.  We have conducted detailed reviews and analysed the service providers' forecasting approaches. We also have had regard to the service providers' individual circumstances through our review of operating environment factors (see section </w:t>
      </w:r>
      <w:r w:rsidRPr="00D1590E">
        <w:fldChar w:fldCharType="begin"/>
      </w:r>
      <w:r w:rsidRPr="00D1590E">
        <w:instrText xml:space="preserve"> REF _Ref417551822 \n \h </w:instrText>
      </w:r>
      <w:r w:rsidRPr="00D1590E">
        <w:fldChar w:fldCharType="separate"/>
      </w:r>
      <w:r w:rsidR="00C57342">
        <w:t>A.6</w:t>
      </w:r>
      <w:r w:rsidRPr="00D1590E">
        <w:fldChar w:fldCharType="end"/>
      </w:r>
      <w:r w:rsidRPr="00D1590E">
        <w:t xml:space="preserve">) to the extent required by the NER and in accordance with the intent of the AEMC. </w:t>
      </w:r>
    </w:p>
    <w:p w:rsidR="00D1590E" w:rsidRPr="00D1590E" w:rsidRDefault="00D1590E" w:rsidP="00D1590E">
      <w:r w:rsidRPr="00D1590E">
        <w:t xml:space="preserve">We disagree with the service providers' view that the NER require us to consider their endogenous circumstances. The AEMC is clear that while exogenous circumstances </w:t>
      </w:r>
      <w:r w:rsidRPr="00D1590E">
        <w:lastRenderedPageBreak/>
        <w:t>are relevant and should be accounted for, endogenous circumstances should not be considered.</w:t>
      </w:r>
      <w:r w:rsidRPr="00D1590E">
        <w:rPr>
          <w:rStyle w:val="FootnoteReference"/>
        </w:rPr>
        <w:t xml:space="preserve"> </w:t>
      </w:r>
      <w:r w:rsidRPr="00D1590E">
        <w:rPr>
          <w:rStyle w:val="FootnoteReference"/>
        </w:rPr>
        <w:footnoteReference w:id="134"/>
      </w:r>
    </w:p>
    <w:p w:rsidR="00D1590E" w:rsidRPr="00D1590E" w:rsidRDefault="00D1590E" w:rsidP="00D1590E">
      <w:pPr>
        <w:rPr>
          <w:rStyle w:val="AERbody"/>
        </w:rPr>
      </w:pPr>
      <w:r w:rsidRPr="00D1590E">
        <w:rPr>
          <w:rStyle w:val="AERbody"/>
        </w:rPr>
        <w:t xml:space="preserve">We discuss these issues in detail in section </w:t>
      </w:r>
      <w:r w:rsidRPr="00D1590E">
        <w:rPr>
          <w:rStyle w:val="AERbody"/>
        </w:rPr>
        <w:fldChar w:fldCharType="begin"/>
      </w:r>
      <w:r w:rsidRPr="00D1590E">
        <w:rPr>
          <w:rStyle w:val="AERbody"/>
        </w:rPr>
        <w:instrText xml:space="preserve"> REF _Ref415580420 \n \h </w:instrText>
      </w:r>
      <w:r w:rsidRPr="00D1590E">
        <w:rPr>
          <w:rStyle w:val="AERbody"/>
        </w:rPr>
      </w:r>
      <w:r w:rsidRPr="00D1590E">
        <w:rPr>
          <w:rStyle w:val="AERbody"/>
        </w:rPr>
        <w:fldChar w:fldCharType="separate"/>
      </w:r>
      <w:r w:rsidR="00C57342">
        <w:rPr>
          <w:rStyle w:val="AERbody"/>
        </w:rPr>
        <w:t>A.3</w:t>
      </w:r>
      <w:r w:rsidRPr="00D1590E">
        <w:rPr>
          <w:rStyle w:val="AERbody"/>
        </w:rPr>
        <w:fldChar w:fldCharType="end"/>
      </w:r>
      <w:r w:rsidRPr="00D1590E">
        <w:rPr>
          <w:rStyle w:val="AERbody"/>
        </w:rPr>
        <w:t>.</w:t>
      </w:r>
    </w:p>
    <w:p w:rsidR="00D1590E" w:rsidRPr="00D1590E" w:rsidRDefault="00D1590E" w:rsidP="00D1590E">
      <w:bookmarkStart w:id="163" w:name="_Ref415580406"/>
      <w:r w:rsidRPr="00D1590E">
        <w:br w:type="page"/>
      </w:r>
    </w:p>
    <w:p w:rsidR="00D1590E" w:rsidRPr="00D1590E" w:rsidRDefault="00D1590E" w:rsidP="00D1590E">
      <w:pPr>
        <w:pStyle w:val="Heading8"/>
      </w:pPr>
      <w:bookmarkStart w:id="164" w:name="_Ref417384454"/>
      <w:bookmarkStart w:id="165" w:name="_Toc417649214"/>
      <w:bookmarkStart w:id="166" w:name="_Toc417659846"/>
      <w:r w:rsidRPr="00D1590E">
        <w:lastRenderedPageBreak/>
        <w:t>Ex ante incentive regulation and the role of benchmarking</w:t>
      </w:r>
      <w:bookmarkEnd w:id="144"/>
      <w:bookmarkEnd w:id="163"/>
      <w:bookmarkEnd w:id="164"/>
      <w:bookmarkEnd w:id="165"/>
      <w:bookmarkEnd w:id="166"/>
    </w:p>
    <w:p w:rsidR="00D1590E" w:rsidRPr="00D1590E" w:rsidRDefault="00D1590E" w:rsidP="00D1590E">
      <w:bookmarkStart w:id="167" w:name="_Toc415230976"/>
      <w:r w:rsidRPr="00D1590E">
        <w:t xml:space="preserve">In their revised proposals, the network businesses have questioned our approach and our interpretation of our role under the NEL and NER. This section explains ex ante regulation, and how our approach to benchmarking fits appropriately within the legal and regulatory framework. </w:t>
      </w:r>
    </w:p>
    <w:p w:rsidR="00D1590E" w:rsidRPr="00D1590E" w:rsidRDefault="00D1590E" w:rsidP="00D1590E">
      <w:pPr>
        <w:pStyle w:val="Heading9"/>
      </w:pPr>
      <w:bookmarkStart w:id="168" w:name="_Toc417646261"/>
      <w:bookmarkStart w:id="169" w:name="_Toc417649215"/>
      <w:bookmarkStart w:id="170" w:name="_Toc417659847"/>
      <w:r w:rsidRPr="00D1590E">
        <w:t>Ex ante incentive regulation</w:t>
      </w:r>
      <w:bookmarkEnd w:id="168"/>
      <w:bookmarkEnd w:id="169"/>
      <w:bookmarkEnd w:id="170"/>
    </w:p>
    <w:p w:rsidR="00D1590E" w:rsidRPr="00D1590E" w:rsidRDefault="00D1590E" w:rsidP="00D1590E">
      <w:r w:rsidRPr="00D1590E">
        <w:t>Network services are ‘natural’ monopolies with little scope in any given location for a competitor to duplicate the network efficiently.</w:t>
      </w:r>
      <w:r w:rsidRPr="00D1590E">
        <w:rPr>
          <w:rStyle w:val="FootnoteReference"/>
        </w:rPr>
        <w:footnoteReference w:id="135"/>
      </w:r>
      <w:r w:rsidRPr="00D1590E">
        <w:t xml:space="preserve"> Monopoly businesses do not have an incentive to set prices at an efficient level because there is no competitive discipline on their decisions. They do not need to consider how and whether or not rivals will respond to their prices. Monopolies' profits depend only on the behaviour of consumers, their cost functions, and their prices or the amount supplied.</w:t>
      </w:r>
      <w:r w:rsidRPr="00D1590E">
        <w:rPr>
          <w:rStyle w:val="FootnoteReference"/>
        </w:rPr>
        <w:footnoteReference w:id="136"/>
      </w:r>
    </w:p>
    <w:p w:rsidR="00D1590E" w:rsidRPr="00D1590E" w:rsidRDefault="00D1590E" w:rsidP="00D1590E">
      <w:r w:rsidRPr="00D1590E">
        <w:t>Without regulation, the resulting market power would lead to high prices and probably insufficient investment. Accordingly, we must regulate the prices and other aspects of these services to ensure reliable and affordable electricity.</w:t>
      </w:r>
      <w:r w:rsidRPr="00D1590E">
        <w:rPr>
          <w:rStyle w:val="FootnoteReference"/>
        </w:rPr>
        <w:footnoteReference w:id="137"/>
      </w:r>
    </w:p>
    <w:p w:rsidR="00D1590E" w:rsidRPr="00D1590E" w:rsidRDefault="00D1590E" w:rsidP="00D1590E">
      <w:r w:rsidRPr="00D1590E">
        <w:t>Information asymmetries make it difficult for the AER to accurately assess the efficiency of the network businesses’ proposals. We need to make judgements about ‘efficient’ costs.</w:t>
      </w:r>
      <w:r w:rsidRPr="00D1590E">
        <w:rPr>
          <w:rStyle w:val="FootnoteReference"/>
        </w:rPr>
        <w:footnoteReference w:id="138"/>
      </w:r>
      <w:r w:rsidRPr="00D1590E">
        <w:t xml:space="preserve"> </w:t>
      </w:r>
    </w:p>
    <w:p w:rsidR="00D1590E" w:rsidRPr="00D1590E" w:rsidRDefault="00D1590E" w:rsidP="00D1590E">
      <w:r w:rsidRPr="00D1590E">
        <w:t>Incentive regulation is used to partially overcome information asymmetries. We apply incentive-based regulation across all energy networks we regulate—consistent with the NER.</w:t>
      </w:r>
      <w:r w:rsidRPr="00D1590E">
        <w:rPr>
          <w:rStyle w:val="FootnoteReference"/>
        </w:rPr>
        <w:footnoteReference w:id="139"/>
      </w:r>
      <w:r w:rsidRPr="00D1590E">
        <w:t xml:space="preserve"> This is a fundamental aspect of the regime. As stated by the AEMC:</w:t>
      </w:r>
    </w:p>
    <w:p w:rsidR="00D1590E" w:rsidRPr="00D1590E" w:rsidRDefault="00D1590E" w:rsidP="00D1590E">
      <w:pPr>
        <w:pStyle w:val="AERquote"/>
      </w:pPr>
      <w:r w:rsidRPr="00D1590E">
        <w:t>Set out in Chapter 6 of the NER, the incentive regulation framework is designed to encourage distribution businesses to spend efficiently and to share the benefits of efficiency gains with consumers. Specifically, it is designed to encourage distribution businesses to make efficient decisions on when and what type of expenditure to incur in order to meet their network reliability, safety, security and quality requirements.</w:t>
      </w:r>
      <w:r w:rsidRPr="00D1590E">
        <w:rPr>
          <w:rStyle w:val="FootnoteReference"/>
        </w:rPr>
        <w:footnoteReference w:id="140"/>
      </w:r>
    </w:p>
    <w:p w:rsidR="00D1590E" w:rsidRPr="00D1590E" w:rsidRDefault="00D1590E" w:rsidP="00D1590E">
      <w:r w:rsidRPr="00D1590E">
        <w:lastRenderedPageBreak/>
        <w:t>Broadly speaking, incentive regulation is designed to align the commercial goals of the business to the goals of society or, in the case of energy regulation, the NEO.</w:t>
      </w:r>
      <w:r w:rsidRPr="00D1590E">
        <w:rPr>
          <w:rStyle w:val="FootnoteReference"/>
        </w:rPr>
        <w:footnoteReference w:id="141"/>
      </w:r>
      <w:r w:rsidRPr="00D1590E">
        <w:t xml:space="preserve"> It relies on the principle that the network businesses’ objective is to maximise profits.</w:t>
      </w:r>
      <w:r w:rsidRPr="00D1590E">
        <w:rPr>
          <w:rStyle w:val="FootnoteReference"/>
        </w:rPr>
        <w:footnoteReference w:id="142"/>
      </w:r>
      <w:r w:rsidRPr="00D1590E">
        <w:t xml:space="preserve"> Businesses that are able to improve their efficiency are rewarded with higher profits.</w:t>
      </w:r>
      <w:r w:rsidRPr="00D1590E">
        <w:rPr>
          <w:rStyle w:val="FootnoteReference"/>
        </w:rPr>
        <w:footnoteReference w:id="143"/>
      </w:r>
      <w:r w:rsidRPr="00D1590E">
        <w:t xml:space="preserve"> Businesses that allow their efficiency to deteriorate earn lower-than-expected profits. The actual revenue allowance set by the regulator should not influence the basic incentive of network businesses to minimise costs and, thereby, maximise profits.</w:t>
      </w:r>
    </w:p>
    <w:p w:rsidR="00D1590E" w:rsidRPr="00D1590E" w:rsidRDefault="00D1590E" w:rsidP="00D1590E">
      <w:r w:rsidRPr="00D1590E">
        <w:t>To elaborate, the regime requires the AER to forecast and lock-in opex at the start of each five-year regulatory period that an efficient and prudent business would require.</w:t>
      </w:r>
      <w:r w:rsidRPr="00D1590E">
        <w:rPr>
          <w:rStyle w:val="FootnoteReference"/>
        </w:rPr>
        <w:footnoteReference w:id="144"/>
      </w:r>
      <w:r w:rsidRPr="00D1590E">
        <w:t xml:space="preserve"> The business is then given financial rewards when it improves its efficiency and spends less than the forecast during the regulatory period—while maintaining or improving its service standards. If the business spends less than the forecast it will still earn revenue to cover the total forecast amount. Hence it can ‘keep the difference’ between the forecast and its actual expenditure until the end of the regulatory control period. Conversely, if its spending exceeds the forecast, it must carry the difference itself until the end of the period.</w:t>
      </w:r>
    </w:p>
    <w:p w:rsidR="00D1590E" w:rsidRPr="00D1590E" w:rsidRDefault="00D1590E" w:rsidP="00D1590E">
      <w:r w:rsidRPr="00D1590E">
        <w:t>Over time, incentive regulation should in theory allow the regulator to use the information revealed by businesses to develop better forecasts of efficient expenditure—consistent with the opex criteria. This will reduce the scope for the businesses to earn excessive rents and allow the regulator to apply stronger incentives for further cost reduction.</w:t>
      </w:r>
      <w:r w:rsidRPr="00D1590E">
        <w:rPr>
          <w:rStyle w:val="FootnoteReference"/>
        </w:rPr>
        <w:footnoteReference w:id="145"/>
      </w:r>
    </w:p>
    <w:p w:rsidR="00D1590E" w:rsidRPr="00D1590E" w:rsidRDefault="00D1590E" w:rsidP="00D1590E">
      <w:r w:rsidRPr="00D1590E">
        <w:t>However, using a network business’ past information to set future targets can reduce the incentives of the business to lower costs since the business knows that any cut in its expenditure will decrease its revenue allowance in the future. Although the current regulatory approach allows the business to retain the benefit of any reductions in expenditure for a period of time, setting the appropriate level of incentive is difficult as it involves judgments about businesses’ reactions to the incentive regime.</w:t>
      </w:r>
      <w:r w:rsidRPr="00D1590E">
        <w:rPr>
          <w:rStyle w:val="FootnoteReference"/>
        </w:rPr>
        <w:footnoteReference w:id="146"/>
      </w:r>
      <w:r w:rsidRPr="00D1590E">
        <w:t xml:space="preserve"> Moreover, the achievement of best-practice can be costly from the standpoint of managerial effort.</w:t>
      </w:r>
      <w:r w:rsidRPr="00D1590E">
        <w:rPr>
          <w:rStyle w:val="FootnoteReference"/>
        </w:rPr>
        <w:footnoteReference w:id="147"/>
      </w:r>
    </w:p>
    <w:p w:rsidR="00D1590E" w:rsidRPr="00D1590E" w:rsidRDefault="00D1590E" w:rsidP="00D1590E">
      <w:r w:rsidRPr="00D1590E">
        <w:lastRenderedPageBreak/>
        <w:t>Therefore, the incentives created by the regime can be somewhat mixed.</w:t>
      </w:r>
      <w:r w:rsidRPr="00D1590E">
        <w:rPr>
          <w:rStyle w:val="FootnoteReference"/>
        </w:rPr>
        <w:footnoteReference w:id="148"/>
      </w:r>
      <w:r w:rsidRPr="00D1590E">
        <w:t xml:space="preserve"> But, as a first principle, energy regulation in Australia is intended to be incentive-based where possible.</w:t>
      </w:r>
      <w:r w:rsidRPr="00D1590E">
        <w:rPr>
          <w:rStyle w:val="FootnoteReference"/>
        </w:rPr>
        <w:footnoteReference w:id="149"/>
      </w:r>
      <w:r w:rsidRPr="00D1590E">
        <w:t xml:space="preserve"> This can be contrasted with a pure cost of service model.</w:t>
      </w:r>
    </w:p>
    <w:p w:rsidR="00D1590E" w:rsidRPr="00D1590E" w:rsidRDefault="00D1590E" w:rsidP="00D1590E">
      <w:pPr>
        <w:pStyle w:val="Heading9"/>
      </w:pPr>
      <w:bookmarkStart w:id="171" w:name="_Toc414628194"/>
      <w:bookmarkStart w:id="172" w:name="_Toc417646262"/>
      <w:bookmarkStart w:id="173" w:name="_Toc417649216"/>
      <w:bookmarkStart w:id="174" w:name="_Toc417659848"/>
      <w:r w:rsidRPr="00D1590E">
        <w:t>Contrast with a cost of service regime</w:t>
      </w:r>
      <w:bookmarkEnd w:id="171"/>
      <w:bookmarkEnd w:id="172"/>
      <w:bookmarkEnd w:id="173"/>
      <w:bookmarkEnd w:id="174"/>
    </w:p>
    <w:p w:rsidR="00D1590E" w:rsidRPr="00D1590E" w:rsidRDefault="00D1590E" w:rsidP="00D1590E">
      <w:r w:rsidRPr="00D1590E">
        <w:t>Cost of service regulation, as its name implies, compensates businesses for the costs incurred to provide services. If a business reduces its costs, the benefits of cost efficiency accrue to consumers in the form of lower prices, not to the business as profits. On the other hand if costs increase then so do prices.</w:t>
      </w:r>
    </w:p>
    <w:p w:rsidR="00D1590E" w:rsidRPr="00D1590E" w:rsidRDefault="00D1590E" w:rsidP="00D1590E">
      <w:r w:rsidRPr="00D1590E">
        <w:t>Cost of service regulation creates an environment that provides greater assurance to businesses that investments in sunk assets will be recovered. However, a pure cost of service approach provides low-powered incentives for cost reductions because actual costs are fully passed through to consumers. Joskow states:</w:t>
      </w:r>
    </w:p>
    <w:p w:rsidR="00D1590E" w:rsidRPr="00D1590E" w:rsidRDefault="00D1590E" w:rsidP="00D1590E">
      <w:pPr>
        <w:pStyle w:val="AERquote"/>
      </w:pPr>
      <w:r w:rsidRPr="00D1590E">
        <w:t xml:space="preserve">Since the regulator compensates the firm for all of its costs, there is no “rent” left to the firm as excess profits. This solves the adverse selection problem. However, this kind of cost of service recovery mechanism does not provide any incentives for the management to exert optimal (any) effort. If the firm’s profitability is not sensitive to managerial effort, the managers will exert the minimum effort that they can get away with. While there are no “excess profits” left on the table since revenues are equal to the actual costs the firm incurs, consumers are now paying higher prices than they would have to pay if the firm were better managed and some rent were left with the firm and its managers. </w:t>
      </w:r>
      <w:r w:rsidRPr="00D1590E">
        <w:rPr>
          <w:rStyle w:val="FootnoteReference"/>
        </w:rPr>
        <w:footnoteReference w:id="150"/>
      </w:r>
    </w:p>
    <w:p w:rsidR="00D1590E" w:rsidRPr="00D1590E" w:rsidRDefault="00D1590E" w:rsidP="00D1590E">
      <w:r w:rsidRPr="00D1590E">
        <w:t xml:space="preserve">Such low-powered incentives created by a pure cost of service model are typically not observed in competitive markets. This is an important distinction between incentive and cost of service regulation. </w:t>
      </w:r>
    </w:p>
    <w:p w:rsidR="00D1590E" w:rsidRPr="00D1590E" w:rsidRDefault="00D1590E" w:rsidP="00D1590E">
      <w:r w:rsidRPr="00D1590E">
        <w:t>In our view, the NEO and the supporting incentive-based regime seek to emulate workably competitive market outcomes. Incentive regulation is designed to impose the pressures of competition on natural monopolies. The AEMC states:</w:t>
      </w:r>
    </w:p>
    <w:p w:rsidR="00D1590E" w:rsidRPr="00D1590E" w:rsidRDefault="00D1590E" w:rsidP="00D1590E">
      <w:pPr>
        <w:pStyle w:val="AERquote"/>
      </w:pPr>
      <w:r w:rsidRPr="00D1590E">
        <w:t xml:space="preserve">The role of incentives in regulation can be traced to the fundamental objective of regulation. That is, to reproduce, to the extent possible, the production and </w:t>
      </w:r>
      <w:r w:rsidRPr="00D1590E">
        <w:lastRenderedPageBreak/>
        <w:t>pricing outcomes that would occur in a workably competitive market in circumstances where the development of a competitive market is not economically feasible.</w:t>
      </w:r>
      <w:r w:rsidRPr="00D1590E">
        <w:rPr>
          <w:rStyle w:val="FootnoteReference"/>
        </w:rPr>
        <w:footnoteReference w:id="151"/>
      </w:r>
    </w:p>
    <w:p w:rsidR="00D1590E" w:rsidRPr="00D1590E" w:rsidRDefault="00D1590E" w:rsidP="00D1590E">
      <w:r w:rsidRPr="00D1590E">
        <w:t>Competition generally places downward pressure on prices and can act as an impetus for cost reductions and quality improvements. In a competitive market, businesses have a continuous incentive to respond to consumer needs at the lowest cost to increase demand for their services and, thereby, maximise shareholder returns.</w:t>
      </w:r>
      <w:r w:rsidRPr="00D1590E">
        <w:rPr>
          <w:rStyle w:val="FootnoteReference"/>
        </w:rPr>
        <w:footnoteReference w:id="152"/>
      </w:r>
      <w:r w:rsidRPr="00D1590E">
        <w:t xml:space="preserve"> Businesses that are less efficient are unable to pass their full costs onto consumers and ultimately pay lower returns to their shareholders.</w:t>
      </w:r>
    </w:p>
    <w:p w:rsidR="00D1590E" w:rsidRPr="00D1590E" w:rsidRDefault="00D1590E" w:rsidP="00D1590E">
      <w:r w:rsidRPr="00D1590E">
        <w:t>Consistent with competitive market outcomes, the AEMC considers shareholders, by seeking a commercial return on investment, create incentives within the business to encourage efficient outcomes.</w:t>
      </w:r>
      <w:r w:rsidRPr="00D1590E">
        <w:rPr>
          <w:rStyle w:val="FootnoteReference"/>
        </w:rPr>
        <w:footnoteReference w:id="153"/>
      </w:r>
      <w:r w:rsidRPr="00D1590E">
        <w:t xml:space="preserve"> Moreover, the AEMC finds that shareholders should ultimately bear the risk of business inefficiencies:</w:t>
      </w:r>
    </w:p>
    <w:p w:rsidR="00D1590E" w:rsidRPr="00D1590E" w:rsidRDefault="00D1590E" w:rsidP="00D1590E">
      <w:pPr>
        <w:pStyle w:val="AERquote"/>
      </w:pPr>
      <w:r w:rsidRPr="00D1590E">
        <w:t>… the return on debt estimate should reflect the efficient financing costs of a benchmark efficient service provider. It should try to create an incentive for service providers to adopt efficient financing practices and minimise the risk of creating distortions in the service provider's investment decisions. If a service provider is run inefficiently then its shareholders, and not its customers, should bear the financial consequences of inefficient financing practices.</w:t>
      </w:r>
      <w:r w:rsidRPr="00D1590E">
        <w:rPr>
          <w:rStyle w:val="FootnoteReference"/>
        </w:rPr>
        <w:footnoteReference w:id="154"/>
      </w:r>
    </w:p>
    <w:p w:rsidR="00D1590E" w:rsidRPr="00D1590E" w:rsidRDefault="00D1590E" w:rsidP="00D1590E">
      <w:r w:rsidRPr="00D1590E">
        <w:t>Although the AEMC is referring to return on debt in the above quote, the same principle applies to opex. Risk should generally be borne by the party that is best able to manage it. Consumers of network energy services are not in a position to influence the network businesses strategy to manage opex, such as staffing decisions. And they do not have the choice of changing energy suppliers. Shifting the risk of business inefficiencies away from the managers and shareholders of the networks would create negative incentives:</w:t>
      </w:r>
    </w:p>
    <w:p w:rsidR="00D1590E" w:rsidRPr="00D1590E" w:rsidRDefault="00D1590E" w:rsidP="00D1590E">
      <w:pPr>
        <w:pStyle w:val="AERquote"/>
      </w:pPr>
      <w:r w:rsidRPr="00D1590E">
        <w:t xml:space="preserve">It is also in present and future consumers’ interests that the regulatory framework does not provide excess returns, reward inefficiency or effectively ‘bail out’ a network company that has encountered financial difficulty as a result of its own actions (or inaction); for example because of an inappropriate financial structure or poor management. To do so would weaken or even remove the disciplines that capital markets place on all companies, reducing or removing the effectiveness of the incentives we place on network companies under the regulatory regime to the detriment of consumers. The primary </w:t>
      </w:r>
      <w:r w:rsidRPr="00D1590E">
        <w:lastRenderedPageBreak/>
        <w:t>responsibility for the financial integrity of a network company lies firmly with that company’s management and owners.</w:t>
      </w:r>
      <w:r w:rsidRPr="00D1590E">
        <w:rPr>
          <w:rStyle w:val="FootnoteReference"/>
        </w:rPr>
        <w:footnoteReference w:id="155"/>
      </w:r>
    </w:p>
    <w:p w:rsidR="00D1590E" w:rsidRPr="00D1590E" w:rsidRDefault="00D1590E" w:rsidP="00D1590E">
      <w:pPr>
        <w:pStyle w:val="Heading9"/>
      </w:pPr>
      <w:bookmarkStart w:id="175" w:name="_Toc414628195"/>
      <w:bookmarkStart w:id="176" w:name="_Toc417646263"/>
      <w:bookmarkStart w:id="177" w:name="_Toc417649217"/>
      <w:bookmarkStart w:id="178" w:name="_Toc417659849"/>
      <w:r w:rsidRPr="00D1590E">
        <w:t>How benchmarking helps manage incomplete information about efficient costs</w:t>
      </w:r>
      <w:bookmarkEnd w:id="175"/>
      <w:bookmarkEnd w:id="176"/>
      <w:bookmarkEnd w:id="177"/>
      <w:bookmarkEnd w:id="178"/>
    </w:p>
    <w:p w:rsidR="00D1590E" w:rsidRPr="00D1590E" w:rsidRDefault="00D1590E" w:rsidP="00D1590E">
      <w:r w:rsidRPr="00D1590E">
        <w:t xml:space="preserve">Incentive regulation relies on effective assessment tools to overcome information asymmetries. The 'revealed cost approach' and benchmarking are our two main tools. </w:t>
      </w:r>
    </w:p>
    <w:p w:rsidR="00D1590E" w:rsidRPr="00D1590E" w:rsidRDefault="00D1590E" w:rsidP="00D1590E">
      <w:r w:rsidRPr="00D1590E">
        <w:t xml:space="preserve">As outlined in the Guideline, the AER typically uses the ‘base-step-trend’ forecasting approach to assess most opex categories. That is, we: </w:t>
      </w:r>
    </w:p>
    <w:p w:rsidR="00D1590E" w:rsidRPr="00D1590E" w:rsidRDefault="00D1590E" w:rsidP="00D1590E">
      <w:pPr>
        <w:pStyle w:val="AERbulletlistfirststyle"/>
      </w:pPr>
      <w:r w:rsidRPr="00D1590E">
        <w:t>assess whether base opex reasonably reflects the opex criteria</w:t>
      </w:r>
    </w:p>
    <w:p w:rsidR="00D1590E" w:rsidRPr="00D1590E" w:rsidRDefault="00D1590E" w:rsidP="00D1590E">
      <w:pPr>
        <w:pStyle w:val="AERbulletlistfirststyle"/>
      </w:pPr>
      <w:r w:rsidRPr="00D1590E">
        <w:t>assess the prudency and efficiency of forecast cost increases or decreases associated with new regulatory obligations and capex/opex trade-offs (step changes)</w:t>
      </w:r>
    </w:p>
    <w:p w:rsidR="00D1590E" w:rsidRPr="00D1590E" w:rsidRDefault="00D1590E" w:rsidP="00D1590E">
      <w:pPr>
        <w:pStyle w:val="AERbulletlistfirststyle"/>
      </w:pPr>
      <w:r w:rsidRPr="00D1590E">
        <w:t>apply trend analysis to forecast future expenditure levels.</w:t>
      </w:r>
      <w:r w:rsidRPr="00D1590E">
        <w:rPr>
          <w:rStyle w:val="FootnoteReference"/>
        </w:rPr>
        <w:footnoteReference w:id="156"/>
      </w:r>
      <w:r w:rsidRPr="00D1590E">
        <w:t xml:space="preserve"> </w:t>
      </w:r>
    </w:p>
    <w:p w:rsidR="00D1590E" w:rsidRPr="00D1590E" w:rsidRDefault="00D1590E" w:rsidP="00D1590E">
      <w:r w:rsidRPr="00D1590E">
        <w:t>The revealed cost approach is a way to determine an efficient base. It relies on the principle that the primary objective of a business is to maximise its profits. The regulatory framework allows network businesses to keep the benefit of any cost reductions for a period of time (as discussed above). The AER may apply various incentive schemes, such as the EBSS in conjunction with the STPIS, to provide the business with a continuous incentive to improve its efficiency in supplying electricity services—while maintaining or improving service standards.</w:t>
      </w:r>
    </w:p>
    <w:p w:rsidR="00D1590E" w:rsidRPr="00D1590E" w:rsidRDefault="00D1590E" w:rsidP="00D1590E">
      <w:r w:rsidRPr="00D1590E">
        <w:t>The drive to maximise shareholder returns should in theory push the businesses to become more efficient and productive over time. Actual past expenditure should therefore be a good indicator of the efficient expenditure the business requires in the future.</w:t>
      </w:r>
    </w:p>
    <w:p w:rsidR="00D1590E" w:rsidRPr="00D1590E" w:rsidRDefault="00D1590E" w:rsidP="00D1590E">
      <w:r w:rsidRPr="00D1590E">
        <w:t>So, where incentive regulation is effective, the revealed cost approach can at least partially overcome information asymmetries that exist between the business and relevant stakeholders about the efficient opex base. We prefer to use revealed (past actual) costs as the starting point for assessing and determining efficient forecasts.</w:t>
      </w:r>
      <w:r w:rsidRPr="00D1590E">
        <w:rPr>
          <w:rStyle w:val="FootnoteReference"/>
        </w:rPr>
        <w:footnoteReference w:id="157"/>
      </w:r>
      <w:r w:rsidRPr="00D1590E">
        <w:t xml:space="preserve"> It allows us to leave the minutiae of input and output decision-making to the businesses.</w:t>
      </w:r>
      <w:r w:rsidRPr="00D1590E">
        <w:rPr>
          <w:rStyle w:val="FootnoteReference"/>
        </w:rPr>
        <w:footnoteReference w:id="158"/>
      </w:r>
    </w:p>
    <w:p w:rsidR="00D1590E" w:rsidRPr="00D1590E" w:rsidRDefault="00D1590E" w:rsidP="00D1590E">
      <w:r w:rsidRPr="00D1590E">
        <w:lastRenderedPageBreak/>
        <w:t>However, we cannot automatically assume the network businesses will respond to the efficiency incentives.</w:t>
      </w:r>
      <w:r w:rsidRPr="00D1590E">
        <w:rPr>
          <w:rStyle w:val="FootnoteReference"/>
        </w:rPr>
        <w:footnoteReference w:id="159"/>
      </w:r>
      <w:r w:rsidRPr="00D1590E">
        <w:t xml:space="preserve"> The businesses' objectives may not align with the incentives of the regime.</w:t>
      </w:r>
      <w:r w:rsidRPr="00D1590E">
        <w:rPr>
          <w:rStyle w:val="FootnoteReference"/>
        </w:rPr>
        <w:footnoteReference w:id="160"/>
      </w:r>
      <w:r w:rsidRPr="00D1590E">
        <w:t xml:space="preserve"> We undertake an assessment of whether the base year opex reasonably reflects the opex criteria to determine if it is appropriate for us to rely on a business’ revealed costs to forecast future expenditure needs. </w:t>
      </w:r>
    </w:p>
    <w:p w:rsidR="00D1590E" w:rsidRPr="00D1590E" w:rsidRDefault="00D1590E" w:rsidP="00D1590E">
      <w:r w:rsidRPr="00D1590E">
        <w:t xml:space="preserve">In recent years, we have expanded our regulatory toolkit to make greater use of benchmarking, which is a way of determining how well a network business is performing against its peers and over time, and provides valuable information on what is ‘best practice’ (see Box 1). Benchmarking: </w:t>
      </w:r>
    </w:p>
    <w:p w:rsidR="00D1590E" w:rsidRPr="00D1590E" w:rsidRDefault="00D1590E" w:rsidP="00D1590E">
      <w:pPr>
        <w:pStyle w:val="AERbulletlistfirststyle"/>
      </w:pPr>
      <w:r w:rsidRPr="00D1590E">
        <w:t>improves the effectiveness of the regulatory process by enhancing the information available to us</w:t>
      </w:r>
    </w:p>
    <w:p w:rsidR="00D1590E" w:rsidRPr="00D1590E" w:rsidRDefault="00D1590E" w:rsidP="00D1590E">
      <w:pPr>
        <w:pStyle w:val="AERbulletlistfirststyle"/>
      </w:pPr>
      <w:r w:rsidRPr="00D1590E">
        <w:t>gives us an alternative source of comparative information about the costs of operating a business in the national electricity market to test the businesses’ proposals</w:t>
      </w:r>
    </w:p>
    <w:p w:rsidR="00D1590E" w:rsidRPr="00D1590E" w:rsidRDefault="00D1590E" w:rsidP="00D1590E">
      <w:pPr>
        <w:pStyle w:val="AERbulletlistfirststyle"/>
      </w:pPr>
      <w:r w:rsidRPr="00D1590E">
        <w:t xml:space="preserve">allows us to gain some insight into whether or not there are material inefficiencies in a business’ base opex and, therefore, represent a good basis for forecasting future opex. </w:t>
      </w:r>
    </w:p>
    <w:p w:rsidR="00D1590E" w:rsidRPr="00D1590E" w:rsidRDefault="00D1590E" w:rsidP="00D1590E">
      <w:r w:rsidRPr="00D1590E">
        <w:t>We use benchmarking to investigate whether an adjustment to base opex is required—that is, we look for evidence of 'material inefficiencies' in a network business' base opex. If the business is materially inefficient compared to its peers, the revealed cost approach may not be appropriate.</w:t>
      </w:r>
      <w:r w:rsidRPr="00D1590E">
        <w:rPr>
          <w:rStyle w:val="FootnoteReference"/>
        </w:rPr>
        <w:footnoteReference w:id="161"/>
      </w:r>
      <w:r w:rsidRPr="00D1590E">
        <w:t xml:space="preserve"> Reliance on historic costs in these circumstances could yield an outcome inconsistent with the opex criteria and, more broadly, the NEO and RPPs which give effect to incentive regulation.</w:t>
      </w:r>
    </w:p>
    <w:p w:rsidR="00D1590E" w:rsidRPr="00D1590E" w:rsidRDefault="00D1590E" w:rsidP="00D1590E">
      <w:pPr>
        <w:rPr>
          <w:rStyle w:val="Strong"/>
        </w:rPr>
      </w:pPr>
      <w:r w:rsidRPr="00D1590E">
        <w:rPr>
          <w:rStyle w:val="Strong"/>
        </w:rPr>
        <w:br w:type="page"/>
      </w:r>
    </w:p>
    <w:p w:rsidR="00D1590E" w:rsidRPr="00D1590E" w:rsidRDefault="00D1590E" w:rsidP="00D1590E">
      <w:pPr>
        <w:pStyle w:val="AERrevisionbox"/>
        <w:rPr>
          <w:rStyle w:val="Strong"/>
        </w:rPr>
      </w:pPr>
      <w:r w:rsidRPr="00D1590E">
        <w:rPr>
          <w:rStyle w:val="Strong"/>
        </w:rPr>
        <w:lastRenderedPageBreak/>
        <w:t>Box 1 AER benchmarking techniques</w:t>
      </w:r>
    </w:p>
    <w:p w:rsidR="00D1590E" w:rsidRPr="00D1590E" w:rsidRDefault="00D1590E" w:rsidP="00D1590E">
      <w:pPr>
        <w:pStyle w:val="AERrevisionbox"/>
        <w:rPr>
          <w:rStyle w:val="AERtextsize10"/>
        </w:rPr>
      </w:pPr>
      <w:r w:rsidRPr="00D1590E">
        <w:rPr>
          <w:rStyle w:val="AERtextsize10"/>
        </w:rPr>
        <w:t>Benchmarking is just one way of assessing whether a business’ expenditure proposal is efficient.</w:t>
      </w:r>
      <w:r w:rsidRPr="00D1590E">
        <w:rPr>
          <w:rStyle w:val="AERsuperscript"/>
        </w:rPr>
        <w:footnoteReference w:id="162"/>
      </w:r>
      <w:r w:rsidRPr="00D1590E">
        <w:rPr>
          <w:rStyle w:val="AERsuperscript"/>
        </w:rPr>
        <w:t xml:space="preserve"> </w:t>
      </w:r>
      <w:r w:rsidRPr="00D1590E">
        <w:rPr>
          <w:rStyle w:val="AERtextsize10"/>
        </w:rPr>
        <w:t xml:space="preserve">We use multiple benchmarking techniques to inform our assessment of efficient opex. This includes ‘economic benchmarking’, partial performance indicators and category-based techniques. In addition, we undertake detailed reviews to investigate the drivers of, or potential explanations for, high expenditure indicators. </w:t>
      </w:r>
    </w:p>
    <w:p w:rsidR="00D1590E" w:rsidRPr="00D1590E" w:rsidRDefault="00D1590E" w:rsidP="00D1590E">
      <w:pPr>
        <w:pStyle w:val="AERrevisionbox"/>
        <w:rPr>
          <w:rStyle w:val="AERtextsize10"/>
        </w:rPr>
      </w:pPr>
      <w:r w:rsidRPr="00D1590E">
        <w:rPr>
          <w:rStyle w:val="AERtextsize10"/>
        </w:rPr>
        <w:t>Specifically, our consultant, Economic Insights used a stochastic frontier analysis (SFA) model to estimate efficient base year opex and calculate the trend in opex going forward. Economic Insights used two other econometric models as well as multilateral total factor productivity (MTFP) and multilateral partial factor productivity (MPFP) indexes to cross-check the findings of the SFA model. Further, Economic Insights used international data to improve the robustness and precision of the models, but not to benchmark Australian networks against those operating overseas.</w:t>
      </w:r>
    </w:p>
    <w:p w:rsidR="00D1590E" w:rsidRPr="00D1590E" w:rsidRDefault="00D1590E" w:rsidP="00D1590E">
      <w:pPr>
        <w:pStyle w:val="AERrevisionbox"/>
        <w:rPr>
          <w:rStyle w:val="AERtextitalic"/>
        </w:rPr>
      </w:pPr>
      <w:r w:rsidRPr="00D1590E">
        <w:rPr>
          <w:rStyle w:val="AERtextitalic"/>
        </w:rPr>
        <w:t>Stochastic frontier analysis</w:t>
      </w:r>
    </w:p>
    <w:p w:rsidR="00D1590E" w:rsidRPr="00D1590E" w:rsidRDefault="00D1590E" w:rsidP="00D1590E">
      <w:pPr>
        <w:pStyle w:val="AERrevisionbox"/>
        <w:rPr>
          <w:rStyle w:val="AERtextsize10"/>
        </w:rPr>
      </w:pPr>
      <w:r w:rsidRPr="00D1590E">
        <w:rPr>
          <w:rStyle w:val="AERtextsize10"/>
        </w:rPr>
        <w:t xml:space="preserve">SFA is an extended econometric method that can be used in cost benchmarking analysis. SFA enables the estimation of a cost frontier, from which actual costs incurred by businesses can be compared. SFA is similar to other econometric cost models in that it specifies a cost function that relates costs to outputs, input prices, and environmental factors.  </w:t>
      </w:r>
    </w:p>
    <w:p w:rsidR="00D1590E" w:rsidRPr="00D1590E" w:rsidRDefault="00D1590E" w:rsidP="00D1590E">
      <w:pPr>
        <w:pStyle w:val="AERrevisionbox"/>
        <w:rPr>
          <w:rStyle w:val="AERtextsize10"/>
        </w:rPr>
      </w:pPr>
      <w:r w:rsidRPr="00D1590E">
        <w:rPr>
          <w:rStyle w:val="AERtextsize10"/>
        </w:rPr>
        <w:t xml:space="preserve">However, it differs from traditional econometric approaches in two main ways. First, SFA focuses on estimating the cost frontier representing the minimum costs (‘best practice’) rather than estimating the cost function representing the ‘average’ business. Second, SFA aims to separate the presence of random statistical noise from the estimation of inefficiency. SFA also has the advantage that it allows for economies and diseconomies of scale and can include environmental factors.  </w:t>
      </w:r>
    </w:p>
    <w:p w:rsidR="00D1590E" w:rsidRPr="00D1590E" w:rsidRDefault="00D1590E" w:rsidP="00D1590E">
      <w:pPr>
        <w:pStyle w:val="Heading9"/>
      </w:pPr>
      <w:bookmarkStart w:id="179" w:name="_Toc417646264"/>
      <w:bookmarkStart w:id="180" w:name="_Toc417649218"/>
      <w:bookmarkStart w:id="181" w:name="_Toc417659850"/>
      <w:bookmarkStart w:id="182" w:name="_Toc414628196"/>
      <w:r w:rsidRPr="00D1590E">
        <w:t>Benchmarking is part of the regulatory framework</w:t>
      </w:r>
      <w:bookmarkEnd w:id="179"/>
      <w:bookmarkEnd w:id="180"/>
      <w:bookmarkEnd w:id="181"/>
      <w:r w:rsidRPr="00D1590E">
        <w:t xml:space="preserve"> </w:t>
      </w:r>
      <w:bookmarkEnd w:id="182"/>
    </w:p>
    <w:p w:rsidR="00D1590E" w:rsidRPr="00D1590E" w:rsidRDefault="00D1590E" w:rsidP="00D1590E">
      <w:r w:rsidRPr="00D1590E">
        <w:t>The NER has always required us to have regard to benchmark opex that would be incurred by an efficient network business (cl. 6.5.6(e)(4)). The AEMC’s November 2012 network regulation rule changes promote the AER’s use of benchmarking for assessing and determining opex forecasts. The new rules stipulate that the AER will undertake and publish regular benchmarking reports, and that we must have regard to these reports in assessing whether networks’ proposed opex forecasts reasonably reflect the opex criteria. Further, the AEMC removed potential constraints in the NER on the way the AER may use benchmarking.</w:t>
      </w:r>
      <w:r w:rsidRPr="00D1590E">
        <w:rPr>
          <w:rStyle w:val="FootnoteReference"/>
        </w:rPr>
        <w:footnoteReference w:id="163"/>
      </w:r>
    </w:p>
    <w:p w:rsidR="00D1590E" w:rsidRPr="00D1590E" w:rsidRDefault="00D1590E" w:rsidP="00D1590E">
      <w:r w:rsidRPr="00D1590E">
        <w:t xml:space="preserve">Benchmarking promotes the revenue and pricing principles (RPPs), which we are required to take into account when making our decisions. The principles include that a service provider should be provided with: (1) a reasonable opportunity to recover at </w:t>
      </w:r>
      <w:r w:rsidRPr="00D1590E">
        <w:lastRenderedPageBreak/>
        <w:t xml:space="preserve">least its efficient costs; and (2) effective incentives to promote economic efficiency in the provision of its direct control services. </w:t>
      </w:r>
    </w:p>
    <w:p w:rsidR="00D1590E" w:rsidRPr="00D1590E" w:rsidRDefault="00D1590E" w:rsidP="00D1590E">
      <w:r w:rsidRPr="00D1590E">
        <w:t>First, benchmarking allows us to more accurately assess whether networks’ proposed opex forecasts are efficient. It gives us an additional source of evidence about the networks’ performance. Indeed, the AEMC considered that benchmarking is a critical exercise in assessing the efficient costs of a network business and approving its opex forecast.</w:t>
      </w:r>
      <w:r w:rsidRPr="00D1590E">
        <w:rPr>
          <w:rStyle w:val="FootnoteReference"/>
        </w:rPr>
        <w:footnoteReference w:id="164"/>
      </w:r>
    </w:p>
    <w:p w:rsidR="00D1590E" w:rsidRPr="00D1590E" w:rsidRDefault="00D1590E" w:rsidP="00D1590E">
      <w:r w:rsidRPr="00D1590E">
        <w:t>Our use of benchmarking may mean we forecast a business' future opex requirements at a lower level compared to its historical costs to reflect the opex criteria. A prudent operator would not discount the possibility that we could better detect inefficient costs over time. Each network knows that their revenue allowance may be reduced if it is shown that other networks are operating more efficiently.</w:t>
      </w:r>
    </w:p>
    <w:p w:rsidR="00D1590E" w:rsidRPr="00D1590E" w:rsidRDefault="00D1590E" w:rsidP="00D1590E">
      <w:r w:rsidRPr="00D1590E">
        <w:t>The revenue allowance determined by the AER does not set a business' actual operating budget. We predict the operating expenditure required for each network business acting as a prudent operator, incurring efficient costs. The business should attempt to outperform it. The business is expected to organise itself efficiently to make the most efficient use of its resources.</w:t>
      </w:r>
      <w:r w:rsidRPr="00D1590E">
        <w:rPr>
          <w:rStyle w:val="FootnoteReference"/>
        </w:rPr>
        <w:footnoteReference w:id="165"/>
      </w:r>
      <w:r w:rsidRPr="00D1590E">
        <w:t xml:space="preserve"> Management should attempt to minimise costs in an effort to maximise shareholder value.</w:t>
      </w:r>
    </w:p>
    <w:p w:rsidR="00D1590E" w:rsidRPr="00D1590E" w:rsidRDefault="00D1590E" w:rsidP="00D1590E">
      <w:r w:rsidRPr="00D1590E">
        <w:t>That is, a prudent operator is expected to respond to the incentives of the regime—consistent with the NEO and competitive market outcomes.</w:t>
      </w:r>
      <w:r w:rsidRPr="00D1590E">
        <w:rPr>
          <w:rStyle w:val="FootnoteReference"/>
        </w:rPr>
        <w:footnoteReference w:id="166"/>
      </w:r>
      <w:r w:rsidRPr="00D1590E">
        <w:t xml:space="preserve"> The incentive regime is designed to provide the impetus for the business to deliver safe, reliable and secure services to its customers. </w:t>
      </w:r>
    </w:p>
    <w:p w:rsidR="00D1590E" w:rsidRPr="00D1590E" w:rsidRDefault="00D1590E" w:rsidP="00D1590E">
      <w:r w:rsidRPr="00D1590E">
        <w:t>Second, energy regulation in Australia is intended to be incentive-based where possible. Benchmarking strengthens incentives for network businesses to minimise costs—it creates effective incentives to promote: efficient investment, the efficient provision of services and the efficient use of the distribution system, consistent with the NEO.</w:t>
      </w:r>
    </w:p>
    <w:p w:rsidR="00D1590E" w:rsidRPr="00D1590E" w:rsidRDefault="00D1590E" w:rsidP="00D1590E">
      <w:r w:rsidRPr="00D1590E">
        <w:t>Benchmarking creates a form of competitive pressure on the networks, whereby information about the relative performance of a business can be an important incentive for improvement.</w:t>
      </w:r>
      <w:r w:rsidRPr="00D1590E">
        <w:rPr>
          <w:rStyle w:val="FootnoteReference"/>
        </w:rPr>
        <w:footnoteReference w:id="167"/>
      </w:r>
      <w:r w:rsidRPr="00D1590E">
        <w:t xml:space="preserve"> Benchmarking is widely used by private sector firms to identify opportunities for operational efficiencies and other improvements.</w:t>
      </w:r>
    </w:p>
    <w:p w:rsidR="00D1590E" w:rsidRPr="00D1590E" w:rsidRDefault="00D1590E" w:rsidP="00D1590E">
      <w:pPr>
        <w:rPr>
          <w:rStyle w:val="Strong"/>
        </w:rPr>
      </w:pPr>
      <w:bookmarkStart w:id="183" w:name="_Toc414628197"/>
      <w:r w:rsidRPr="00D1590E">
        <w:rPr>
          <w:rStyle w:val="Strong"/>
        </w:rPr>
        <w:br w:type="page"/>
      </w:r>
    </w:p>
    <w:p w:rsidR="00D1590E" w:rsidRPr="00D1590E" w:rsidRDefault="00D1590E" w:rsidP="00D1590E">
      <w:pPr>
        <w:pStyle w:val="Heading9"/>
      </w:pPr>
      <w:bookmarkStart w:id="184" w:name="_Toc417646265"/>
      <w:bookmarkStart w:id="185" w:name="_Toc417649219"/>
      <w:bookmarkStart w:id="186" w:name="_Toc417659851"/>
      <w:r w:rsidRPr="00D1590E">
        <w:lastRenderedPageBreak/>
        <w:t>Benchmarking is a common regulatory tool</w:t>
      </w:r>
      <w:bookmarkEnd w:id="183"/>
      <w:bookmarkEnd w:id="184"/>
      <w:bookmarkEnd w:id="185"/>
      <w:bookmarkEnd w:id="186"/>
    </w:p>
    <w:p w:rsidR="00D1590E" w:rsidRPr="00D1590E" w:rsidRDefault="00D1590E" w:rsidP="00D1590E">
      <w:r w:rsidRPr="00D1590E">
        <w:t>The use of benchmarking in economic regulation of energy networks is well-established. The AER/ACCC undertook two studies in 2012 on how benchmarking is applied around the world. These studies cover the key methods, relevant literature and regulatory practices, as well as the major technical and implementation issues in benchmarking energy networks.</w:t>
      </w:r>
      <w:r w:rsidRPr="00D1590E">
        <w:rPr>
          <w:rStyle w:val="FootnoteReference"/>
        </w:rPr>
        <w:footnoteReference w:id="168"/>
      </w:r>
      <w:r w:rsidRPr="00D1590E">
        <w:rPr>
          <w:rStyle w:val="FootnoteReference"/>
        </w:rPr>
        <w:footnoteReference w:id="169"/>
      </w:r>
      <w:r w:rsidRPr="00D1590E">
        <w:t xml:space="preserve"> The studies carefully list the advantages and disadvantages of each benchmarking method in the context of energy network regulation. We also commissioned a thorough analysis of benchmarking approaches in some European countries.</w:t>
      </w:r>
      <w:r w:rsidRPr="00D1590E">
        <w:rPr>
          <w:rStyle w:val="FootnoteReference"/>
        </w:rPr>
        <w:footnoteReference w:id="170"/>
      </w:r>
    </w:p>
    <w:p w:rsidR="00D1590E" w:rsidRPr="00D1590E" w:rsidRDefault="00D1590E" w:rsidP="00D1590E">
      <w:r w:rsidRPr="00D1590E">
        <w:t>The Productivity Commission found utility regulators around the world use static (and dynamic) benchmarking to encourage regulated businesses to achieve the long-run efficiency outcomes of decentralised, workably competitive, markets.</w:t>
      </w:r>
      <w:r w:rsidRPr="00D1590E">
        <w:rPr>
          <w:rStyle w:val="FootnoteReference"/>
        </w:rPr>
        <w:footnoteReference w:id="171"/>
      </w:r>
      <w:r w:rsidRPr="00D1590E">
        <w:t xml:space="preserve"> Benchmarking has been used by:</w:t>
      </w:r>
    </w:p>
    <w:p w:rsidR="00D1590E" w:rsidRPr="00D1590E" w:rsidRDefault="00D1590E" w:rsidP="00D1590E">
      <w:pPr>
        <w:pStyle w:val="AERbulletlistfirststyle"/>
      </w:pPr>
      <w:r w:rsidRPr="00D1590E">
        <w:t>Australian regulators, including state based electricity regulators and the AER</w:t>
      </w:r>
    </w:p>
    <w:p w:rsidR="00D1590E" w:rsidRPr="00D1590E" w:rsidRDefault="00D1590E" w:rsidP="00D1590E">
      <w:pPr>
        <w:pStyle w:val="AERbulletlistfirststyle"/>
      </w:pPr>
      <w:r w:rsidRPr="00D1590E">
        <w:t xml:space="preserve">international regulators such as OFGEM (United Kingdom), CER (Ireland), NZCC (New Zealand), and OEB (Ontario Canada) </w:t>
      </w:r>
    </w:p>
    <w:p w:rsidR="00D1590E" w:rsidRPr="00D1590E" w:rsidRDefault="00D1590E" w:rsidP="00D1590E">
      <w:pPr>
        <w:pStyle w:val="AERbulletlistfirststyle"/>
      </w:pPr>
      <w:r w:rsidRPr="00D1590E">
        <w:t>various academics in the Australian, European, American and other contexts.</w:t>
      </w:r>
      <w:r w:rsidRPr="00D1590E">
        <w:rPr>
          <w:rStyle w:val="FootnoteReference"/>
        </w:rPr>
        <w:footnoteReference w:id="172"/>
      </w:r>
    </w:p>
    <w:p w:rsidR="00D1590E" w:rsidRPr="00D1590E" w:rsidRDefault="00D1590E" w:rsidP="00D1590E">
      <w:r w:rsidRPr="00D1590E">
        <w:t>Unlike some industries, electricity network distribution businesses are good candidates for benchmarking opex. All network businesses use a similar set of assets, such as poles, wires, transformers and cables, to provide network services to customers. Indeed, Bain &amp; Company states '… in some ways, utilities are one of the most straightforward industries to benchmark because they perform essentially the same tasks wherever they are.'</w:t>
      </w:r>
      <w:r w:rsidRPr="00D1590E">
        <w:rPr>
          <w:rStyle w:val="FootnoteReference"/>
        </w:rPr>
        <w:footnoteReference w:id="173"/>
      </w:r>
    </w:p>
    <w:p w:rsidR="00D1590E" w:rsidRPr="00D1590E" w:rsidRDefault="00D1590E" w:rsidP="00D1590E">
      <w:r w:rsidRPr="00D1590E">
        <w:t>This commonality means that economic benchmarking of costs can be used to measure the economic efficiency of a network business by comparing its performance not only to other businesses, but also to its own past performance.</w:t>
      </w:r>
      <w:r w:rsidRPr="00D1590E">
        <w:rPr>
          <w:rStyle w:val="FootnoteReference"/>
        </w:rPr>
        <w:footnoteReference w:id="174"/>
      </w:r>
      <w:r w:rsidRPr="00D1590E">
        <w:t xml:space="preserve"> Historically, electricity distribution has exhibited low technology change in comparison to, for example, communications where the pace of technology change is more dynamic.</w:t>
      </w:r>
      <w:r w:rsidRPr="00D1590E">
        <w:rPr>
          <w:rStyle w:val="FootnoteReference"/>
        </w:rPr>
        <w:footnoteReference w:id="175"/>
      </w:r>
    </w:p>
    <w:p w:rsidR="00D1590E" w:rsidRPr="00D1590E" w:rsidRDefault="00D1590E" w:rsidP="00D1590E">
      <w:r w:rsidRPr="00D1590E">
        <w:t xml:space="preserve">However, it is important to recognise that network businesses do not operate under exactly the same operating environment conditions. Further, distribution businesses </w:t>
      </w:r>
      <w:r w:rsidRPr="00D1590E">
        <w:lastRenderedPageBreak/>
        <w:t>can vary in the scope of electricity distribution services they provide. Benchmarking needs to properly account for these differences so that when comparisons are made across networks, we are comparing ‘like-with-like’ to the greatest extent possible.</w:t>
      </w:r>
      <w:r w:rsidRPr="00D1590E">
        <w:rPr>
          <w:rStyle w:val="FootnoteReference"/>
        </w:rPr>
        <w:footnoteReference w:id="176"/>
      </w:r>
      <w:r w:rsidRPr="00D1590E">
        <w:t xml:space="preserve"> As stated by the AEMC: </w:t>
      </w:r>
    </w:p>
    <w:p w:rsidR="00D1590E" w:rsidRPr="00D1590E" w:rsidRDefault="00D1590E" w:rsidP="00D1590E">
      <w:pPr>
        <w:pStyle w:val="AERquote"/>
      </w:pPr>
      <w:r w:rsidRPr="00D1590E">
        <w:t xml:space="preserve">...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 </w:t>
      </w:r>
    </w:p>
    <w:p w:rsidR="00D1590E" w:rsidRPr="00D1590E" w:rsidRDefault="00D1590E" w:rsidP="00D1590E">
      <w:pPr>
        <w:pStyle w:val="AERquote"/>
      </w:pPr>
      <w:r w:rsidRPr="00D1590E">
        <w:t>…</w:t>
      </w:r>
    </w:p>
    <w:p w:rsidR="00D1590E" w:rsidRPr="00D1590E" w:rsidRDefault="00D1590E" w:rsidP="00D1590E">
      <w:pPr>
        <w:pStyle w:val="AERquote"/>
      </w:pPr>
      <w:r w:rsidRPr="00D1590E">
        <w:t>If there are some exogenous factors that the AER has difficulty taking adequate account of when undertaking benchmarking, then the use to which it puts the results and the weight it attaches the results can reflect the confidence it has in the robustness of its analysis.</w:t>
      </w:r>
    </w:p>
    <w:p w:rsidR="00D1590E" w:rsidRPr="00D1590E" w:rsidRDefault="00D1590E" w:rsidP="00D1590E">
      <w:r w:rsidRPr="00D1590E">
        <w:t xml:space="preserve">Our benchmarking models account for key differences in operating environment factors (section). This is followed by our review of a large set of operating environment factors to determine whether it is necessary to provide further allowance for operating environment differences.  </w:t>
      </w:r>
    </w:p>
    <w:p w:rsidR="00D1590E" w:rsidRPr="00D1590E" w:rsidRDefault="00D1590E" w:rsidP="00D1590E">
      <w:r w:rsidRPr="00D1590E">
        <w:t>We undertook an extensive research and consultation process to develop the benchmarking used in the annual benchmarking report and in the determinations. This has been in conjunction with Economic Insights, which is an internationally recognised expert consultant on benchmarking. As discussed in section </w:t>
      </w:r>
      <w:r w:rsidRPr="00D1590E">
        <w:rPr>
          <w:highlight w:val="yellow"/>
        </w:rPr>
        <w:fldChar w:fldCharType="begin"/>
      </w:r>
      <w:r w:rsidRPr="00D1590E">
        <w:instrText xml:space="preserve"> REF _Ref415580420 \n \h </w:instrText>
      </w:r>
      <w:r w:rsidRPr="00D1590E">
        <w:rPr>
          <w:highlight w:val="yellow"/>
        </w:rPr>
      </w:r>
      <w:r w:rsidRPr="00D1590E">
        <w:rPr>
          <w:highlight w:val="yellow"/>
        </w:rPr>
        <w:fldChar w:fldCharType="separate"/>
      </w:r>
      <w:r w:rsidR="00C57342">
        <w:t>A.3</w:t>
      </w:r>
      <w:r w:rsidRPr="00D1590E">
        <w:rPr>
          <w:highlight w:val="yellow"/>
        </w:rPr>
        <w:fldChar w:fldCharType="end"/>
      </w:r>
      <w:r w:rsidRPr="00D1590E">
        <w:t>, we released a significant benchmarking study in 2012 and consulted heavily on both the Guideline (including through an issues paper, draft guideline and workshops) and regulatory information notices. We have further developed our benchmarking models through this determination process.</w:t>
      </w:r>
    </w:p>
    <w:p w:rsidR="00D1590E" w:rsidRPr="00D1590E" w:rsidRDefault="00D1590E" w:rsidP="00D1590E">
      <w:r w:rsidRPr="00D1590E">
        <w:br w:type="page"/>
      </w:r>
    </w:p>
    <w:p w:rsidR="00D1590E" w:rsidRPr="00D1590E" w:rsidRDefault="00D1590E" w:rsidP="00D1590E">
      <w:pPr>
        <w:pStyle w:val="Heading8"/>
      </w:pPr>
      <w:bookmarkStart w:id="187" w:name="_Ref415580420"/>
      <w:bookmarkStart w:id="188" w:name="_Toc417649220"/>
      <w:bookmarkStart w:id="189" w:name="_Toc417659852"/>
      <w:r w:rsidRPr="00D1590E">
        <w:lastRenderedPageBreak/>
        <w:t>Assessment approach</w:t>
      </w:r>
      <w:bookmarkEnd w:id="138"/>
      <w:bookmarkEnd w:id="139"/>
      <w:bookmarkEnd w:id="140"/>
      <w:bookmarkEnd w:id="167"/>
      <w:bookmarkEnd w:id="187"/>
      <w:bookmarkEnd w:id="188"/>
      <w:bookmarkEnd w:id="189"/>
    </w:p>
    <w:p w:rsidR="00D1590E" w:rsidRPr="00D1590E" w:rsidRDefault="00D1590E" w:rsidP="00D1590E">
      <w:r w:rsidRPr="00D1590E">
        <w:rPr>
          <w:noProof/>
          <w:lang w:eastAsia="en-AU"/>
        </w:rPr>
        <w:drawing>
          <wp:anchor distT="0" distB="0" distL="114300" distR="114300" simplePos="0" relativeHeight="251661312" behindDoc="0" locked="0" layoutInCell="1" allowOverlap="1" wp14:anchorId="240A6C6D" wp14:editId="3EEE4E11">
            <wp:simplePos x="0" y="0"/>
            <wp:positionH relativeFrom="column">
              <wp:posOffset>3509010</wp:posOffset>
            </wp:positionH>
            <wp:positionV relativeFrom="paragraph">
              <wp:posOffset>237490</wp:posOffset>
            </wp:positionV>
            <wp:extent cx="1923415" cy="4322445"/>
            <wp:effectExtent l="0" t="0" r="0" b="20955"/>
            <wp:wrapSquare wrapText="bothSides"/>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Pr="00D1590E">
        <w:t xml:space="preserve">In section </w:t>
      </w:r>
      <w:r w:rsidR="008552DD">
        <w:fldChar w:fldCharType="begin"/>
      </w:r>
      <w:r w:rsidR="008552DD">
        <w:instrText xml:space="preserve"> REF _Ref417660609 \n \h </w:instrText>
      </w:r>
      <w:r w:rsidR="008552DD">
        <w:fldChar w:fldCharType="separate"/>
      </w:r>
      <w:r w:rsidR="008552DD">
        <w:t>7.3</w:t>
      </w:r>
      <w:r w:rsidR="008552DD">
        <w:fldChar w:fldCharType="end"/>
      </w:r>
      <w:r w:rsidRPr="00D1590E">
        <w:t xml:space="preserve"> we presented a diagram explaining the five steps in our approach to assessing a service provider's total forecast opex. </w:t>
      </w:r>
    </w:p>
    <w:p w:rsidR="00D1590E" w:rsidRPr="00D1590E" w:rsidRDefault="00D1590E" w:rsidP="00D1590E">
      <w:r w:rsidRPr="00D1590E">
        <w:t xml:space="preserve">This section explains our approach to assessing base opex, which covers Step 1 and Step 2 of this overall approach. </w:t>
      </w:r>
    </w:p>
    <w:p w:rsidR="00D1590E" w:rsidRPr="00D1590E" w:rsidRDefault="00D1590E" w:rsidP="00D1590E">
      <w:r w:rsidRPr="00D1590E">
        <w:t xml:space="preserve">Assessing base opex is a crucial part of our overall assessment approach because it is the foundation upon which we build our own estimate of total forecast opex that we consider reasonably reflects the opex criteria. We use our estimate to: </w:t>
      </w:r>
    </w:p>
    <w:p w:rsidR="00D1590E" w:rsidRPr="00D1590E" w:rsidRDefault="00D1590E" w:rsidP="00D1590E">
      <w:pPr>
        <w:pStyle w:val="AERbulletlistfirststyle"/>
      </w:pPr>
      <w:r w:rsidRPr="00D1590E">
        <w:t>determine whether to either accept or not accept a service provider's total forecast opex proposal by reference to the opex criteria;</w:t>
      </w:r>
      <w:r w:rsidRPr="00D1590E">
        <w:rPr>
          <w:rStyle w:val="FootnoteReference"/>
        </w:rPr>
        <w:footnoteReference w:id="177"/>
      </w:r>
      <w:r w:rsidRPr="00D1590E">
        <w:t xml:space="preserve"> and</w:t>
      </w:r>
    </w:p>
    <w:p w:rsidR="00D1590E" w:rsidRPr="00D1590E" w:rsidRDefault="00D1590E" w:rsidP="00D1590E">
      <w:pPr>
        <w:pStyle w:val="AERbulletlistfirststyle"/>
      </w:pPr>
      <w:r w:rsidRPr="00D1590E">
        <w:t>in the event we must reject a service provider's proposal</w:t>
      </w:r>
      <w:r w:rsidRPr="00D1590E">
        <w:rPr>
          <w:rStyle w:val="FootnoteReference"/>
        </w:rPr>
        <w:footnoteReference w:id="178"/>
      </w:r>
      <w:r w:rsidRPr="00D1590E">
        <w:t xml:space="preserve"> (that is, if it does not reasonably reflect the opex criteria) replace that proposed forecast.</w:t>
      </w:r>
    </w:p>
    <w:p w:rsidR="00D1590E" w:rsidRPr="00D1590E" w:rsidRDefault="00D1590E" w:rsidP="00D1590E">
      <w:r w:rsidRPr="00D1590E">
        <w:t>The starting point for developing our estimate is the service provider's revealed costs (in this case, opex for the 2012–13 financial year). This is base opex, represented by Step 1, above. Base opex has been audited, and is used by the service providers as an agreed starting point.</w:t>
      </w:r>
      <w:r w:rsidRPr="00D1590E">
        <w:rPr>
          <w:rStyle w:val="FootnoteReference"/>
        </w:rPr>
        <w:footnoteReference w:id="179"/>
      </w:r>
    </w:p>
    <w:p w:rsidR="00D1590E" w:rsidRPr="00D1590E" w:rsidRDefault="00D1590E" w:rsidP="00D1590E">
      <w:r w:rsidRPr="00D1590E">
        <w:t>As foreshadowed in the Guideline</w:t>
      </w:r>
      <w:r w:rsidRPr="00D1590E">
        <w:rPr>
          <w:rStyle w:val="FootnoteReference"/>
        </w:rPr>
        <w:footnoteReference w:id="180"/>
      </w:r>
      <w:r w:rsidRPr="00D1590E">
        <w:t>, we use the following techniques to assess whether the base opex is suitable as a starting point for determining an estimate of total forecast opex that reasonably reflects the opex criteria (represented by Step 2, above):</w:t>
      </w:r>
    </w:p>
    <w:p w:rsidR="00D1590E" w:rsidRPr="00D1590E" w:rsidRDefault="00D1590E" w:rsidP="00D1590E">
      <w:pPr>
        <w:pStyle w:val="AERbulletlistfirststyle"/>
      </w:pPr>
      <w:r w:rsidRPr="00D1590E">
        <w:t>economic benchmarking—more complex techniques that use applies economic theory to measure the efficiency of a distributor's use of inputs to produce a number of different outputs, having regard to operating environment factors</w:t>
      </w:r>
    </w:p>
    <w:p w:rsidR="00D1590E" w:rsidRPr="00D1590E" w:rsidRDefault="00D1590E" w:rsidP="00D1590E">
      <w:pPr>
        <w:pStyle w:val="AERbulletlistfirststyle"/>
      </w:pPr>
      <w:r w:rsidRPr="00D1590E">
        <w:t xml:space="preserve">partial performance indicators—simplistic techniques that relate total opex and total user cost to one cost driver, such as line length or customer density (known as aggregated category benchmarks in the Guideline) </w:t>
      </w:r>
    </w:p>
    <w:p w:rsidR="00D1590E" w:rsidRPr="00D1590E" w:rsidRDefault="00D1590E" w:rsidP="00D1590E">
      <w:pPr>
        <w:pStyle w:val="AERbulletlistfirststyle"/>
      </w:pPr>
      <w:r w:rsidRPr="00D1590E">
        <w:lastRenderedPageBreak/>
        <w:t xml:space="preserve">category analysis—that compares, across service providers, the cost of delivering a particular category of opex (such as maintenance, vegetation management, etc) to identify areas for detailed review </w:t>
      </w:r>
    </w:p>
    <w:p w:rsidR="00D1590E" w:rsidRPr="00D1590E" w:rsidRDefault="00D1590E" w:rsidP="00D1590E">
      <w:pPr>
        <w:pStyle w:val="AERbulletlistfirststyle"/>
      </w:pPr>
      <w:r w:rsidRPr="00D1590E">
        <w:t>detailed review—targeted, qualitative, examination of particular categories of expenditure, such as labour costs and vegetation management, conducted with the assistance of industry experts.</w:t>
      </w:r>
    </w:p>
    <w:p w:rsidR="00D1590E" w:rsidRPr="00D1590E" w:rsidRDefault="00D1590E" w:rsidP="00D1590E">
      <w:r w:rsidRPr="00D1590E">
        <w:t>Benchmarking is particularly important in Step 2 of our approach because it enables us to compare the relative efficiency of the total opex of different service providers.</w:t>
      </w:r>
      <w:r w:rsidRPr="00D1590E">
        <w:rPr>
          <w:rStyle w:val="FootnoteReference"/>
        </w:rPr>
        <w:footnoteReference w:id="181"/>
      </w:r>
      <w:r w:rsidRPr="00D1590E">
        <w:t xml:space="preserve"> The NER give us discretion as to how we use benchmarking in our assessment.</w:t>
      </w:r>
      <w:r w:rsidRPr="00D1590E">
        <w:rPr>
          <w:rStyle w:val="FootnoteReference"/>
        </w:rPr>
        <w:footnoteReference w:id="182"/>
      </w:r>
    </w:p>
    <w:p w:rsidR="00D1590E" w:rsidRPr="00D1590E" w:rsidRDefault="00D1590E" w:rsidP="00D1590E">
      <w:r w:rsidRPr="00D1590E">
        <w:t>As part of our application of economic benchmarking, we consider differences in service providers' operating environments that could account for some differences in the relative efficiency scores. Based on this review we make appropriate adjustments to efficiency scores.</w:t>
      </w:r>
    </w:p>
    <w:p w:rsidR="00D1590E" w:rsidRPr="00D1590E" w:rsidRDefault="00D1590E" w:rsidP="00D1590E">
      <w:r w:rsidRPr="00D1590E">
        <w:rPr>
          <w:rStyle w:val="AERbody"/>
        </w:rPr>
        <w:t xml:space="preserve">We have a preferred </w:t>
      </w:r>
      <w:r w:rsidRPr="00D1590E">
        <w:t>benchmarking model, which is Cobb Douglas stochastic frontier analysis (SFA).</w:t>
      </w:r>
      <w:r w:rsidRPr="00D1590E">
        <w:rPr>
          <w:rStyle w:val="FootnoteReference"/>
        </w:rPr>
        <w:footnoteReference w:id="183"/>
      </w:r>
      <w:r w:rsidRPr="00D1590E">
        <w:t xml:space="preserve"> This model creates an efficiency score for all service providers in the NEM. In the event we make an adjustment to base opex, we use this model as the starting point.</w:t>
      </w:r>
    </w:p>
    <w:p w:rsidR="00D1590E" w:rsidRPr="00D1590E" w:rsidRDefault="00D1590E" w:rsidP="00D1590E">
      <w:r w:rsidRPr="00D1590E">
        <w:t xml:space="preserve">If a service provider performs well on our economic benchmarking techniques, we consider it is unnecessary for us to review base opex in further detail. No adjustment is required because we consider the service provider's base opex is not materially inefficient and, therefore, an appropriate starting point for our estimate of total forecast opex that reasonably reflects the opex criteria.  Conversely, if our economic benchmarking techniques indicate that a service provider's opex is not efficient, we then review base opex in further detail and consider whether it is necessary to adjust base opex.   </w:t>
      </w:r>
    </w:p>
    <w:p w:rsidR="00D1590E" w:rsidRPr="00D1590E" w:rsidRDefault="00D1590E" w:rsidP="00D1590E">
      <w:r w:rsidRPr="00D1590E">
        <w:t>Theoretically, all service providers who rank below the service provider with the highest efficiency score on our preferred technique could be considered inefficient. If we decided to apply benchmarking deterministically, we could simply determine the degree of a service provider's inefficiency against the efficiency score of the most efficient service provider and adjust their opex accordingly.</w:t>
      </w:r>
    </w:p>
    <w:p w:rsidR="00D1590E" w:rsidRPr="00D1590E" w:rsidRDefault="00D1590E" w:rsidP="00D1590E">
      <w:r w:rsidRPr="00D1590E">
        <w:t xml:space="preserve">However, we are not applying benchmarking deterministically. As we demonstrate in the diagram below, we have regard to a number of sources of evidence in forming a view on base opex efficiency, consistent with the approach we outlined in the Guideline. If it is clear that base opex is inefficient, we depart from revealed costs. When we do so, we rely on the most robust benchmarking model as the basis for adjustment. </w:t>
      </w:r>
    </w:p>
    <w:p w:rsidR="00D1590E" w:rsidRPr="00D1590E" w:rsidRDefault="00D1590E" w:rsidP="00D1590E">
      <w:r w:rsidRPr="00D1590E">
        <w:lastRenderedPageBreak/>
        <w:t xml:space="preserve">In doing so, however, we rely on the concept of material inefficiency introduced in the Guideline. Because our preference (as stated in the Guideline) is to rely on the revealed cost approach to determine the starting point for our estimate of total forecast opex, we depart from revealed costs only when we consider base opex is </w:t>
      </w:r>
      <w:r w:rsidRPr="00D1590E">
        <w:rPr>
          <w:rStyle w:val="AERtextitalic"/>
        </w:rPr>
        <w:t>materially</w:t>
      </w:r>
      <w:r w:rsidRPr="00D1590E">
        <w:t xml:space="preserve"> inefficient.</w:t>
      </w:r>
      <w:r w:rsidRPr="00D1590E">
        <w:rPr>
          <w:rStyle w:val="FootnoteReference"/>
        </w:rPr>
        <w:t xml:space="preserve"> </w:t>
      </w:r>
      <w:r w:rsidRPr="00D1590E">
        <w:rPr>
          <w:rStyle w:val="FootnoteReference"/>
        </w:rPr>
        <w:footnoteReference w:id="184"/>
      </w:r>
      <w:r w:rsidRPr="00D1590E">
        <w:t xml:space="preserve"> The concept of material efficiency recognises that efficiency is a relative term, and one which properly does not adjust a service provider's revealed costs for immaterial inefficiency. </w:t>
      </w:r>
    </w:p>
    <w:p w:rsidR="00D1590E" w:rsidRPr="00D1590E" w:rsidRDefault="00D1590E" w:rsidP="00D1590E">
      <w:r w:rsidRPr="00D1590E">
        <w:rPr>
          <w:rStyle w:val="AERbody"/>
        </w:rPr>
        <w:t xml:space="preserve">Therefore, in deciding what is materially inefficient, we consider </w:t>
      </w:r>
      <w:r w:rsidRPr="00D1590E">
        <w:t xml:space="preserve">it is appropriate to provide a margin for the effect of potential modelling and data limitations. To give effect to this consideration, we do not compare service providers to the frontier business. </w:t>
      </w:r>
      <w:r w:rsidRPr="00D1590E">
        <w:rPr>
          <w:rStyle w:val="AERbody"/>
        </w:rPr>
        <w:t xml:space="preserve">We consider the appropriate "benchmark comparison point" is the </w:t>
      </w:r>
      <w:r w:rsidRPr="00D1590E">
        <w:t>lowest of the efficiency scores for service providers in the top quartile of possible scores on our preferred SFA model. This is equivalent to the efficiency score for the business at the bottom of the upper third (top 33 per cent) of companies in the benchmark sample (represented by AusNet Services).</w:t>
      </w:r>
      <w:r w:rsidRPr="00D1590E">
        <w:rPr>
          <w:rStyle w:val="FootnoteReference"/>
        </w:rPr>
        <w:footnoteReference w:id="185"/>
      </w:r>
      <w:r w:rsidRPr="00D1590E">
        <w:t xml:space="preserve"> Our approach of using benchmarking as a basis for making adjustments to opex is consistent with Ofgem's approach.</w:t>
      </w:r>
      <w:r w:rsidRPr="00D1590E">
        <w:rPr>
          <w:rStyle w:val="FootnoteReference"/>
        </w:rPr>
        <w:footnoteReference w:id="186"/>
      </w:r>
      <w:r w:rsidRPr="00D1590E">
        <w:t xml:space="preserve"> </w:t>
      </w:r>
    </w:p>
    <w:p w:rsidR="00D1590E" w:rsidRPr="00D1590E" w:rsidRDefault="00D1590E" w:rsidP="00D1590E">
      <w:r w:rsidRPr="00D1590E">
        <w:rPr>
          <w:noProof/>
          <w:lang w:eastAsia="en-AU"/>
        </w:rPr>
        <w:drawing>
          <wp:anchor distT="0" distB="0" distL="114300" distR="114300" simplePos="0" relativeHeight="251662336" behindDoc="0" locked="0" layoutInCell="1" allowOverlap="1" wp14:anchorId="5735AC0E" wp14:editId="411672AC">
            <wp:simplePos x="0" y="0"/>
            <wp:positionH relativeFrom="column">
              <wp:posOffset>2049780</wp:posOffset>
            </wp:positionH>
            <wp:positionV relativeFrom="paragraph">
              <wp:posOffset>85090</wp:posOffset>
            </wp:positionV>
            <wp:extent cx="3538220" cy="3550285"/>
            <wp:effectExtent l="0" t="0" r="43180" b="0"/>
            <wp:wrapSquare wrapText="bothSides"/>
            <wp:docPr id="35"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Pr="00D1590E">
        <w:rPr>
          <w:rStyle w:val="AERbody"/>
        </w:rPr>
        <w:t xml:space="preserve">This means that we will not adjust the base year opex of a service provider unless its efficiency score (taking into account operating environment factors) is below the service provider with the lowest of the efficiency scores in the top quartile of possible scores. </w:t>
      </w:r>
      <w:r w:rsidRPr="00D1590E">
        <w:t>We have done this because:</w:t>
      </w:r>
    </w:p>
    <w:p w:rsidR="00D1590E" w:rsidRPr="00D1590E" w:rsidRDefault="00D1590E" w:rsidP="00D1590E">
      <w:pPr>
        <w:pStyle w:val="AERbulletlistfirststyle"/>
      </w:pPr>
      <w:r w:rsidRPr="00D1590E">
        <w:t>given it is our first application of benchmarking, it is appropriate to adopt a cautious approach, allowing a margin for potential modelling and data issues and other uncertainties</w:t>
      </w:r>
    </w:p>
    <w:p w:rsidR="00D1590E" w:rsidRPr="00D1590E" w:rsidRDefault="00D1590E" w:rsidP="00D1590E">
      <w:pPr>
        <w:pStyle w:val="AERbulletlistfirststyle"/>
        <w:rPr>
          <w:rStyle w:val="AERbody"/>
        </w:rPr>
      </w:pPr>
      <w:r w:rsidRPr="00D1590E">
        <w:rPr>
          <w:rStyle w:val="AERbody"/>
        </w:rPr>
        <w:lastRenderedPageBreak/>
        <w:t xml:space="preserve">we consider this approach is consistent with the NEO and RPP because it is </w:t>
      </w:r>
      <w:r w:rsidRPr="00D1590E">
        <w:t xml:space="preserve">sufficiently conservative to avoid the risks associated with undercompensating the service provider but also promotes efficiency incentives. </w:t>
      </w:r>
    </w:p>
    <w:p w:rsidR="00D1590E" w:rsidRPr="00D1590E" w:rsidRDefault="00D1590E" w:rsidP="00D1590E">
      <w:pPr>
        <w:rPr>
          <w:rStyle w:val="AERbody"/>
        </w:rPr>
      </w:pPr>
      <w:r w:rsidRPr="00D1590E">
        <w:rPr>
          <w:rStyle w:val="AERbody"/>
        </w:rPr>
        <w:t xml:space="preserve">This has the effect of significantly reducing the target against which we compare and (if necessary) adjust service providers' base opex. Our detailed consideration of adjustments to base opex is set out in </w:t>
      </w:r>
      <w:r w:rsidRPr="00D1590E">
        <w:t xml:space="preserve">section </w:t>
      </w:r>
      <w:r w:rsidRPr="00D1590E">
        <w:fldChar w:fldCharType="begin"/>
      </w:r>
      <w:r w:rsidRPr="00D1590E">
        <w:instrText xml:space="preserve"> REF _Ref416803943 \n \h </w:instrText>
      </w:r>
      <w:r w:rsidRPr="00D1590E">
        <w:fldChar w:fldCharType="separate"/>
      </w:r>
      <w:r w:rsidR="00C57342">
        <w:t>A.7</w:t>
      </w:r>
      <w:r w:rsidRPr="00D1590E">
        <w:fldChar w:fldCharType="end"/>
      </w:r>
      <w:r w:rsidRPr="00D1590E">
        <w:rPr>
          <w:rStyle w:val="AERbody"/>
        </w:rPr>
        <w:t>.</w:t>
      </w:r>
    </w:p>
    <w:p w:rsidR="00D1590E" w:rsidRPr="00D1590E" w:rsidRDefault="00D1590E" w:rsidP="00D1590E">
      <w:pPr>
        <w:pStyle w:val="Heading9"/>
        <w:rPr>
          <w:rStyle w:val="AERbody"/>
        </w:rPr>
      </w:pPr>
      <w:bookmarkStart w:id="190" w:name="_Toc417646267"/>
      <w:bookmarkStart w:id="191" w:name="_Toc417649221"/>
      <w:bookmarkStart w:id="192" w:name="_Toc417659853"/>
      <w:r w:rsidRPr="00D1590E">
        <w:rPr>
          <w:rStyle w:val="AERbody"/>
        </w:rPr>
        <w:t>Our approach to benchmarking since May 2012</w:t>
      </w:r>
      <w:bookmarkEnd w:id="190"/>
      <w:bookmarkEnd w:id="191"/>
      <w:bookmarkEnd w:id="192"/>
    </w:p>
    <w:p w:rsidR="00D1590E" w:rsidRPr="00D1590E" w:rsidRDefault="00D1590E" w:rsidP="00D1590E">
      <w:pPr>
        <w:rPr>
          <w:rStyle w:val="AERbody"/>
        </w:rPr>
      </w:pPr>
      <w:bookmarkStart w:id="193" w:name="_Ref416804483"/>
      <w:r w:rsidRPr="00D1590E">
        <w:rPr>
          <w:rStyle w:val="AERbody"/>
        </w:rPr>
        <w:t xml:space="preserve">We released a working paper on benchmarking in May 2012, and commenced work on the Guideline in December 2012, following the November 2012 Rule change. We finalised the Guideline in November 2013. We subsequently engaged in an extensive  process of information gathering that culminated in our first Annual Benchmarking Report in November 2014. Service providers and any other interested parties have had access to the benchmarking RIN data since we published it on our website in May 2014. For the past three years, we have consulted widely with service providers and other stakeholders on our approach and its legal and economic underpinnings. Stakeholders also participated in the rule change process. </w:t>
      </w:r>
      <w:r w:rsidRPr="00D1590E">
        <w:rPr>
          <w:rStyle w:val="AERbody"/>
        </w:rPr>
        <w:fldChar w:fldCharType="begin"/>
      </w:r>
      <w:r w:rsidRPr="00D1590E">
        <w:rPr>
          <w:rStyle w:val="AERbody"/>
        </w:rPr>
        <w:instrText xml:space="preserve"> REF _Ref414616809 \h </w:instrText>
      </w:r>
      <w:r w:rsidRPr="00D1590E">
        <w:rPr>
          <w:rStyle w:val="AERbody"/>
        </w:rPr>
      </w:r>
      <w:r w:rsidRPr="00D1590E">
        <w:rPr>
          <w:rStyle w:val="AERbody"/>
        </w:rPr>
        <w:fldChar w:fldCharType="separate"/>
      </w:r>
      <w:r w:rsidR="00C57342" w:rsidRPr="00D1590E">
        <w:t xml:space="preserve">Table </w:t>
      </w:r>
      <w:r w:rsidR="00C57342">
        <w:rPr>
          <w:noProof/>
        </w:rPr>
        <w:t>A</w:t>
      </w:r>
      <w:r w:rsidR="00C57342" w:rsidRPr="00D1590E">
        <w:t>.</w:t>
      </w:r>
      <w:r w:rsidR="00C57342">
        <w:rPr>
          <w:noProof/>
        </w:rPr>
        <w:t>2</w:t>
      </w:r>
      <w:r w:rsidRPr="00D1590E">
        <w:rPr>
          <w:rStyle w:val="AERbody"/>
        </w:rPr>
        <w:fldChar w:fldCharType="end"/>
      </w:r>
      <w:r w:rsidRPr="00D1590E">
        <w:rPr>
          <w:rStyle w:val="AERbody"/>
        </w:rPr>
        <w:t xml:space="preserve"> (further below) sets out this consultation process.</w:t>
      </w:r>
    </w:p>
    <w:p w:rsidR="00D1590E" w:rsidRPr="00D1590E" w:rsidRDefault="00D1590E" w:rsidP="00D1590E">
      <w:pPr>
        <w:rPr>
          <w:rStyle w:val="AERbody"/>
        </w:rPr>
      </w:pPr>
      <w:r w:rsidRPr="00D1590E">
        <w:rPr>
          <w:rStyle w:val="AERbody"/>
        </w:rPr>
        <w:t xml:space="preserve">We have, therefore, consulted widely with stakeholders regarding our approach to assessing expenditure forecasts. These consultations have included discussions on how we should use benchmarking in our analysis.  During this process, some service providers raised concerns similar to those filed in their responses to our draft decisions. These include submissions that: </w:t>
      </w:r>
    </w:p>
    <w:p w:rsidR="00D1590E" w:rsidRPr="00D1590E" w:rsidRDefault="00D1590E" w:rsidP="00D1590E">
      <w:pPr>
        <w:pStyle w:val="AERbulletlistfirststyle"/>
        <w:rPr>
          <w:rStyle w:val="AERbody"/>
        </w:rPr>
      </w:pPr>
      <w:r w:rsidRPr="00D1590E">
        <w:rPr>
          <w:rStyle w:val="AERbody"/>
        </w:rPr>
        <w:t>our approach is inconsistent with the NEL and NER</w:t>
      </w:r>
    </w:p>
    <w:p w:rsidR="00D1590E" w:rsidRPr="00D1590E" w:rsidRDefault="00D1590E" w:rsidP="00D1590E">
      <w:pPr>
        <w:pStyle w:val="AERbulletlistfirststyle"/>
        <w:rPr>
          <w:rStyle w:val="AERbody"/>
        </w:rPr>
      </w:pPr>
      <w:r w:rsidRPr="00D1590E">
        <w:rPr>
          <w:rStyle w:val="AERbody"/>
        </w:rPr>
        <w:t>we have placed excessive weight on benchmarking in our approach</w:t>
      </w:r>
      <w:r w:rsidRPr="00D1590E">
        <w:rPr>
          <w:rStyle w:val="FootnoteReference"/>
        </w:rPr>
        <w:footnoteReference w:id="187"/>
      </w:r>
    </w:p>
    <w:p w:rsidR="00D1590E" w:rsidRPr="00D1590E" w:rsidRDefault="00D1590E" w:rsidP="00D1590E">
      <w:pPr>
        <w:pStyle w:val="AERbulletlistfirststyle"/>
        <w:rPr>
          <w:rStyle w:val="AERbody"/>
        </w:rPr>
      </w:pPr>
      <w:r w:rsidRPr="00D1590E">
        <w:rPr>
          <w:rStyle w:val="AERbody"/>
        </w:rPr>
        <w:t>we must give primacy to service provider's regulatory proposals in assessing or determining an opex forecast</w:t>
      </w:r>
    </w:p>
    <w:p w:rsidR="00D1590E" w:rsidRPr="00D1590E" w:rsidRDefault="00D1590E" w:rsidP="00D1590E">
      <w:pPr>
        <w:pStyle w:val="AERbulletlistfirststyle"/>
        <w:rPr>
          <w:rStyle w:val="AERbody"/>
        </w:rPr>
      </w:pPr>
      <w:r w:rsidRPr="00D1590E">
        <w:rPr>
          <w:rStyle w:val="AERbody"/>
        </w:rPr>
        <w:t>we are required to (and have not) had regard to the service providers' individual circumstances</w:t>
      </w:r>
    </w:p>
    <w:p w:rsidR="00D1590E" w:rsidRPr="00D1590E" w:rsidRDefault="00D1590E" w:rsidP="00D1590E">
      <w:pPr>
        <w:pStyle w:val="AERbulletlistfirststyle"/>
        <w:rPr>
          <w:rStyle w:val="AERbody"/>
        </w:rPr>
      </w:pPr>
      <w:r w:rsidRPr="00D1590E">
        <w:rPr>
          <w:rStyle w:val="AERbody"/>
        </w:rPr>
        <w:t>our benchmarking approach is flawed</w:t>
      </w:r>
    </w:p>
    <w:p w:rsidR="00D1590E" w:rsidRPr="00D1590E" w:rsidRDefault="00D1590E" w:rsidP="00D1590E">
      <w:pPr>
        <w:pStyle w:val="AERbulletlistfirststyle"/>
        <w:rPr>
          <w:rStyle w:val="AERbody"/>
        </w:rPr>
      </w:pPr>
      <w:r w:rsidRPr="00D1590E">
        <w:rPr>
          <w:rStyle w:val="AERbody"/>
        </w:rPr>
        <w:t>our approach ignores the constraints and obligations the distributors face so the result is unrealistic.</w:t>
      </w:r>
    </w:p>
    <w:p w:rsidR="00D1590E" w:rsidRPr="00D1590E" w:rsidRDefault="00D1590E" w:rsidP="00D1590E">
      <w:pPr>
        <w:rPr>
          <w:rStyle w:val="AERbody"/>
        </w:rPr>
      </w:pPr>
      <w:r w:rsidRPr="00D1590E">
        <w:rPr>
          <w:rStyle w:val="AERbody"/>
        </w:rPr>
        <w:t>Some service providers have also raised additional issues subsequent to the consultation process, the RINs, our annual benchmarking report and the draft decisions.</w:t>
      </w:r>
      <w:r w:rsidRPr="00D1590E">
        <w:rPr>
          <w:rStyle w:val="FootnoteReference"/>
        </w:rPr>
        <w:footnoteReference w:id="188"/>
      </w:r>
      <w:r w:rsidRPr="00D1590E">
        <w:rPr>
          <w:rStyle w:val="AERbody"/>
        </w:rPr>
        <w:t xml:space="preserve"> This includes material prepared as early as 2012 which was, </w:t>
      </w:r>
      <w:r w:rsidRPr="00D1590E">
        <w:rPr>
          <w:rStyle w:val="AERbody"/>
        </w:rPr>
        <w:lastRenderedPageBreak/>
        <w:t>unfortunately, not provided to us by service providers until after we had published our draft decisions.</w:t>
      </w:r>
      <w:r w:rsidRPr="00D1590E">
        <w:rPr>
          <w:rStyle w:val="FootnoteReference"/>
        </w:rPr>
        <w:footnoteReference w:id="189"/>
      </w:r>
      <w:r w:rsidRPr="00D1590E">
        <w:rPr>
          <w:rStyle w:val="AERbody"/>
        </w:rPr>
        <w:t xml:space="preserve"> Issues raised in this material include: </w:t>
      </w:r>
    </w:p>
    <w:p w:rsidR="00D1590E" w:rsidRPr="00D1590E" w:rsidRDefault="00D1590E" w:rsidP="00D1590E">
      <w:pPr>
        <w:pStyle w:val="AERbulletlistfirststyle"/>
      </w:pPr>
      <w:r w:rsidRPr="00D1590E">
        <w:rPr>
          <w:rStyle w:val="AERbody"/>
        </w:rPr>
        <w:t>the sensitivity of data envelopment analysis to input and output specifications and sample size</w:t>
      </w:r>
    </w:p>
    <w:p w:rsidR="00D1590E" w:rsidRPr="00D1590E" w:rsidRDefault="00D1590E" w:rsidP="00D1590E">
      <w:pPr>
        <w:pStyle w:val="AERbulletlistfirststyle"/>
        <w:rPr>
          <w:rStyle w:val="AERtexthighlight"/>
        </w:rPr>
      </w:pPr>
      <w:r w:rsidRPr="00D1590E">
        <w:rPr>
          <w:rStyle w:val="AERbody"/>
        </w:rPr>
        <w:t>there is additional benchmarking data and variables that should be considered by us in making our assessments.</w:t>
      </w:r>
    </w:p>
    <w:p w:rsidR="00D1590E" w:rsidRPr="00D1590E" w:rsidRDefault="00D1590E" w:rsidP="00D1590E">
      <w:r w:rsidRPr="00D1590E">
        <w:t>We acknowledge that many aspects of our decision making relate to forward looking, technical and difficult matters, on which reasonable minds can differ. However, it is important to distinguish different decisions which we potentially could have made in exercising our discretion from a substantive reason why our decision is or would be unreasonable or incorrect. As the Tribunal has noted:</w:t>
      </w:r>
      <w:r w:rsidRPr="00D1590E">
        <w:rPr>
          <w:rStyle w:val="FootnoteReference"/>
        </w:rPr>
        <w:footnoteReference w:id="190"/>
      </w:r>
    </w:p>
    <w:p w:rsidR="00D1590E" w:rsidRPr="00D1590E" w:rsidRDefault="00D1590E" w:rsidP="00D1590E">
      <w:pPr>
        <w:pStyle w:val="AERquoteindent2"/>
      </w:pPr>
      <w:r w:rsidRPr="00D1590E">
        <w:t>It is axiomatic that there will be no one correct or best figure derived from a forecast that in terms of cl 6.5.6(c) ‘reasonably reflects’ the opex criteria – the very nature of forecasting means that there can be no one absolute or perfect figure. Different forecasting methods are more likely than not to produce different results. Simply because there is a range of forecasts and a distributor’s forecast falls within the range does not mean it must be accepted when, as here, the AER has sound reason for rejecting the forecast.</w:t>
      </w:r>
    </w:p>
    <w:p w:rsidR="00D1590E" w:rsidRPr="00D1590E" w:rsidRDefault="00D1590E" w:rsidP="00D1590E">
      <w:pPr>
        <w:rPr>
          <w:rStyle w:val="AERbody"/>
        </w:rPr>
      </w:pPr>
      <w:r w:rsidRPr="00D1590E">
        <w:rPr>
          <w:rStyle w:val="AERbody"/>
        </w:rPr>
        <w:t>We have had careful regard to the new submissions and concerns raised by service providers. We encourage all stakeholders to actively, transparently and cooperatively participate in our consultation processes as that assists all stakeholders in delivering the best outcomes in accordance with the legislative framework.</w:t>
      </w:r>
    </w:p>
    <w:p w:rsidR="00D1590E" w:rsidRPr="00D1590E" w:rsidRDefault="00D1590E" w:rsidP="00D1590E">
      <w:pPr>
        <w:pStyle w:val="Heading9"/>
      </w:pPr>
      <w:bookmarkStart w:id="194" w:name="_Toc417646268"/>
      <w:bookmarkStart w:id="195" w:name="_Toc417649222"/>
      <w:bookmarkStart w:id="196" w:name="_Toc417659854"/>
      <w:r w:rsidRPr="00D1590E">
        <w:t>How our approach is consistent with NER requirements</w:t>
      </w:r>
      <w:bookmarkEnd w:id="193"/>
      <w:bookmarkEnd w:id="194"/>
      <w:bookmarkEnd w:id="195"/>
      <w:bookmarkEnd w:id="196"/>
      <w:r w:rsidRPr="00D1590E">
        <w:t xml:space="preserve"> </w:t>
      </w:r>
    </w:p>
    <w:p w:rsidR="00D1590E" w:rsidRPr="00D1590E" w:rsidRDefault="00D1590E" w:rsidP="00D1590E">
      <w:r w:rsidRPr="00D1590E">
        <w:t>We consider that our assessment approach is consistent with the requirements of the NER. That is, we consider that our approach to assessing and, if required, substituting a service provider's proposal is consistent with:</w:t>
      </w:r>
    </w:p>
    <w:p w:rsidR="00D1590E" w:rsidRPr="00D1590E" w:rsidRDefault="00D1590E" w:rsidP="00D1590E">
      <w:pPr>
        <w:pStyle w:val="AERbulletlistfirststyle"/>
      </w:pPr>
      <w:r w:rsidRPr="00D1590E">
        <w:t>the opex criteria</w:t>
      </w:r>
      <w:r w:rsidRPr="00D1590E">
        <w:rPr>
          <w:rStyle w:val="FootnoteReference"/>
        </w:rPr>
        <w:footnoteReference w:id="191"/>
      </w:r>
    </w:p>
    <w:p w:rsidR="00D1590E" w:rsidRPr="00D1590E" w:rsidRDefault="00D1590E" w:rsidP="00D1590E">
      <w:pPr>
        <w:pStyle w:val="AERbulletlistfirststyle"/>
      </w:pPr>
      <w:r w:rsidRPr="00D1590E">
        <w:t>the opex objectives</w:t>
      </w:r>
    </w:p>
    <w:p w:rsidR="00D1590E" w:rsidRPr="00D1590E" w:rsidRDefault="00D1590E" w:rsidP="00D1590E">
      <w:pPr>
        <w:pStyle w:val="AERbulletlistfirststyle"/>
      </w:pPr>
      <w:r w:rsidRPr="00D1590E">
        <w:t xml:space="preserve">the opex factors </w:t>
      </w:r>
    </w:p>
    <w:p w:rsidR="00D1590E" w:rsidRPr="00D1590E" w:rsidRDefault="00D1590E" w:rsidP="00D1590E">
      <w:pPr>
        <w:pStyle w:val="AERbulletlistfirststyle"/>
      </w:pPr>
      <w:r w:rsidRPr="00D1590E">
        <w:t>the revenue and pricing principles.</w:t>
      </w:r>
    </w:p>
    <w:p w:rsidR="00D1590E" w:rsidRPr="00D1590E" w:rsidRDefault="00D1590E" w:rsidP="00D1590E">
      <w:r w:rsidRPr="00D1590E">
        <w:lastRenderedPageBreak/>
        <w:t>Fundamentally, we consider that our decision is likely to contribute to the achievement of the NEO by incentivising and funding efficient, prudent and realistic expenditures. We take this view because our approach:</w:t>
      </w:r>
    </w:p>
    <w:p w:rsidR="00D1590E" w:rsidRPr="00D1590E" w:rsidRDefault="00D1590E" w:rsidP="00D1590E">
      <w:pPr>
        <w:pStyle w:val="AERbulletlistfirststyle"/>
      </w:pPr>
      <w:r w:rsidRPr="00D1590E">
        <w:t xml:space="preserve">ensures that the opex forecast reasonably reflects the efficient costs a prudent service provider requires to safely and reliably provide electricity services; and </w:t>
      </w:r>
    </w:p>
    <w:p w:rsidR="00D1590E" w:rsidRPr="00D1590E" w:rsidRDefault="00D1590E" w:rsidP="00D1590E">
      <w:pPr>
        <w:pStyle w:val="AERbulletlistfirststyle"/>
        <w:rPr>
          <w:rStyle w:val="Strong"/>
        </w:rPr>
      </w:pPr>
      <w:r w:rsidRPr="00D1590E">
        <w:t>encourages service providers to efficiently invest and operate electricity services, by ensuring that service providers (and not consumers) bear the cost of expenditure in excess of prudent and efficient levels.</w:t>
      </w:r>
      <w:r w:rsidRPr="00D1590E">
        <w:rPr>
          <w:rStyle w:val="FootnoteReference"/>
        </w:rPr>
        <w:footnoteReference w:id="192"/>
      </w:r>
    </w:p>
    <w:p w:rsidR="00D1590E" w:rsidRPr="00D1590E" w:rsidRDefault="00D1590E" w:rsidP="00D1590E">
      <w:r w:rsidRPr="00D1590E">
        <w:t>Incentives can only be effective if the service providers, rather than consumers, bear the burden of funding spending that does not reasonably reflect the opex criteria.</w:t>
      </w:r>
    </w:p>
    <w:p w:rsidR="00D1590E" w:rsidRPr="00D1590E" w:rsidRDefault="00D1590E" w:rsidP="00D1590E">
      <w:pPr>
        <w:pStyle w:val="HeadingBoldBlue"/>
      </w:pPr>
      <w:bookmarkStart w:id="197" w:name="_Toc417646269"/>
      <w:r w:rsidRPr="00D1590E">
        <w:t>Opex criteria</w:t>
      </w:r>
      <w:bookmarkEnd w:id="197"/>
    </w:p>
    <w:p w:rsidR="00D1590E" w:rsidRPr="00D1590E" w:rsidRDefault="00D1590E" w:rsidP="00D1590E">
      <w:r w:rsidRPr="00D1590E">
        <w:t>The opex criteria in clause 6.5.6(c) of the NER require the AER to assess a service provider's proposal to decide whether it reasonably reflects:</w:t>
      </w:r>
    </w:p>
    <w:p w:rsidR="00D1590E" w:rsidRPr="00D1590E" w:rsidRDefault="00D1590E" w:rsidP="00D1590E">
      <w:pPr>
        <w:pStyle w:val="AERbulletlistfirststyle"/>
      </w:pPr>
      <w:r w:rsidRPr="00D1590E">
        <w:t xml:space="preserve">the efficient costs of achieving the operating expenditure objectives; </w:t>
      </w:r>
    </w:p>
    <w:p w:rsidR="00D1590E" w:rsidRPr="00D1590E" w:rsidRDefault="00D1590E" w:rsidP="00D1590E">
      <w:pPr>
        <w:pStyle w:val="AERbulletlistfirststyle"/>
      </w:pPr>
      <w:r w:rsidRPr="00D1590E">
        <w:t>the costs that a prudent operator would require to achieve the operating expenditure objectives; and</w:t>
      </w:r>
    </w:p>
    <w:p w:rsidR="00D1590E" w:rsidRPr="00D1590E" w:rsidRDefault="00D1590E" w:rsidP="00D1590E">
      <w:pPr>
        <w:pStyle w:val="AERbulletlistfirststyle"/>
      </w:pPr>
      <w:r w:rsidRPr="00D1590E">
        <w:t>a realistic expectation of the demand forecast and cost inputs required to achieve the operating expenditure objectives.</w:t>
      </w:r>
    </w:p>
    <w:p w:rsidR="00D1590E" w:rsidRPr="00D1590E" w:rsidRDefault="00D1590E" w:rsidP="00D1590E">
      <w:r w:rsidRPr="00D1590E">
        <w:t>We consider that the opex criteria work together as a single overall requirement.</w:t>
      </w:r>
      <w:r w:rsidRPr="00D1590E">
        <w:rPr>
          <w:rStyle w:val="FootnoteReference"/>
        </w:rPr>
        <w:footnoteReference w:id="193"/>
      </w:r>
      <w:r w:rsidRPr="00D1590E">
        <w:t xml:space="preserve"> Prudency and efficiency are complementary.</w:t>
      </w:r>
      <w:r w:rsidRPr="00D1590E">
        <w:rPr>
          <w:rStyle w:val="FootnoteReference"/>
        </w:rPr>
        <w:footnoteReference w:id="194"/>
      </w:r>
      <w:r w:rsidRPr="00D1590E">
        <w:t xml:space="preserve"> The Australian Competition Tribunal refers to them as a unified concept, and has described them as a single “prudent and efficient requirement".</w:t>
      </w:r>
      <w:r w:rsidRPr="00D1590E">
        <w:rPr>
          <w:rStyle w:val="FootnoteReference"/>
        </w:rPr>
        <w:footnoteReference w:id="195"/>
      </w:r>
      <w:r w:rsidRPr="00D1590E">
        <w:t xml:space="preserve"> </w:t>
      </w:r>
    </w:p>
    <w:p w:rsidR="00D1590E" w:rsidRPr="00D1590E" w:rsidRDefault="00D1590E" w:rsidP="00D1590E">
      <w:r w:rsidRPr="00D1590E">
        <w:t>In turn, "prudent and efficient" costs can only be sensibly given meaning by reference to the demand forecast for the services the service provider provides and the realistic cost inputs that a prudent and efficient provider would require</w:t>
      </w:r>
      <w:r w:rsidR="0050235D">
        <w:t xml:space="preserve"> to achieve its opex objectives</w:t>
      </w:r>
      <w:r w:rsidRPr="00D1590E">
        <w:t>. When we refer to prudent and efficient costs, we mean costs that a prudent and efficient provider would require, having regard to realistic expectations of cost inputs and the demand forecast to achieve its objectives.</w:t>
      </w:r>
    </w:p>
    <w:p w:rsidR="00D1590E" w:rsidRPr="00D1590E" w:rsidRDefault="00D1590E" w:rsidP="00D1590E">
      <w:r w:rsidRPr="00D1590E">
        <w:rPr>
          <w:rStyle w:val="AERbody"/>
        </w:rPr>
        <w:lastRenderedPageBreak/>
        <w:t xml:space="preserve">Importantly, the demand forecast and cost inputs are for those of a prudent and efficient service provider operating that network. They are not the cost inputs which result from previous inefficient decision making.  This does not mean that we do not take account of circumstances or factors which are beyond the control of a service provider when making our assessment. </w:t>
      </w:r>
    </w:p>
    <w:p w:rsidR="00D1590E" w:rsidRPr="00D1590E" w:rsidRDefault="00D1590E" w:rsidP="00D1590E">
      <w:r w:rsidRPr="00D1590E">
        <w:t>It is inherent in the opex criteria, each criterion being concerned with the costs of achieving the opex objectives, that we must have regard to an objective prudent and efficient service provider. However, in doing so, we must also have regard to the differing exogenous circumstances of the service provider we are assessing when making our decisions. This includes costs that arise due to the individual circumstances affecting the manner in which the service provider operates, but over which it does not have control. Such circumstances include geographic factors, customer factors, network factors and jurisdictional factors.</w:t>
      </w:r>
      <w:r w:rsidRPr="00D1590E">
        <w:rPr>
          <w:rStyle w:val="FootnoteReference"/>
        </w:rPr>
        <w:footnoteReference w:id="196"/>
      </w:r>
    </w:p>
    <w:p w:rsidR="00D1590E" w:rsidRPr="00D1590E" w:rsidRDefault="00D1590E" w:rsidP="00D1590E">
      <w:r w:rsidRPr="00D1590E">
        <w:t>However, the costs that reasonably reflect the opex criteria do not include costs that result from prior inefficient or imprudent spending. These costs may relate to the quality of management or financial decisions. Such factors are within a service provider's control and are inconsistent with costs that a prudent and efficient service provider would incur. This remains the case where a service provider has used revenue recovered by consumers in previous regulatory periods, consistent with our previous decisions, to make such decisions. This view is consistent with the incentive based aims of the regulatory scheme when read as a whole.</w:t>
      </w:r>
    </w:p>
    <w:p w:rsidR="00D1590E" w:rsidRPr="00D1590E" w:rsidRDefault="00D1590E" w:rsidP="00D1590E">
      <w:r w:rsidRPr="00D1590E">
        <w:t>It is also consistent with the rationale provided by the AEMC for removing the phrase "individual circumstances" from the opex criteria.</w:t>
      </w:r>
      <w:r w:rsidRPr="00D1590E">
        <w:rPr>
          <w:rStyle w:val="FootnoteReference"/>
        </w:rPr>
        <w:footnoteReference w:id="197"/>
      </w:r>
      <w:r w:rsidRPr="00D1590E">
        <w:t xml:space="preserve"> Accordingly, we disagree with an interpretation of the opex criteria that a forecast which reflects a "realistic expectation of cost inputs" must take account of past discretionary decisions made by a service provider that bind the service provider, but do not reflect the efficient costs that an objectively prudent operator would incur. This is the case even if, as discussed below, those costs are contractually fixed. </w:t>
      </w:r>
    </w:p>
    <w:p w:rsidR="00D1590E" w:rsidRPr="00D1590E" w:rsidRDefault="00D1590E" w:rsidP="00D1590E">
      <w:r w:rsidRPr="00D1590E">
        <w:t xml:space="preserve">Our approach also satisfies the requirement in the opex criteria that we determine a </w:t>
      </w:r>
      <w:r w:rsidRPr="00D1590E">
        <w:rPr>
          <w:rStyle w:val="AERtextitalic"/>
        </w:rPr>
        <w:t>total</w:t>
      </w:r>
      <w:r w:rsidRPr="00D1590E">
        <w:t xml:space="preserve"> forecast opex.</w:t>
      </w:r>
      <w:r w:rsidRPr="00D1590E">
        <w:rPr>
          <w:rStyle w:val="FootnoteReference"/>
        </w:rPr>
        <w:footnoteReference w:id="198"/>
      </w:r>
      <w:r w:rsidRPr="00D1590E">
        <w:t xml:space="preserve">  We are not required to assess individual projects or components of a forecast because such an approach would de-incentivise efficient and prudent discretionary spending and  would effectively result in a cost of service regime.</w:t>
      </w:r>
      <w:r w:rsidRPr="00D1590E">
        <w:rPr>
          <w:rStyle w:val="FootnoteReference"/>
        </w:rPr>
        <w:footnoteReference w:id="199"/>
      </w:r>
      <w:r w:rsidRPr="00D1590E">
        <w:t xml:space="preserve"> </w:t>
      </w:r>
    </w:p>
    <w:p w:rsidR="00D1590E" w:rsidRPr="00D1590E" w:rsidRDefault="00D1590E" w:rsidP="00D1590E">
      <w:r w:rsidRPr="00D1590E">
        <w:t xml:space="preserve">The total forecast opex is forward looking and directed towards the requirements of an objectively efficient and prudent operator in the future, which will then be funded by consumers through the building block revenue model established under the NER. </w:t>
      </w:r>
    </w:p>
    <w:p w:rsidR="00D1590E" w:rsidRPr="00D1590E" w:rsidRDefault="00D1590E" w:rsidP="00D1590E">
      <w:r w:rsidRPr="00D1590E">
        <w:lastRenderedPageBreak/>
        <w:t xml:space="preserve">We must estimate a total forecast which we are satisfied </w:t>
      </w:r>
      <w:r w:rsidRPr="00D1590E">
        <w:rPr>
          <w:rStyle w:val="AERtextitalic"/>
        </w:rPr>
        <w:t>reasonably reflects</w:t>
      </w:r>
      <w:r w:rsidRPr="00D1590E">
        <w:t xml:space="preserve"> the opex criteria. We use this estimate as a comparator for the service provider's proposal and as a substitute if required. As the AEMC and the Tribunal have identified, the NER gives us broad discretion in how we perform this task.</w:t>
      </w:r>
      <w:r w:rsidRPr="00D1590E">
        <w:rPr>
          <w:rStyle w:val="FootnoteReference"/>
        </w:rPr>
        <w:footnoteReference w:id="200"/>
      </w:r>
      <w:r w:rsidRPr="00D1590E">
        <w:t xml:space="preserve"> </w:t>
      </w:r>
    </w:p>
    <w:p w:rsidR="00D1590E" w:rsidRPr="00D1590E" w:rsidRDefault="00D1590E" w:rsidP="00D1590E">
      <w:r w:rsidRPr="00D1590E">
        <w:t>In this context, we take the view that the opex criteria should be understood as applying an objective test—albeit a test that applies to a particular network and must therefore incorporate certain individual circumstances of that network. The intention behind the regulatory regime is to determine an objective forecast for the operating costs of the network that should be funded by consumers.  If a service provider can better this forecast in its actual spending it is rewarded with the cost savings. If it overspends the forecast it bears the costs.</w:t>
      </w:r>
    </w:p>
    <w:p w:rsidR="00D1590E" w:rsidRPr="00D1590E" w:rsidRDefault="00D1590E" w:rsidP="00D1590E">
      <w:r w:rsidRPr="00D1590E">
        <w:t>We therefore consider that an appropriate application of the opex criteria involves us making an assessment about what objectively would be:</w:t>
      </w:r>
    </w:p>
    <w:p w:rsidR="00D1590E" w:rsidRPr="00D1590E" w:rsidRDefault="00D1590E" w:rsidP="00D1590E">
      <w:pPr>
        <w:pStyle w:val="AERbulletlistfirststyle"/>
      </w:pPr>
      <w:r w:rsidRPr="00D1590E">
        <w:t>the efficient costs of achieving the opex objectives, rather than the actual costs a service provider has spent or intends to spend</w:t>
      </w:r>
    </w:p>
    <w:p w:rsidR="00D1590E" w:rsidRPr="00D1590E" w:rsidRDefault="00D1590E" w:rsidP="00D1590E">
      <w:pPr>
        <w:pStyle w:val="AERbulletlistfirststyle"/>
      </w:pPr>
      <w:r w:rsidRPr="00D1590E">
        <w:t>the costs that a prudent service provider for that network would require (rather than the actual costs the actual service provider in question intends or is contractually obliged to provide given all their circumstances and past decision making)</w:t>
      </w:r>
    </w:p>
    <w:p w:rsidR="00D1590E" w:rsidRPr="00D1590E" w:rsidRDefault="00D1590E" w:rsidP="00D1590E">
      <w:pPr>
        <w:pStyle w:val="AERbulletlistfirststyle"/>
      </w:pPr>
      <w:r w:rsidRPr="00D1590E">
        <w:t>a realistic expectation of the demand forecast (rather than the service provider's own demand forecast) and</w:t>
      </w:r>
    </w:p>
    <w:p w:rsidR="00D1590E" w:rsidRPr="00D1590E" w:rsidRDefault="00D1590E" w:rsidP="00D1590E">
      <w:pPr>
        <w:pStyle w:val="AERbulletlistfirststyle"/>
      </w:pPr>
      <w:r w:rsidRPr="00D1590E">
        <w:t xml:space="preserve">a realistic expectation of the cost inputs to achieve the objectives (not the actual cost inputs that the provider might incur, or have committed itself to spend money on, to achieve the opex objectives). </w:t>
      </w:r>
    </w:p>
    <w:p w:rsidR="00D1590E" w:rsidRPr="00D1590E" w:rsidRDefault="00D1590E" w:rsidP="00D1590E">
      <w:r w:rsidRPr="00D1590E">
        <w:t>It follows, as the Tribunal has noted, there is unlikely ever to be one unique "correct" total forecast. Reasonable minds may differ as to the data and techniques.</w:t>
      </w:r>
      <w:r w:rsidRPr="00D1590E">
        <w:rPr>
          <w:rStyle w:val="FootnoteReference"/>
        </w:rPr>
        <w:footnoteReference w:id="201"/>
      </w:r>
      <w:r w:rsidRPr="00D1590E">
        <w:t xml:space="preserve"> The AEMC has also recognised this.</w:t>
      </w:r>
      <w:r w:rsidRPr="00D1590E">
        <w:rPr>
          <w:rStyle w:val="FootnoteReference"/>
        </w:rPr>
        <w:footnoteReference w:id="202"/>
      </w:r>
      <w:r w:rsidRPr="00D1590E">
        <w:t xml:space="preserve"> We expect and observe service providers and their consultants to disagree with aspects of our decision. </w:t>
      </w:r>
    </w:p>
    <w:p w:rsidR="00D1590E" w:rsidRPr="00D1590E" w:rsidRDefault="00D1590E" w:rsidP="00D1590E">
      <w:pPr>
        <w:pStyle w:val="HeadingBoldBlue"/>
      </w:pPr>
      <w:bookmarkStart w:id="198" w:name="_Toc417646270"/>
      <w:r w:rsidRPr="00D1590E">
        <w:t>Opex objectives</w:t>
      </w:r>
      <w:bookmarkEnd w:id="198"/>
    </w:p>
    <w:p w:rsidR="00D1590E" w:rsidRPr="00D1590E" w:rsidRDefault="00D1590E" w:rsidP="00D1590E">
      <w:r w:rsidRPr="00D1590E">
        <w:t>Our assessment approach ascertains the total forecast opex for a prudent and efficient service provider, informed by a realistic expectation of the demand forecast and cost inputs, to achieve the opex objectives. One of these objectives is the applicable 'regulatory obligations or requirements' that the service provider must meet that are associated with the provision of standard control services.</w:t>
      </w:r>
      <w:r w:rsidRPr="00D1590E">
        <w:rPr>
          <w:rStyle w:val="FootnoteReference"/>
        </w:rPr>
        <w:footnoteReference w:id="203"/>
      </w:r>
      <w:r w:rsidRPr="00D1590E">
        <w:t xml:space="preserve"> Service providers are also </w:t>
      </w:r>
      <w:r w:rsidRPr="00D1590E">
        <w:lastRenderedPageBreak/>
        <w:t>expected to comply with regulatory obligations under the RPP in the NEL.</w:t>
      </w:r>
      <w:r w:rsidRPr="00D1590E">
        <w:rPr>
          <w:rStyle w:val="FootnoteReference"/>
        </w:rPr>
        <w:footnoteReference w:id="204"/>
      </w:r>
      <w:r w:rsidRPr="00D1590E">
        <w:t xml:space="preserve"> The other opex objectives relate to safety, demand and, to the extent they are not regulatory obligations, reliability and security levels. We discuss the service providers' concerns with safety and reliability separately in section </w:t>
      </w:r>
      <w:r w:rsidR="008552DD">
        <w:fldChar w:fldCharType="begin"/>
      </w:r>
      <w:r w:rsidR="008552DD">
        <w:instrText xml:space="preserve"> REF _Ref417660629 \n \h </w:instrText>
      </w:r>
      <w:r w:rsidR="008552DD">
        <w:fldChar w:fldCharType="separate"/>
      </w:r>
      <w:r w:rsidR="008552DD">
        <w:t>7.5</w:t>
      </w:r>
      <w:r w:rsidR="008552DD">
        <w:fldChar w:fldCharType="end"/>
      </w:r>
      <w:r w:rsidRPr="00D1590E">
        <w:t>.</w:t>
      </w:r>
    </w:p>
    <w:p w:rsidR="00D1590E" w:rsidRPr="00D1590E" w:rsidRDefault="00D1590E" w:rsidP="00D1590E">
      <w:r w:rsidRPr="00D1590E">
        <w:t>In acting to fulfil the opex objectives and having regard to the RPP, we therefore have close regard to the definition of ‘regulatory obligation or requirement’ in the NEL.</w:t>
      </w:r>
      <w:r w:rsidRPr="00D1590E">
        <w:rPr>
          <w:rStyle w:val="FootnoteReference"/>
        </w:rPr>
        <w:footnoteReference w:id="205"/>
      </w:r>
      <w:r w:rsidRPr="00D1590E">
        <w:t xml:space="preserve"> This definition is exhaustive. That is, only matters within the terms of the definition constitute 'regulatory obligations or requirements'. </w:t>
      </w:r>
    </w:p>
    <w:p w:rsidR="00D1590E" w:rsidRPr="00D1590E" w:rsidRDefault="00D1590E" w:rsidP="00D1590E">
      <w:r w:rsidRPr="00D1590E">
        <w:t xml:space="preserve">To fall within the NEL definition, a regulatory obligation or requirement must be attributable to one of the following categories: </w:t>
      </w:r>
    </w:p>
    <w:p w:rsidR="00D1590E" w:rsidRPr="00D1590E" w:rsidRDefault="00D1590E" w:rsidP="00D1590E">
      <w:pPr>
        <w:pStyle w:val="AERbulletlistfirststyle"/>
      </w:pPr>
      <w:r w:rsidRPr="00D1590E">
        <w:t xml:space="preserve">distribution system safety duties </w:t>
      </w:r>
    </w:p>
    <w:p w:rsidR="00D1590E" w:rsidRPr="00D1590E" w:rsidRDefault="00D1590E" w:rsidP="00D1590E">
      <w:pPr>
        <w:pStyle w:val="AERbulletlistfirststyle"/>
      </w:pPr>
      <w:r w:rsidRPr="00D1590E">
        <w:t xml:space="preserve">distribution reliability standards </w:t>
      </w:r>
    </w:p>
    <w:p w:rsidR="00D1590E" w:rsidRPr="00D1590E" w:rsidRDefault="00D1590E" w:rsidP="00D1590E">
      <w:pPr>
        <w:pStyle w:val="AERbulletlistfirststyle"/>
      </w:pPr>
      <w:r w:rsidRPr="00D1590E">
        <w:t xml:space="preserve">distribution service standards </w:t>
      </w:r>
    </w:p>
    <w:p w:rsidR="00D1590E" w:rsidRPr="00D1590E" w:rsidRDefault="00D1590E" w:rsidP="00D1590E">
      <w:pPr>
        <w:pStyle w:val="AERbulletlistfirststyle"/>
      </w:pPr>
      <w:r w:rsidRPr="00D1590E">
        <w:t xml:space="preserve">obligations under the NEL, NER, NERL and NERR </w:t>
      </w:r>
    </w:p>
    <w:p w:rsidR="00D1590E" w:rsidRPr="00D1590E" w:rsidRDefault="00D1590E" w:rsidP="00D1590E">
      <w:pPr>
        <w:pStyle w:val="AERbulletlistfirststyle"/>
      </w:pPr>
      <w:r w:rsidRPr="00D1590E">
        <w:t xml:space="preserve">obligations under legislation in a participating jurisdiction levying tax, regulating the use of land or protecting the environment   </w:t>
      </w:r>
    </w:p>
    <w:p w:rsidR="00D1590E" w:rsidRPr="00D1590E" w:rsidRDefault="00D1590E" w:rsidP="00D1590E">
      <w:pPr>
        <w:pStyle w:val="AERbulletlistfirststyle"/>
      </w:pPr>
      <w:r w:rsidRPr="00D1590E">
        <w:t xml:space="preserve">an Act or instrument of a participating jurisdiction that materially affects the provision of electricity network services. </w:t>
      </w:r>
    </w:p>
    <w:p w:rsidR="00D1590E" w:rsidRPr="00D1590E" w:rsidRDefault="00D1590E" w:rsidP="00D1590E">
      <w:r w:rsidRPr="00D1590E">
        <w:t>A participating jurisdiction is defined as a jurisdiction which has, in force, a version of the NEL.</w:t>
      </w:r>
      <w:r w:rsidRPr="00D1590E">
        <w:rPr>
          <w:rStyle w:val="FootnoteReference"/>
        </w:rPr>
        <w:footnoteReference w:id="206"/>
      </w:r>
      <w:r w:rsidRPr="00D1590E">
        <w:t xml:space="preserve"> </w:t>
      </w:r>
    </w:p>
    <w:p w:rsidR="00D1590E" w:rsidRPr="00D1590E" w:rsidRDefault="00D1590E" w:rsidP="00D1590E">
      <w:r w:rsidRPr="00D1590E">
        <w:t>Accordingly, it is clear that the definition of 'regulatory obligations or requirements' is limited in application.</w:t>
      </w:r>
      <w:r w:rsidRPr="00D1590E">
        <w:rPr>
          <w:rStyle w:val="FootnoteReference"/>
        </w:rPr>
        <w:footnoteReference w:id="207"/>
      </w:r>
      <w:r w:rsidRPr="00D1590E">
        <w:t xml:space="preserve"> We have assessed claims by service providers in a manner consistent with this definition and our draft decision. Because this definition in the NEL is limited to the matters set out above, we do not consider that the following constitute 'regulatory obligations or requirements' as defined in the NEL:</w:t>
      </w:r>
      <w:r w:rsidRPr="00D1590E">
        <w:rPr>
          <w:rStyle w:val="FootnoteReference"/>
        </w:rPr>
        <w:footnoteReference w:id="208"/>
      </w:r>
    </w:p>
    <w:p w:rsidR="00D1590E" w:rsidRPr="00D1590E" w:rsidRDefault="00D1590E" w:rsidP="00D1590E">
      <w:pPr>
        <w:pStyle w:val="AERbulletlistfirststyle"/>
      </w:pPr>
      <w:r w:rsidRPr="00D1590E">
        <w:t>obligations at common law, tort and contract (such as common law duties of care in negligence)</w:t>
      </w:r>
    </w:p>
    <w:p w:rsidR="00D1590E" w:rsidRPr="00D1590E" w:rsidRDefault="00D1590E" w:rsidP="00D1590E">
      <w:pPr>
        <w:pStyle w:val="AERbulletlistfirststyle"/>
      </w:pPr>
      <w:r w:rsidRPr="00D1590E">
        <w:t>obligations to comply with legislation that is not from a participating jurisdiction</w:t>
      </w:r>
    </w:p>
    <w:p w:rsidR="00D1590E" w:rsidRPr="00D1590E" w:rsidRDefault="00D1590E" w:rsidP="00D1590E">
      <w:pPr>
        <w:pStyle w:val="AERbulletlistfirststyle"/>
      </w:pPr>
      <w:r w:rsidRPr="00D1590E">
        <w:t>obligations to comply with legislation that is from a participating jurisdiction, but which does not fall into the categories identified in the definition in the NEL.</w:t>
      </w:r>
    </w:p>
    <w:p w:rsidR="00D1590E" w:rsidRPr="00D1590E" w:rsidRDefault="00D1590E" w:rsidP="00D1590E">
      <w:r w:rsidRPr="00D1590E">
        <w:lastRenderedPageBreak/>
        <w:t>For example, all legal persons (including corporations such as service providers) are required to comply with the requirements of the Australian Consumer Law.</w:t>
      </w:r>
      <w:r w:rsidRPr="00D1590E">
        <w:rPr>
          <w:rStyle w:val="FootnoteReference"/>
        </w:rPr>
        <w:footnoteReference w:id="209"/>
      </w:r>
      <w:r w:rsidRPr="00D1590E">
        <w:t xml:space="preserve"> These requirements are imposed by participating jurisdictions as well as by the Commonwealth. However, they do not fall into the NEL definition outlined above. </w:t>
      </w:r>
    </w:p>
    <w:p w:rsidR="00D1590E" w:rsidRPr="00D1590E" w:rsidRDefault="00D1590E" w:rsidP="00D1590E">
      <w:r w:rsidRPr="00D1590E">
        <w:t>We therefore disagree with submissions which assert that a variety of requirements are 'regulatory obligations or requirements' under the NEL. For example, 'laws of general application to corporations and individuals, such as the Competition and Consumer Act, Corporations Act, Privacy Act, intellectual property legislation or motor traffic legislation'</w:t>
      </w:r>
      <w:r w:rsidRPr="00D1590E">
        <w:rPr>
          <w:rStyle w:val="FootnoteReference"/>
        </w:rPr>
        <w:footnoteReference w:id="210"/>
      </w:r>
      <w:r w:rsidRPr="00D1590E">
        <w:t xml:space="preserve"> are not 'regulatory obligations or requirements'. </w:t>
      </w:r>
    </w:p>
    <w:p w:rsidR="00D1590E" w:rsidRPr="00D1590E" w:rsidRDefault="00D1590E" w:rsidP="00D1590E">
      <w:r w:rsidRPr="00D1590E">
        <w:t>It is unclear whether or not these submissions consider obligations to comply with laws of general application fall within the categories defined in the NEL. Regardless, for the reasons set out above, we do not consider that any of these obligations are a 'regulatory obligation or requirement' within the meaning of section 2D (and, by extension, section 5) of the NEL.</w:t>
      </w:r>
    </w:p>
    <w:p w:rsidR="00D1590E" w:rsidRPr="00D1590E" w:rsidRDefault="00D1590E" w:rsidP="00D1590E">
      <w:r w:rsidRPr="00D1590E">
        <w:t>We also disagree with the service providers' submissions that compliance with the terms of their own EBAs</w:t>
      </w:r>
      <w:r w:rsidRPr="00D1590E">
        <w:rPr>
          <w:rStyle w:val="FootnoteReference"/>
        </w:rPr>
        <w:footnoteReference w:id="211"/>
      </w:r>
      <w:r w:rsidRPr="00D1590E">
        <w:t xml:space="preserve"> is a 'regulatory obligation or requirement'. For example, service providers have referred to redundancy costs 'required to be paid as a regulatory obligation'.</w:t>
      </w:r>
      <w:r w:rsidRPr="00D1590E">
        <w:rPr>
          <w:rStyle w:val="FootnoteReference"/>
        </w:rPr>
        <w:footnoteReference w:id="212"/>
      </w:r>
      <w:r w:rsidRPr="00D1590E">
        <w:t xml:space="preserve"> </w:t>
      </w:r>
    </w:p>
    <w:p w:rsidR="00D1590E" w:rsidRPr="00D1590E" w:rsidRDefault="00D1590E" w:rsidP="00D1590E">
      <w:r w:rsidRPr="00D1590E">
        <w:t xml:space="preserve">First, of the six possible (and exhaustive) categories of obligations or requirements mentioned above, EBAs could conceivably only fall with an Act or instrument made or issued that 'materially affects a service provider's provision of electricity network services'. This is because the terms of an EBA could plausibly materially affect a service provider's provision of standard control services. However, that Act or instrument must be made by a 'participating jurisdiction'. Given a participating jurisdiction must have passed a version of the NEL, an EBA made under the Commonwealth's </w:t>
      </w:r>
      <w:r w:rsidRPr="00D1590E">
        <w:rPr>
          <w:rStyle w:val="AERtextitalic"/>
        </w:rPr>
        <w:t>Fair Work Act 2009</w:t>
      </w:r>
      <w:r w:rsidRPr="00D1590E">
        <w:t xml:space="preserve"> appears to be imposed by a law other than of a participating jurisdiction.</w:t>
      </w:r>
      <w:r w:rsidRPr="00D1590E">
        <w:rPr>
          <w:rStyle w:val="FootnoteReference"/>
        </w:rPr>
        <w:footnoteReference w:id="213"/>
      </w:r>
      <w:r w:rsidRPr="00D1590E">
        <w:t xml:space="preserve"> Further, the terms of an EBA itself are not contained in the </w:t>
      </w:r>
      <w:r w:rsidRPr="00D1590E">
        <w:rPr>
          <w:rStyle w:val="AERtextitalic"/>
        </w:rPr>
        <w:t>Fair Work Act 2009.</w:t>
      </w:r>
    </w:p>
    <w:p w:rsidR="00D1590E" w:rsidRPr="00D1590E" w:rsidRDefault="00D1590E" w:rsidP="00D1590E">
      <w:r w:rsidRPr="00D1590E">
        <w:t xml:space="preserve">Second, the consequences of breaching the </w:t>
      </w:r>
      <w:r w:rsidRPr="00D1590E">
        <w:rPr>
          <w:rStyle w:val="AERtextitalic"/>
        </w:rPr>
        <w:t>Fair Work Act 2009</w:t>
      </w:r>
      <w:r w:rsidRPr="00D1590E">
        <w:t xml:space="preserve"> are a separate and narrower subset of the potential consequences of a distributor breaching its EBA. </w:t>
      </w:r>
    </w:p>
    <w:p w:rsidR="00D1590E" w:rsidRPr="00D1590E" w:rsidRDefault="00D1590E" w:rsidP="00D1590E">
      <w:r w:rsidRPr="00D1590E">
        <w:lastRenderedPageBreak/>
        <w:t xml:space="preserve">Third, we consider that the interpretation advocated by submissions is contrary to the requirement in clause 6.5.6(a) for a proposal to include the total forecast opex for a regulatory control period. It is important to note that when we determine total forecast opex, we do so within an overall incentive framework that requires the service provider to decide how to spend its allowed revenue requirement. As we mention above, a requirement that we consider the terms of EBAs when forming a view on total forecast opex would be more akin to a cost of service regime than an incentive regime. </w:t>
      </w:r>
    </w:p>
    <w:p w:rsidR="00D1590E" w:rsidRPr="00D1590E" w:rsidRDefault="00D1590E" w:rsidP="00D1590E">
      <w:r w:rsidRPr="00D1590E">
        <w:t xml:space="preserve">Fourth, we note that while contractual or other obligations which do not fall within the definition are not regulatory obligations or requirements so defined, a service provider can still direct the revenue it recovers from customers (or from other sources) to comply with such obligations. The costs of compliance with obligations that are not within the definition of 'regulatory obligation or requirement' are treated like any other costs a service provider incurs. </w:t>
      </w:r>
    </w:p>
    <w:p w:rsidR="00D1590E" w:rsidRPr="00D1590E" w:rsidRDefault="00D1590E" w:rsidP="00D1590E">
      <w:r w:rsidRPr="00D1590E">
        <w:t xml:space="preserve">Service providers have broad discretion about the contractual arrangements they enter into, and often have discretion about the manner in which they carry out their legal obligations. This discretion often includes whether to enter into particular legal obligations, such as employment contracts or arrangements with contractors. </w:t>
      </w:r>
    </w:p>
    <w:p w:rsidR="00D1590E" w:rsidRPr="00D1590E" w:rsidRDefault="00D1590E" w:rsidP="00D1590E">
      <w:r w:rsidRPr="00D1590E">
        <w:t xml:space="preserve">We do not seek to interfere in the discretion a service provider has as to how and when to spend its total opex forecast to run its network. The service provider is free to decide how to manage its activities in light of the revenue recovered from consumers that we approve. Equally, the service provider bears the consequence of imprudent or inefficient decisions, including those relating to cost inputs or its response to demand forecasts. When a service provider enters into an agreement of any kind, it does so in the full knowledge that the forecast will apply for five years, without any guarantee that the same or a similar forecast will be approved for the following five year period. </w:t>
      </w:r>
    </w:p>
    <w:p w:rsidR="00D1590E" w:rsidRPr="00D1590E" w:rsidRDefault="00D1590E" w:rsidP="00D1590E">
      <w:r w:rsidRPr="00D1590E">
        <w:t>As the AEMC notes, this underpins the incentive properties of the regulatory regime:</w:t>
      </w:r>
      <w:r w:rsidRPr="00D1590E">
        <w:rPr>
          <w:rStyle w:val="FootnoteReference"/>
        </w:rPr>
        <w:footnoteReference w:id="214"/>
      </w:r>
    </w:p>
    <w:p w:rsidR="00D1590E" w:rsidRPr="00D1590E" w:rsidRDefault="00D1590E" w:rsidP="00D1590E">
      <w:pPr>
        <w:pStyle w:val="AERquoteindent1"/>
      </w:pPr>
      <w:r w:rsidRPr="00D1590E">
        <w:t>The level, rather than the specific contents, of the approved expenditure allowances underpin the incentive properties of the regulatory regime in the NEM. That is, once a level of expenditure is set, it is locked in for a period of time, and it is up to the NSP to carry out its functions as it sees fit, subject to any service standards.</w:t>
      </w:r>
    </w:p>
    <w:p w:rsidR="00D1590E" w:rsidRPr="00D1590E" w:rsidRDefault="00D1590E" w:rsidP="00D1590E">
      <w:r w:rsidRPr="00D1590E">
        <w:t xml:space="preserve">Accordingly, where a service provider has entered into an EBA which requires it to incur expenditure that, objectively, would be viewed as inefficient or imprudent or involving cost inputs that an objectively prudent provider would not be realistically expected to incur, it is for the service provider to bear the costs of its decisions. </w:t>
      </w:r>
    </w:p>
    <w:p w:rsidR="00D1590E" w:rsidRPr="00D1590E" w:rsidRDefault="00D1590E" w:rsidP="00D1590E">
      <w:r w:rsidRPr="00D1590E">
        <w:t xml:space="preserve">Once we determine the opex forecast we are satisfied reasonably reflects the opex criteria, it is for a service provider to manage its business as it sees fit.  It is for the service provider to decide whether or not to fund particular projects, strategies or </w:t>
      </w:r>
      <w:r w:rsidRPr="00D1590E">
        <w:lastRenderedPageBreak/>
        <w:t>commitments to meet the demand for standard control services, comply with regulatory obligations and maintain safety and reliability. Our role is not to dictate how service providers spend money to comply with their broader obligations. We fund service providers so that if they are efficient and prudent, they will have sufficient opex to achieve the objectives.</w:t>
      </w:r>
    </w:p>
    <w:p w:rsidR="00D1590E" w:rsidRPr="00D1590E" w:rsidRDefault="00D1590E" w:rsidP="00D1590E">
      <w:pPr>
        <w:pStyle w:val="HeadingBoldBlue"/>
      </w:pPr>
      <w:bookmarkStart w:id="199" w:name="_Toc417646271"/>
      <w:r w:rsidRPr="00D1590E">
        <w:t>Opex factors</w:t>
      </w:r>
      <w:bookmarkEnd w:id="199"/>
    </w:p>
    <w:p w:rsidR="00D1590E" w:rsidRPr="00D1590E" w:rsidRDefault="00D1590E" w:rsidP="00D1590E">
      <w:r w:rsidRPr="00D1590E">
        <w:t>We must take the opex factors into account in making our assessment of whether a service provider's proposed forecast reasonably reflects the opex criteria. In this way, they function similarly to the revenue and pricing principles. That is, they require us to have regard to matters, but give us discretion as to the weight we should apply to each.</w:t>
      </w:r>
      <w:r w:rsidRPr="00D1590E">
        <w:rPr>
          <w:rStyle w:val="FootnoteReference"/>
        </w:rPr>
        <w:footnoteReference w:id="215"/>
      </w:r>
      <w:r w:rsidRPr="00D1590E">
        <w:t xml:space="preserve"> </w:t>
      </w:r>
    </w:p>
    <w:p w:rsidR="00D1590E" w:rsidRPr="00D1590E" w:rsidRDefault="00D1590E" w:rsidP="00D1590E">
      <w:r w:rsidRPr="00D1590E">
        <w:t>Our approach has regard to each of the opex factors set out below:</w:t>
      </w:r>
    </w:p>
    <w:p w:rsidR="00D1590E" w:rsidRPr="00D1590E" w:rsidRDefault="00D1590E" w:rsidP="00D1590E">
      <w:pPr>
        <w:pStyle w:val="AERbulletlistfirststyle"/>
      </w:pPr>
      <w:r w:rsidRPr="00D1590E">
        <w:t>the most recent annual benchmarking report that has been published under clause 6.27 and the benchmark operating expenditure that would be incurred by an efficient distribution network service provider over the relevant regulatory control period</w:t>
      </w:r>
    </w:p>
    <w:p w:rsidR="00D1590E" w:rsidRPr="00D1590E" w:rsidRDefault="00D1590E" w:rsidP="00D1590E">
      <w:pPr>
        <w:pStyle w:val="AERbulletlistfirststyle"/>
      </w:pPr>
      <w:r w:rsidRPr="00D1590E">
        <w:t>the actual and expected operating expenditure of the distribution network service provider during any preceding regulatory control periods</w:t>
      </w:r>
    </w:p>
    <w:p w:rsidR="00D1590E" w:rsidRPr="00D1590E" w:rsidRDefault="00D1590E" w:rsidP="00D1590E">
      <w:pPr>
        <w:pStyle w:val="AERbulletlistfirststyle"/>
      </w:pPr>
      <w:r w:rsidRPr="00D1590E">
        <w:t>the extent to which the operating expenditure forecast includes expenditure to address the concerns of electricity consumers as identified by the distribution network service provider in the course of its engagement with electricity consumers</w:t>
      </w:r>
    </w:p>
    <w:p w:rsidR="00D1590E" w:rsidRPr="00D1590E" w:rsidRDefault="00D1590E" w:rsidP="00D1590E">
      <w:pPr>
        <w:pStyle w:val="AERbulletlistfirststyle"/>
      </w:pPr>
      <w:r w:rsidRPr="00D1590E">
        <w:t>the relative prices of operating and capital inputs</w:t>
      </w:r>
    </w:p>
    <w:p w:rsidR="00D1590E" w:rsidRPr="00D1590E" w:rsidRDefault="00D1590E" w:rsidP="00D1590E">
      <w:pPr>
        <w:pStyle w:val="AERbulletlistfirststyle"/>
      </w:pPr>
      <w:r w:rsidRPr="00D1590E">
        <w:t>the substitution possibilities between operating and capital expenditure</w:t>
      </w:r>
    </w:p>
    <w:p w:rsidR="00D1590E" w:rsidRPr="00D1590E" w:rsidRDefault="00D1590E" w:rsidP="00D1590E">
      <w:pPr>
        <w:pStyle w:val="AERbulletlistfirststyle"/>
      </w:pPr>
      <w:r w:rsidRPr="00D1590E">
        <w:t>whether the operating expenditure forecast is consistent with any incentive scheme or schemes that apply to the distribution network service provider under clauses 6.5.8 or 6.6.2 to 6.6.4</w:t>
      </w:r>
    </w:p>
    <w:p w:rsidR="00D1590E" w:rsidRPr="00D1590E" w:rsidRDefault="00D1590E" w:rsidP="00D1590E">
      <w:pPr>
        <w:pStyle w:val="AERbulletlistfirststyle"/>
      </w:pPr>
      <w:r w:rsidRPr="00D1590E">
        <w:t>the extent the operating expenditure forecast is referable to arrangements with a person other than the distribution network service provider that, in our opinion, do not reflect arm’s length terms</w:t>
      </w:r>
    </w:p>
    <w:p w:rsidR="00D1590E" w:rsidRPr="00D1590E" w:rsidRDefault="00D1590E" w:rsidP="00D1590E">
      <w:pPr>
        <w:pStyle w:val="AERbulletlistfirststyle"/>
      </w:pPr>
      <w:r w:rsidRPr="00D1590E">
        <w:t>whether the operating expenditure forecast includes an amount relating to a project that should more appropriately be included as a contingent project under clause 6.6A.1(b)</w:t>
      </w:r>
    </w:p>
    <w:p w:rsidR="00D1590E" w:rsidRPr="00D1590E" w:rsidRDefault="00D1590E" w:rsidP="00D1590E">
      <w:pPr>
        <w:pStyle w:val="AERbulletlistfirststyle"/>
      </w:pPr>
      <w:r w:rsidRPr="00D1590E">
        <w:t xml:space="preserve">the extent to which the distribution network service provider has considered and made provision for efficient and prudent non-network alternatives </w:t>
      </w:r>
    </w:p>
    <w:p w:rsidR="00D1590E" w:rsidRPr="00D1590E" w:rsidRDefault="00D1590E" w:rsidP="00D1590E">
      <w:pPr>
        <w:pStyle w:val="AERbulletlistfirststyle"/>
      </w:pPr>
      <w:r w:rsidRPr="00D1590E">
        <w:lastRenderedPageBreak/>
        <w:t>any relevant final project assessment conclusions report published under 5.17.4(o),(p) or (s)</w:t>
      </w:r>
    </w:p>
    <w:p w:rsidR="00D1590E" w:rsidRPr="00D1590E" w:rsidRDefault="00D1590E" w:rsidP="00D1590E">
      <w:pPr>
        <w:pStyle w:val="AERbulletlistfirststyle"/>
      </w:pPr>
      <w:r w:rsidRPr="00D1590E">
        <w:t xml:space="preserve">any other factor we consider relevant and which we have notified the distribution network service provider in writing, prior to the submission of its revised regulatory proposal under clause 6.10.3, is an operating expenditure factor. </w:t>
      </w:r>
    </w:p>
    <w:p w:rsidR="00D1590E" w:rsidRPr="00D1590E" w:rsidRDefault="00D1590E" w:rsidP="00D1590E">
      <w:r w:rsidRPr="00D1590E">
        <w:t>However, for assessing base opex, we have exercised our discretion to emphasise the following factors specified in clause 6.5.6(e):</w:t>
      </w:r>
    </w:p>
    <w:p w:rsidR="00D1590E" w:rsidRPr="00D1590E" w:rsidRDefault="00D1590E" w:rsidP="00D1590E">
      <w:pPr>
        <w:pStyle w:val="AERbulletlistfirststyle"/>
      </w:pPr>
      <w:r w:rsidRPr="00D1590E">
        <w:t>the benchmark opex that would be incurred by an efficient service provider—we have had regard to the analysis and techniques used in our recent annual benchmarking report but we have also used other techniques in addition to those discussed in that document</w:t>
      </w:r>
    </w:p>
    <w:p w:rsidR="00D1590E" w:rsidRPr="00D1590E" w:rsidRDefault="00D1590E" w:rsidP="00D1590E">
      <w:pPr>
        <w:pStyle w:val="AERbulletlistfirststyle"/>
      </w:pPr>
      <w:r w:rsidRPr="00D1590E">
        <w:t>recent operating expenditure—we use the operating expenditure of the service provider in previous periods, particularly the most recent  as a key input into our approach</w:t>
      </w:r>
    </w:p>
    <w:p w:rsidR="00D1590E" w:rsidRPr="00D1590E" w:rsidRDefault="00D1590E" w:rsidP="00D1590E">
      <w:pPr>
        <w:pStyle w:val="AERbulletlistfirststyle"/>
      </w:pPr>
      <w:r w:rsidRPr="00D1590E">
        <w:t>the relative prices of operating and capital inputs—we use input prices to trend base opex such that the total forecast opex allowances reasonably reflect a realistic expectation of demand forecast and cost inputs.</w:t>
      </w:r>
    </w:p>
    <w:p w:rsidR="00D1590E" w:rsidRPr="00D1590E" w:rsidRDefault="00D1590E" w:rsidP="00D1590E">
      <w:r w:rsidRPr="00D1590E">
        <w:t>We also have regard to the following opex factors which we consider relevant (and which we notified service providers of in our draft decisions):</w:t>
      </w:r>
    </w:p>
    <w:p w:rsidR="00D1590E" w:rsidRPr="00D1590E" w:rsidRDefault="00D1590E" w:rsidP="00D1590E">
      <w:pPr>
        <w:pStyle w:val="AERbulletlistfirststyle"/>
      </w:pPr>
      <w:r w:rsidRPr="00D1590E">
        <w:t xml:space="preserve">our benchmarking data sets including, but not necessarily limited to: </w:t>
      </w:r>
    </w:p>
    <w:p w:rsidR="00D1590E" w:rsidRPr="00D1590E" w:rsidRDefault="00D1590E" w:rsidP="00D1590E">
      <w:pPr>
        <w:pStyle w:val="AERnumberedlistsecondstyle"/>
      </w:pPr>
      <w:r w:rsidRPr="00D1590E">
        <w:t xml:space="preserve">data contained in any economic benchmarking RIN, category analysis RIN, reset RIN or annual reporting RIN </w:t>
      </w:r>
    </w:p>
    <w:p w:rsidR="00D1590E" w:rsidRPr="00D1590E" w:rsidRDefault="00D1590E" w:rsidP="00D1590E">
      <w:pPr>
        <w:pStyle w:val="AERnumberedlistsecondstyle"/>
      </w:pPr>
      <w:r w:rsidRPr="00D1590E">
        <w:t xml:space="preserve">any relevant data from international sources </w:t>
      </w:r>
    </w:p>
    <w:p w:rsidR="00D1590E" w:rsidRPr="00D1590E" w:rsidRDefault="00D1590E" w:rsidP="00D1590E">
      <w:pPr>
        <w:pStyle w:val="AERnumberedlistsecondstyle"/>
      </w:pPr>
      <w:r w:rsidRPr="00D1590E">
        <w:t xml:space="preserve">data sets that support econometric modelling and other assessment techniques consistent with the approach set out in the Guideline </w:t>
      </w:r>
    </w:p>
    <w:p w:rsidR="00D1590E" w:rsidRPr="00D1590E" w:rsidRDefault="00D1590E" w:rsidP="00D1590E">
      <w:pPr>
        <w:pStyle w:val="ListContinue"/>
      </w:pPr>
      <w:r w:rsidRPr="00D1590E">
        <w:t xml:space="preserve">as updated from time to time. </w:t>
      </w:r>
    </w:p>
    <w:p w:rsidR="00D1590E" w:rsidRPr="00D1590E" w:rsidRDefault="00D1590E" w:rsidP="00D1590E">
      <w:pPr>
        <w:pStyle w:val="AERbulletlistfirststyle"/>
      </w:pPr>
      <w:r w:rsidRPr="00D1590E">
        <w:t xml:space="preserve">Economic benchmarking techniques for assessing benchmark efficient expenditure including stochastic frontier analysis and regressions utilising functional forms such as Cobb Douglas and Translog. </w:t>
      </w:r>
    </w:p>
    <w:p w:rsidR="00D1590E" w:rsidRPr="00D1590E" w:rsidRDefault="00D1590E" w:rsidP="00D1590E">
      <w:r w:rsidRPr="00D1590E">
        <w:t>We identified our preference for using econometric techniques in our explanatory statement to the Guideline.</w:t>
      </w:r>
      <w:r w:rsidRPr="00D1590E">
        <w:rPr>
          <w:rStyle w:val="FootnoteReference"/>
        </w:rPr>
        <w:footnoteReference w:id="216"/>
      </w:r>
      <w:r w:rsidRPr="00D1590E">
        <w:t xml:space="preserve"> </w:t>
      </w:r>
    </w:p>
    <w:p w:rsidR="00D1590E" w:rsidRPr="00D1590E" w:rsidRDefault="00D1590E" w:rsidP="00D1590E">
      <w:r w:rsidRPr="00D1590E">
        <w:rPr>
          <w:rStyle w:val="AERbody"/>
        </w:rPr>
        <w:t>The NER were specifically amended to allow us to take account of additional factors.</w:t>
      </w:r>
      <w:r w:rsidRPr="00D1590E">
        <w:rPr>
          <w:rStyle w:val="FootnoteReference"/>
        </w:rPr>
        <w:footnoteReference w:id="217"/>
      </w:r>
      <w:r w:rsidRPr="00D1590E">
        <w:rPr>
          <w:rStyle w:val="AERbody"/>
        </w:rPr>
        <w:t xml:space="preserve"> Service providers were on notice of our intention to use benchmarking from the 2012 rule change.  </w:t>
      </w:r>
      <w:r w:rsidRPr="00D1590E">
        <w:t xml:space="preserve">We consider that these factors are particularly relevant to our approach </w:t>
      </w:r>
      <w:r w:rsidRPr="00D1590E">
        <w:lastRenderedPageBreak/>
        <w:t>to assessing the service provider's opex forecast and, if necessary, substituting our own opex forecast.</w:t>
      </w:r>
    </w:p>
    <w:p w:rsidR="00D1590E" w:rsidRPr="00D1590E" w:rsidRDefault="00D1590E" w:rsidP="00D1590E">
      <w:r w:rsidRPr="00D1590E">
        <w:t>We have used our discretion to give weight to the opex factors which we consider are most relevant to our approach. The AEMC has recognised our discretion in this regard:</w:t>
      </w:r>
      <w:r w:rsidRPr="00D1590E">
        <w:rPr>
          <w:rStyle w:val="FootnoteReference"/>
        </w:rPr>
        <w:footnoteReference w:id="218"/>
      </w:r>
    </w:p>
    <w:p w:rsidR="00D1590E" w:rsidRPr="00D1590E" w:rsidRDefault="00D1590E" w:rsidP="00D1590E">
      <w:pPr>
        <w:pStyle w:val="AERquoteindent1"/>
      </w:pPr>
      <w:r w:rsidRPr="00D1590E">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D1590E" w:rsidRPr="00D1590E" w:rsidRDefault="00D1590E" w:rsidP="00D1590E">
      <w:r w:rsidRPr="00D1590E">
        <w:t>We have received submissions stating that we have placed unreasonable weight on benchmarking and "almost solely" relied on it as a deterministic or mechanistic tool.</w:t>
      </w:r>
      <w:r w:rsidRPr="00D1590E">
        <w:rPr>
          <w:rStyle w:val="FootnoteReference"/>
        </w:rPr>
        <w:footnoteReference w:id="219"/>
      </w:r>
      <w:r w:rsidRPr="00D1590E">
        <w:t xml:space="preserve"> They consider benchmarking is but one of the opex factors relevant to forming a view on whether total forecast opex proposals reasonably reflect the opex criteria. Additionally, they consider the NER seek we undertake a broader examination of a service provider's proposal, but that we did not do this in the draft decision.</w:t>
      </w:r>
      <w:r w:rsidRPr="00D1590E">
        <w:rPr>
          <w:rStyle w:val="FootnoteReference"/>
        </w:rPr>
        <w:footnoteReference w:id="220"/>
      </w:r>
      <w:r w:rsidRPr="00D1590E">
        <w:t xml:space="preserve"> Some submissions also state that the purpose of the benchmarking factor is:</w:t>
      </w:r>
      <w:r w:rsidRPr="00D1590E">
        <w:rPr>
          <w:rStyle w:val="FootnoteReference"/>
        </w:rPr>
        <w:footnoteReference w:id="221"/>
      </w:r>
    </w:p>
    <w:p w:rsidR="00D1590E" w:rsidRPr="00D1590E" w:rsidRDefault="00D1590E" w:rsidP="00D1590E">
      <w:pPr>
        <w:pStyle w:val="AERquoteindent1"/>
      </w:pPr>
      <w:r w:rsidRPr="00D1590E">
        <w:t>...for the AER to consider whether available benchmarking information can provide a partial indicator of the efficiency of the forecast expenditure, and if so the investigations and weight that should be ascribed to that data.</w:t>
      </w:r>
    </w:p>
    <w:p w:rsidR="00D1590E" w:rsidRPr="00D1590E" w:rsidRDefault="00D1590E" w:rsidP="00D1590E">
      <w:pPr>
        <w:rPr>
          <w:rStyle w:val="AERbody"/>
        </w:rPr>
      </w:pPr>
      <w:r w:rsidRPr="00D1590E">
        <w:rPr>
          <w:rStyle w:val="AERbody"/>
        </w:rPr>
        <w:t xml:space="preserve">We disagree and consider we have had appropriate and reasonable regard to benchmarking, together with other techniques in assessing the revised proposals. </w:t>
      </w:r>
    </w:p>
    <w:p w:rsidR="00D1590E" w:rsidRPr="00D1590E" w:rsidRDefault="00D1590E" w:rsidP="00D1590E">
      <w:r w:rsidRPr="00D1590E">
        <w:rPr>
          <w:rStyle w:val="AERbody"/>
        </w:rPr>
        <w:t>We agree that benchmarking is one of several opex factors that we are required to 'have regard to'. However, as we explain above,</w:t>
      </w:r>
      <w:r w:rsidRPr="00D1590E">
        <w:t xml:space="preserve"> we have discretion as to how we have regard to each opex factor, including how much weight we attach to them. Indeed, the AEMC has stated that we may decide certain factors are not relevant.</w:t>
      </w:r>
      <w:r w:rsidRPr="00D1590E">
        <w:rPr>
          <w:rStyle w:val="FootnoteReference"/>
        </w:rPr>
        <w:footnoteReference w:id="222"/>
      </w:r>
      <w:r w:rsidRPr="00D1590E">
        <w:t xml:space="preserve"> We explained this in our draft decision</w:t>
      </w:r>
      <w:r w:rsidRPr="00D1590E">
        <w:rPr>
          <w:rStyle w:val="FootnoteReference"/>
        </w:rPr>
        <w:footnoteReference w:id="223"/>
      </w:r>
      <w:r w:rsidRPr="00D1590E">
        <w:t xml:space="preserve"> and the explanatory statement to the Guideline.</w:t>
      </w:r>
      <w:r w:rsidRPr="00D1590E">
        <w:rPr>
          <w:rStyle w:val="FootnoteReference"/>
        </w:rPr>
        <w:footnoteReference w:id="224"/>
      </w:r>
    </w:p>
    <w:p w:rsidR="00D1590E" w:rsidRPr="00D1590E" w:rsidRDefault="00D1590E" w:rsidP="00D1590E">
      <w:pPr>
        <w:rPr>
          <w:rStyle w:val="AERbody"/>
        </w:rPr>
      </w:pPr>
      <w:r w:rsidRPr="00D1590E">
        <w:rPr>
          <w:rStyle w:val="AERbody"/>
        </w:rPr>
        <w:t xml:space="preserve">We consider it appropriate to give prominent, but not overwhelming weight to benchmarking base opex based on the robustness of the data and techniques and its utility in overcoming information asymmetry and in providing comparisons amongst </w:t>
      </w:r>
      <w:r w:rsidRPr="00D1590E">
        <w:rPr>
          <w:rStyle w:val="AERbody"/>
        </w:rPr>
        <w:lastRenderedPageBreak/>
        <w:t>firms in the NEM. Many stakeholders agree with this approach.</w:t>
      </w:r>
      <w:r w:rsidRPr="00D1590E">
        <w:rPr>
          <w:rStyle w:val="FootnoteReference"/>
        </w:rPr>
        <w:footnoteReference w:id="225"/>
      </w:r>
      <w:r w:rsidRPr="00D1590E">
        <w:rPr>
          <w:rStyle w:val="AERbody"/>
        </w:rPr>
        <w:t xml:space="preserve"> Our decision to use benchmarking techniques in our assessment of opex is consistent with the recommendations of the Productivity Commission,</w:t>
      </w:r>
      <w:r w:rsidRPr="00D1590E">
        <w:rPr>
          <w:rStyle w:val="FootnoteReference"/>
        </w:rPr>
        <w:footnoteReference w:id="226"/>
      </w:r>
      <w:r w:rsidRPr="00D1590E">
        <w:rPr>
          <w:rStyle w:val="AERbody"/>
        </w:rPr>
        <w:t xml:space="preserve"> the Australian Government's response to those recommendations</w:t>
      </w:r>
      <w:r w:rsidRPr="00D1590E">
        <w:rPr>
          <w:rStyle w:val="FootnoteReference"/>
        </w:rPr>
        <w:footnoteReference w:id="227"/>
      </w:r>
      <w:r w:rsidRPr="00D1590E">
        <w:rPr>
          <w:rStyle w:val="AERbody"/>
        </w:rPr>
        <w:t xml:space="preserve"> and the AEMC's intent:</w:t>
      </w:r>
      <w:r w:rsidRPr="00D1590E">
        <w:rPr>
          <w:rStyle w:val="FootnoteReference"/>
        </w:rPr>
        <w:footnoteReference w:id="228"/>
      </w:r>
    </w:p>
    <w:p w:rsidR="00D1590E" w:rsidRPr="00D1590E" w:rsidRDefault="00D1590E" w:rsidP="00D1590E">
      <w:pPr>
        <w:pStyle w:val="AERquoteindent1"/>
        <w:rPr>
          <w:rStyle w:val="AERbody"/>
        </w:rPr>
      </w:pPr>
      <w:r w:rsidRPr="00D1590E">
        <w:t xml:space="preserve">The Commission considers that benchmarking is a critical exercise in assessing the efficiency of a NSP and approving its capital expenditure and operating expenditure allowances. </w:t>
      </w:r>
    </w:p>
    <w:p w:rsidR="00D1590E" w:rsidRPr="00D1590E" w:rsidRDefault="00D1590E" w:rsidP="00D1590E">
      <w:pPr>
        <w:rPr>
          <w:rStyle w:val="AERbody"/>
        </w:rPr>
      </w:pPr>
      <w:r w:rsidRPr="00D1590E">
        <w:rPr>
          <w:rStyle w:val="AERbody"/>
        </w:rPr>
        <w:t>Neither the NER nor the AEMC's Final Rule Determination requires us to use benchmarking only as a means of identifying issues for further investigation, as some service providers have suggested.</w:t>
      </w:r>
      <w:r w:rsidRPr="00D1590E">
        <w:rPr>
          <w:rStyle w:val="FootnoteReference"/>
        </w:rPr>
        <w:footnoteReference w:id="229"/>
      </w:r>
      <w:r w:rsidRPr="00D1590E">
        <w:rPr>
          <w:rStyle w:val="AERbody"/>
        </w:rPr>
        <w:t xml:space="preserve"> </w:t>
      </w:r>
    </w:p>
    <w:p w:rsidR="00D1590E" w:rsidRPr="00D1590E" w:rsidRDefault="00D1590E" w:rsidP="00D1590E">
      <w:pPr>
        <w:rPr>
          <w:rStyle w:val="AERbody"/>
        </w:rPr>
      </w:pPr>
      <w:r w:rsidRPr="00D1590E">
        <w:rPr>
          <w:rStyle w:val="AERbody"/>
        </w:rPr>
        <w:t xml:space="preserve">We also consider that our benchmarking approach is well supported by the available evidence. We have had regard to the criticisms of this approach, in their proper context of a proposed model followed by subsequent analysis and critique. </w:t>
      </w:r>
    </w:p>
    <w:p w:rsidR="00D1590E" w:rsidRPr="00D1590E" w:rsidRDefault="00D1590E" w:rsidP="00D1590E">
      <w:pPr>
        <w:numPr>
          <w:ilvl w:val="0"/>
          <w:numId w:val="24"/>
        </w:numPr>
        <w:rPr>
          <w:rStyle w:val="AERbody"/>
        </w:rPr>
      </w:pPr>
      <w:r w:rsidRPr="00D1590E">
        <w:rPr>
          <w:rStyle w:val="AERbody"/>
        </w:rPr>
        <w:t>Some submissions consider that our reliance on benchmarking in the draft decision would amount to an error of law which ought to result in the invalidity of our decision should we maintain that approach in the final decision.</w:t>
      </w:r>
      <w:r w:rsidRPr="00D1590E">
        <w:rPr>
          <w:rStyle w:val="FootnoteReference"/>
        </w:rPr>
        <w:footnoteReference w:id="230"/>
      </w:r>
      <w:r w:rsidRPr="00D1590E">
        <w:rPr>
          <w:rStyle w:val="AERbody"/>
        </w:rPr>
        <w:t xml:space="preserve"> </w:t>
      </w:r>
    </w:p>
    <w:p w:rsidR="00D1590E" w:rsidRPr="00D1590E" w:rsidRDefault="00D1590E" w:rsidP="00D1590E">
      <w:pPr>
        <w:numPr>
          <w:ilvl w:val="0"/>
          <w:numId w:val="24"/>
        </w:numPr>
      </w:pPr>
      <w:r w:rsidRPr="00D1590E">
        <w:rPr>
          <w:rStyle w:val="AERbody"/>
        </w:rPr>
        <w:t>We disagree with this view because the NER specifically require that we undertake benchmarking, not just arising from the benchmarking opex factor, but also from the opex criteria themselves. As we mention above, the criteria require that we examine efficient costs that an objectively prudent operator would require to achieve the opex objectives.</w:t>
      </w:r>
      <w:r w:rsidRPr="00D1590E">
        <w:rPr>
          <w:rStyle w:val="FootnoteReference"/>
        </w:rPr>
        <w:footnoteReference w:id="231"/>
      </w:r>
      <w:r w:rsidRPr="00D1590E">
        <w:rPr>
          <w:rStyle w:val="AERbody"/>
        </w:rPr>
        <w:t xml:space="preserve"> This invites a comparison of service providers. Additionally, the </w:t>
      </w:r>
      <w:r w:rsidRPr="00D1590E">
        <w:t>AEMC highlighted the importance of benchmarking in its changes to the NER in November 2012:</w:t>
      </w:r>
      <w:r w:rsidRPr="00D1590E">
        <w:rPr>
          <w:rStyle w:val="FootnoteReference"/>
        </w:rPr>
        <w:footnoteReference w:id="232"/>
      </w:r>
    </w:p>
    <w:p w:rsidR="00D1590E" w:rsidRPr="00D1590E" w:rsidRDefault="00D1590E" w:rsidP="00D1590E">
      <w:pPr>
        <w:pStyle w:val="AERquote"/>
      </w:pPr>
      <w:r w:rsidRPr="00D1590E">
        <w:lastRenderedPageBreak/>
        <w:t>The Commission views benchmarking as an important exercise in assessing the efficiency of a NSP and informing the determination of the appropriate capex or opex allowance.</w:t>
      </w:r>
    </w:p>
    <w:p w:rsidR="00D1590E" w:rsidRPr="00D1590E" w:rsidRDefault="00D1590E" w:rsidP="00D1590E">
      <w:pPr>
        <w:rPr>
          <w:rStyle w:val="AERbody"/>
        </w:rPr>
      </w:pPr>
      <w:r w:rsidRPr="00D1590E">
        <w:t>By benchmarking a service provider's expenditure we can compare its efficiency over time, and relative to the efficiency of other service providers.</w:t>
      </w:r>
    </w:p>
    <w:p w:rsidR="00D1590E" w:rsidRPr="00D1590E" w:rsidRDefault="00D1590E" w:rsidP="00D1590E">
      <w:pPr>
        <w:rPr>
          <w:rStyle w:val="AERbody"/>
        </w:rPr>
      </w:pPr>
      <w:r w:rsidRPr="00D1590E">
        <w:rPr>
          <w:rStyle w:val="AERbody"/>
        </w:rPr>
        <w:t>In previous regulatory periods, we have applied a revealed cost methodology to forecast opex. We have previously not been in a position to assess the efficiency of base opex when applying the revealed cost methodology because we did not have reliable benchmarking data and techniques to make that assessment.</w:t>
      </w:r>
      <w:r w:rsidRPr="00D1590E">
        <w:rPr>
          <w:rStyle w:val="FootnoteReference"/>
        </w:rPr>
        <w:footnoteReference w:id="233"/>
      </w:r>
      <w:r w:rsidRPr="00D1590E">
        <w:rPr>
          <w:rStyle w:val="AERbody"/>
        </w:rPr>
        <w:t xml:space="preserve"> </w:t>
      </w:r>
    </w:p>
    <w:p w:rsidR="00D1590E" w:rsidRPr="00D1590E" w:rsidRDefault="00D1590E" w:rsidP="00D1590E">
      <w:pPr>
        <w:rPr>
          <w:rStyle w:val="AERbody"/>
        </w:rPr>
      </w:pPr>
      <w:r w:rsidRPr="00D1590E">
        <w:rPr>
          <w:rStyle w:val="AERbody"/>
        </w:rPr>
        <w:t>In this decision, we also use revealed costs. However, we now have reliable and robust data that allow us to assess relative efficiency and, where that assessment demonstrates that revealed costs are materially inefficient, to develop an alternative forecast. In this decision, we have been able to benchmark service providers' opex using various benchmark modelling techniques.  We have also applied a range of other quantitative and qualitative techniques to test the validity and consistency of the results. We have:</w:t>
      </w:r>
    </w:p>
    <w:p w:rsidR="00D1590E" w:rsidRPr="00D1590E" w:rsidRDefault="00D1590E" w:rsidP="00D1590E">
      <w:pPr>
        <w:pStyle w:val="AERbulletlistfirststyle"/>
        <w:rPr>
          <w:rStyle w:val="AERbody"/>
        </w:rPr>
      </w:pPr>
      <w:r w:rsidRPr="00D1590E">
        <w:rPr>
          <w:rStyle w:val="AERbody"/>
        </w:rPr>
        <w:t>used category analysis, which allows us to examine specific key cost drivers between businesses</w:t>
      </w:r>
    </w:p>
    <w:p w:rsidR="00D1590E" w:rsidRPr="00D1590E" w:rsidRDefault="00D1590E" w:rsidP="00D1590E">
      <w:pPr>
        <w:pStyle w:val="AERbulletlistfirststyle"/>
        <w:rPr>
          <w:rStyle w:val="AERbody"/>
        </w:rPr>
      </w:pPr>
      <w:r w:rsidRPr="00D1590E">
        <w:rPr>
          <w:rStyle w:val="AERbody"/>
        </w:rPr>
        <w:t>conducted detailed reviews of certain historical and proposed opex, such as labour costs.</w:t>
      </w:r>
    </w:p>
    <w:p w:rsidR="00D1590E" w:rsidRPr="00D1590E" w:rsidRDefault="00D1590E" w:rsidP="00D1590E">
      <w:pPr>
        <w:rPr>
          <w:rStyle w:val="AERbody"/>
        </w:rPr>
      </w:pPr>
      <w:r w:rsidRPr="00D1590E">
        <w:rPr>
          <w:rStyle w:val="AERbody"/>
        </w:rPr>
        <w:t xml:space="preserve">These approaches are set out in more detail in section </w:t>
      </w:r>
      <w:r w:rsidRPr="00D1590E">
        <w:rPr>
          <w:rStyle w:val="AERbody"/>
        </w:rPr>
        <w:fldChar w:fldCharType="begin"/>
      </w:r>
      <w:r w:rsidRPr="00D1590E">
        <w:rPr>
          <w:rStyle w:val="AERbody"/>
        </w:rPr>
        <w:instrText xml:space="preserve"> REF _Ref399833221 \n \h </w:instrText>
      </w:r>
      <w:r w:rsidRPr="00D1590E">
        <w:rPr>
          <w:rStyle w:val="AERbody"/>
        </w:rPr>
      </w:r>
      <w:r w:rsidRPr="00D1590E">
        <w:rPr>
          <w:rStyle w:val="AERbody"/>
        </w:rPr>
        <w:fldChar w:fldCharType="separate"/>
      </w:r>
      <w:r w:rsidR="00C57342">
        <w:rPr>
          <w:rStyle w:val="AERbody"/>
        </w:rPr>
        <w:t>A.5</w:t>
      </w:r>
      <w:r w:rsidRPr="00D1590E">
        <w:rPr>
          <w:rStyle w:val="AERbody"/>
        </w:rPr>
        <w:fldChar w:fldCharType="end"/>
      </w:r>
      <w:r w:rsidRPr="00D1590E">
        <w:rPr>
          <w:rStyle w:val="AERbody"/>
        </w:rPr>
        <w:t>.</w:t>
      </w:r>
    </w:p>
    <w:p w:rsidR="00D1590E" w:rsidRPr="00D1590E" w:rsidRDefault="00D1590E" w:rsidP="00D1590E">
      <w:pPr>
        <w:rPr>
          <w:rStyle w:val="AERbody"/>
        </w:rPr>
      </w:pPr>
      <w:r w:rsidRPr="00D1590E">
        <w:rPr>
          <w:rStyle w:val="AERbody"/>
        </w:rPr>
        <w:t>We have also decided to change the benchmark comparison point, which takes the lowest efficiency score of the service providers in the top quartile of possible efficiency scores rather than the frontier performer (CitiPower). Lowering the benchmark comparison point is an option suggested in response to our draft decision.</w:t>
      </w:r>
      <w:r w:rsidRPr="00D1590E">
        <w:rPr>
          <w:rStyle w:val="FootnoteReference"/>
        </w:rPr>
        <w:footnoteReference w:id="234"/>
      </w:r>
      <w:r w:rsidRPr="00D1590E">
        <w:rPr>
          <w:rStyle w:val="AERbody"/>
        </w:rPr>
        <w:t xml:space="preserve"> </w:t>
      </w:r>
      <w:r w:rsidRPr="00D1590E">
        <w:t xml:space="preserve"> </w:t>
      </w:r>
    </w:p>
    <w:p w:rsidR="00D1590E" w:rsidRPr="00D1590E" w:rsidRDefault="00D1590E" w:rsidP="00D1590E">
      <w:r w:rsidRPr="00D1590E">
        <w:rPr>
          <w:rStyle w:val="AERbody"/>
        </w:rPr>
        <w:t>We do not agree that adjusting base opex through benchmarking constitutes an unfair post hoc review or disregards our past decisions.</w:t>
      </w:r>
      <w:r w:rsidRPr="00D1590E">
        <w:rPr>
          <w:rStyle w:val="FootnoteReference"/>
        </w:rPr>
        <w:footnoteReference w:id="235"/>
      </w:r>
      <w:r w:rsidRPr="00D1590E">
        <w:t xml:space="preserve"> Submissions to this effect misunderstand the purpose of our forecasting approach. The purpose of adjusting revealed costs for benchmarking is not to take back funding allocated in a previous regulatory period.  It is to properly assess whether the proposed forecast for the upcoming regulatory control period reasonably reflects the opex criteria. That adjustment is based on an assessment of actual historic costs we know have been sufficient to enable service providers to achieve the opex objectives. </w:t>
      </w:r>
    </w:p>
    <w:p w:rsidR="00D1590E" w:rsidRPr="00D1590E" w:rsidRDefault="00D1590E" w:rsidP="00D1590E">
      <w:pPr>
        <w:rPr>
          <w:rStyle w:val="AERtexthighlight"/>
        </w:rPr>
      </w:pPr>
      <w:r w:rsidRPr="00D1590E">
        <w:rPr>
          <w:rStyle w:val="AERbody"/>
        </w:rPr>
        <w:lastRenderedPageBreak/>
        <w:t>Our economic benchmarking models suggest that there has been a longstanding efficiency gap between the NSW, ACT and QLD service providers and those in other parts of the NEM.</w:t>
      </w:r>
      <w:r w:rsidRPr="00D1590E">
        <w:rPr>
          <w:rStyle w:val="FootnoteReference"/>
        </w:rPr>
        <w:footnoteReference w:id="236"/>
      </w:r>
      <w:r w:rsidRPr="00D1590E">
        <w:rPr>
          <w:rStyle w:val="AERbody"/>
        </w:rPr>
        <w:t xml:space="preserve"> </w:t>
      </w:r>
    </w:p>
    <w:p w:rsidR="00D1590E" w:rsidRPr="00D1590E" w:rsidRDefault="00D1590E" w:rsidP="00D1590E">
      <w:r w:rsidRPr="00D1590E">
        <w:t xml:space="preserve">If our benchmarking indicated that the proposed base year opex was relatively efficient, those revealed costs would remain the starting point for assessing future expenditure. Where benchmarking reveals that base opex costs are not a good proxy for future forecasts, we are able to take account of this information and adjust the base opex accordingly. </w:t>
      </w:r>
    </w:p>
    <w:p w:rsidR="00D1590E" w:rsidRPr="00D1590E" w:rsidRDefault="00D1590E" w:rsidP="00D1590E">
      <w:r w:rsidRPr="00D1590E">
        <w:t>Some service providers suggested that our decision to adjust base opex means that we have not had regard to our previous decisions, or that a step change had occurred from revealed costs to benchmarking.</w:t>
      </w:r>
      <w:r w:rsidRPr="00D1590E">
        <w:rPr>
          <w:rStyle w:val="FootnoteReference"/>
        </w:rPr>
        <w:footnoteReference w:id="237"/>
      </w:r>
      <w:r w:rsidRPr="00D1590E">
        <w:t xml:space="preserve"> </w:t>
      </w:r>
    </w:p>
    <w:p w:rsidR="00D1590E" w:rsidRPr="00D1590E" w:rsidRDefault="00D1590E" w:rsidP="00D1590E">
      <w:r w:rsidRPr="00D1590E">
        <w:t>We do not consider that taking account of further information, which we have collected in compliance with an express requirement in the NER, constitutes a lack of regard to our past decisions. Nor do we consider it a step change. It is not an unavoidable change in activity due to an external obligation.</w:t>
      </w:r>
      <w:r w:rsidRPr="00D1590E">
        <w:rPr>
          <w:rStyle w:val="FootnoteReference"/>
        </w:rPr>
        <w:footnoteReference w:id="238"/>
      </w:r>
      <w:r w:rsidRPr="00D1590E">
        <w:t xml:space="preserve"> As set out above, we do not require service providers to spend revenue they recover from consumers on any particular activity, nor do we limit or require their spending to this amount. </w:t>
      </w:r>
    </w:p>
    <w:p w:rsidR="00D1590E" w:rsidRPr="00D1590E" w:rsidRDefault="00D1590E" w:rsidP="00D1590E">
      <w:r w:rsidRPr="00D1590E">
        <w:t>All stakeholders should expect us to use new techniques and information when they become available.</w:t>
      </w:r>
      <w:r w:rsidRPr="00D1590E">
        <w:rPr>
          <w:rStyle w:val="FootnoteReference"/>
        </w:rPr>
        <w:footnoteReference w:id="239"/>
      </w:r>
      <w:r w:rsidRPr="00D1590E">
        <w:t xml:space="preserve"> We have not moved away from revealed costs. Rather, we have used new techniques to ensure that we are better able to make a decision that reasonably reflects the opex criteria for the future. Our approach represents a refinement of our longstanding approach to assessing opex. </w:t>
      </w:r>
    </w:p>
    <w:p w:rsidR="00D1590E" w:rsidRPr="00D1590E" w:rsidRDefault="00D1590E" w:rsidP="00D1590E">
      <w:pPr>
        <w:rPr>
          <w:rStyle w:val="AERtexthighlight"/>
        </w:rPr>
      </w:pPr>
      <w:r w:rsidRPr="00D1590E">
        <w:t xml:space="preserve">As set out above, our intention to use benchmarking has been the subject of an AEMC rule change and extensive consultation. The results of our benchmarking indicate that previous incentive signals and schemes used to motivate service providers were not sufficient. </w:t>
      </w:r>
    </w:p>
    <w:p w:rsidR="002C43C7" w:rsidRDefault="002C43C7">
      <w:pPr>
        <w:spacing w:line="240" w:lineRule="auto"/>
        <w:rPr>
          <w:rFonts w:eastAsiaTheme="majorEastAsia" w:cstheme="majorBidi"/>
          <w:b/>
          <w:bCs/>
          <w:color w:val="70635A" w:themeColor="text2"/>
          <w:sz w:val="28"/>
        </w:rPr>
      </w:pPr>
      <w:bookmarkStart w:id="200" w:name="_Toc417646272"/>
      <w:r>
        <w:br w:type="page"/>
      </w:r>
    </w:p>
    <w:p w:rsidR="00D1590E" w:rsidRPr="00D1590E" w:rsidRDefault="00D1590E" w:rsidP="00D1590E">
      <w:pPr>
        <w:pStyle w:val="HeadingBoldBlue"/>
      </w:pPr>
      <w:r w:rsidRPr="00D1590E">
        <w:lastRenderedPageBreak/>
        <w:t>Our approach gives due regard to the service providers' proposals and individual circumstances</w:t>
      </w:r>
      <w:bookmarkEnd w:id="200"/>
    </w:p>
    <w:p w:rsidR="00D1590E" w:rsidRPr="00D1590E" w:rsidRDefault="00D1590E" w:rsidP="00D1590E">
      <w:r w:rsidRPr="00D1590E">
        <w:t>Broadly, service providers have submitted that by relying on benchmarking as part of our assessment approach, we have:</w:t>
      </w:r>
      <w:r w:rsidR="002C43C7">
        <w:rPr>
          <w:rStyle w:val="FootnoteReference"/>
        </w:rPr>
        <w:footnoteReference w:id="240"/>
      </w:r>
    </w:p>
    <w:p w:rsidR="00D1590E" w:rsidRPr="00D1590E" w:rsidRDefault="00D1590E" w:rsidP="00D1590E">
      <w:pPr>
        <w:pStyle w:val="AERbulletlistfirststyle"/>
      </w:pPr>
      <w:r w:rsidRPr="00D1590E">
        <w:t>not started our assessment with their regulatory proposals or examined which aspects of their proposals involve inefficient expenditure in any level of detail</w:t>
      </w:r>
    </w:p>
    <w:p w:rsidR="00D1590E" w:rsidRPr="00D1590E" w:rsidRDefault="00D1590E" w:rsidP="00D1590E">
      <w:pPr>
        <w:pStyle w:val="AERbulletlistfirststyle"/>
        <w:rPr>
          <w:rStyle w:val="AERbody"/>
        </w:rPr>
      </w:pPr>
      <w:r w:rsidRPr="00D1590E">
        <w:t>failed to comply with the NER requirements to have regard to their individual circumstances.</w:t>
      </w:r>
    </w:p>
    <w:p w:rsidR="00D1590E" w:rsidRPr="00D1590E" w:rsidRDefault="00D1590E" w:rsidP="00D1590E">
      <w:pPr>
        <w:pStyle w:val="HeadingBoldItalic"/>
      </w:pPr>
      <w:r w:rsidRPr="00D1590E">
        <w:t>The service providers' proposals</w:t>
      </w:r>
    </w:p>
    <w:p w:rsidR="00D1590E" w:rsidRPr="00D1590E" w:rsidRDefault="00D1590E" w:rsidP="00D1590E">
      <w:pPr>
        <w:rPr>
          <w:rStyle w:val="AERbody"/>
        </w:rPr>
      </w:pPr>
      <w:r w:rsidRPr="00D1590E">
        <w:rPr>
          <w:rStyle w:val="AERbody"/>
        </w:rPr>
        <w:t>We consider that we have had due regard to the service providers' opex proposals. As outlined by the AEMC,</w:t>
      </w:r>
      <w:r w:rsidRPr="00D1590E">
        <w:rPr>
          <w:rStyle w:val="FootnoteReference"/>
        </w:rPr>
        <w:footnoteReference w:id="241"/>
      </w:r>
      <w:r w:rsidRPr="00D1590E">
        <w:rPr>
          <w:rStyle w:val="AERbody"/>
        </w:rPr>
        <w:t xml:space="preserve"> in our draft decision and in our assessment approach, we start by looking at the service provider's proposal. Our assessment approach is built around a mechanism to assess the proposal to determine whether it reasonably reflects the opex criteria. Where we find the service provider's proposal does not reasonably reflect the opex criteria, we use that same mechanism to determine an alternative forecast. </w:t>
      </w:r>
    </w:p>
    <w:p w:rsidR="00D1590E" w:rsidRPr="00D1590E" w:rsidRDefault="00D1590E" w:rsidP="00D1590E">
      <w:r w:rsidRPr="00D1590E">
        <w:t>As we discussed in the explanatory statement to the Guideline, information asymmetry and the inherent incentive to inflate expected expenditure needs means that we must test the service providers' proposals robustly.</w:t>
      </w:r>
      <w:r w:rsidRPr="00D1590E">
        <w:rPr>
          <w:rStyle w:val="FootnoteReference"/>
        </w:rPr>
        <w:footnoteReference w:id="242"/>
      </w:r>
      <w:r w:rsidRPr="00D1590E">
        <w:t xml:space="preserve"> Benchmarking is, in our view, an appropriate means of doing this and is consistent with the AEMC's intent:</w:t>
      </w:r>
      <w:r w:rsidRPr="00D1590E">
        <w:rPr>
          <w:rStyle w:val="FootnoteReference"/>
        </w:rPr>
        <w:footnoteReference w:id="243"/>
      </w:r>
    </w:p>
    <w:p w:rsidR="00D1590E" w:rsidRPr="00D1590E" w:rsidRDefault="00D1590E" w:rsidP="00D1590E">
      <w:pPr>
        <w:pStyle w:val="AERquoteindent1"/>
      </w:pPr>
      <w:r w:rsidRPr="00D1590E">
        <w:t>Importantly, though, [the NSP's proposal] should be only one of a number of inputs. Other stakeholders may also be able to provide relevant information, as will any consultants engaged by the AER. In addition, the AER can conduct its own analysis, including using objective evidence drawn from history, and the performance and experience of comparable NSPs. The techniques the AER may use to conduct this analysis are not limited, and in particular are not confined to the approach taken by the NSP in its proposal.</w:t>
      </w:r>
    </w:p>
    <w:p w:rsidR="00D1590E" w:rsidRPr="00D1590E" w:rsidRDefault="00D1590E" w:rsidP="00D1590E">
      <w:pPr>
        <w:rPr>
          <w:rStyle w:val="AERtexthighlight"/>
        </w:rPr>
      </w:pPr>
      <w:r w:rsidRPr="00D1590E">
        <w:rPr>
          <w:rStyle w:val="AERbody"/>
        </w:rPr>
        <w:t xml:space="preserve">Further, as is clear from our draft decision and this final decision, we have engaged closely with the assumptions and submissions in the proposal. For example, we have engaged in a detailed assessment of operating environment factors (see section </w:t>
      </w:r>
      <w:r w:rsidRPr="00D1590E">
        <w:rPr>
          <w:rStyle w:val="AERbody"/>
        </w:rPr>
        <w:fldChar w:fldCharType="begin"/>
      </w:r>
      <w:r w:rsidRPr="00D1590E">
        <w:rPr>
          <w:rStyle w:val="AERbody"/>
        </w:rPr>
        <w:instrText xml:space="preserve"> REF _Ref417551822 \r \h </w:instrText>
      </w:r>
      <w:r w:rsidRPr="00D1590E">
        <w:rPr>
          <w:rStyle w:val="AERbody"/>
        </w:rPr>
      </w:r>
      <w:r w:rsidRPr="00D1590E">
        <w:rPr>
          <w:rStyle w:val="AERbody"/>
        </w:rPr>
        <w:fldChar w:fldCharType="separate"/>
      </w:r>
      <w:r w:rsidR="00C57342">
        <w:rPr>
          <w:rStyle w:val="AERbody"/>
        </w:rPr>
        <w:t>A.6</w:t>
      </w:r>
      <w:r w:rsidRPr="00D1590E">
        <w:rPr>
          <w:rStyle w:val="AERbody"/>
        </w:rPr>
        <w:fldChar w:fldCharType="end"/>
      </w:r>
      <w:r w:rsidRPr="00D1590E">
        <w:rPr>
          <w:rStyle w:val="AERbody"/>
        </w:rPr>
        <w:t xml:space="preserve">) We also explicitly examined the service providers' proposals and undertook detailed reviews of labour practices and, for Essential Energy, vegetation management (see </w:t>
      </w:r>
      <w:r w:rsidRPr="00D1590E">
        <w:rPr>
          <w:rStyle w:val="AERbody"/>
        </w:rPr>
        <w:lastRenderedPageBreak/>
        <w:t xml:space="preserve">section </w:t>
      </w:r>
      <w:r w:rsidRPr="00D1590E">
        <w:rPr>
          <w:rStyle w:val="AERbody"/>
        </w:rPr>
        <w:fldChar w:fldCharType="begin"/>
      </w:r>
      <w:r w:rsidRPr="00D1590E">
        <w:rPr>
          <w:rStyle w:val="AERbody"/>
        </w:rPr>
        <w:instrText xml:space="preserve"> REF _Ref417310513 \n \h </w:instrText>
      </w:r>
      <w:r w:rsidRPr="00D1590E">
        <w:rPr>
          <w:rStyle w:val="AERbody"/>
        </w:rPr>
      </w:r>
      <w:r w:rsidRPr="00D1590E">
        <w:rPr>
          <w:rStyle w:val="AERbody"/>
        </w:rPr>
        <w:fldChar w:fldCharType="separate"/>
      </w:r>
      <w:r w:rsidR="00C57342">
        <w:rPr>
          <w:rStyle w:val="AERbody"/>
        </w:rPr>
        <w:t>A.5</w:t>
      </w:r>
      <w:r w:rsidRPr="00D1590E">
        <w:rPr>
          <w:rStyle w:val="AERbody"/>
        </w:rPr>
        <w:fldChar w:fldCharType="end"/>
      </w:r>
      <w:r w:rsidRPr="00D1590E">
        <w:rPr>
          <w:rStyle w:val="AERbody"/>
        </w:rPr>
        <w:t>). Finally, a key step in our overall opex assessment approach is to assess the service provider's proposed forecasting approaches (see Appendix D).</w:t>
      </w:r>
    </w:p>
    <w:p w:rsidR="00D1590E" w:rsidRPr="00D1590E" w:rsidRDefault="00D1590E" w:rsidP="00D1590E">
      <w:pPr>
        <w:pStyle w:val="HeadingBoldItalic"/>
      </w:pPr>
      <w:r w:rsidRPr="00D1590E">
        <w:t>Individual circumstances</w:t>
      </w:r>
    </w:p>
    <w:p w:rsidR="00D1590E" w:rsidRPr="00D1590E" w:rsidRDefault="00D1590E" w:rsidP="00D1590E">
      <w:r w:rsidRPr="00D1590E">
        <w:t>Our base opex assessment approach gives extensive regard to the service providers' circumstances, as required by the NER and in accordance with the intent of the AEMC. The individual circumstances of a service provider can be exogenous (beyond their control) such as topography and climate, or endogenous (within their control) such as their approach to contracting.  The AEMC expressed how it envisaged benchmarking would be applied as follows:</w:t>
      </w:r>
      <w:r w:rsidRPr="00D1590E">
        <w:rPr>
          <w:rStyle w:val="FootnoteReference"/>
        </w:rPr>
        <w:footnoteReference w:id="244"/>
      </w:r>
    </w:p>
    <w:p w:rsidR="00D1590E" w:rsidRPr="00D1590E" w:rsidRDefault="00D1590E" w:rsidP="00D1590E">
      <w:pPr>
        <w:pStyle w:val="AERquoteindent1"/>
      </w:pPr>
      <w:r w:rsidRPr="00D1590E">
        <w:t>The final rule gives the AER discretion as to how and when it undertakes benchmarking in its decision-making. However,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w:t>
      </w:r>
    </w:p>
    <w:p w:rsidR="00D1590E" w:rsidRPr="00D1590E" w:rsidRDefault="00D1590E" w:rsidP="00D1590E">
      <w:r w:rsidRPr="00D1590E">
        <w:t>Individual circumstances are taken into account throughout our approach (including benchmarking):</w:t>
      </w:r>
    </w:p>
    <w:p w:rsidR="00D1590E" w:rsidRPr="00D1590E" w:rsidRDefault="00D1590E" w:rsidP="00D1590E">
      <w:pPr>
        <w:pStyle w:val="AERbulletlistfirststyle"/>
      </w:pPr>
      <w:r w:rsidRPr="00D1590E">
        <w:t>First, the benchmarking techniques which we use to compare service providers take into account many of their individual circumstances, most notably their key network characteristics</w:t>
      </w:r>
      <w:r w:rsidRPr="00D1590E">
        <w:rPr>
          <w:rStyle w:val="FootnoteReference"/>
        </w:rPr>
        <w:footnoteReference w:id="245"/>
      </w:r>
      <w:r w:rsidRPr="00D1590E">
        <w:t xml:space="preserve"> and their actual operating expenditure. </w:t>
      </w:r>
    </w:p>
    <w:p w:rsidR="00D1590E" w:rsidRPr="00D1590E" w:rsidRDefault="00D1590E" w:rsidP="00D1590E">
      <w:pPr>
        <w:pStyle w:val="AERbulletlistfirststyle"/>
      </w:pPr>
      <w:r w:rsidRPr="00D1590E">
        <w:t>Second, this process disaggregates those circumstances which we consider reflect inefficiency from those which are exogenous or uncontrollable factors.</w:t>
      </w:r>
    </w:p>
    <w:p w:rsidR="00D1590E" w:rsidRPr="00D1590E" w:rsidRDefault="00D1590E" w:rsidP="00D1590E">
      <w:pPr>
        <w:pStyle w:val="AERbulletlistfirststyle"/>
      </w:pPr>
      <w:r w:rsidRPr="00D1590E">
        <w:t>Third, we make appropriate adjustments to the benchmarking results based on findings from other techniques such as detailed review and analysis of operating environment factors. This is consistent with our discretion to make appropriate and transparent decisions on a case by case basis.</w:t>
      </w:r>
      <w:r w:rsidRPr="00D1590E">
        <w:rPr>
          <w:rStyle w:val="FootnoteReference"/>
        </w:rPr>
        <w:footnoteReference w:id="246"/>
      </w:r>
      <w:r w:rsidRPr="00D1590E">
        <w:t xml:space="preserve"> </w:t>
      </w:r>
    </w:p>
    <w:p w:rsidR="00D1590E" w:rsidRPr="00D1590E" w:rsidRDefault="00D1590E" w:rsidP="00D1590E">
      <w:r w:rsidRPr="00D1590E">
        <w:t>We disagree with those service providers who submit that having regard to their circumstances preclude us from giving substantial weight to benchmarking. The clear intention of the AEMC was to remove restrictions on the AER's use of benchmarking:</w:t>
      </w:r>
      <w:r w:rsidRPr="00D1590E">
        <w:rPr>
          <w:rStyle w:val="FootnoteReference"/>
        </w:rPr>
        <w:footnoteReference w:id="247"/>
      </w:r>
    </w:p>
    <w:p w:rsidR="00D1590E" w:rsidRPr="00D1590E" w:rsidRDefault="00D1590E" w:rsidP="00D1590E">
      <w:pPr>
        <w:pStyle w:val="AERquoteindent1"/>
      </w:pPr>
      <w:r w:rsidRPr="00D1590E">
        <w:t xml:space="preserve">The Commission considers that the removal of the "individual circumstances" phrase will clarify the ability of the AER to undertake benchmarking. It assists </w:t>
      </w:r>
      <w:r w:rsidRPr="00D1590E">
        <w:lastRenderedPageBreak/>
        <w:t>the AER to determine if a NSP's proposal reflects the prudent and efficient costs of meeting the objectives.</w:t>
      </w:r>
    </w:p>
    <w:p w:rsidR="00D1590E" w:rsidRPr="00D1590E" w:rsidRDefault="00D1590E" w:rsidP="00D1590E">
      <w:r w:rsidRPr="00D1590E">
        <w:t xml:space="preserve">Our approach gives substantial weight to the individual circumstances of the service provider that are relevant to our task, whilst allowing us to use benchmarking as part of our approach. </w:t>
      </w:r>
    </w:p>
    <w:p w:rsidR="00D1590E" w:rsidRPr="00D1590E" w:rsidRDefault="00D1590E" w:rsidP="00D1590E">
      <w:pPr>
        <w:pStyle w:val="Heading9"/>
      </w:pPr>
      <w:bookmarkStart w:id="201" w:name="_Toc417646273"/>
      <w:bookmarkStart w:id="202" w:name="_Toc417649223"/>
      <w:bookmarkStart w:id="203" w:name="_Toc417659855"/>
      <w:r w:rsidRPr="00D1590E">
        <w:t>Our approach is consistent with the incentive regime</w:t>
      </w:r>
      <w:bookmarkEnd w:id="201"/>
      <w:bookmarkEnd w:id="202"/>
      <w:bookmarkEnd w:id="203"/>
    </w:p>
    <w:p w:rsidR="00D1590E" w:rsidRPr="00D1590E" w:rsidRDefault="00D1590E" w:rsidP="00D1590E">
      <w:r w:rsidRPr="00D1590E">
        <w:t>Some service providers have submitted that they developed their current business structure in good faith reliance on our prior determinations on what is efficient opex. They submit, therefore, that if they are required to align expenditure with a reduced level of opex determined by a new and substantially different method, then the reasonable costs incurred in the course of doing so must be considered to be efficient.</w:t>
      </w:r>
      <w:r w:rsidRPr="00D1590E">
        <w:rPr>
          <w:rStyle w:val="FootnoteReference"/>
        </w:rPr>
        <w:footnoteReference w:id="248"/>
      </w:r>
      <w:r w:rsidRPr="00D1590E">
        <w:t xml:space="preserve">  </w:t>
      </w:r>
    </w:p>
    <w:p w:rsidR="00D1590E" w:rsidRPr="00D1590E" w:rsidRDefault="00D1590E" w:rsidP="00D1590E">
      <w:r w:rsidRPr="00D1590E">
        <w:t>In making this statement, these service providers appear to misunderstand the basis of our forecasting approach. We do not determine that past spending against a previous forecast is inefficient if it is below the forecast total opex we previously approved. Rather, we reward this lower actual expenditure through the EBSS.</w:t>
      </w:r>
    </w:p>
    <w:p w:rsidR="00D1590E" w:rsidRPr="00D1590E" w:rsidRDefault="00D1590E" w:rsidP="00D1590E">
      <w:r w:rsidRPr="00D1590E">
        <w:t xml:space="preserve">However, that does not mean that a past level of expenditure is appropriate for making a forecast of costs against the opex criteria for a future regulatory control period. The NER is an incentive framework. The opex forecast we approve, together with the relevant schemes, provide bonuses for improving efficiency while maintaining or improving service standards, beyond the previous period’s revealed costs. This regime encourages businesses to be as efficient as is prudent to beat the total opex forecast and continuously improve their efficiency. In that context, a network business should not be expecting to receive historical costs whenever a new forecast of total opex is assessed. </w:t>
      </w:r>
    </w:p>
    <w:p w:rsidR="00D1590E" w:rsidRPr="00D1590E" w:rsidRDefault="00D1590E" w:rsidP="00D1590E">
      <w:r w:rsidRPr="00D1590E">
        <w:t xml:space="preserve">The AER makes decisions on the basis of the relevant evidence it has before it at the time. In 2009, on the basis of the evidence before us, and also having regard to the circumstances in which we made our decision, we determined what we considered to be an appropriate basis for forecasting total opex for the period 2009–14. </w:t>
      </w:r>
    </w:p>
    <w:p w:rsidR="00D1590E" w:rsidRPr="00D1590E" w:rsidRDefault="00D1590E" w:rsidP="00D1590E">
      <w:r w:rsidRPr="00D1590E">
        <w:t>We have additional evidence now, through more detailed benchmarking. As we note above, our benchmarking results indicate that several service providers spend considerably more on a standardised basis than other businesses in the NEM to provide services in a manner that achieves the opex objectives. In assessing future forecasts we need to have regard to this new information.</w:t>
      </w:r>
    </w:p>
    <w:p w:rsidR="00D1590E" w:rsidRPr="00D1590E" w:rsidRDefault="00D1590E" w:rsidP="00D1590E">
      <w:r w:rsidRPr="00D1590E">
        <w:t>One of benchmarking's positive attributes is that it increases the incentive to reduce opex. This is something that HoustonKemp acknowledges.</w:t>
      </w:r>
      <w:r w:rsidRPr="00D1590E">
        <w:rPr>
          <w:rStyle w:val="AERsuperscript"/>
        </w:rPr>
        <w:footnoteReference w:id="249"/>
      </w:r>
      <w:r w:rsidRPr="00D1590E">
        <w:t xml:space="preserve"> We consider that this </w:t>
      </w:r>
      <w:r w:rsidRPr="00D1590E">
        <w:lastRenderedPageBreak/>
        <w:t xml:space="preserve">increased incentive reflects a decision that is in the long term interests of consumers and reflects the opex objectives. </w:t>
      </w:r>
    </w:p>
    <w:p w:rsidR="00D1590E" w:rsidRPr="00D1590E" w:rsidRDefault="00D1590E" w:rsidP="00D1590E">
      <w:r w:rsidRPr="00D1590E">
        <w:t>Despite this, HoustonKemp considers that our approach is inconsistent with the NEO.</w:t>
      </w:r>
      <w:r w:rsidRPr="00D1590E">
        <w:rPr>
          <w:rStyle w:val="AERsuperscript"/>
        </w:rPr>
        <w:footnoteReference w:id="250"/>
      </w:r>
      <w:r w:rsidRPr="00D1590E">
        <w:t xml:space="preserve"> We disagree. If benchmarking shows a distributor's revealed opex is materially inefficient, it is not possible to set an opex forecast based solely on revealed expenditure that is consistent with the opex criteria. Such an approach would ignore relevant considerations and techniques which we regard as robust and important. The AEMC agrees.</w:t>
      </w:r>
      <w:r w:rsidRPr="00D1590E">
        <w:rPr>
          <w:rStyle w:val="AERsuperscript"/>
        </w:rPr>
        <w:footnoteReference w:id="251"/>
      </w:r>
      <w:r w:rsidRPr="00D1590E">
        <w:t xml:space="preserve"> In such circumstances, therefore, benchmarking will deliver an alternative forecast that achieves the NEO to a greater degree than revealed expenditure. </w:t>
      </w:r>
    </w:p>
    <w:p w:rsidR="00D1590E" w:rsidRPr="00D1590E" w:rsidRDefault="00D1590E" w:rsidP="00D1590E">
      <w:pPr>
        <w:pStyle w:val="Heading9"/>
      </w:pPr>
      <w:bookmarkStart w:id="204" w:name="_Toc417646274"/>
      <w:bookmarkStart w:id="205" w:name="_Toc417649224"/>
      <w:bookmarkStart w:id="206" w:name="_Toc417659856"/>
      <w:r w:rsidRPr="00D1590E">
        <w:t>The benchmarking we rely on in our approach is robust, reliable and reasonable</w:t>
      </w:r>
      <w:bookmarkEnd w:id="204"/>
      <w:bookmarkEnd w:id="205"/>
      <w:bookmarkEnd w:id="206"/>
    </w:p>
    <w:p w:rsidR="00D1590E" w:rsidRPr="00D1590E" w:rsidRDefault="00D1590E" w:rsidP="00D1590E">
      <w:bookmarkStart w:id="207" w:name="_Ref415746666"/>
      <w:r w:rsidRPr="00D1590E">
        <w:t>Service providers have submitted that our benchmarking is fundamentally flawed because:</w:t>
      </w:r>
      <w:r w:rsidRPr="00D1590E">
        <w:rPr>
          <w:rStyle w:val="FootnoteReference"/>
        </w:rPr>
        <w:footnoteReference w:id="252"/>
      </w:r>
    </w:p>
    <w:p w:rsidR="00D1590E" w:rsidRPr="00D1590E" w:rsidRDefault="00D1590E" w:rsidP="00D1590E">
      <w:pPr>
        <w:pStyle w:val="AERbulletlistfirststyle"/>
      </w:pPr>
      <w:r w:rsidRPr="00D1590E">
        <w:t xml:space="preserve">our analysis is not robust </w:t>
      </w:r>
    </w:p>
    <w:p w:rsidR="00D1590E" w:rsidRPr="00D1590E" w:rsidRDefault="00D1590E" w:rsidP="00D1590E">
      <w:pPr>
        <w:pStyle w:val="AERbulletlistfirststyle"/>
      </w:pPr>
      <w:r w:rsidRPr="00D1590E">
        <w:t>we have made errors in the application of our models</w:t>
      </w:r>
    </w:p>
    <w:p w:rsidR="00D1590E" w:rsidRPr="00D1590E" w:rsidRDefault="00D1590E" w:rsidP="00D1590E">
      <w:pPr>
        <w:pStyle w:val="AERbulletlistfirststyle"/>
      </w:pPr>
      <w:r w:rsidRPr="00D1590E">
        <w:t>we should have regard to conceptual limitations of benchmarking, particularly given the heterogeneity of Australian service providers</w:t>
      </w:r>
    </w:p>
    <w:p w:rsidR="00D1590E" w:rsidRPr="00D1590E" w:rsidRDefault="00D1590E" w:rsidP="00D1590E">
      <w:pPr>
        <w:pStyle w:val="AERbulletlistfirststyle"/>
      </w:pPr>
      <w:r w:rsidRPr="00D1590E">
        <w:t>the RIN data used in the benchmarking contains problems</w:t>
      </w:r>
    </w:p>
    <w:p w:rsidR="00D1590E" w:rsidRPr="00D1590E" w:rsidRDefault="00D1590E" w:rsidP="00D1590E">
      <w:pPr>
        <w:pStyle w:val="AERbulletlistfirststyle"/>
      </w:pPr>
      <w:r w:rsidRPr="00D1590E">
        <w:t>there has been a lack of testing and peer review.</w:t>
      </w:r>
    </w:p>
    <w:p w:rsidR="00D1590E" w:rsidRPr="00D1590E" w:rsidRDefault="00D1590E" w:rsidP="00D1590E">
      <w:r w:rsidRPr="00D1590E">
        <w:t xml:space="preserve">Economic Insights responds to these submissions in detail in its report, and we explain in section </w:t>
      </w:r>
      <w:r w:rsidRPr="00D1590E">
        <w:fldChar w:fldCharType="begin"/>
      </w:r>
      <w:r w:rsidRPr="00D1590E">
        <w:instrText xml:space="preserve"> REF _Ref417384454 \n \h </w:instrText>
      </w:r>
      <w:r w:rsidRPr="00D1590E">
        <w:fldChar w:fldCharType="separate"/>
      </w:r>
      <w:r w:rsidR="00C57342">
        <w:t>A.2</w:t>
      </w:r>
      <w:r w:rsidRPr="00D1590E">
        <w:fldChar w:fldCharType="end"/>
      </w:r>
      <w:r w:rsidRPr="00D1590E">
        <w:t xml:space="preserve"> why benchmarking is appropriate in the context of our ex ante regulatory framework. We also outline why our benchmarking is robust, reliable and reasonable in section </w:t>
      </w:r>
      <w:r w:rsidRPr="00D1590E">
        <w:fldChar w:fldCharType="begin"/>
      </w:r>
      <w:r w:rsidRPr="00D1590E">
        <w:instrText xml:space="preserve"> REF _Ref417551812 \r \h </w:instrText>
      </w:r>
      <w:r w:rsidRPr="00D1590E">
        <w:fldChar w:fldCharType="separate"/>
      </w:r>
      <w:r w:rsidR="00C57342">
        <w:t>A.4</w:t>
      </w:r>
      <w:r w:rsidRPr="00D1590E">
        <w:fldChar w:fldCharType="end"/>
      </w:r>
      <w:r w:rsidRPr="00D1590E">
        <w:t>. Further, we demonstrate the alternative approaches proposed by the distributors are not robust. For example, some of the alternative approaches proposed by the distributors:</w:t>
      </w:r>
      <w:r w:rsidRPr="00D1590E">
        <w:rPr>
          <w:rStyle w:val="FootnoteReference"/>
        </w:rPr>
        <w:footnoteReference w:id="253"/>
      </w:r>
    </w:p>
    <w:p w:rsidR="00D1590E" w:rsidRPr="00D1590E" w:rsidRDefault="00D1590E" w:rsidP="00D1590E">
      <w:pPr>
        <w:pStyle w:val="AERbulletlistfirststyle"/>
      </w:pPr>
      <w:r w:rsidRPr="00D1590E">
        <w:t>misunderstand the rationale for using international data and, consequently, the manner in which Economic Insights has used it</w:t>
      </w:r>
    </w:p>
    <w:p w:rsidR="00D1590E" w:rsidRPr="00D1590E" w:rsidRDefault="00D1590E" w:rsidP="00D1590E">
      <w:pPr>
        <w:pStyle w:val="AERbulletlistfirststyle"/>
      </w:pPr>
      <w:r w:rsidRPr="00D1590E">
        <w:t>include outputs that reflect secondary cost drivers rather than functional outputs, which can reward inefficient practices</w:t>
      </w:r>
    </w:p>
    <w:p w:rsidR="00D1590E" w:rsidRPr="00D1590E" w:rsidRDefault="00D1590E" w:rsidP="00D1590E">
      <w:pPr>
        <w:pStyle w:val="AERbulletlistfirststyle"/>
      </w:pPr>
      <w:r w:rsidRPr="00D1590E">
        <w:lastRenderedPageBreak/>
        <w:t>exclude key functional outputs—CEPA, for example, presents a function with only one or two outputs, which is not adequate to accurately model distributor cost characteristics</w:t>
      </w:r>
    </w:p>
    <w:p w:rsidR="00D1590E" w:rsidRPr="00D1590E" w:rsidRDefault="00D1590E" w:rsidP="00D1590E">
      <w:pPr>
        <w:pStyle w:val="AERbulletlistfirststyle"/>
      </w:pPr>
      <w:r w:rsidRPr="00D1590E">
        <w:t>inappropriately incorporate some operating environment variables without considering their potential effect on the model—depending on the estimation method used, the 'capital intensiveness' (or equivalent) variable, for example, overstates the opex efficiency of the ACT, NSW and QLD distributors simply because they own assets with a capacity of more than 66kV</w:t>
      </w:r>
    </w:p>
    <w:p w:rsidR="00D1590E" w:rsidRPr="00D1590E" w:rsidRDefault="00D1590E" w:rsidP="00D1590E">
      <w:pPr>
        <w:pStyle w:val="AERbulletlistfirststyle"/>
      </w:pPr>
      <w:r w:rsidRPr="00D1590E">
        <w:t>suggest the inclusion of many unjustified operating environment variables, which can undermine the ability of a model to explain the relationship between inputs and outputs</w:t>
      </w:r>
    </w:p>
    <w:p w:rsidR="00D1590E" w:rsidRPr="00D1590E" w:rsidRDefault="00D1590E" w:rsidP="00D1590E">
      <w:pPr>
        <w:pStyle w:val="AERbulletlistfirststyle"/>
      </w:pPr>
      <w:r w:rsidRPr="00D1590E">
        <w:t>use estimation methods that are not robust because of the underlying assumptions they make about the nature of inefficiency.</w:t>
      </w:r>
    </w:p>
    <w:p w:rsidR="00D1590E" w:rsidRPr="00D1590E" w:rsidRDefault="00D1590E" w:rsidP="00D1590E">
      <w:r w:rsidRPr="00D1590E">
        <w:t>In this section, we set out some general principles regarding the nature of benchmarking.</w:t>
      </w:r>
    </w:p>
    <w:p w:rsidR="00D1590E" w:rsidRPr="00D1590E" w:rsidRDefault="00D1590E" w:rsidP="00D1590E">
      <w:r w:rsidRPr="00D1590E">
        <w:t>This decision is the first time that we have had sufficient information to conduct rigorous benchmarking analysis. However, we have done so over a long consultation period, using data provided and cross-checked by the service providers themselves. We have used benchmarking analysis in a way that acknowledges benchmarking cannot produce a single "right" answer—but we also rely on benchmarking as an important technique for assessing base opex.</w:t>
      </w:r>
    </w:p>
    <w:p w:rsidR="00D1590E" w:rsidRPr="00D1590E" w:rsidRDefault="00D1590E" w:rsidP="00D1590E">
      <w:r w:rsidRPr="00D1590E">
        <w:t>Frontier Economics agree that no single "right" answer exists. It acknowledges both the power of benchmarking and the impressive knowledge the AER's expert (Economic Insights) brings to the subject matter.</w:t>
      </w:r>
      <w:r w:rsidRPr="00D1590E">
        <w:rPr>
          <w:rStyle w:val="FootnoteReference"/>
        </w:rPr>
        <w:footnoteReference w:id="254"/>
      </w:r>
      <w:r w:rsidRPr="00D1590E">
        <w:t xml:space="preserve"> Huegin makes the same point.</w:t>
      </w:r>
      <w:r w:rsidRPr="00D1590E">
        <w:rPr>
          <w:rStyle w:val="FootnoteReference"/>
        </w:rPr>
        <w:footnoteReference w:id="255"/>
      </w:r>
      <w:r w:rsidRPr="00D1590E">
        <w:t xml:space="preserve"> Huegin also notes that "the approach that appears to be most common in regulatory jurisdictions around the world is to use a combination of results from different benchmarking techniques to arrive at relative levels of efficiency between businesses."</w:t>
      </w:r>
      <w:r w:rsidRPr="00D1590E">
        <w:rPr>
          <w:rStyle w:val="FootnoteReference"/>
        </w:rPr>
        <w:footnoteReference w:id="256"/>
      </w:r>
    </w:p>
    <w:p w:rsidR="00D1590E" w:rsidRPr="00D1590E" w:rsidRDefault="00D1590E" w:rsidP="00D1590E">
      <w:r w:rsidRPr="00D1590E">
        <w:t xml:space="preserve">Accordingly, the level of confidence we require to use benchmarking is that which assists us in being satisfied or dissatisfied that a proposal or comparative estimate reasonably reflects the opex criteria. We are confident that our approach provides us with the necessary comfort to use benchmarking in this way. We therefore disagree with the submission by Frontier Economics that we have placed undue reliance on our </w:t>
      </w:r>
      <w:r w:rsidRPr="00D1590E">
        <w:lastRenderedPageBreak/>
        <w:t>benchmarking approach.</w:t>
      </w:r>
      <w:r w:rsidRPr="00D1590E">
        <w:rPr>
          <w:rStyle w:val="FootnoteReference"/>
        </w:rPr>
        <w:footnoteReference w:id="257"/>
      </w:r>
      <w:r w:rsidRPr="00D1590E">
        <w:t xml:space="preserve"> We do not agree with suggestions by service providers that:</w:t>
      </w:r>
      <w:r w:rsidRPr="00D1590E">
        <w:rPr>
          <w:rStyle w:val="FootnoteReference"/>
        </w:rPr>
        <w:footnoteReference w:id="258"/>
      </w:r>
    </w:p>
    <w:p w:rsidR="00D1590E" w:rsidRPr="00D1590E" w:rsidRDefault="00D1590E" w:rsidP="00D1590E">
      <w:pPr>
        <w:pStyle w:val="AERbulletlistfirststyle"/>
      </w:pPr>
      <w:r w:rsidRPr="00D1590E">
        <w:t>Australian data is unreliable</w:t>
      </w:r>
    </w:p>
    <w:p w:rsidR="00D1590E" w:rsidRPr="00D1590E" w:rsidRDefault="00D1590E" w:rsidP="00D1590E">
      <w:pPr>
        <w:pStyle w:val="AERbulletlistfirststyle"/>
      </w:pPr>
      <w:r w:rsidRPr="00D1590E">
        <w:t>international data is inapplicable, and</w:t>
      </w:r>
    </w:p>
    <w:p w:rsidR="00D1590E" w:rsidRPr="00D1590E" w:rsidRDefault="00D1590E" w:rsidP="00D1590E">
      <w:pPr>
        <w:pStyle w:val="AERbulletlistfirststyle"/>
      </w:pPr>
      <w:r w:rsidRPr="00D1590E">
        <w:t>our benchmarking results do not accord with sensibility checks.</w:t>
      </w:r>
      <w:r w:rsidRPr="00D1590E">
        <w:rPr>
          <w:rStyle w:val="FootnoteReference"/>
        </w:rPr>
        <w:footnoteReference w:id="259"/>
      </w:r>
    </w:p>
    <w:p w:rsidR="00D1590E" w:rsidRPr="00D1590E" w:rsidRDefault="00D1590E" w:rsidP="00D1590E">
      <w:r w:rsidRPr="00D1590E">
        <w:t>The Australian data was supplied by the service providers themselves, in accordance with our compulsory information gathering powers. We required Australian data provided by service providers to be audited and certified by statutory declaration by the CEOs of the service providers. We obtained international data from comparable jurisdictions where similar analysis had previously been conducted.</w:t>
      </w:r>
      <w:r w:rsidRPr="00D1590E">
        <w:rPr>
          <w:rStyle w:val="FootnoteReference"/>
        </w:rPr>
        <w:footnoteReference w:id="260"/>
      </w:r>
      <w:r w:rsidRPr="00D1590E">
        <w:t xml:space="preserve"> </w:t>
      </w:r>
    </w:p>
    <w:p w:rsidR="00D1590E" w:rsidRPr="00D1590E" w:rsidRDefault="00D1590E" w:rsidP="00D1590E">
      <w:r w:rsidRPr="00D1590E">
        <w:t xml:space="preserve">As we explain in section </w:t>
      </w:r>
      <w:r w:rsidRPr="00D1590E">
        <w:fldChar w:fldCharType="begin"/>
      </w:r>
      <w:r w:rsidRPr="00D1590E">
        <w:instrText xml:space="preserve"> REF _Ref417551812 \n \h </w:instrText>
      </w:r>
      <w:r w:rsidRPr="00D1590E">
        <w:fldChar w:fldCharType="separate"/>
      </w:r>
      <w:r w:rsidR="00C57342">
        <w:t>A.4</w:t>
      </w:r>
      <w:r w:rsidRPr="00D1590E">
        <w:fldChar w:fldCharType="end"/>
      </w:r>
      <w:r w:rsidRPr="00D1590E">
        <w:t>, we have conducted detailed review of the Australian data, and the international data has been used by the regulators in the respective jurisdictions for determinations. Therefore, we consider that the data we have used for benchmarking is robust for this purpose. Economic Insights also considers that the data is sufficiently robust for benchmarking .The approach taken by Economic Insights produced a functional data set which is both consistent across benchmarking techniques, is dataset insensitive and has undergone significant testing and cross-checking</w:t>
      </w:r>
      <w:r w:rsidR="004C0639">
        <w:t>.</w:t>
      </w:r>
      <w:r w:rsidRPr="00D1590E">
        <w:rPr>
          <w:rStyle w:val="FootnoteReference"/>
        </w:rPr>
        <w:footnoteReference w:id="261"/>
      </w:r>
      <w:r w:rsidRPr="00D1590E">
        <w:t xml:space="preserve"> </w:t>
      </w:r>
    </w:p>
    <w:p w:rsidR="00D1590E" w:rsidRPr="00D1590E" w:rsidRDefault="00D1590E" w:rsidP="004C0639">
      <w:pPr>
        <w:rPr>
          <w:rStyle w:val="AERbody"/>
        </w:rPr>
      </w:pPr>
      <w:r w:rsidRPr="00D1590E">
        <w:t xml:space="preserve">It is true that as service provides continue to provide audited information, the dataset will improve still further. However, this does not mean that we are not sufficiently confident at this stage to use benchmarking to assess base operating expenditure. We reject the suggestion that the EI approach is unreliable. The results it has produced are consistent with our other analyses, such as our </w:t>
      </w:r>
      <w:r w:rsidRPr="00D1590E">
        <w:rPr>
          <w:rStyle w:val="AERbody"/>
        </w:rPr>
        <w:t>detailed review of base year opex and our cross checking of our benchmarking results.</w:t>
      </w:r>
    </w:p>
    <w:p w:rsidR="00D1590E" w:rsidRPr="00D1590E" w:rsidRDefault="00D1590E" w:rsidP="00D1590E">
      <w:pPr>
        <w:rPr>
          <w:rStyle w:val="AERbody"/>
        </w:rPr>
      </w:pPr>
      <w:r w:rsidRPr="00D1590E">
        <w:rPr>
          <w:rStyle w:val="AERbody"/>
        </w:rPr>
        <w:t>We have also considered our modelling in light of the service providers' operating environment factors and the potential for data and modelling issues.  We have reviewed the operating environment circumstances that service providers proposed, or which we independently considered, might explain differences in costs compared to other jurisdictions. We have also conducted analysis using other techniques to cross-check the benchmarking results. We disagree, therefore, that we have not conducted 'sensibility checks' of our benchmarking.</w:t>
      </w:r>
    </w:p>
    <w:p w:rsidR="00D1590E" w:rsidRPr="00D1590E" w:rsidRDefault="00D1590E" w:rsidP="00D1590E">
      <w:pPr>
        <w:rPr>
          <w:rStyle w:val="AERbody"/>
        </w:rPr>
      </w:pPr>
      <w:r w:rsidRPr="00D1590E">
        <w:rPr>
          <w:rStyle w:val="AERbody"/>
        </w:rPr>
        <w:lastRenderedPageBreak/>
        <w:t>Indeed, we have ultimately made cautious adjustments to the SFA benchmarking results to ensure that any adjustments to base opex:</w:t>
      </w:r>
    </w:p>
    <w:p w:rsidR="00D1590E" w:rsidRPr="00D1590E" w:rsidRDefault="00D1590E" w:rsidP="00D1590E">
      <w:pPr>
        <w:pStyle w:val="AERbulletlistfirststyle"/>
        <w:rPr>
          <w:rStyle w:val="AERbody"/>
        </w:rPr>
      </w:pPr>
      <w:r w:rsidRPr="00D1590E">
        <w:rPr>
          <w:rStyle w:val="AERbody"/>
        </w:rPr>
        <w:t>exclude differences caused by factors other than inefficiency</w:t>
      </w:r>
    </w:p>
    <w:p w:rsidR="00D1590E" w:rsidRPr="00D1590E" w:rsidRDefault="00D1590E" w:rsidP="00D1590E">
      <w:pPr>
        <w:pStyle w:val="AERbulletlistfirststyle"/>
        <w:rPr>
          <w:rStyle w:val="AERbody"/>
        </w:rPr>
      </w:pPr>
      <w:r w:rsidRPr="00D1590E">
        <w:rPr>
          <w:rStyle w:val="AERbody"/>
        </w:rPr>
        <w:t xml:space="preserve">appropriately account for potential data and modelling issues that could adversely affect the service providers. </w:t>
      </w:r>
    </w:p>
    <w:p w:rsidR="00D1590E" w:rsidRPr="00D1590E" w:rsidRDefault="00D1590E" w:rsidP="00D1590E">
      <w:r w:rsidRPr="00D1590E">
        <w:t xml:space="preserve">The expert reports prepared for the service providers indicate distinct areas where the authors disagree with Economic Insights' draft decision report. However, benchmarking is something that reasonable minds will invariably differ on. As identified above, Frontier Economics and Huegin acknowledge this. Economic Insights' view is that its models are more robust than those produced by the service providers' consultants. </w:t>
      </w:r>
    </w:p>
    <w:p w:rsidR="00D1590E" w:rsidRPr="00D1590E" w:rsidRDefault="00D1590E" w:rsidP="00D1590E">
      <w:r w:rsidRPr="00D1590E">
        <w:t xml:space="preserve">Therefore, for the reasons set out in section </w:t>
      </w:r>
      <w:r w:rsidRPr="00D1590E">
        <w:fldChar w:fldCharType="begin"/>
      </w:r>
      <w:r w:rsidRPr="00D1590E">
        <w:instrText xml:space="preserve"> REF _Ref417551812 \n \h </w:instrText>
      </w:r>
      <w:r w:rsidRPr="00D1590E">
        <w:fldChar w:fldCharType="separate"/>
      </w:r>
      <w:r w:rsidR="00C57342">
        <w:t>A.4</w:t>
      </w:r>
      <w:r w:rsidRPr="00D1590E">
        <w:fldChar w:fldCharType="end"/>
      </w:r>
      <w:r w:rsidRPr="00D1590E">
        <w:t xml:space="preserve"> and Economic Insights' final decision report, we do not consider that these criticisms do more than identify alternative possible answers to the benchmarking question. We are not persuaded that Economic I</w:t>
      </w:r>
      <w:r w:rsidR="002C43C7">
        <w:t>nsights' approach is materially</w:t>
      </w:r>
      <w:r w:rsidRPr="00D1590E">
        <w:t xml:space="preserve"> affected by the issues raised by the service providers' consultants. We remain satisfied that, despite expected disagreement about outcomes, our use of benchmarking in our assessment approach is consistent with the NER and the NEL.</w:t>
      </w:r>
    </w:p>
    <w:p w:rsidR="00D1590E" w:rsidRPr="00D1590E" w:rsidRDefault="00D1590E" w:rsidP="00D1590E">
      <w:pPr>
        <w:pStyle w:val="Heading9"/>
      </w:pPr>
      <w:bookmarkStart w:id="208" w:name="_Toc417646275"/>
      <w:bookmarkStart w:id="209" w:name="_Toc417649225"/>
      <w:bookmarkStart w:id="210" w:name="_Toc417659857"/>
      <w:r w:rsidRPr="00D1590E">
        <w:t>Procedural fairness matters</w:t>
      </w:r>
      <w:bookmarkEnd w:id="207"/>
      <w:bookmarkEnd w:id="208"/>
      <w:bookmarkEnd w:id="209"/>
      <w:bookmarkEnd w:id="210"/>
      <w:r w:rsidRPr="00D1590E">
        <w:t xml:space="preserve"> </w:t>
      </w:r>
    </w:p>
    <w:p w:rsidR="00D1590E" w:rsidRPr="00D1590E" w:rsidRDefault="00D1590E" w:rsidP="00D1590E">
      <w:pPr>
        <w:rPr>
          <w:rStyle w:val="AERbody"/>
        </w:rPr>
      </w:pPr>
      <w:r w:rsidRPr="00D1590E">
        <w:rPr>
          <w:rStyle w:val="AERbody"/>
        </w:rPr>
        <w:t>In their revised regulatory proposals, the service providers submitted that they had not been afforded procedural fairness. In particular, they submit:</w:t>
      </w:r>
      <w:r w:rsidR="002C43C7">
        <w:rPr>
          <w:rStyle w:val="FootnoteReference"/>
        </w:rPr>
        <w:footnoteReference w:id="262"/>
      </w:r>
    </w:p>
    <w:p w:rsidR="00D1590E" w:rsidRPr="00D1590E" w:rsidRDefault="00D1590E" w:rsidP="00D1590E">
      <w:pPr>
        <w:pStyle w:val="AERbulletlistfirststyle"/>
        <w:rPr>
          <w:rStyle w:val="AERbody"/>
        </w:rPr>
      </w:pPr>
      <w:r w:rsidRPr="00D1590E">
        <w:rPr>
          <w:rStyle w:val="AERbody"/>
        </w:rPr>
        <w:t>By publishing our first annual benchmarking report two months late, we have limited their time to make a detailed response to the issues contained within for the purposes of their revised proposals</w:t>
      </w:r>
    </w:p>
    <w:p w:rsidR="00D1590E" w:rsidRPr="00D1590E" w:rsidRDefault="00D1590E" w:rsidP="00D1590E">
      <w:pPr>
        <w:pStyle w:val="AERbulletlistfirststyle"/>
        <w:rPr>
          <w:rStyle w:val="AERbody"/>
        </w:rPr>
      </w:pPr>
      <w:r w:rsidRPr="00D1590E">
        <w:rPr>
          <w:rStyle w:val="AERbody"/>
        </w:rPr>
        <w:t>The models we used in the draft decision are not consistent with those set out in the Guideline.</w:t>
      </w:r>
    </w:p>
    <w:p w:rsidR="00D1590E" w:rsidRPr="00D1590E" w:rsidRDefault="00D1590E" w:rsidP="00D1590E">
      <w:pPr>
        <w:rPr>
          <w:rStyle w:val="AERbody"/>
        </w:rPr>
      </w:pPr>
      <w:r w:rsidRPr="00D1590E">
        <w:rPr>
          <w:rStyle w:val="AERbody"/>
        </w:rPr>
        <w:t xml:space="preserve">As noted above and set out in </w:t>
      </w:r>
      <w:r w:rsidRPr="00D1590E">
        <w:rPr>
          <w:rStyle w:val="AERbody"/>
        </w:rPr>
        <w:fldChar w:fldCharType="begin"/>
      </w:r>
      <w:r w:rsidRPr="00D1590E">
        <w:rPr>
          <w:rStyle w:val="AERbody"/>
        </w:rPr>
        <w:instrText xml:space="preserve"> REF _Ref414616809 \h </w:instrText>
      </w:r>
      <w:r w:rsidRPr="00D1590E">
        <w:rPr>
          <w:rStyle w:val="AERbody"/>
        </w:rPr>
      </w:r>
      <w:r w:rsidRPr="00D1590E">
        <w:rPr>
          <w:rStyle w:val="AERbody"/>
        </w:rPr>
        <w:fldChar w:fldCharType="separate"/>
      </w:r>
      <w:r w:rsidR="00C57342" w:rsidRPr="00D1590E">
        <w:t xml:space="preserve">Table </w:t>
      </w:r>
      <w:r w:rsidR="00C57342">
        <w:rPr>
          <w:noProof/>
        </w:rPr>
        <w:t>A</w:t>
      </w:r>
      <w:r w:rsidR="00C57342" w:rsidRPr="00D1590E">
        <w:t>.</w:t>
      </w:r>
      <w:r w:rsidR="00C57342">
        <w:rPr>
          <w:noProof/>
        </w:rPr>
        <w:t>2</w:t>
      </w:r>
      <w:r w:rsidRPr="00D1590E">
        <w:rPr>
          <w:rStyle w:val="AERbody"/>
        </w:rPr>
        <w:fldChar w:fldCharType="end"/>
      </w:r>
      <w:r w:rsidRPr="00D1590E">
        <w:rPr>
          <w:rStyle w:val="AERbody"/>
        </w:rPr>
        <w:t xml:space="preserve"> below, we have been engaged in a lengthy consultation process with the service providers dating back several years. This program of consultation has involved staff interactions with the service providers and their officers and employees. Our consultation process provided service providers with an extension of time and limited the reach of its regulatory information notices under the NEL.</w:t>
      </w:r>
    </w:p>
    <w:p w:rsidR="00D1590E" w:rsidRPr="00D1590E" w:rsidRDefault="00D1590E" w:rsidP="00D1590E">
      <w:pPr>
        <w:rPr>
          <w:rStyle w:val="AERbody"/>
        </w:rPr>
      </w:pPr>
      <w:r w:rsidRPr="00D1590E">
        <w:rPr>
          <w:rStyle w:val="AERbody"/>
        </w:rPr>
        <w:t xml:space="preserve">The service providers nevertheless now submit that the AER failed to provide them with procedural fairness. We disagree with these submissions.  </w:t>
      </w:r>
    </w:p>
    <w:p w:rsidR="00D1590E" w:rsidRPr="00D1590E" w:rsidRDefault="00D1590E" w:rsidP="00D1590E">
      <w:pPr>
        <w:pStyle w:val="Caption"/>
      </w:pPr>
      <w:bookmarkStart w:id="211" w:name="_Ref414616809"/>
      <w:r w:rsidRPr="00D1590E">
        <w:lastRenderedPageBreak/>
        <w:t xml:space="preserve">Table </w:t>
      </w:r>
      <w:fldSimple w:instr=" STYLEREF 7 \s ">
        <w:r w:rsidR="00C57342">
          <w:rPr>
            <w:noProof/>
          </w:rPr>
          <w:t>A</w:t>
        </w:r>
      </w:fldSimple>
      <w:r w:rsidRPr="00D1590E">
        <w:t>.</w:t>
      </w:r>
      <w:fldSimple w:instr=" SEQ ATable \* ARABIC \s 7 ">
        <w:r w:rsidR="00C57342">
          <w:rPr>
            <w:noProof/>
          </w:rPr>
          <w:t>2</w:t>
        </w:r>
      </w:fldSimple>
      <w:bookmarkEnd w:id="211"/>
      <w:r w:rsidRPr="00D1590E">
        <w:tab/>
        <w:t>Full process of the development of benchmarking data set</w:t>
      </w:r>
    </w:p>
    <w:tbl>
      <w:tblPr>
        <w:tblStyle w:val="AERtable-text0"/>
        <w:tblW w:w="0" w:type="auto"/>
        <w:tblLayout w:type="fixed"/>
        <w:tblLook w:val="04A0" w:firstRow="1" w:lastRow="0" w:firstColumn="1" w:lastColumn="0" w:noHBand="0" w:noVBand="1"/>
      </w:tblPr>
      <w:tblGrid>
        <w:gridCol w:w="7621"/>
        <w:gridCol w:w="1072"/>
      </w:tblGrid>
      <w:tr w:rsidR="00D1590E" w:rsidTr="00D1590E">
        <w:trPr>
          <w:cnfStyle w:val="100000000000" w:firstRow="1" w:lastRow="0" w:firstColumn="0" w:lastColumn="0" w:oddVBand="0" w:evenVBand="0" w:oddHBand="0" w:evenHBand="0" w:firstRowFirstColumn="0" w:firstRowLastColumn="0" w:lastRowFirstColumn="0" w:lastRowLastColumn="0"/>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Milestone</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Date</w:t>
            </w:r>
          </w:p>
        </w:tc>
      </w:tr>
      <w:tr w:rsidR="00D1590E" w:rsidTr="00D1590E">
        <w:trPr>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ACCC/AER working paper on benchmarking in electricity networks released. This report provides a comprehensive list of data that had been used in previous energy benchmarking studies.</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May-12</w:t>
            </w:r>
          </w:p>
        </w:tc>
      </w:tr>
      <w:tr w:rsidR="00D1590E" w:rsidTr="00D1590E">
        <w:trPr>
          <w:cnfStyle w:val="000000010000" w:firstRow="0" w:lastRow="0" w:firstColumn="0" w:lastColumn="0" w:oddVBand="0" w:evenVBand="0" w:oddHBand="0" w:evenHBand="1" w:firstRowFirstColumn="0" w:firstRowLastColumn="0" w:lastRowFirstColumn="0" w:lastRowLastColumn="0"/>
          <w:trHeight w:val="1200"/>
        </w:trPr>
        <w:tc>
          <w:tcPr>
            <w:tcW w:w="7621" w:type="dxa"/>
            <w:tcBorders>
              <w:top w:val="nil"/>
              <w:left w:val="nil"/>
              <w:bottom w:val="nil"/>
              <w:right w:val="nil"/>
            </w:tcBorders>
            <w:hideMark/>
          </w:tcPr>
          <w:p w:rsidR="00D1590E" w:rsidRPr="00D1590E" w:rsidRDefault="00D1590E" w:rsidP="00D1590E">
            <w:pPr>
              <w:pStyle w:val="AERtabletextleft"/>
            </w:pPr>
            <w:r w:rsidRPr="00D1590E">
              <w:t>AER releases issues paper on expenditure forecast assessment guideline. Issues paper includes:</w:t>
            </w:r>
          </w:p>
          <w:p w:rsidR="00D1590E" w:rsidRPr="00D1590E" w:rsidRDefault="00D1590E" w:rsidP="00D1590E">
            <w:pPr>
              <w:pStyle w:val="AERbulletlistfirststyle"/>
            </w:pPr>
            <w:r w:rsidRPr="00D1590E">
              <w:t>detailed description of benchmarking techniques</w:t>
            </w:r>
          </w:p>
          <w:p w:rsidR="00D1590E" w:rsidRPr="00D1590E" w:rsidRDefault="00D1590E" w:rsidP="00D1590E">
            <w:pPr>
              <w:pStyle w:val="AERbulletlistfirststyle"/>
            </w:pPr>
            <w:r w:rsidRPr="00D1590E">
              <w:t>data on the inputs and outputs for benchmarking electricity networks</w:t>
            </w:r>
          </w:p>
          <w:p w:rsidR="00D1590E" w:rsidRPr="00D1590E" w:rsidRDefault="00D1590E" w:rsidP="00D1590E">
            <w:pPr>
              <w:pStyle w:val="AERbulletlistfirststyle"/>
            </w:pPr>
            <w:r w:rsidRPr="00D1590E">
              <w:t>potential applications of benchmarking techniques</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Dec-12</w:t>
            </w:r>
          </w:p>
        </w:tc>
      </w:tr>
      <w:tr w:rsidR="00D1590E" w:rsidTr="00D1590E">
        <w:trPr>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AER workshop – general guideline consultation - Initiation roundtable</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Feb-13</w:t>
            </w:r>
          </w:p>
        </w:tc>
      </w:tr>
      <w:tr w:rsidR="00D1590E" w:rsidTr="00D1590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Economic benchmarking workshop on outputs</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Mar-13</w:t>
            </w:r>
          </w:p>
        </w:tc>
      </w:tr>
      <w:tr w:rsidR="00D1590E" w:rsidTr="00D1590E">
        <w:trPr>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Economic benchmarking workshop on inputs</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Mar-13</w:t>
            </w:r>
          </w:p>
        </w:tc>
      </w:tr>
      <w:tr w:rsidR="00D1590E" w:rsidTr="00D1590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Economic benchmarking workshop on measurement of outputs and environmental factors</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Apr-13</w:t>
            </w:r>
          </w:p>
        </w:tc>
      </w:tr>
      <w:tr w:rsidR="00D1590E" w:rsidTr="00D1590E">
        <w:trPr>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Economic benchmarking techniques workshop on network input measurement</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May-13</w:t>
            </w:r>
          </w:p>
        </w:tc>
      </w:tr>
      <w:tr w:rsidR="00D1590E" w:rsidTr="00D1590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Preliminary RIN templates circulated for comment</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Jun-15</w:t>
            </w:r>
          </w:p>
        </w:tc>
      </w:tr>
      <w:tr w:rsidR="00D1590E" w:rsidTr="00D1590E">
        <w:trPr>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Revised preliminary RIN templates circulated for comment</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Jul-13</w:t>
            </w:r>
          </w:p>
        </w:tc>
      </w:tr>
      <w:tr w:rsidR="00D1590E" w:rsidTr="00D1590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Draft Economic benchmarking RINs released</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Sep-13</w:t>
            </w:r>
          </w:p>
        </w:tc>
      </w:tr>
      <w:tr w:rsidR="00D1590E" w:rsidTr="00D1590E">
        <w:trPr>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Draft expenditure forecast guideline released</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Aug-13</w:t>
            </w:r>
          </w:p>
        </w:tc>
      </w:tr>
      <w:tr w:rsidR="00D1590E" w:rsidTr="00D1590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Workshop RIN auditing requirements &amp; economic benchmarking data requirements </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Oct-13</w:t>
            </w:r>
          </w:p>
        </w:tc>
      </w:tr>
      <w:tr w:rsidR="00D1590E" w:rsidTr="00D1590E">
        <w:trPr>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Final expenditure forecast assessment guideline released</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Nov-13</w:t>
            </w:r>
          </w:p>
        </w:tc>
      </w:tr>
      <w:tr w:rsidR="00D1590E" w:rsidTr="00D1590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Final RINs for economic benchmarking released</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Nov-13</w:t>
            </w:r>
          </w:p>
        </w:tc>
      </w:tr>
      <w:tr w:rsidR="00D1590E" w:rsidTr="00D1590E">
        <w:trPr>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AER answers questions regarding how the economic benchmarking RIN templates are to be completed.</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Nov 14</w:t>
            </w:r>
          </w:p>
        </w:tc>
      </w:tr>
      <w:tr w:rsidR="00D1590E" w:rsidTr="00D1590E">
        <w:trPr>
          <w:cnfStyle w:val="000000010000" w:firstRow="0" w:lastRow="0" w:firstColumn="0" w:lastColumn="0" w:oddVBand="0" w:evenVBand="0" w:oddHBand="0" w:evenHBand="1" w:firstRowFirstColumn="0" w:firstRowLastColumn="0" w:lastRowFirstColumn="0" w:lastRowLastColumn="0"/>
          <w:trHeight w:val="426"/>
        </w:trPr>
        <w:tc>
          <w:tcPr>
            <w:tcW w:w="7621" w:type="dxa"/>
            <w:tcBorders>
              <w:top w:val="nil"/>
              <w:left w:val="nil"/>
              <w:bottom w:val="nil"/>
              <w:right w:val="nil"/>
            </w:tcBorders>
            <w:hideMark/>
          </w:tcPr>
          <w:p w:rsidR="00D1590E" w:rsidRPr="00D1590E" w:rsidRDefault="00D1590E" w:rsidP="00D1590E">
            <w:pPr>
              <w:pStyle w:val="AERtabletextleft"/>
            </w:pPr>
            <w:r w:rsidRPr="00D1590E">
              <w:t>Unaudited RIN responses received AER initiates comprehensive review of RIN data. Review includes:</w:t>
            </w:r>
          </w:p>
          <w:p w:rsidR="00D1590E" w:rsidRPr="00D1590E" w:rsidRDefault="00D1590E" w:rsidP="00D1590E">
            <w:pPr>
              <w:pStyle w:val="AERquotebullet1"/>
            </w:pPr>
            <w:r w:rsidRPr="00D1590E">
              <w:t>Comparing RIN information with information previously reported by distributors to ensure consistency such as regulatory proposals, previous RIN responses and distributor annual reports</w:t>
            </w:r>
          </w:p>
          <w:p w:rsidR="00D1590E" w:rsidRPr="00D1590E" w:rsidRDefault="00D1590E" w:rsidP="00D1590E">
            <w:pPr>
              <w:pStyle w:val="AERquotebullet1"/>
            </w:pPr>
            <w:r w:rsidRPr="00D1590E">
              <w:t>reviewing time series data to identify any anomalous data points</w:t>
            </w:r>
          </w:p>
          <w:p w:rsidR="00D1590E" w:rsidRPr="00D1590E" w:rsidRDefault="00D1590E" w:rsidP="00D1590E">
            <w:pPr>
              <w:pStyle w:val="AERquotebullet1"/>
            </w:pPr>
            <w:r w:rsidRPr="00D1590E">
              <w:t xml:space="preserve">Reviewing basis of preparation to ensure that data has been prepared in accordance with EBT RIN instructions and </w:t>
            </w:r>
            <w:r w:rsidRPr="00D1590E">
              <w:lastRenderedPageBreak/>
              <w:t>definitions</w:t>
            </w:r>
          </w:p>
          <w:p w:rsidR="00D1590E" w:rsidRPr="00D1590E" w:rsidRDefault="00D1590E" w:rsidP="00D1590E">
            <w:pPr>
              <w:pStyle w:val="AERquotebullet1"/>
            </w:pPr>
            <w:r w:rsidRPr="00D1590E">
              <w:t>Comparing data across distributors to identify potential anomalies.</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lastRenderedPageBreak/>
              <w:t>Mar-14</w:t>
            </w:r>
          </w:p>
        </w:tc>
      </w:tr>
      <w:tr w:rsidR="00D1590E" w:rsidTr="00D1590E">
        <w:trPr>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lastRenderedPageBreak/>
              <w:t>Final audited RIN responses received</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Apr-14</w:t>
            </w:r>
          </w:p>
        </w:tc>
      </w:tr>
      <w:tr w:rsidR="00D1590E" w:rsidTr="00D1590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D1590E" w:rsidRPr="00D1590E" w:rsidRDefault="00D1590E" w:rsidP="00D1590E">
            <w:pPr>
              <w:pStyle w:val="AERtabletextleft"/>
            </w:pPr>
            <w:r w:rsidRPr="00D1590E">
              <w:t>Benchmarking data released for public consultation</w:t>
            </w:r>
          </w:p>
        </w:tc>
        <w:tc>
          <w:tcPr>
            <w:tcW w:w="1072" w:type="dxa"/>
            <w:tcBorders>
              <w:top w:val="nil"/>
              <w:left w:val="nil"/>
              <w:bottom w:val="nil"/>
              <w:right w:val="nil"/>
            </w:tcBorders>
            <w:noWrap/>
            <w:hideMark/>
          </w:tcPr>
          <w:p w:rsidR="00D1590E" w:rsidRPr="00D1590E" w:rsidRDefault="00D1590E" w:rsidP="00D1590E">
            <w:pPr>
              <w:pStyle w:val="AERtabletextleft"/>
            </w:pPr>
            <w:r w:rsidRPr="00D1590E">
              <w:t>May-14</w:t>
            </w:r>
          </w:p>
        </w:tc>
      </w:tr>
      <w:tr w:rsidR="00D1590E" w:rsidTr="00D1590E">
        <w:trPr>
          <w:trHeight w:val="300"/>
        </w:trPr>
        <w:tc>
          <w:tcPr>
            <w:tcW w:w="7621" w:type="dxa"/>
            <w:tcBorders>
              <w:top w:val="nil"/>
              <w:left w:val="nil"/>
              <w:bottom w:val="single" w:sz="4" w:space="0" w:color="365F91"/>
              <w:right w:val="nil"/>
            </w:tcBorders>
            <w:noWrap/>
            <w:hideMark/>
          </w:tcPr>
          <w:p w:rsidR="00D1590E" w:rsidRPr="00D1590E" w:rsidRDefault="00D1590E" w:rsidP="00D1590E">
            <w:pPr>
              <w:pStyle w:val="AERtabletextleft"/>
            </w:pPr>
            <w:r w:rsidRPr="00D1590E">
              <w:t>Draft benchmarking report and data circulated to NSPs and other stakeholders</w:t>
            </w:r>
          </w:p>
        </w:tc>
        <w:tc>
          <w:tcPr>
            <w:tcW w:w="1072" w:type="dxa"/>
            <w:tcBorders>
              <w:top w:val="nil"/>
              <w:left w:val="nil"/>
              <w:bottom w:val="single" w:sz="4" w:space="0" w:color="365F91"/>
              <w:right w:val="nil"/>
            </w:tcBorders>
            <w:noWrap/>
            <w:hideMark/>
          </w:tcPr>
          <w:p w:rsidR="00D1590E" w:rsidRPr="00D1590E" w:rsidRDefault="00D1590E" w:rsidP="00D1590E">
            <w:pPr>
              <w:pStyle w:val="AERtabletextleft"/>
            </w:pPr>
            <w:r w:rsidRPr="00D1590E">
              <w:t>Aug-14</w:t>
            </w:r>
          </w:p>
        </w:tc>
      </w:tr>
    </w:tbl>
    <w:p w:rsidR="00D1590E" w:rsidRPr="004C0639" w:rsidRDefault="002C43C7" w:rsidP="002C43C7">
      <w:pPr>
        <w:pStyle w:val="HeadingBoldItalic"/>
      </w:pPr>
      <w:bookmarkStart w:id="212" w:name="_Toc417646276"/>
      <w:r>
        <w:t>P</w:t>
      </w:r>
      <w:r w:rsidR="00D1590E" w:rsidRPr="004C0639">
        <w:t>rovision of the annual benchmarking report</w:t>
      </w:r>
      <w:bookmarkEnd w:id="212"/>
    </w:p>
    <w:p w:rsidR="00D1590E" w:rsidRPr="00D1590E" w:rsidRDefault="00D1590E" w:rsidP="00D1590E">
      <w:pPr>
        <w:rPr>
          <w:rStyle w:val="AERbody"/>
        </w:rPr>
      </w:pPr>
      <w:r w:rsidRPr="00D1590E">
        <w:rPr>
          <w:rStyle w:val="AERbody"/>
        </w:rPr>
        <w:t>We prepared an annual benchmarking report (Report) consistent with the requirements of the NER and the NEL.</w:t>
      </w:r>
      <w:r w:rsidRPr="00D1590E">
        <w:rPr>
          <w:rStyle w:val="FootnoteReference"/>
        </w:rPr>
        <w:footnoteReference w:id="263"/>
      </w:r>
      <w:r w:rsidRPr="00D1590E">
        <w:rPr>
          <w:rStyle w:val="AERbody"/>
        </w:rPr>
        <w:t xml:space="preserve"> We undertook an extensive process of consultation and data collection and validation as part of this process. Service providers were intricately involved in the design and validation of the Report and the underlying data per </w:t>
      </w:r>
      <w:r w:rsidRPr="00D1590E">
        <w:rPr>
          <w:rStyle w:val="AERbody"/>
        </w:rPr>
        <w:fldChar w:fldCharType="begin"/>
      </w:r>
      <w:r w:rsidRPr="00D1590E">
        <w:rPr>
          <w:rStyle w:val="AERbody"/>
        </w:rPr>
        <w:instrText xml:space="preserve"> REF _Ref414616809 \h </w:instrText>
      </w:r>
      <w:r w:rsidRPr="00D1590E">
        <w:rPr>
          <w:rStyle w:val="AERbody"/>
        </w:rPr>
      </w:r>
      <w:r w:rsidRPr="00D1590E">
        <w:rPr>
          <w:rStyle w:val="AERbody"/>
        </w:rPr>
        <w:fldChar w:fldCharType="separate"/>
      </w:r>
      <w:r w:rsidR="00C57342" w:rsidRPr="00D1590E">
        <w:t xml:space="preserve">Table </w:t>
      </w:r>
      <w:r w:rsidR="00C57342">
        <w:rPr>
          <w:noProof/>
        </w:rPr>
        <w:t>A</w:t>
      </w:r>
      <w:r w:rsidR="00C57342" w:rsidRPr="00D1590E">
        <w:t>.</w:t>
      </w:r>
      <w:r w:rsidR="00C57342">
        <w:rPr>
          <w:noProof/>
        </w:rPr>
        <w:t>2</w:t>
      </w:r>
      <w:r w:rsidRPr="00D1590E">
        <w:rPr>
          <w:rStyle w:val="AERbody"/>
        </w:rPr>
        <w:fldChar w:fldCharType="end"/>
      </w:r>
      <w:r w:rsidRPr="00D1590E">
        <w:rPr>
          <w:rStyle w:val="AERbody"/>
        </w:rPr>
        <w:t xml:space="preserve">. </w:t>
      </w:r>
    </w:p>
    <w:p w:rsidR="00D1590E" w:rsidRPr="00D1590E" w:rsidRDefault="00D1590E" w:rsidP="00D1590E">
      <w:pPr>
        <w:rPr>
          <w:rStyle w:val="AERbody"/>
        </w:rPr>
      </w:pPr>
      <w:r w:rsidRPr="00D1590E">
        <w:rPr>
          <w:rStyle w:val="AERbody"/>
        </w:rPr>
        <w:t>We published the Report in November 2014, rather than September 2014 as contemplated in the NER.</w:t>
      </w:r>
      <w:r w:rsidRPr="00D1590E">
        <w:rPr>
          <w:rStyle w:val="FootnoteReference"/>
        </w:rPr>
        <w:footnoteReference w:id="264"/>
      </w:r>
      <w:r w:rsidRPr="00D1590E">
        <w:rPr>
          <w:rStyle w:val="AERbody"/>
        </w:rPr>
        <w:t xml:space="preserve"> However, service providers had access to our methodology and underlying data and (from August 2014) a draft report that was largely reflected in the Report that was published. </w:t>
      </w:r>
    </w:p>
    <w:p w:rsidR="00D1590E" w:rsidRPr="00D1590E" w:rsidRDefault="00D1590E" w:rsidP="00D1590E">
      <w:pPr>
        <w:rPr>
          <w:rStyle w:val="AERbody"/>
        </w:rPr>
      </w:pPr>
      <w:r w:rsidRPr="00D1590E">
        <w:rPr>
          <w:rStyle w:val="AERbody"/>
        </w:rPr>
        <w:t>We are required to have regard to the annual benchmarking report, in reaching our decision, which we have done.</w:t>
      </w:r>
      <w:r w:rsidRPr="00D1590E">
        <w:rPr>
          <w:rStyle w:val="FootnoteReference"/>
        </w:rPr>
        <w:footnoteReference w:id="265"/>
      </w:r>
      <w:r w:rsidRPr="00D1590E">
        <w:rPr>
          <w:rStyle w:val="AERbody"/>
        </w:rPr>
        <w:t xml:space="preserve">  We have built on our annual benchmarking report and used additional techniques and analysis in having regard to the benchmark opex of an efficient provider for the purposes of this decision. We are not required to apply the methodology from the most recent benchmarking report in reaching our final decision.</w:t>
      </w:r>
      <w:r w:rsidRPr="00D1590E">
        <w:rPr>
          <w:rStyle w:val="FootnoteReference"/>
        </w:rPr>
        <w:footnoteReference w:id="266"/>
      </w:r>
      <w:r w:rsidRPr="00D1590E">
        <w:rPr>
          <w:rStyle w:val="AERbody"/>
        </w:rPr>
        <w:t xml:space="preserve">  We have, as contemplated by the NER, included other factors in our approach.</w:t>
      </w:r>
      <w:r w:rsidRPr="00D1590E">
        <w:rPr>
          <w:rStyle w:val="FootnoteReference"/>
        </w:rPr>
        <w:footnoteReference w:id="267"/>
      </w:r>
      <w:r w:rsidRPr="00D1590E">
        <w:rPr>
          <w:rStyle w:val="AERbody"/>
        </w:rPr>
        <w:t xml:space="preserve"> </w:t>
      </w:r>
    </w:p>
    <w:p w:rsidR="00D1590E" w:rsidRPr="00D1590E" w:rsidRDefault="00D1590E" w:rsidP="00D1590E">
      <w:pPr>
        <w:rPr>
          <w:rStyle w:val="AERbody"/>
        </w:rPr>
      </w:pPr>
      <w:r w:rsidRPr="00D1590E">
        <w:rPr>
          <w:rStyle w:val="AERbody"/>
        </w:rPr>
        <w:t>Some service providers have made two, somewhat contradictory claims about the above process:</w:t>
      </w:r>
      <w:r w:rsidRPr="00D1590E">
        <w:rPr>
          <w:rStyle w:val="FootnoteReference"/>
        </w:rPr>
        <w:footnoteReference w:id="268"/>
      </w:r>
    </w:p>
    <w:p w:rsidR="00D1590E" w:rsidRPr="00D1590E" w:rsidRDefault="00D1590E" w:rsidP="00D1590E">
      <w:pPr>
        <w:pStyle w:val="AERbulletlistfirststyle"/>
        <w:rPr>
          <w:rStyle w:val="AERbody"/>
        </w:rPr>
      </w:pPr>
      <w:r w:rsidRPr="00D1590E">
        <w:rPr>
          <w:rStyle w:val="AERbody"/>
        </w:rPr>
        <w:t>First, they say that not being served with the final report meant that they were deprived of the opportunity to be heard in relation to the Report before the publication of our draft decision; and</w:t>
      </w:r>
    </w:p>
    <w:p w:rsidR="00D1590E" w:rsidRPr="00D1590E" w:rsidRDefault="00D1590E" w:rsidP="00D1590E">
      <w:pPr>
        <w:pStyle w:val="AERbulletlistfirststyle"/>
        <w:rPr>
          <w:rStyle w:val="AERbody"/>
        </w:rPr>
      </w:pPr>
      <w:r w:rsidRPr="00D1590E">
        <w:rPr>
          <w:rStyle w:val="AERbody"/>
        </w:rPr>
        <w:t xml:space="preserve">Second, they say that we have departed from the Report in our draft decision by adopting different economic benchmarking techniques. </w:t>
      </w:r>
    </w:p>
    <w:p w:rsidR="00D1590E" w:rsidRPr="00D1590E" w:rsidRDefault="00D1590E" w:rsidP="00D1590E">
      <w:r w:rsidRPr="00D1590E">
        <w:rPr>
          <w:rStyle w:val="AERbody"/>
        </w:rPr>
        <w:lastRenderedPageBreak/>
        <w:t xml:space="preserve">We acknowledge that the final Report was provided outside the time specified in the NER. The service providers assert that this caused them to suffer a lack of procedural fairness. The requirements of procedural fairness </w:t>
      </w:r>
      <w:r w:rsidRPr="00D1590E">
        <w:t>"are essentially practical and depend upon the legislative framework and the circumstances of the particular case."</w:t>
      </w:r>
      <w:r w:rsidRPr="00D1590E">
        <w:rPr>
          <w:rStyle w:val="FootnoteReference"/>
        </w:rPr>
        <w:footnoteReference w:id="269"/>
      </w:r>
      <w:r w:rsidRPr="00D1590E">
        <w:t xml:space="preserve"> Here, those circumstances included:</w:t>
      </w:r>
    </w:p>
    <w:p w:rsidR="00D1590E" w:rsidRPr="00D1590E" w:rsidRDefault="00D1590E" w:rsidP="00D1590E">
      <w:pPr>
        <w:pStyle w:val="AERbulletlistfirststyle"/>
        <w:rPr>
          <w:rStyle w:val="AERbody"/>
        </w:rPr>
      </w:pPr>
      <w:r w:rsidRPr="00D1590E">
        <w:rPr>
          <w:rStyle w:val="AERbody"/>
        </w:rPr>
        <w:t xml:space="preserve">service providers having access to a draft of the Report and all the data used in the Report itself, as well as an extensive period of consultation; </w:t>
      </w:r>
    </w:p>
    <w:p w:rsidR="00D1590E" w:rsidRPr="00D1590E" w:rsidRDefault="00D1590E" w:rsidP="00D1590E">
      <w:pPr>
        <w:pStyle w:val="AERbulletlistfirststyle"/>
        <w:rPr>
          <w:rStyle w:val="AERbody"/>
        </w:rPr>
      </w:pPr>
      <w:r w:rsidRPr="00D1590E">
        <w:rPr>
          <w:rStyle w:val="AERbody"/>
        </w:rPr>
        <w:t>the AER publishing a further, detailed report which set out our approach to assessing the benchmark opex of an efficient provider for the purposes of the Draft Decision.</w:t>
      </w:r>
    </w:p>
    <w:p w:rsidR="00D1590E" w:rsidRPr="00D1590E" w:rsidRDefault="00D1590E" w:rsidP="00D1590E">
      <w:pPr>
        <w:rPr>
          <w:rStyle w:val="AERbody"/>
        </w:rPr>
      </w:pPr>
      <w:r w:rsidRPr="00D1590E">
        <w:rPr>
          <w:rStyle w:val="AERbody"/>
        </w:rPr>
        <w:t xml:space="preserve">The criticisms of our approach to benchmarking in the draft decision are, understandably, focused on our approach in the draft decision rather than the Report. </w:t>
      </w:r>
    </w:p>
    <w:p w:rsidR="00D1590E" w:rsidRPr="00D1590E" w:rsidRDefault="00D1590E" w:rsidP="00D1590E">
      <w:pPr>
        <w:rPr>
          <w:rStyle w:val="AERbody"/>
        </w:rPr>
      </w:pPr>
      <w:r w:rsidRPr="00D1590E">
        <w:rPr>
          <w:rStyle w:val="AERbody"/>
        </w:rPr>
        <w:t>No service provider has identified any practical difficulties or injustice occasioned by the late publication of the Report. We do not consider the late publication of the Report amounts to a lack of procedural fairness for the purposes of the decision we must make about the service providers' forecast opex proposals.</w:t>
      </w:r>
    </w:p>
    <w:p w:rsidR="00D1590E" w:rsidRPr="004C0639" w:rsidRDefault="00D1590E" w:rsidP="004C0639">
      <w:pPr>
        <w:pStyle w:val="HeadingBoldBlue"/>
      </w:pPr>
      <w:bookmarkStart w:id="213" w:name="_Toc417646277"/>
      <w:r w:rsidRPr="004C0639">
        <w:t>Consistency of benchmarking models used in draft decision</w:t>
      </w:r>
      <w:bookmarkEnd w:id="213"/>
    </w:p>
    <w:p w:rsidR="00D1590E" w:rsidRPr="00D1590E" w:rsidRDefault="00D1590E" w:rsidP="00D1590E">
      <w:r w:rsidRPr="00D1590E">
        <w:t>A number of submissions note that we indicated that we would apply data envelopment analysis (DEA) in the Guideline. At the time of developing the Guideline, we had not received data from service providers so we considered DEA may be another technique we could apply. However, given the data quality and the availability of international data, we have been able to apply SFA (stochastic frontier analysis). This is a superior technique to DEA due to its direct estimate of opex cost efficiency relative to an estimated frontier.</w:t>
      </w:r>
      <w:r w:rsidRPr="00D1590E">
        <w:rPr>
          <w:rStyle w:val="FootnoteReference"/>
        </w:rPr>
        <w:footnoteReference w:id="270"/>
      </w:r>
      <w:r w:rsidRPr="00D1590E">
        <w:t xml:space="preserve"> </w:t>
      </w:r>
    </w:p>
    <w:p w:rsidR="00D1590E" w:rsidRPr="00D1590E" w:rsidRDefault="00D1590E" w:rsidP="00D1590E">
      <w:r w:rsidRPr="00D1590E">
        <w:t>To the extent that this represents a departure from the approach specified in the Guideline, clause 6.2.8(c) of the NER states:</w:t>
      </w:r>
    </w:p>
    <w:p w:rsidR="00D1590E" w:rsidRPr="00D1590E" w:rsidRDefault="00D1590E" w:rsidP="00D1590E">
      <w:pPr>
        <w:pStyle w:val="AERquoteindent1"/>
      </w:pPr>
      <w:r w:rsidRPr="00D1590E">
        <w:t>Except as otherwise provided in this Chapter, a guideline is not mandatory (and so does not bind the AER or anyone else) but, if the AER makes a distribution determination that is not in accordance with the guideline, the AER must state, in its reasons for the distribution determination, the reasons for departing from the guideline.</w:t>
      </w:r>
    </w:p>
    <w:p w:rsidR="002C43C7" w:rsidRPr="006D71EA" w:rsidRDefault="002C43C7" w:rsidP="002C43C7">
      <w:r w:rsidRPr="006D71EA">
        <w:t xml:space="preserve">Accordingly, the above explanation constitutes our reason for departing from the Guideline. We disagree that we have </w:t>
      </w:r>
      <w:r>
        <w:t xml:space="preserve">prejudiced the interests of, or </w:t>
      </w:r>
      <w:r w:rsidRPr="006D71EA">
        <w:t xml:space="preserve">caused an injustice to the service providers by not consulting more than nine days prior to the draft </w:t>
      </w:r>
      <w:r w:rsidRPr="006D71EA">
        <w:lastRenderedPageBreak/>
        <w:t>decision on the benchmarking techniques we have used that are not also included in our benchmarking report.</w:t>
      </w:r>
      <w:r w:rsidRPr="006D71EA">
        <w:rPr>
          <w:rStyle w:val="FootnoteReference"/>
        </w:rPr>
        <w:footnoteReference w:id="271"/>
      </w:r>
    </w:p>
    <w:p w:rsidR="00D1590E" w:rsidRPr="00D1590E" w:rsidRDefault="00D1590E" w:rsidP="00D1590E">
      <w:r w:rsidRPr="00D1590E">
        <w:t>We consider the distributors have not demonstrated practical unfairness given that they responded in detail to our draft decision.</w:t>
      </w:r>
      <w:r w:rsidRPr="00D1590E" w:rsidDel="0052275D">
        <w:t xml:space="preserve"> </w:t>
      </w:r>
      <w:r w:rsidRPr="00D1590E">
        <w:t>Further, the consultation process we undertook for Better Regulation, the Guideline, and the explanatory statement to the Guideline all foreshadowed our intention to use econometric modelling if possible.</w:t>
      </w:r>
    </w:p>
    <w:p w:rsidR="00D1590E" w:rsidRPr="00D1590E" w:rsidRDefault="00D1590E" w:rsidP="00D1590E">
      <w:r w:rsidRPr="00D1590E">
        <w:t>For the above reasons, we consider that our decision is not affected by any lack of procedural fairness or natural justice.</w:t>
      </w:r>
    </w:p>
    <w:p w:rsidR="00D1590E" w:rsidRPr="00D1590E" w:rsidRDefault="00D1590E" w:rsidP="00D1590E">
      <w:bookmarkStart w:id="214" w:name="_Ref414459101"/>
      <w:bookmarkStart w:id="215" w:name="_Toc415230977"/>
      <w:bookmarkStart w:id="216" w:name="_Ref415481241"/>
      <w:bookmarkStart w:id="217" w:name="_Ref415580433"/>
      <w:bookmarkStart w:id="218" w:name="_Ref415749264"/>
      <w:bookmarkStart w:id="219" w:name="_Ref417385589"/>
      <w:bookmarkStart w:id="220" w:name="_Ref417391654"/>
      <w:bookmarkStart w:id="221" w:name="_Ref417391671"/>
      <w:r w:rsidRPr="00D1590E">
        <w:br w:type="page"/>
      </w:r>
    </w:p>
    <w:p w:rsidR="00D1590E" w:rsidRPr="00D1590E" w:rsidRDefault="00D1590E" w:rsidP="00D1590E">
      <w:pPr>
        <w:pStyle w:val="Heading8"/>
      </w:pPr>
      <w:bookmarkStart w:id="222" w:name="_Ref417551812"/>
      <w:bookmarkStart w:id="223" w:name="_Toc417649226"/>
      <w:bookmarkStart w:id="224" w:name="_Toc417659858"/>
      <w:r w:rsidRPr="00D1590E">
        <w:lastRenderedPageBreak/>
        <w:t>Our benchmarking</w:t>
      </w:r>
      <w:bookmarkEnd w:id="214"/>
      <w:r w:rsidRPr="00D1590E">
        <w:t xml:space="preserve"> is robust, reliable and reasonable</w:t>
      </w:r>
      <w:bookmarkEnd w:id="215"/>
      <w:bookmarkEnd w:id="216"/>
      <w:bookmarkEnd w:id="217"/>
      <w:bookmarkEnd w:id="218"/>
      <w:bookmarkEnd w:id="219"/>
      <w:bookmarkEnd w:id="220"/>
      <w:bookmarkEnd w:id="221"/>
      <w:bookmarkEnd w:id="222"/>
      <w:bookmarkEnd w:id="223"/>
      <w:bookmarkEnd w:id="224"/>
    </w:p>
    <w:p w:rsidR="00D1590E" w:rsidRPr="00D1590E" w:rsidRDefault="00D1590E" w:rsidP="00D1590E">
      <w:bookmarkStart w:id="225" w:name="_Toc415230985"/>
      <w:r w:rsidRPr="00D1590E">
        <w:t>In this section we set out our analysis of the benchmarking techniques we have used to test whether base year opex of the service providers is efficient. In particular, we reiterate why our approach and results are robust, reliable and reasonable. In doing so, we explain why our approach is preferable to those proposed by the service providers and their consultants.</w:t>
      </w:r>
    </w:p>
    <w:p w:rsidR="00D1590E" w:rsidRPr="00D1590E" w:rsidRDefault="00D1590E" w:rsidP="00D1590E">
      <w:r w:rsidRPr="00D1590E">
        <w:t>In this section we set out our benchmarking metrics that examine the efficiency of opex as a whole.</w:t>
      </w:r>
      <w:r w:rsidRPr="00D1590E">
        <w:rPr>
          <w:rStyle w:val="FootnoteReference"/>
        </w:rPr>
        <w:footnoteReference w:id="272"/>
      </w:r>
      <w:r w:rsidRPr="00D1590E">
        <w:t xml:space="preserve"> Category analysis metrics are considered separately in section </w:t>
      </w:r>
      <w:r w:rsidRPr="00D1590E">
        <w:fldChar w:fldCharType="begin"/>
      </w:r>
      <w:r w:rsidRPr="00D1590E">
        <w:instrText xml:space="preserve"> REF _Ref417310513 \n \h </w:instrText>
      </w:r>
      <w:r w:rsidRPr="00D1590E">
        <w:fldChar w:fldCharType="separate"/>
      </w:r>
      <w:r w:rsidR="00C57342">
        <w:t>A.5</w:t>
      </w:r>
      <w:r w:rsidRPr="00D1590E">
        <w:fldChar w:fldCharType="end"/>
      </w:r>
      <w:r w:rsidRPr="00D1590E">
        <w:t>.</w:t>
      </w:r>
    </w:p>
    <w:p w:rsidR="00D1590E" w:rsidRPr="00D1590E" w:rsidRDefault="00D1590E" w:rsidP="00D1590E">
      <w:pPr>
        <w:pStyle w:val="Heading9"/>
      </w:pPr>
      <w:bookmarkStart w:id="226" w:name="_Toc416765386"/>
      <w:bookmarkStart w:id="227" w:name="_Toc417646279"/>
      <w:bookmarkStart w:id="228" w:name="_Toc417649227"/>
      <w:bookmarkStart w:id="229" w:name="_Toc417659859"/>
      <w:r w:rsidRPr="00D1590E">
        <w:t>Position</w:t>
      </w:r>
      <w:bookmarkEnd w:id="226"/>
      <w:bookmarkEnd w:id="227"/>
      <w:bookmarkEnd w:id="228"/>
      <w:bookmarkEnd w:id="229"/>
    </w:p>
    <w:p w:rsidR="00D1590E" w:rsidRPr="00D1590E" w:rsidRDefault="00D1590E" w:rsidP="00D1590E">
      <w:r w:rsidRPr="00D1590E">
        <w:t xml:space="preserve">Our decision is to rely on the same benchmarking analysis that we applied in our draft determination to test the efficiency of the service providers' revealed opex. In coming to this view, we have considered the submissions of the service providers, their consultants and legal advisors, consumer representatives and other stakeholders. </w:t>
      </w:r>
    </w:p>
    <w:p w:rsidR="00D1590E" w:rsidRPr="00D1590E" w:rsidRDefault="00D1590E" w:rsidP="00D1590E">
      <w:r w:rsidRPr="00D1590E">
        <w:t>We consider our benchmarking—including the data we have used—is robust, reliable and reasonable. In reviewing the alternatives put forward by the service providers' consultants we have identified shortcomings. Issues identified with the consultant's model's include:</w:t>
      </w:r>
      <w:r w:rsidRPr="00D1590E">
        <w:rPr>
          <w:rStyle w:val="FootnoteReference"/>
        </w:rPr>
        <w:footnoteReference w:id="273"/>
      </w:r>
    </w:p>
    <w:p w:rsidR="00D1590E" w:rsidRPr="00D1590E" w:rsidRDefault="00D1590E" w:rsidP="00D1590E">
      <w:pPr>
        <w:pStyle w:val="AERbulletlistfirststyle"/>
      </w:pPr>
      <w:r w:rsidRPr="00D1590E">
        <w:t>only using the Australian data set which has inadequate variation to support robust model estimation</w:t>
      </w:r>
    </w:p>
    <w:p w:rsidR="00D1590E" w:rsidRPr="00D1590E" w:rsidRDefault="00D1590E" w:rsidP="00D1590E">
      <w:pPr>
        <w:pStyle w:val="AERbulletlistfirststyle"/>
      </w:pPr>
      <w:r w:rsidRPr="00D1590E">
        <w:t>including inappropriate operating environment factors (such as a 132kV line variable) leading to inefficiency gaps being understated</w:t>
      </w:r>
    </w:p>
    <w:p w:rsidR="00D1590E" w:rsidRPr="00D1590E" w:rsidRDefault="00D1590E" w:rsidP="00D1590E">
      <w:pPr>
        <w:pStyle w:val="AERbulletlistfirststyle"/>
      </w:pPr>
      <w:r w:rsidRPr="00D1590E">
        <w:t>applying models that make inappropriate assumptions about the nature of inefficiency and hence allocate persistent inefficiency to operating environment differences</w:t>
      </w:r>
    </w:p>
    <w:p w:rsidR="00D1590E" w:rsidRPr="00D1590E" w:rsidRDefault="00D1590E" w:rsidP="00D1590E">
      <w:pPr>
        <w:pStyle w:val="AERbulletlistfirststyle"/>
      </w:pPr>
      <w:r w:rsidRPr="00D1590E">
        <w:t>applying models that will misleadingly find service providers to be 'efficient by default'</w:t>
      </w:r>
    </w:p>
    <w:p w:rsidR="00D1590E" w:rsidRPr="00D1590E" w:rsidRDefault="00D1590E" w:rsidP="00D1590E">
      <w:r w:rsidRPr="00D1590E">
        <w:t xml:space="preserve">We summarise the key concerns and provide our responses in </w:t>
      </w:r>
      <w:r w:rsidRPr="00D1590E">
        <w:fldChar w:fldCharType="begin"/>
      </w:r>
      <w:r w:rsidRPr="00D1590E">
        <w:instrText xml:space="preserve"> REF _Ref414955709 \h </w:instrText>
      </w:r>
      <w:r w:rsidRPr="00D1590E">
        <w:fldChar w:fldCharType="separate"/>
      </w:r>
      <w:r w:rsidR="00C57342" w:rsidRPr="00D1590E">
        <w:t xml:space="preserve">Table </w:t>
      </w:r>
      <w:r w:rsidR="00C57342">
        <w:rPr>
          <w:noProof/>
        </w:rPr>
        <w:t>A</w:t>
      </w:r>
      <w:r w:rsidR="00C57342" w:rsidRPr="00D1590E">
        <w:t>.</w:t>
      </w:r>
      <w:r w:rsidR="00C57342">
        <w:rPr>
          <w:noProof/>
        </w:rPr>
        <w:t>3</w:t>
      </w:r>
      <w:r w:rsidRPr="00D1590E">
        <w:fldChar w:fldCharType="end"/>
      </w:r>
      <w:r w:rsidRPr="00D1590E">
        <w:t>. Economic Insights provides detailed responses in its report.</w:t>
      </w:r>
      <w:r w:rsidRPr="00D1590E">
        <w:rPr>
          <w:rStyle w:val="FootnoteReference"/>
        </w:rPr>
        <w:footnoteReference w:id="274"/>
      </w:r>
    </w:p>
    <w:p w:rsidR="00D1590E" w:rsidRPr="00D1590E" w:rsidRDefault="00D1590E" w:rsidP="00D1590E">
      <w:r w:rsidRPr="00D1590E">
        <w:br w:type="page"/>
      </w:r>
    </w:p>
    <w:p w:rsidR="00D1590E" w:rsidRPr="00D1590E" w:rsidRDefault="00D1590E" w:rsidP="00D1590E">
      <w:pPr>
        <w:pStyle w:val="Caption"/>
        <w:rPr>
          <w:rStyle w:val="AERtexthighlight"/>
        </w:rPr>
      </w:pPr>
      <w:bookmarkStart w:id="230" w:name="_Ref414955709"/>
      <w:r w:rsidRPr="00D1590E">
        <w:lastRenderedPageBreak/>
        <w:t xml:space="preserve">Table </w:t>
      </w:r>
      <w:fldSimple w:instr=" STYLEREF 7 \s ">
        <w:r w:rsidR="00C57342">
          <w:rPr>
            <w:noProof/>
          </w:rPr>
          <w:t>A</w:t>
        </w:r>
      </w:fldSimple>
      <w:r w:rsidRPr="00D1590E">
        <w:t>.</w:t>
      </w:r>
      <w:fldSimple w:instr=" SEQ ATable \* ARABIC \s 7 ">
        <w:r w:rsidR="00C57342">
          <w:rPr>
            <w:noProof/>
          </w:rPr>
          <w:t>3</w:t>
        </w:r>
      </w:fldSimple>
      <w:bookmarkEnd w:id="230"/>
      <w:r w:rsidRPr="00D1590E">
        <w:tab/>
        <w:t>Summary of service providers' key benchmarking submissions and our response</w:t>
      </w:r>
    </w:p>
    <w:tbl>
      <w:tblPr>
        <w:tblStyle w:val="AERtable-text0"/>
        <w:tblW w:w="0" w:type="auto"/>
        <w:tblLook w:val="04A0" w:firstRow="1" w:lastRow="0" w:firstColumn="1" w:lastColumn="0" w:noHBand="0" w:noVBand="1"/>
      </w:tblPr>
      <w:tblGrid>
        <w:gridCol w:w="3085"/>
        <w:gridCol w:w="3543"/>
        <w:gridCol w:w="2064"/>
      </w:tblGrid>
      <w:tr w:rsidR="00D1590E" w:rsidTr="00D1590E">
        <w:trPr>
          <w:cnfStyle w:val="100000000000" w:firstRow="1" w:lastRow="0" w:firstColumn="0" w:lastColumn="0" w:oddVBand="0" w:evenVBand="0" w:oddHBand="0" w:evenHBand="0" w:firstRowFirstColumn="0" w:firstRowLastColumn="0" w:lastRowFirstColumn="0" w:lastRowLastColumn="0"/>
        </w:trPr>
        <w:tc>
          <w:tcPr>
            <w:tcW w:w="3085" w:type="dxa"/>
          </w:tcPr>
          <w:p w:rsidR="00D1590E" w:rsidRPr="00D1590E" w:rsidRDefault="00D1590E" w:rsidP="00D1590E">
            <w:r w:rsidRPr="00D1590E">
              <w:t>Service provider submission</w:t>
            </w:r>
          </w:p>
        </w:tc>
        <w:tc>
          <w:tcPr>
            <w:tcW w:w="3543" w:type="dxa"/>
          </w:tcPr>
          <w:p w:rsidR="00D1590E" w:rsidRPr="00D1590E" w:rsidRDefault="00D1590E" w:rsidP="00D1590E">
            <w:r w:rsidRPr="00D1590E">
              <w:t>Our response</w:t>
            </w:r>
          </w:p>
        </w:tc>
        <w:tc>
          <w:tcPr>
            <w:tcW w:w="2064" w:type="dxa"/>
          </w:tcPr>
          <w:p w:rsidR="00D1590E" w:rsidRPr="00D1590E" w:rsidRDefault="00D1590E" w:rsidP="00D1590E">
            <w:r w:rsidRPr="00D1590E">
              <w:t>Reference</w:t>
            </w:r>
          </w:p>
        </w:tc>
      </w:tr>
      <w:tr w:rsidR="00D1590E" w:rsidTr="00D1590E">
        <w:tc>
          <w:tcPr>
            <w:tcW w:w="3085" w:type="dxa"/>
          </w:tcPr>
          <w:p w:rsidR="00D1590E" w:rsidRPr="00D1590E" w:rsidRDefault="00D1590E" w:rsidP="00D1590E">
            <w:r w:rsidRPr="00D1590E">
              <w:t>'Conceptual limitations' with benchmarking exist including:</w:t>
            </w:r>
            <w:r w:rsidRPr="00D1590E">
              <w:rPr>
                <w:rStyle w:val="FootnoteReference"/>
              </w:rPr>
              <w:footnoteReference w:id="275"/>
            </w:r>
          </w:p>
          <w:p w:rsidR="00D1590E" w:rsidRPr="004C0639" w:rsidRDefault="00D1590E" w:rsidP="007D27B1">
            <w:pPr>
              <w:pStyle w:val="ListNumber"/>
              <w:numPr>
                <w:ilvl w:val="0"/>
                <w:numId w:val="31"/>
              </w:numPr>
            </w:pPr>
            <w:r w:rsidRPr="004C0639">
              <w:t>the inability to differentiate between observed cost differences due to inefficiency or something else</w:t>
            </w:r>
          </w:p>
          <w:p w:rsidR="00D1590E" w:rsidRPr="00D1590E" w:rsidRDefault="00D1590E" w:rsidP="00D1590E">
            <w:pPr>
              <w:pStyle w:val="ListNumber"/>
            </w:pPr>
            <w:r w:rsidRPr="00D1590E">
              <w:t>the heterogeneity of Australian service providers make it impossible to normalise for differences, leading to bias in the models</w:t>
            </w:r>
          </w:p>
          <w:p w:rsidR="00D1590E" w:rsidRPr="00D1590E" w:rsidRDefault="00D1590E" w:rsidP="00D1590E">
            <w:pPr>
              <w:pStyle w:val="ListNumber"/>
            </w:pPr>
            <w:r w:rsidRPr="00D1590E">
              <w:t>previous doubts about data quality and the scope to apply benchmarking by the AEMC, the PC, the AER and Economic Insights.</w:t>
            </w:r>
          </w:p>
        </w:tc>
        <w:tc>
          <w:tcPr>
            <w:tcW w:w="3543" w:type="dxa"/>
          </w:tcPr>
          <w:p w:rsidR="00D1590E" w:rsidRPr="00D1590E" w:rsidRDefault="00D1590E" w:rsidP="00D1590E">
            <w:r w:rsidRPr="00D1590E">
              <w:t>Conceptual limitations do not exist:</w:t>
            </w:r>
          </w:p>
          <w:p w:rsidR="00D1590E" w:rsidRPr="004C0639" w:rsidRDefault="00D1590E" w:rsidP="007D27B1">
            <w:pPr>
              <w:pStyle w:val="ListNumber"/>
              <w:numPr>
                <w:ilvl w:val="0"/>
                <w:numId w:val="32"/>
              </w:numPr>
            </w:pPr>
            <w:r w:rsidRPr="004C0639">
              <w:t>we have extensively examined the extent to which the efficiency gap could be driven by other factors in our operating environment factor assessment, to identify and quantity the impact of factors that are relevant and not already accounted for in the model</w:t>
            </w:r>
            <w:r w:rsidRPr="004C0639" w:rsidDel="00627A7F">
              <w:t xml:space="preserve"> </w:t>
            </w:r>
          </w:p>
          <w:p w:rsidR="00D1590E" w:rsidRPr="00D1590E" w:rsidRDefault="00D1590E" w:rsidP="00D1590E">
            <w:pPr>
              <w:pStyle w:val="ListNumber"/>
            </w:pPr>
            <w:r w:rsidRPr="00D1590E">
              <w:t>Australian service providers are comparable in using opex and capital input in providing electricity distribution services to customers.  To the extent that operating environments are different, we have considered this under our ex-post operating environment factor assessment</w:t>
            </w:r>
          </w:p>
          <w:p w:rsidR="00D1590E" w:rsidRPr="00D1590E" w:rsidRDefault="00D1590E" w:rsidP="00D1590E">
            <w:pPr>
              <w:pStyle w:val="ListNumber"/>
            </w:pPr>
            <w:r w:rsidRPr="00D1590E">
              <w:t>prior comments about data quality and limitations of benchmarking are outdated. Our review and Economic Insights' review of the database indicates that it is sufficiently robust for the application of benchmarking techniques.</w:t>
            </w:r>
          </w:p>
        </w:tc>
        <w:tc>
          <w:tcPr>
            <w:tcW w:w="2064" w:type="dxa"/>
          </w:tcPr>
          <w:p w:rsidR="00D1590E" w:rsidRPr="00D1590E" w:rsidRDefault="00D1590E" w:rsidP="00D1590E">
            <w:r w:rsidRPr="00D1590E">
              <w:t xml:space="preserve">We discuss these submissions in section </w:t>
            </w:r>
            <w:r w:rsidRPr="00D1590E">
              <w:fldChar w:fldCharType="begin"/>
            </w:r>
            <w:r w:rsidRPr="00D1590E">
              <w:instrText xml:space="preserve"> REF _Ref414874729 \n \h </w:instrText>
            </w:r>
            <w:r w:rsidRPr="00D1590E">
              <w:fldChar w:fldCharType="separate"/>
            </w:r>
            <w:r w:rsidR="00C57342">
              <w:t>A.4.3</w:t>
            </w:r>
            <w:r w:rsidRPr="00D1590E">
              <w:fldChar w:fldCharType="end"/>
            </w:r>
            <w:r w:rsidRPr="00D1590E">
              <w:t xml:space="preserve"> under:</w:t>
            </w:r>
          </w:p>
          <w:p w:rsidR="00D1590E" w:rsidRPr="004C0639" w:rsidRDefault="00D1590E" w:rsidP="007D27B1">
            <w:pPr>
              <w:pStyle w:val="ListNumber"/>
              <w:numPr>
                <w:ilvl w:val="0"/>
                <w:numId w:val="33"/>
              </w:numPr>
            </w:pPr>
            <w:r w:rsidRPr="004C0639">
              <w:t>Model specification, estimation methods</w:t>
            </w:r>
          </w:p>
          <w:p w:rsidR="00D1590E" w:rsidRPr="00D1590E" w:rsidRDefault="00D1590E" w:rsidP="00D1590E">
            <w:pPr>
              <w:pStyle w:val="ListNumber"/>
            </w:pPr>
            <w:r w:rsidRPr="00D1590E">
              <w:t>Model specification, estimation methods</w:t>
            </w:r>
          </w:p>
          <w:p w:rsidR="00D1590E" w:rsidRPr="00D1590E" w:rsidRDefault="00D1590E" w:rsidP="00D1590E">
            <w:pPr>
              <w:pStyle w:val="ListNumber"/>
            </w:pPr>
            <w:r w:rsidRPr="00D1590E">
              <w:t>Data.</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3085" w:type="dxa"/>
          </w:tcPr>
          <w:p w:rsidR="00D1590E" w:rsidRPr="00D1590E" w:rsidRDefault="00D1590E" w:rsidP="00D1590E">
            <w:r w:rsidRPr="00D1590E">
              <w:t>Errors exist in the application of benchmarking, including:</w:t>
            </w:r>
          </w:p>
          <w:p w:rsidR="00D1590E" w:rsidRPr="004C0639" w:rsidRDefault="00D1590E" w:rsidP="007D27B1">
            <w:pPr>
              <w:pStyle w:val="ListNumber"/>
              <w:numPr>
                <w:ilvl w:val="0"/>
                <w:numId w:val="34"/>
              </w:numPr>
            </w:pPr>
            <w:r w:rsidRPr="004C0639">
              <w:t>using an untested and non-peer reviewed model</w:t>
            </w:r>
            <w:r w:rsidRPr="00D1590E">
              <w:rPr>
                <w:rStyle w:val="FootnoteReference"/>
              </w:rPr>
              <w:footnoteReference w:id="276"/>
            </w:r>
          </w:p>
          <w:p w:rsidR="00D1590E" w:rsidRPr="00D1590E" w:rsidRDefault="00D1590E" w:rsidP="00D1590E">
            <w:pPr>
              <w:pStyle w:val="ListNumber"/>
            </w:pPr>
            <w:r w:rsidRPr="00D1590E">
              <w:t>inconsistent results</w:t>
            </w:r>
            <w:r w:rsidRPr="00D1590E">
              <w:rPr>
                <w:rStyle w:val="FootnoteReference"/>
              </w:rPr>
              <w:footnoteReference w:id="277"/>
            </w:r>
          </w:p>
          <w:p w:rsidR="00D1590E" w:rsidRPr="00D1590E" w:rsidRDefault="00D1590E" w:rsidP="00D1590E">
            <w:pPr>
              <w:pStyle w:val="ListNumber"/>
            </w:pPr>
            <w:r w:rsidRPr="00D1590E">
              <w:t>use of a false frontier</w:t>
            </w:r>
            <w:r w:rsidRPr="00D1590E">
              <w:rPr>
                <w:rStyle w:val="FootnoteReference"/>
              </w:rPr>
              <w:footnoteReference w:id="278"/>
            </w:r>
          </w:p>
          <w:p w:rsidR="00D1590E" w:rsidRPr="00D1590E" w:rsidRDefault="00D1590E" w:rsidP="00D1590E">
            <w:pPr>
              <w:pStyle w:val="ListNumber"/>
            </w:pPr>
            <w:r w:rsidRPr="00D1590E">
              <w:t>poor variable selection</w:t>
            </w:r>
            <w:r w:rsidRPr="00D1590E">
              <w:rPr>
                <w:rStyle w:val="FootnoteReference"/>
              </w:rPr>
              <w:footnoteReference w:id="279"/>
            </w:r>
          </w:p>
          <w:p w:rsidR="00D1590E" w:rsidRPr="00D1590E" w:rsidRDefault="00D1590E" w:rsidP="00D1590E">
            <w:pPr>
              <w:pStyle w:val="ListNumber"/>
            </w:pPr>
            <w:r w:rsidRPr="00D1590E">
              <w:t>use of a dummy variable</w:t>
            </w:r>
            <w:r w:rsidRPr="00D1590E">
              <w:rPr>
                <w:rStyle w:val="FootnoteReference"/>
              </w:rPr>
              <w:footnoteReference w:id="280"/>
            </w:r>
          </w:p>
          <w:p w:rsidR="00D1590E" w:rsidRPr="00D1590E" w:rsidRDefault="00D1590E" w:rsidP="00D1590E">
            <w:pPr>
              <w:pStyle w:val="ListNumber"/>
            </w:pPr>
            <w:r w:rsidRPr="00D1590E">
              <w:t>insufficient data preparation</w:t>
            </w:r>
            <w:r w:rsidRPr="00D1590E">
              <w:rPr>
                <w:rStyle w:val="FootnoteReference"/>
              </w:rPr>
              <w:footnoteReference w:id="281"/>
            </w:r>
          </w:p>
          <w:p w:rsidR="00D1590E" w:rsidRPr="00D1590E" w:rsidRDefault="00D1590E" w:rsidP="00D1590E">
            <w:pPr>
              <w:pStyle w:val="ListNumber"/>
            </w:pPr>
            <w:r w:rsidRPr="00D1590E">
              <w:t>post model adjustments</w:t>
            </w:r>
            <w:r w:rsidRPr="00D1590E">
              <w:rPr>
                <w:rStyle w:val="FootnoteReference"/>
              </w:rPr>
              <w:footnoteReference w:id="282"/>
            </w:r>
          </w:p>
          <w:p w:rsidR="00D1590E" w:rsidRPr="00D1590E" w:rsidRDefault="00D1590E" w:rsidP="00D1590E">
            <w:pPr>
              <w:pStyle w:val="ListNumber"/>
            </w:pPr>
            <w:r w:rsidRPr="00D1590E">
              <w:t>no reasonableness check of results.</w:t>
            </w:r>
            <w:r w:rsidRPr="00D1590E">
              <w:rPr>
                <w:rStyle w:val="FootnoteReference"/>
              </w:rPr>
              <w:footnoteReference w:id="283"/>
            </w:r>
          </w:p>
        </w:tc>
        <w:tc>
          <w:tcPr>
            <w:tcW w:w="3543" w:type="dxa"/>
          </w:tcPr>
          <w:p w:rsidR="00D1590E" w:rsidRPr="00D1590E" w:rsidRDefault="00D1590E" w:rsidP="00D1590E">
            <w:r w:rsidRPr="00D1590E">
              <w:t>We have used a robust, reliable and reasonable approach that is not in error:</w:t>
            </w:r>
          </w:p>
          <w:p w:rsidR="00D1590E" w:rsidRPr="004C0639" w:rsidRDefault="00D1590E" w:rsidP="007D27B1">
            <w:pPr>
              <w:pStyle w:val="ListNumber"/>
              <w:numPr>
                <w:ilvl w:val="0"/>
                <w:numId w:val="35"/>
              </w:numPr>
            </w:pPr>
            <w:r w:rsidRPr="004C0639">
              <w:t xml:space="preserve">Economic Insights' models are informed by economic theory, engineering knowledge and industry. The draft decision provided for the service providers to engage their own experts to review Economic Insights model, and we have considered these reports. </w:t>
            </w:r>
          </w:p>
          <w:p w:rsidR="00D1590E" w:rsidRPr="00D1590E" w:rsidRDefault="00D1590E" w:rsidP="00D1590E">
            <w:pPr>
              <w:pStyle w:val="ListNumber"/>
            </w:pPr>
            <w:r w:rsidRPr="00D1590E">
              <w:t>The approaches taken by the service providers' consultants to criticise the model results are not sound</w:t>
            </w:r>
          </w:p>
          <w:p w:rsidR="00D1590E" w:rsidRPr="00D1590E" w:rsidRDefault="00D1590E" w:rsidP="00D1590E">
            <w:pPr>
              <w:pStyle w:val="ListNumber"/>
            </w:pPr>
            <w:r w:rsidRPr="00D1590E">
              <w:t xml:space="preserve">We consider Economic Insights' approach is more reasonable than the alternatives </w:t>
            </w:r>
            <w:r w:rsidRPr="00D1590E">
              <w:lastRenderedPageBreak/>
              <w:t>proposed by the service providers.</w:t>
            </w:r>
          </w:p>
          <w:p w:rsidR="00D1590E" w:rsidRPr="00D1590E" w:rsidRDefault="00D1590E" w:rsidP="00D1590E">
            <w:pPr>
              <w:pStyle w:val="ListNumber"/>
            </w:pPr>
            <w:r w:rsidRPr="00D1590E">
              <w:t>The variables included in the models are appropriate and international data is required for accurately estimating parameter estimates</w:t>
            </w:r>
          </w:p>
          <w:p w:rsidR="00D1590E" w:rsidRPr="00D1590E" w:rsidRDefault="00D1590E" w:rsidP="00D1590E">
            <w:pPr>
              <w:pStyle w:val="ListNumber"/>
            </w:pPr>
            <w:r w:rsidRPr="00D1590E">
              <w:t>The service providers' consultants have misunderstood the purpose of the international data and the role of country dummy variables.</w:t>
            </w:r>
          </w:p>
          <w:p w:rsidR="00D1590E" w:rsidRPr="00D1590E" w:rsidRDefault="00D1590E" w:rsidP="00D1590E">
            <w:pPr>
              <w:pStyle w:val="ListNumber"/>
            </w:pPr>
            <w:r w:rsidRPr="00D1590E">
              <w:t>The data is robust and reliable and the concerns raised by the service providers are misplaced.</w:t>
            </w:r>
          </w:p>
          <w:p w:rsidR="00D1590E" w:rsidRPr="00D1590E" w:rsidRDefault="00D1590E" w:rsidP="00D1590E">
            <w:pPr>
              <w:pStyle w:val="ListNumber"/>
            </w:pPr>
            <w:r w:rsidRPr="00D1590E">
              <w:t>Economic Insights' two stage approach is appropriate and indeed much more reasonable than alternatives proposed by the service providers' consultants.</w:t>
            </w:r>
          </w:p>
          <w:p w:rsidR="00D1590E" w:rsidRPr="00D1590E" w:rsidRDefault="00D1590E" w:rsidP="00D1590E">
            <w:pPr>
              <w:pStyle w:val="ListNumber"/>
            </w:pPr>
            <w:r w:rsidRPr="00D1590E">
              <w:t>We have conducted several reasonableness checks of the results including PPIs, category analysis and detailed review.</w:t>
            </w:r>
          </w:p>
        </w:tc>
        <w:tc>
          <w:tcPr>
            <w:tcW w:w="2064" w:type="dxa"/>
          </w:tcPr>
          <w:p w:rsidR="00D1590E" w:rsidRPr="00D1590E" w:rsidRDefault="00D1590E" w:rsidP="00D1590E">
            <w:r w:rsidRPr="00D1590E">
              <w:lastRenderedPageBreak/>
              <w:t xml:space="preserve">We discuss these submissions in section </w:t>
            </w:r>
            <w:r w:rsidRPr="00D1590E">
              <w:fldChar w:fldCharType="begin"/>
            </w:r>
            <w:r w:rsidRPr="00D1590E">
              <w:instrText xml:space="preserve"> REF _Ref414874729 \n \h </w:instrText>
            </w:r>
            <w:r w:rsidRPr="00D1590E">
              <w:fldChar w:fldCharType="separate"/>
            </w:r>
            <w:r w:rsidR="00C57342">
              <w:t>A.4.3</w:t>
            </w:r>
            <w:r w:rsidRPr="00D1590E">
              <w:fldChar w:fldCharType="end"/>
            </w:r>
            <w:r w:rsidRPr="00D1590E">
              <w:t xml:space="preserve"> under:</w:t>
            </w:r>
          </w:p>
          <w:p w:rsidR="00D1590E" w:rsidRPr="004C0639" w:rsidRDefault="00D1590E" w:rsidP="007D27B1">
            <w:pPr>
              <w:pStyle w:val="ListNumber"/>
              <w:numPr>
                <w:ilvl w:val="0"/>
                <w:numId w:val="36"/>
              </w:numPr>
            </w:pPr>
            <w:r w:rsidRPr="004C0639">
              <w:t>Model specification</w:t>
            </w:r>
          </w:p>
          <w:p w:rsidR="00D1590E" w:rsidRPr="00D1590E" w:rsidRDefault="00D1590E" w:rsidP="00D1590E">
            <w:pPr>
              <w:pStyle w:val="ListNumber"/>
            </w:pPr>
            <w:r w:rsidRPr="00D1590E">
              <w:t>Efficiency results</w:t>
            </w:r>
          </w:p>
          <w:p w:rsidR="00D1590E" w:rsidRPr="00D1590E" w:rsidRDefault="00D1590E" w:rsidP="00D1590E">
            <w:pPr>
              <w:pStyle w:val="ListNumber"/>
            </w:pPr>
            <w:r w:rsidRPr="00D1590E">
              <w:t>We discuss this in the adjustments section.</w:t>
            </w:r>
          </w:p>
          <w:p w:rsidR="00D1590E" w:rsidRPr="00D1590E" w:rsidRDefault="00D1590E" w:rsidP="00D1590E">
            <w:pPr>
              <w:pStyle w:val="ListNumber"/>
            </w:pPr>
            <w:r w:rsidRPr="00D1590E">
              <w:t>Model specification and data</w:t>
            </w:r>
          </w:p>
          <w:p w:rsidR="00D1590E" w:rsidRPr="00D1590E" w:rsidRDefault="00D1590E" w:rsidP="00D1590E">
            <w:pPr>
              <w:pStyle w:val="ListNumber"/>
            </w:pPr>
            <w:r w:rsidRPr="00D1590E">
              <w:t>Data</w:t>
            </w:r>
          </w:p>
          <w:p w:rsidR="00D1590E" w:rsidRPr="00D1590E" w:rsidRDefault="00D1590E" w:rsidP="00D1590E">
            <w:pPr>
              <w:pStyle w:val="ListNumber"/>
            </w:pPr>
            <w:r w:rsidRPr="00D1590E">
              <w:t>Data</w:t>
            </w:r>
          </w:p>
          <w:p w:rsidR="00D1590E" w:rsidRPr="00D1590E" w:rsidRDefault="00D1590E" w:rsidP="00D1590E">
            <w:pPr>
              <w:pStyle w:val="ListNumber"/>
            </w:pPr>
            <w:r w:rsidRPr="00D1590E">
              <w:lastRenderedPageBreak/>
              <w:t>Model specification</w:t>
            </w:r>
          </w:p>
          <w:p w:rsidR="00D1590E" w:rsidRPr="00D1590E" w:rsidRDefault="00D1590E" w:rsidP="00D1590E">
            <w:pPr>
              <w:pStyle w:val="ListNumber"/>
            </w:pPr>
            <w:r w:rsidRPr="00D1590E">
              <w:t>Efficiency results.</w:t>
            </w:r>
          </w:p>
        </w:tc>
      </w:tr>
      <w:tr w:rsidR="00D1590E" w:rsidTr="00D1590E">
        <w:tc>
          <w:tcPr>
            <w:tcW w:w="3085" w:type="dxa"/>
          </w:tcPr>
          <w:p w:rsidR="00D1590E" w:rsidRPr="00D1590E" w:rsidRDefault="00D1590E" w:rsidP="00D1590E">
            <w:r w:rsidRPr="00D1590E">
              <w:lastRenderedPageBreak/>
              <w:t>Advice from Herbert Smith Freehills specifically comments on Economic Insights' use of international data. Key comments include:</w:t>
            </w:r>
            <w:r w:rsidRPr="00D1590E">
              <w:rPr>
                <w:rStyle w:val="FootnoteReference"/>
              </w:rPr>
              <w:footnoteReference w:id="284"/>
            </w:r>
          </w:p>
          <w:p w:rsidR="00D1590E" w:rsidRPr="00D1590E" w:rsidRDefault="00D1590E" w:rsidP="00D1590E">
            <w:pPr>
              <w:pStyle w:val="AERbulletlistfirststyle"/>
            </w:pPr>
            <w:r w:rsidRPr="00D1590E">
              <w:t>Economic Insights' model is heavily reliant on overseas data</w:t>
            </w:r>
          </w:p>
          <w:p w:rsidR="00D1590E" w:rsidRPr="00D1590E" w:rsidRDefault="00D1590E" w:rsidP="00D1590E">
            <w:pPr>
              <w:pStyle w:val="AERbulletlistfirststyle"/>
            </w:pPr>
            <w:r w:rsidRPr="00D1590E">
              <w:t>overseas data is not comparable with Australian data</w:t>
            </w:r>
          </w:p>
          <w:p w:rsidR="00D1590E" w:rsidRPr="00D1590E" w:rsidRDefault="00D1590E" w:rsidP="00D1590E">
            <w:pPr>
              <w:pStyle w:val="AERbulletlistfirststyle"/>
            </w:pPr>
            <w:r w:rsidRPr="00D1590E">
              <w:t>Economic Insights does not adequately account for differences between countries</w:t>
            </w:r>
          </w:p>
          <w:p w:rsidR="00D1590E" w:rsidRPr="00D1590E" w:rsidRDefault="00D1590E" w:rsidP="00D1590E">
            <w:pPr>
              <w:pStyle w:val="AERbulletlistfirststyle"/>
            </w:pPr>
            <w:r w:rsidRPr="00D1590E">
              <w:t>Economic Insights' data contains errors.</w:t>
            </w:r>
          </w:p>
        </w:tc>
        <w:tc>
          <w:tcPr>
            <w:tcW w:w="3543" w:type="dxa"/>
          </w:tcPr>
          <w:p w:rsidR="00D1590E" w:rsidRPr="00D1590E" w:rsidRDefault="00D1590E" w:rsidP="00D1590E">
            <w:r w:rsidRPr="00D1590E">
              <w:t>The service providers, their consultants and Herbert Smith Freehills have misunderstood how Economic Insights has used international data. Economic Insights has used the international data only to more accurately estimate parameter estimates, not as comparators for the Australian service providers. Further, Economic Insights considers submissions on the international data quality are misguided given that international regulators have used it for benchmarking and have undertaken similar testing and validation to the AER.</w:t>
            </w:r>
            <w:r w:rsidRPr="00D1590E">
              <w:rPr>
                <w:rStyle w:val="FootnoteReference"/>
              </w:rPr>
              <w:footnoteReference w:id="285"/>
            </w:r>
          </w:p>
        </w:tc>
        <w:tc>
          <w:tcPr>
            <w:tcW w:w="2064" w:type="dxa"/>
          </w:tcPr>
          <w:p w:rsidR="00D1590E" w:rsidRPr="00D1590E" w:rsidRDefault="00D1590E" w:rsidP="00D1590E">
            <w:r w:rsidRPr="00D1590E">
              <w:t xml:space="preserve">We address these matters as part of our discussion on data in section </w:t>
            </w:r>
            <w:r w:rsidRPr="00D1590E">
              <w:fldChar w:fldCharType="begin"/>
            </w:r>
            <w:r w:rsidRPr="00D1590E">
              <w:instrText xml:space="preserve"> REF _Ref414874729 \n \h </w:instrText>
            </w:r>
            <w:r w:rsidRPr="00D1590E">
              <w:fldChar w:fldCharType="separate"/>
            </w:r>
            <w:r w:rsidR="00C57342">
              <w:t>A.4.3</w:t>
            </w:r>
            <w:r w:rsidRPr="00D1590E">
              <w:fldChar w:fldCharType="end"/>
            </w:r>
            <w:r w:rsidRPr="00D1590E">
              <w:t>.</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3085" w:type="dxa"/>
          </w:tcPr>
          <w:p w:rsidR="00D1590E" w:rsidRPr="00D1590E" w:rsidRDefault="00D1590E" w:rsidP="00D1590E">
            <w:r w:rsidRPr="00D1590E">
              <w:t>Our PPIs do not support the economic benchmarking results because:</w:t>
            </w:r>
          </w:p>
          <w:p w:rsidR="00D1590E" w:rsidRPr="00D1590E" w:rsidRDefault="00D1590E" w:rsidP="00D1590E">
            <w:pPr>
              <w:pStyle w:val="AERbulletlistfirststyle"/>
            </w:pPr>
            <w:r w:rsidRPr="00D1590E">
              <w:t>we have not acknowledged the inherent limitations.</w:t>
            </w:r>
            <w:r w:rsidRPr="00D1590E">
              <w:rPr>
                <w:rStyle w:val="FootnoteReference"/>
              </w:rPr>
              <w:footnoteReference w:id="286"/>
            </w:r>
          </w:p>
          <w:p w:rsidR="00D1590E" w:rsidRPr="00D1590E" w:rsidRDefault="00D1590E" w:rsidP="00D1590E">
            <w:pPr>
              <w:pStyle w:val="AERbulletlistfirststyle"/>
            </w:pPr>
            <w:r w:rsidRPr="00D1590E">
              <w:t>per-customer metrics are biased against rural service providers and do not show relative efficiency.</w:t>
            </w:r>
            <w:r w:rsidRPr="00D1590E">
              <w:rPr>
                <w:rStyle w:val="FootnoteReference"/>
              </w:rPr>
              <w:footnoteReference w:id="287"/>
            </w:r>
          </w:p>
        </w:tc>
        <w:tc>
          <w:tcPr>
            <w:tcW w:w="3543" w:type="dxa"/>
          </w:tcPr>
          <w:p w:rsidR="00D1590E" w:rsidRPr="00D1590E" w:rsidRDefault="00D1590E" w:rsidP="00D1590E">
            <w:r w:rsidRPr="00D1590E">
              <w:t>Our view remains that PPIs are complementary to economic benchmarking and are an appropriate means crosschecking validity.</w:t>
            </w:r>
          </w:p>
        </w:tc>
        <w:tc>
          <w:tcPr>
            <w:tcW w:w="2064" w:type="dxa"/>
          </w:tcPr>
          <w:p w:rsidR="00D1590E" w:rsidRPr="00D1590E" w:rsidRDefault="00D1590E" w:rsidP="00D1590E">
            <w:r w:rsidRPr="00D1590E">
              <w:t xml:space="preserve">We address this submission in our discussion on PPIs in section </w:t>
            </w:r>
            <w:r w:rsidRPr="00D1590E">
              <w:fldChar w:fldCharType="begin"/>
            </w:r>
            <w:r w:rsidRPr="00D1590E">
              <w:instrText xml:space="preserve"> REF _Ref414874729 \n \h </w:instrText>
            </w:r>
            <w:r w:rsidRPr="00D1590E">
              <w:fldChar w:fldCharType="separate"/>
            </w:r>
            <w:r w:rsidR="00C57342">
              <w:t>A.4.3</w:t>
            </w:r>
            <w:r w:rsidRPr="00D1590E">
              <w:fldChar w:fldCharType="end"/>
            </w:r>
            <w:r w:rsidRPr="00D1590E">
              <w:t>.</w:t>
            </w:r>
          </w:p>
        </w:tc>
      </w:tr>
    </w:tbl>
    <w:p w:rsidR="00D1590E" w:rsidRPr="00D1590E" w:rsidRDefault="00D1590E" w:rsidP="00D1590E">
      <w:bookmarkStart w:id="231" w:name="_Toc415230979"/>
      <w:bookmarkStart w:id="232" w:name="_Toc416765387"/>
      <w:bookmarkStart w:id="233" w:name="_Toc417646280"/>
      <w:bookmarkStart w:id="234" w:name="_Toc417649228"/>
      <w:r w:rsidRPr="00D1590E">
        <w:br w:type="page"/>
      </w:r>
    </w:p>
    <w:p w:rsidR="00D1590E" w:rsidRPr="00D1590E" w:rsidRDefault="00D1590E" w:rsidP="00D1590E">
      <w:pPr>
        <w:pStyle w:val="Heading9"/>
      </w:pPr>
      <w:bookmarkStart w:id="235" w:name="_Toc417659860"/>
      <w:r w:rsidRPr="00D1590E">
        <w:lastRenderedPageBreak/>
        <w:t xml:space="preserve">Draft </w:t>
      </w:r>
      <w:bookmarkEnd w:id="231"/>
      <w:r w:rsidRPr="00D1590E">
        <w:t>position</w:t>
      </w:r>
      <w:bookmarkEnd w:id="232"/>
      <w:bookmarkEnd w:id="233"/>
      <w:bookmarkEnd w:id="234"/>
      <w:bookmarkEnd w:id="235"/>
    </w:p>
    <w:p w:rsidR="00D1590E" w:rsidRPr="00D1590E" w:rsidRDefault="00D1590E" w:rsidP="00D1590E">
      <w:r w:rsidRPr="00D1590E">
        <w:t xml:space="preserve">In our draft determination we applied six benchmarking techniques to assess the efficiency of the service provider's revealed expenditure. Four of these techniques (which were developed by Economic Insights) enable us to assess relative opex efficiency. On the basis of advice from Economic Insights, we relied on Economic Insights' Cobb Douglas SFA model as the preferred technique for this purpose. </w:t>
      </w:r>
    </w:p>
    <w:p w:rsidR="00D1590E" w:rsidRPr="00D1590E" w:rsidRDefault="004C0639" w:rsidP="00D1590E">
      <w:pPr>
        <w:rPr>
          <w:rStyle w:val="AERbody"/>
        </w:rPr>
      </w:pPr>
      <w:r>
        <w:rPr>
          <w:rStyle w:val="AERbody"/>
        </w:rPr>
        <w:fldChar w:fldCharType="begin"/>
      </w:r>
      <w:r>
        <w:rPr>
          <w:rStyle w:val="AERbody"/>
        </w:rPr>
        <w:instrText xml:space="preserve"> REF _Ref417643167 \h </w:instrText>
      </w:r>
      <w:r>
        <w:rPr>
          <w:rStyle w:val="AERbody"/>
        </w:rPr>
      </w:r>
      <w:r>
        <w:rPr>
          <w:rStyle w:val="AERbody"/>
        </w:rPr>
        <w:fldChar w:fldCharType="separate"/>
      </w:r>
      <w:r w:rsidRPr="00D1590E">
        <w:t xml:space="preserve">Figure </w:t>
      </w:r>
      <w:r>
        <w:rPr>
          <w:noProof/>
        </w:rPr>
        <w:t>A</w:t>
      </w:r>
      <w:r w:rsidRPr="00D1590E">
        <w:t>.</w:t>
      </w:r>
      <w:r>
        <w:rPr>
          <w:noProof/>
        </w:rPr>
        <w:t>5</w:t>
      </w:r>
      <w:r>
        <w:rPr>
          <w:rStyle w:val="AERbody"/>
        </w:rPr>
        <w:fldChar w:fldCharType="end"/>
      </w:r>
      <w:r w:rsidR="00D1590E" w:rsidRPr="00D1590E">
        <w:rPr>
          <w:rStyle w:val="AERbody"/>
        </w:rPr>
        <w:t xml:space="preserve"> presents the results of each of Economic Insights' four opex models (stochastic frontier analysis (SFA), econometric regressions and opex MPFP) for each service provider in the NEM. A score of 1 is the best score.</w:t>
      </w:r>
    </w:p>
    <w:p w:rsidR="00D1590E" w:rsidRPr="00D1590E" w:rsidRDefault="00D1590E" w:rsidP="00D1590E">
      <w:pPr>
        <w:rPr>
          <w:rStyle w:val="AERbody"/>
        </w:rPr>
      </w:pPr>
      <w:r w:rsidRPr="00D1590E">
        <w:rPr>
          <w:rStyle w:val="AERbody"/>
        </w:rPr>
        <w:t xml:space="preserve">The red bars in </w:t>
      </w:r>
      <w:r w:rsidRPr="00D1590E">
        <w:rPr>
          <w:rStyle w:val="AERbody"/>
        </w:rPr>
        <w:fldChar w:fldCharType="begin"/>
      </w:r>
      <w:r w:rsidRPr="00D1590E">
        <w:rPr>
          <w:rStyle w:val="AERbody"/>
        </w:rPr>
        <w:instrText xml:space="preserve"> REF _Ref417643167 \h </w:instrText>
      </w:r>
      <w:r w:rsidRPr="00D1590E">
        <w:rPr>
          <w:rStyle w:val="AERbody"/>
        </w:rPr>
      </w:r>
      <w:r w:rsidRPr="00D1590E">
        <w:rPr>
          <w:rStyle w:val="AERbody"/>
        </w:rPr>
        <w:fldChar w:fldCharType="separate"/>
      </w:r>
      <w:r w:rsidR="00C57342" w:rsidRPr="00D1590E">
        <w:t xml:space="preserve">Figure </w:t>
      </w:r>
      <w:r w:rsidR="00C57342">
        <w:rPr>
          <w:noProof/>
        </w:rPr>
        <w:t>A</w:t>
      </w:r>
      <w:r w:rsidR="00C57342" w:rsidRPr="00D1590E">
        <w:t>.</w:t>
      </w:r>
      <w:r w:rsidR="00C57342">
        <w:rPr>
          <w:noProof/>
        </w:rPr>
        <w:t>5</w:t>
      </w:r>
      <w:r w:rsidRPr="00D1590E">
        <w:rPr>
          <w:rStyle w:val="AERbody"/>
        </w:rPr>
        <w:fldChar w:fldCharType="end"/>
      </w:r>
      <w:r w:rsidRPr="00D1590E">
        <w:rPr>
          <w:rStyle w:val="AERbody"/>
        </w:rPr>
        <w:t xml:space="preserve"> represent the SFA results. The best performing service provider under this model is CitiPower, with a score of 0.95. We refer to CitiPower as the 'frontier' firm.</w:t>
      </w:r>
    </w:p>
    <w:p w:rsidR="00D1590E" w:rsidRPr="00D1590E" w:rsidRDefault="00D1590E" w:rsidP="00D1590E">
      <w:pPr>
        <w:pStyle w:val="Caption"/>
      </w:pPr>
      <w:bookmarkStart w:id="236" w:name="_Ref417643167"/>
      <w:r w:rsidRPr="00D1590E">
        <w:t xml:space="preserve">Figure </w:t>
      </w:r>
      <w:fldSimple w:instr=" STYLEREF 7 \s ">
        <w:r w:rsidR="00C57342">
          <w:rPr>
            <w:noProof/>
          </w:rPr>
          <w:t>A</w:t>
        </w:r>
      </w:fldSimple>
      <w:r w:rsidRPr="00D1590E">
        <w:t>.</w:t>
      </w:r>
      <w:fldSimple w:instr=" SEQ AFigure \* ARABIC \s 7 ">
        <w:r w:rsidR="00C57342">
          <w:rPr>
            <w:noProof/>
          </w:rPr>
          <w:t>5</w:t>
        </w:r>
      </w:fldSimple>
      <w:bookmarkEnd w:id="236"/>
      <w:r w:rsidRPr="00D1590E">
        <w:tab/>
        <w:t>Econometric modelling and opex MPFP results (average efficiency scores for 2006 to 2013)</w:t>
      </w:r>
    </w:p>
    <w:p w:rsidR="00D1590E" w:rsidRPr="00D1590E" w:rsidRDefault="00D1590E" w:rsidP="00D1590E">
      <w:pPr>
        <w:numPr>
          <w:ilvl w:val="0"/>
          <w:numId w:val="24"/>
        </w:numPr>
      </w:pPr>
      <w:r w:rsidRPr="00D1590E">
        <w:rPr>
          <w:noProof/>
          <w:lang w:eastAsia="en-AU"/>
        </w:rPr>
        <w:drawing>
          <wp:inline distT="0" distB="0" distL="0" distR="0" wp14:anchorId="153A054E" wp14:editId="6DEA4C7D">
            <wp:extent cx="5313250" cy="3234519"/>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2740" cy="3234209"/>
                    </a:xfrm>
                    <a:prstGeom prst="rect">
                      <a:avLst/>
                    </a:prstGeom>
                    <a:noFill/>
                    <a:ln>
                      <a:noFill/>
                    </a:ln>
                  </pic:spPr>
                </pic:pic>
              </a:graphicData>
            </a:graphic>
          </wp:inline>
        </w:drawing>
      </w:r>
    </w:p>
    <w:p w:rsidR="00D1590E" w:rsidRPr="00D1590E" w:rsidRDefault="00D1590E" w:rsidP="00D1590E">
      <w:pPr>
        <w:pStyle w:val="AERtablesource"/>
      </w:pPr>
      <w:r w:rsidRPr="00D1590E">
        <w:t>Source:</w:t>
      </w:r>
      <w:r w:rsidRPr="00D1590E">
        <w:tab/>
        <w:t>Economic Insights, 2014.</w:t>
      </w:r>
    </w:p>
    <w:p w:rsidR="00D1590E" w:rsidRPr="00D1590E" w:rsidRDefault="00D1590E" w:rsidP="00D1590E">
      <w:r w:rsidRPr="00D1590E">
        <w:t xml:space="preserve">Each model may differ in terms of estimation method or model specification and accounts for operating environment circumstances (factors that may differentiate service providers) to differing degrees. Accordingly, the results will never be identical. However, </w:t>
      </w:r>
      <w:r w:rsidRPr="00D1590E">
        <w:rPr>
          <w:rStyle w:val="AERbody"/>
        </w:rPr>
        <w:fldChar w:fldCharType="begin"/>
      </w:r>
      <w:r w:rsidRPr="00D1590E">
        <w:rPr>
          <w:rStyle w:val="AERbody"/>
        </w:rPr>
        <w:instrText xml:space="preserve"> REF _Ref401669052 \h </w:instrText>
      </w:r>
      <w:r w:rsidRPr="00D1590E">
        <w:rPr>
          <w:rStyle w:val="AERbody"/>
        </w:rPr>
      </w:r>
      <w:r w:rsidRPr="00D1590E">
        <w:rPr>
          <w:rStyle w:val="AERbody"/>
        </w:rPr>
        <w:fldChar w:fldCharType="separate"/>
      </w:r>
      <w:r w:rsidR="00C57342" w:rsidRPr="00D1590E">
        <w:t xml:space="preserve">Figure </w:t>
      </w:r>
      <w:r w:rsidR="00C57342">
        <w:rPr>
          <w:noProof/>
        </w:rPr>
        <w:t>A</w:t>
      </w:r>
      <w:r w:rsidR="00C57342" w:rsidRPr="00D1590E">
        <w:t>.</w:t>
      </w:r>
      <w:r w:rsidR="00C57342">
        <w:rPr>
          <w:noProof/>
        </w:rPr>
        <w:t>1</w:t>
      </w:r>
      <w:r w:rsidRPr="00D1590E">
        <w:rPr>
          <w:rStyle w:val="AERbody"/>
        </w:rPr>
        <w:fldChar w:fldCharType="end"/>
      </w:r>
      <w:r w:rsidRPr="00D1590E">
        <w:rPr>
          <w:rStyle w:val="AERbody"/>
        </w:rPr>
        <w:t xml:space="preserve"> </w:t>
      </w:r>
      <w:r w:rsidRPr="00D1590E">
        <w:t xml:space="preserve">demonstrates that the results of the four models are consistent. All models show that the </w:t>
      </w:r>
      <w:r w:rsidRPr="00D1590E">
        <w:rPr>
          <w:rStyle w:val="AERbody"/>
        </w:rPr>
        <w:t>efficiency of the NSW service provider's reveal</w:t>
      </w:r>
      <w:r w:rsidRPr="00D1590E">
        <w:t>ed expenditure does not compare favourably with that of many of their peers.</w:t>
      </w:r>
    </w:p>
    <w:p w:rsidR="00D1590E" w:rsidRPr="00D1590E" w:rsidRDefault="00D1590E" w:rsidP="00D1590E">
      <w:r w:rsidRPr="00D1590E">
        <w:t xml:space="preserve">The Cobb Douglas SFA model, being a statistical technique, directly estimates the efficient opex cost function. In doing so it takes into account economies of scale, </w:t>
      </w:r>
      <w:r w:rsidRPr="00D1590E">
        <w:lastRenderedPageBreak/>
        <w:t>density and the relationship between opex and the multiple outputs service providers face. Further the Cobb Douglas SFA model has a random error term that separates the effect of data noises or random errors from inefficiency.</w:t>
      </w:r>
      <w:r w:rsidRPr="00D1590E">
        <w:rPr>
          <w:rStyle w:val="FootnoteReference"/>
        </w:rPr>
        <w:footnoteReference w:id="288"/>
      </w:r>
      <w:r w:rsidRPr="00D1590E">
        <w:t xml:space="preserve"> It is, therefore, the most sophisticated of Economic Insights' economic benchmarking technique.</w:t>
      </w:r>
    </w:p>
    <w:p w:rsidR="00D1590E" w:rsidRPr="00D1590E" w:rsidRDefault="00D1590E" w:rsidP="00D1590E">
      <w:r w:rsidRPr="00D1590E">
        <w:t>We considered the two other econometric models (Cobb Douglas LSE and Translog LSE) provided useful cross checks for the Cobb Douglas SFA model. The Translog LSE model allows for a more flexible opex cost functional form incorporating second order coefficients. The LSE and SFA Cobb Douglas models both estimate efficiency using slightly different techniques. By running both methods we could observe whether the efficiency measurement technique made a material difference to relative efficiency performance.</w:t>
      </w:r>
    </w:p>
    <w:p w:rsidR="00D1590E" w:rsidRPr="00D1590E" w:rsidRDefault="00D1590E" w:rsidP="00D1590E">
      <w:r w:rsidRPr="00D1590E">
        <w:t>Economic Insights found that all three econometric techniques produced consistent results:</w:t>
      </w:r>
      <w:r w:rsidRPr="00D1590E">
        <w:rPr>
          <w:rStyle w:val="FootnoteReference"/>
        </w:rPr>
        <w:footnoteReference w:id="289"/>
      </w:r>
      <w:r w:rsidRPr="00D1590E">
        <w:t xml:space="preserve"> </w:t>
      </w:r>
    </w:p>
    <w:p w:rsidR="00D1590E" w:rsidRPr="00D1590E" w:rsidRDefault="00D1590E" w:rsidP="00D1590E">
      <w:pPr>
        <w:pStyle w:val="AERquoteindent1"/>
      </w:pPr>
      <w:r w:rsidRPr="00D1590E">
        <w:t>The efficiency scores across the three econometric models are relatively close to each other for each DNSP and they are, in turn, relatively close to the corresponding MPFP score. This similarity in results despite the differing methods used and datasets used reinforces our confidence in the results.</w:t>
      </w:r>
    </w:p>
    <w:p w:rsidR="00D1590E" w:rsidRPr="00D1590E" w:rsidRDefault="00D1590E" w:rsidP="00D1590E">
      <w:r w:rsidRPr="00D1590E">
        <w:t xml:space="preserve">Additionally, we used opex MPFP and MTFP (index-based techniques) as a different means of checking the more sophisticated econometric models. </w:t>
      </w:r>
    </w:p>
    <w:p w:rsidR="00D1590E" w:rsidRPr="00D1590E" w:rsidRDefault="00D1590E" w:rsidP="00D1590E">
      <w:r w:rsidRPr="00D1590E">
        <w:t xml:space="preserve">As an opex specific technique, opex MPFP provided a means of using a relatively less data intensive approach—capable of incorporating five outputs and four inputs and some operating environment factors—with an Australian-only service provider dataset. </w:t>
      </w:r>
    </w:p>
    <w:p w:rsidR="00D1590E" w:rsidRPr="00D1590E" w:rsidRDefault="00D1590E" w:rsidP="00D1590E">
      <w:r w:rsidRPr="00D1590E">
        <w:t>MTFP played an important role as the overarching indicator of total productive efficiency and, consequently, as a check on the techniques that examine opex efficiency. This is necessary because a service provider could, for example, appear to be inefficient in the use of opex alone, but be efficient overall.</w:t>
      </w:r>
    </w:p>
    <w:p w:rsidR="00D1590E" w:rsidRPr="00D1590E" w:rsidRDefault="00D1590E" w:rsidP="00D1590E">
      <w:r w:rsidRPr="00D1590E">
        <w:t>Economic Insights found the MTFP and opex MPFP results supported the econometric models.</w:t>
      </w:r>
      <w:r w:rsidRPr="00D1590E">
        <w:rPr>
          <w:rStyle w:val="FootnoteReference"/>
        </w:rPr>
        <w:footnoteReference w:id="290"/>
      </w:r>
    </w:p>
    <w:p w:rsidR="006139BC" w:rsidRDefault="00D1590E" w:rsidP="00D1590E">
      <w:r w:rsidRPr="00D1590E">
        <w:t>Finally, we used PPIs, which are simple, intuitive metrics to provide another perspective on the relative efficiency of service providers. The PPIs only focus on one aspect of a service provider's performance and do not specifically capture operating environment differences. However, bearing these limitations in mind, we considered they were consistent with the other, more sophisticated benchmarking results. The PPI results are set out in section A.5.</w:t>
      </w:r>
    </w:p>
    <w:p w:rsidR="006139BC" w:rsidRDefault="006139BC" w:rsidP="006139BC">
      <w:r>
        <w:br w:type="page"/>
      </w:r>
    </w:p>
    <w:p w:rsidR="00D1590E" w:rsidRPr="00D1590E" w:rsidRDefault="00D1590E" w:rsidP="00D1590E">
      <w:pPr>
        <w:pStyle w:val="Heading9"/>
      </w:pPr>
      <w:bookmarkStart w:id="237" w:name="_Ref414874729"/>
      <w:bookmarkStart w:id="238" w:name="_Toc415230980"/>
      <w:bookmarkStart w:id="239" w:name="_Toc416765388"/>
      <w:bookmarkStart w:id="240" w:name="_Toc417646281"/>
      <w:bookmarkStart w:id="241" w:name="_Toc417649229"/>
      <w:bookmarkStart w:id="242" w:name="_Toc417659861"/>
      <w:r w:rsidRPr="00D1590E">
        <w:lastRenderedPageBreak/>
        <w:t>Revised proposals and submissions</w:t>
      </w:r>
      <w:bookmarkEnd w:id="237"/>
      <w:bookmarkEnd w:id="238"/>
      <w:bookmarkEnd w:id="239"/>
      <w:bookmarkEnd w:id="240"/>
      <w:bookmarkEnd w:id="241"/>
      <w:bookmarkEnd w:id="242"/>
    </w:p>
    <w:p w:rsidR="00D1590E" w:rsidRPr="00D1590E" w:rsidRDefault="00D1590E" w:rsidP="00D1590E">
      <w:pPr>
        <w:rPr>
          <w:rStyle w:val="AERbody"/>
        </w:rPr>
      </w:pPr>
      <w:r w:rsidRPr="00D1590E">
        <w:rPr>
          <w:rStyle w:val="AERbody"/>
        </w:rPr>
        <w:t>In response to our draft decision for the NSW service providers and ActewAGL, these service providers submitted a large amount of material expressing concerns with our approach to benchmarking and the results. This included reports from the following consultants:</w:t>
      </w:r>
    </w:p>
    <w:p w:rsidR="00D1590E" w:rsidRPr="00D1590E" w:rsidRDefault="00D1590E" w:rsidP="00D1590E">
      <w:pPr>
        <w:pStyle w:val="AERbulletlistfirststyle"/>
        <w:rPr>
          <w:rStyle w:val="AERbody"/>
        </w:rPr>
      </w:pPr>
      <w:r w:rsidRPr="00D1590E">
        <w:rPr>
          <w:rStyle w:val="AERbody"/>
        </w:rPr>
        <w:t>Frontier Economics</w:t>
      </w:r>
      <w:r w:rsidRPr="00D1590E">
        <w:rPr>
          <w:rStyle w:val="FootnoteReference"/>
        </w:rPr>
        <w:footnoteReference w:id="291"/>
      </w:r>
    </w:p>
    <w:p w:rsidR="00D1590E" w:rsidRPr="00D1590E" w:rsidRDefault="00D1590E" w:rsidP="00D1590E">
      <w:pPr>
        <w:pStyle w:val="AERbulletlistfirststyle"/>
        <w:rPr>
          <w:rStyle w:val="AERbody"/>
        </w:rPr>
      </w:pPr>
      <w:r w:rsidRPr="00D1590E">
        <w:rPr>
          <w:rStyle w:val="AERbody"/>
        </w:rPr>
        <w:t>Huegin</w:t>
      </w:r>
      <w:r w:rsidRPr="00D1590E">
        <w:rPr>
          <w:rStyle w:val="FootnoteReference"/>
        </w:rPr>
        <w:footnoteReference w:id="292"/>
      </w:r>
    </w:p>
    <w:p w:rsidR="00D1590E" w:rsidRPr="00D1590E" w:rsidRDefault="00D1590E" w:rsidP="00D1590E">
      <w:pPr>
        <w:pStyle w:val="AERbulletlistfirststyle"/>
        <w:rPr>
          <w:rStyle w:val="AERbody"/>
        </w:rPr>
      </w:pPr>
      <w:r w:rsidRPr="00D1590E">
        <w:rPr>
          <w:rStyle w:val="AERbody"/>
        </w:rPr>
        <w:t>Cambridge Economic Policy Associates (CEPA)</w:t>
      </w:r>
      <w:r w:rsidRPr="00D1590E">
        <w:rPr>
          <w:rStyle w:val="FootnoteReference"/>
        </w:rPr>
        <w:footnoteReference w:id="293"/>
      </w:r>
    </w:p>
    <w:p w:rsidR="00D1590E" w:rsidRPr="00D1590E" w:rsidRDefault="00D1590E" w:rsidP="00D1590E">
      <w:pPr>
        <w:pStyle w:val="AERbulletlistfirststyle"/>
        <w:rPr>
          <w:rStyle w:val="AERbody"/>
        </w:rPr>
      </w:pPr>
      <w:r w:rsidRPr="00D1590E">
        <w:rPr>
          <w:rStyle w:val="AERbody"/>
        </w:rPr>
        <w:t>Pacific Economics Group Research (PEGR)</w:t>
      </w:r>
      <w:r w:rsidRPr="00D1590E">
        <w:rPr>
          <w:rStyle w:val="FootnoteReference"/>
        </w:rPr>
        <w:footnoteReference w:id="294"/>
      </w:r>
    </w:p>
    <w:p w:rsidR="00D1590E" w:rsidRPr="00D1590E" w:rsidRDefault="00D1590E" w:rsidP="00D1590E">
      <w:pPr>
        <w:pStyle w:val="AERbulletlistfirststyle"/>
        <w:rPr>
          <w:rStyle w:val="AERbody"/>
        </w:rPr>
      </w:pPr>
      <w:r w:rsidRPr="00D1590E">
        <w:rPr>
          <w:rStyle w:val="AERbody"/>
        </w:rPr>
        <w:t>Advisian (formerly Evans and Peck)</w:t>
      </w:r>
      <w:r w:rsidRPr="00D1590E">
        <w:rPr>
          <w:rStyle w:val="FootnoteReference"/>
        </w:rPr>
        <w:footnoteReference w:id="295"/>
      </w:r>
    </w:p>
    <w:p w:rsidR="00D1590E" w:rsidRPr="00D1590E" w:rsidRDefault="00D1590E" w:rsidP="00D1590E">
      <w:pPr>
        <w:pStyle w:val="AERbulletlistfirststyle"/>
        <w:rPr>
          <w:rStyle w:val="AERbody"/>
        </w:rPr>
      </w:pPr>
      <w:r w:rsidRPr="00D1590E">
        <w:rPr>
          <w:rStyle w:val="AERbody"/>
        </w:rPr>
        <w:t>Pricewaterhouse Coopers (PwC).</w:t>
      </w:r>
      <w:r w:rsidRPr="00D1590E">
        <w:rPr>
          <w:rStyle w:val="FootnoteReference"/>
        </w:rPr>
        <w:footnoteReference w:id="296"/>
      </w:r>
    </w:p>
    <w:p w:rsidR="00D1590E" w:rsidRPr="00D1590E" w:rsidRDefault="00D1590E" w:rsidP="00D1590E">
      <w:r w:rsidRPr="00D1590E">
        <w:t>In addition to submissions from other stakeholders, on 13 February 2015 we received from service providers further legal opinion and consultant reports on benchmarking from:</w:t>
      </w:r>
    </w:p>
    <w:p w:rsidR="00D1590E" w:rsidRPr="00D1590E" w:rsidRDefault="00D1590E" w:rsidP="00D1590E">
      <w:pPr>
        <w:pStyle w:val="AERbulletlistfirststyle"/>
      </w:pPr>
      <w:r w:rsidRPr="00D1590E">
        <w:t>Herbert Smith Freehills (submitted by the NSW service providers)</w:t>
      </w:r>
    </w:p>
    <w:p w:rsidR="00D1590E" w:rsidRPr="00D1590E" w:rsidRDefault="00D1590E" w:rsidP="00D1590E">
      <w:pPr>
        <w:pStyle w:val="AERbulletlistfirststyle"/>
      </w:pPr>
      <w:r w:rsidRPr="00D1590E">
        <w:t>Young and McClelland (submitted by ActewAGL)</w:t>
      </w:r>
    </w:p>
    <w:p w:rsidR="00D1590E" w:rsidRPr="00D1590E" w:rsidRDefault="00D1590E" w:rsidP="00D1590E">
      <w:pPr>
        <w:pStyle w:val="AERbulletlistfirststyle"/>
      </w:pPr>
      <w:r w:rsidRPr="00D1590E">
        <w:t>Huegin (two reports, submitted by Ergon Energy)</w:t>
      </w:r>
    </w:p>
    <w:p w:rsidR="00D1590E" w:rsidRPr="00D1590E" w:rsidRDefault="00D1590E" w:rsidP="00D1590E">
      <w:pPr>
        <w:pStyle w:val="AERbulletlistfirststyle"/>
      </w:pPr>
      <w:r w:rsidRPr="00D1590E">
        <w:t>Synergies (two reports, submitted by Ergon Energy)</w:t>
      </w:r>
    </w:p>
    <w:p w:rsidR="00D1590E" w:rsidRPr="00D1590E" w:rsidRDefault="00D1590E" w:rsidP="00D1590E">
      <w:pPr>
        <w:pStyle w:val="AERbulletlistfirststyle"/>
      </w:pPr>
      <w:r w:rsidRPr="00D1590E">
        <w:t>Frontier Economics (submitted by Ergon Energy)</w:t>
      </w:r>
    </w:p>
    <w:p w:rsidR="00D1590E" w:rsidRPr="00D1590E" w:rsidRDefault="00D1590E" w:rsidP="00D1590E">
      <w:pPr>
        <w:pStyle w:val="AERbulletlistfirststyle"/>
      </w:pPr>
      <w:r w:rsidRPr="00D1590E">
        <w:t>Ernst &amp; Young (EY) (submitted by Ergon Energy).</w:t>
      </w:r>
    </w:p>
    <w:p w:rsidR="00D1590E" w:rsidRPr="00D1590E" w:rsidRDefault="00D1590E" w:rsidP="00D1590E">
      <w:r w:rsidRPr="00D1590E">
        <w:t>Economic Insights addresses this material in the report it has prepared for this final decision. In this section, we have grouped the key benchmarking issues raised by the service providers and their consultants into:</w:t>
      </w:r>
    </w:p>
    <w:p w:rsidR="00D1590E" w:rsidRPr="00D1590E" w:rsidRDefault="00D1590E" w:rsidP="00D1590E">
      <w:pPr>
        <w:pStyle w:val="AERbulletlistfirststyle"/>
      </w:pPr>
      <w:r w:rsidRPr="00D1590E">
        <w:t>model specification</w:t>
      </w:r>
    </w:p>
    <w:p w:rsidR="00D1590E" w:rsidRPr="00D1590E" w:rsidRDefault="00D1590E" w:rsidP="00D1590E">
      <w:pPr>
        <w:pStyle w:val="AERbulletlistfirststyle"/>
      </w:pPr>
      <w:r w:rsidRPr="00D1590E">
        <w:t>data</w:t>
      </w:r>
    </w:p>
    <w:p w:rsidR="00D1590E" w:rsidRPr="00D1590E" w:rsidRDefault="00D1590E" w:rsidP="00D1590E">
      <w:pPr>
        <w:pStyle w:val="AERbulletlistfirststyle"/>
      </w:pPr>
      <w:r w:rsidRPr="00D1590E">
        <w:t>estimation methods</w:t>
      </w:r>
    </w:p>
    <w:p w:rsidR="00D1590E" w:rsidRPr="00D1590E" w:rsidRDefault="00D1590E" w:rsidP="00D1590E">
      <w:pPr>
        <w:pStyle w:val="AERbulletlistfirststyle"/>
      </w:pPr>
      <w:r w:rsidRPr="00D1590E">
        <w:t>efficiency results.</w:t>
      </w:r>
    </w:p>
    <w:p w:rsidR="00D1590E" w:rsidRPr="00D1590E" w:rsidRDefault="00D1590E" w:rsidP="00D1590E">
      <w:r w:rsidRPr="00D1590E">
        <w:lastRenderedPageBreak/>
        <w:t>We discuss each topic below. Consistent with our approach in the draft decision, we have adopted Economic Insights' approach and recommendations on the basis of its expertise in economic benchmarking, including the application of economic benchmarking in the regulatory context. Accordingly, to the extent we refer to 'our approach' or 'our model', this should be interpreted as the approach and models recommended by Economic Insights' and applied in its analysis. Economic Insights' final decision report contains detailed analysis and explanation of its approach and results in light of the information submitted by the service providers and their consultants.</w:t>
      </w:r>
    </w:p>
    <w:p w:rsidR="00D1590E" w:rsidRPr="00D1590E" w:rsidRDefault="00D1590E" w:rsidP="00D1590E">
      <w:pPr>
        <w:pStyle w:val="HeadingBoldBlue"/>
      </w:pPr>
      <w:bookmarkStart w:id="243" w:name="_Toc415230981"/>
      <w:bookmarkStart w:id="244" w:name="_Toc417646282"/>
      <w:r w:rsidRPr="00D1590E">
        <w:t>Model specification</w:t>
      </w:r>
      <w:bookmarkEnd w:id="243"/>
      <w:bookmarkEnd w:id="244"/>
    </w:p>
    <w:p w:rsidR="00D1590E" w:rsidRPr="00D1590E" w:rsidRDefault="00D1590E" w:rsidP="00D1590E">
      <w:r w:rsidRPr="00D1590E">
        <w:t xml:space="preserve">Model specification relates to the specification of the outputs, inputs and operating environment variables that Economic Insights has used in its benchmarking model. </w:t>
      </w:r>
    </w:p>
    <w:p w:rsidR="00D1590E" w:rsidRPr="00D1590E" w:rsidRDefault="00D1590E" w:rsidP="00D1590E">
      <w:r w:rsidRPr="00D1590E">
        <w:t>In this sub-section, we compare Economic Insights' model specification to the alternatives proposed by the service providers' consultants. First, we reiterate why Economic Insights' modelling approach is robust and reliable. Second, we restate why the inputs, outputs and operating environment factors Economic Insights has chosen are appropriate. Finally, we explain why the alternative models proposed are not robust or reliable.</w:t>
      </w:r>
    </w:p>
    <w:p w:rsidR="00D1590E" w:rsidRPr="00D1590E" w:rsidRDefault="00D1590E" w:rsidP="00D1590E">
      <w:pPr>
        <w:pStyle w:val="HeadingBoldItalic"/>
      </w:pPr>
      <w:r w:rsidRPr="00D1590E">
        <w:t>Our approach is robust and reliable</w:t>
      </w:r>
    </w:p>
    <w:p w:rsidR="00D1590E" w:rsidRPr="00D1590E" w:rsidRDefault="00D1590E" w:rsidP="00D1590E">
      <w:pPr>
        <w:rPr>
          <w:rStyle w:val="AERbody"/>
        </w:rPr>
      </w:pPr>
      <w:r w:rsidRPr="00D1590E">
        <w:rPr>
          <w:rStyle w:val="AERbody"/>
        </w:rPr>
        <w:t>Economic Insights' model specification has been developed using a logical, structured and consultative approach. We set out this approach below.</w:t>
      </w:r>
    </w:p>
    <w:p w:rsidR="00D1590E" w:rsidRPr="00D1590E" w:rsidRDefault="00D1590E" w:rsidP="00D1590E">
      <w:pPr>
        <w:rPr>
          <w:rStyle w:val="AERbody"/>
        </w:rPr>
      </w:pPr>
      <w:r w:rsidRPr="00D1590E">
        <w:rPr>
          <w:rStyle w:val="AERbody"/>
        </w:rPr>
        <w:t>The first step we took in developing our benchmarking data base was to consult criteria for selecting input, output and operating environment factors.  We set out our initial selection criteria in our issues paper we released for the Guideline.</w:t>
      </w:r>
      <w:r w:rsidRPr="00D1590E">
        <w:rPr>
          <w:rStyle w:val="FootnoteReference"/>
        </w:rPr>
        <w:footnoteReference w:id="297"/>
      </w:r>
      <w:r w:rsidRPr="00D1590E">
        <w:rPr>
          <w:rStyle w:val="AERbody"/>
        </w:rPr>
        <w:t xml:space="preserve"> Our final selection criteria are set out in the explanatory statement to the Guideline.</w:t>
      </w:r>
      <w:r w:rsidRPr="00D1590E">
        <w:rPr>
          <w:rStyle w:val="FootnoteReference"/>
        </w:rPr>
        <w:footnoteReference w:id="298"/>
      </w:r>
    </w:p>
    <w:p w:rsidR="00D1590E" w:rsidRPr="00D1590E" w:rsidRDefault="00D1590E" w:rsidP="00D1590E">
      <w:pPr>
        <w:rPr>
          <w:rStyle w:val="AERbody"/>
        </w:rPr>
      </w:pPr>
      <w:r w:rsidRPr="00D1590E">
        <w:rPr>
          <w:rStyle w:val="AERbody"/>
        </w:rPr>
        <w:t>We also developed a broad data set for benchmarking. In developing this data set we considered the model specifications applied in other service provider benchmarking studies.</w:t>
      </w:r>
      <w:r w:rsidRPr="00D1590E">
        <w:rPr>
          <w:rStyle w:val="FootnoteReference"/>
        </w:rPr>
        <w:footnoteReference w:id="299"/>
      </w:r>
    </w:p>
    <w:p w:rsidR="00D1590E" w:rsidRPr="00D1590E" w:rsidRDefault="00D1590E" w:rsidP="00D1590E">
      <w:pPr>
        <w:rPr>
          <w:rStyle w:val="AERbody"/>
        </w:rPr>
      </w:pPr>
      <w:r w:rsidRPr="00D1590E">
        <w:rPr>
          <w:rStyle w:val="AERbody"/>
        </w:rPr>
        <w:t>As part of the Better Regulation reform program we hosted open workshops which were chaperoned by Economic Insights. In these workshops we consulted on engineering, accounting and economic aspects of the model specification with service providers and other interested stakeholders. We published numerous papers on the inputs, outputs and operating environment circumstances of service providers and how these should be measured.</w:t>
      </w:r>
    </w:p>
    <w:p w:rsidR="00D1590E" w:rsidRPr="00D1590E" w:rsidRDefault="00D1590E" w:rsidP="00D1590E">
      <w:pPr>
        <w:rPr>
          <w:rStyle w:val="AERbody"/>
        </w:rPr>
      </w:pPr>
      <w:r w:rsidRPr="00D1590E">
        <w:rPr>
          <w:rStyle w:val="AERbody"/>
        </w:rPr>
        <w:lastRenderedPageBreak/>
        <w:t>In light of the selection criteria and workshops Economic Insights developed a preliminary model specification which we stated we would test once we collected data.</w:t>
      </w:r>
      <w:r w:rsidRPr="00D1590E">
        <w:rPr>
          <w:rStyle w:val="FootnoteReference"/>
        </w:rPr>
        <w:footnoteReference w:id="300"/>
      </w:r>
      <w:r w:rsidRPr="00D1590E">
        <w:rPr>
          <w:rStyle w:val="AERbody"/>
        </w:rPr>
        <w:t xml:space="preserve"> Once we received data Economic Insights ran a number of different model specifications including the preliminary model specification.</w:t>
      </w:r>
      <w:r w:rsidRPr="00D1590E">
        <w:rPr>
          <w:rStyle w:val="FootnoteReference"/>
        </w:rPr>
        <w:footnoteReference w:id="301"/>
      </w:r>
      <w:r w:rsidRPr="00D1590E">
        <w:rPr>
          <w:rStyle w:val="AERbody"/>
        </w:rPr>
        <w:t xml:space="preserve">  Economic Insights identified a preferred MPFP model specification on the basis that this specification was not biased towards a particular type of service provider unlike the other model specifications they ran.</w:t>
      </w:r>
      <w:r w:rsidRPr="00D1590E">
        <w:rPr>
          <w:rStyle w:val="FootnoteReference"/>
        </w:rPr>
        <w:footnoteReference w:id="302"/>
      </w:r>
      <w:r w:rsidRPr="00D1590E">
        <w:rPr>
          <w:rStyle w:val="AERbody"/>
        </w:rPr>
        <w:t xml:space="preserve">  We circulated the results of the preferred model specification and other specifications that were run by Economic Insights in consultation on our draft annual benchmarking report. Economic Insights modified the MPFP model specification in light of comments received from stakeholders and produced a report based on these considerations which we had regard to in making our draft determination.</w:t>
      </w:r>
      <w:r w:rsidRPr="00D1590E">
        <w:rPr>
          <w:rStyle w:val="FootnoteReference"/>
        </w:rPr>
        <w:footnoteReference w:id="303"/>
      </w:r>
      <w:r w:rsidRPr="00D1590E">
        <w:rPr>
          <w:rStyle w:val="AERbody"/>
        </w:rPr>
        <w:t xml:space="preserve"> </w:t>
      </w:r>
    </w:p>
    <w:p w:rsidR="00D1590E" w:rsidRPr="00D1590E" w:rsidRDefault="00D1590E" w:rsidP="00D1590E">
      <w:pPr>
        <w:rPr>
          <w:rStyle w:val="AERbody"/>
        </w:rPr>
      </w:pPr>
      <w:r w:rsidRPr="00D1590E">
        <w:rPr>
          <w:rStyle w:val="AERbody"/>
        </w:rPr>
        <w:t>We released the benchmarking model and underlying data for consultation with our draft determination. We have considered submissions on the model specification, including alternative models that have been developed, and consider that Economic Insights' model specification is the most appropriate. Their model specification has been developed through extensive consultation, drawing on industry knowledge and expertise, economic theory and their econometric experience. The reasons for not adopting alternative model specifications proposed in submissions below.</w:t>
      </w:r>
    </w:p>
    <w:p w:rsidR="00D1590E" w:rsidRPr="00D1590E" w:rsidRDefault="00D1590E" w:rsidP="00D1590E">
      <w:pPr>
        <w:pStyle w:val="HeadingBoldItalic"/>
      </w:pPr>
      <w:r w:rsidRPr="00D1590E">
        <w:t>Outputs, Inputs and operating environment factors</w:t>
      </w:r>
    </w:p>
    <w:p w:rsidR="00D1590E" w:rsidRPr="00D1590E" w:rsidRDefault="00D1590E" w:rsidP="00D1590E">
      <w:r w:rsidRPr="00D1590E">
        <w:t>Model specification comprises the input, outputs and operating environment variables relevant to the networks operated by the service providers. In this section we separately outline why their inputs, outputs and operating environment factors are appropriate. Economic Insights sets out its reasoning for its model specification in section 2 of its report.</w:t>
      </w:r>
      <w:r w:rsidRPr="00D1590E">
        <w:rPr>
          <w:rStyle w:val="FootnoteReference"/>
        </w:rPr>
        <w:footnoteReference w:id="304"/>
      </w:r>
    </w:p>
    <w:p w:rsidR="00D1590E" w:rsidRPr="00D1590E" w:rsidRDefault="00D1590E" w:rsidP="00D1590E">
      <w:pPr>
        <w:pStyle w:val="HeadingItalic"/>
      </w:pPr>
      <w:r w:rsidRPr="00D1590E">
        <w:t>Outputs</w:t>
      </w:r>
    </w:p>
    <w:p w:rsidR="00D1590E" w:rsidRPr="00D1590E" w:rsidRDefault="00D1590E" w:rsidP="00D1590E">
      <w:pPr>
        <w:rPr>
          <w:rStyle w:val="AERbody"/>
        </w:rPr>
      </w:pPr>
      <w:r w:rsidRPr="00D1590E">
        <w:rPr>
          <w:rStyle w:val="AERbody"/>
        </w:rPr>
        <w:t>The outputs that we applied in our Cobb Douglas SFA model are:</w:t>
      </w:r>
    </w:p>
    <w:p w:rsidR="00D1590E" w:rsidRPr="00D1590E" w:rsidRDefault="00D1590E" w:rsidP="00D1590E">
      <w:pPr>
        <w:pStyle w:val="AERbulletlistfirststyle"/>
        <w:rPr>
          <w:rStyle w:val="AERbody"/>
        </w:rPr>
      </w:pPr>
      <w:r w:rsidRPr="00D1590E">
        <w:rPr>
          <w:rStyle w:val="AERbody"/>
        </w:rPr>
        <w:t>Ratcheted maximum demand</w:t>
      </w:r>
    </w:p>
    <w:p w:rsidR="00D1590E" w:rsidRPr="00D1590E" w:rsidRDefault="00D1590E" w:rsidP="00D1590E">
      <w:pPr>
        <w:pStyle w:val="AERbulletlistfirststyle"/>
        <w:rPr>
          <w:rStyle w:val="AERbody"/>
        </w:rPr>
      </w:pPr>
      <w:r w:rsidRPr="00D1590E">
        <w:rPr>
          <w:rStyle w:val="AERbody"/>
        </w:rPr>
        <w:t>Customer numbers</w:t>
      </w:r>
    </w:p>
    <w:p w:rsidR="00D1590E" w:rsidRPr="00D1590E" w:rsidRDefault="00D1590E" w:rsidP="00D1590E">
      <w:pPr>
        <w:pStyle w:val="AERbulletlistfirststyle"/>
        <w:rPr>
          <w:rStyle w:val="AERbody"/>
        </w:rPr>
      </w:pPr>
      <w:r w:rsidRPr="00D1590E">
        <w:rPr>
          <w:rStyle w:val="AERbody"/>
        </w:rPr>
        <w:t>Circuit line length</w:t>
      </w:r>
    </w:p>
    <w:p w:rsidR="00D1590E" w:rsidRPr="00D1590E" w:rsidRDefault="00D1590E" w:rsidP="00D1590E">
      <w:r w:rsidRPr="00D1590E">
        <w:t xml:space="preserve">Economic Insights considers that this output specification captures the key elements of service providers' functional outputs that are valued by customers. Also, the ratcheted maximum demand variable introduces an important demand side element to the </w:t>
      </w:r>
      <w:r w:rsidRPr="00D1590E">
        <w:lastRenderedPageBreak/>
        <w:t>measurement of system capacity outputs required.</w:t>
      </w:r>
      <w:r w:rsidRPr="00D1590E">
        <w:rPr>
          <w:rStyle w:val="FootnoteReference"/>
        </w:rPr>
        <w:footnoteReference w:id="305"/>
      </w:r>
      <w:r w:rsidRPr="00D1590E">
        <w:t xml:space="preserve"> PEGR applied these variables, as well as energy delivered, in its economic benchmarking analysis undertaken for the Ontario Energy Board.</w:t>
      </w:r>
      <w:r w:rsidRPr="00D1590E">
        <w:rPr>
          <w:rStyle w:val="FootnoteReference"/>
        </w:rPr>
        <w:footnoteReference w:id="306"/>
      </w:r>
      <w:r w:rsidRPr="00D1590E">
        <w:t xml:space="preserve"> </w:t>
      </w:r>
    </w:p>
    <w:p w:rsidR="00D1590E" w:rsidRPr="00D1590E" w:rsidRDefault="00D1590E" w:rsidP="00D1590E">
      <w:r w:rsidRPr="00D1590E">
        <w:t>This specification has the advantage of incorporating all of a service provider's main outputs. A service provider needs to provide the capacity necessary to meet demand. This capacity output is better captured by the ratcheted maximum demand variable.</w:t>
      </w:r>
      <w:r w:rsidRPr="00D1590E">
        <w:rPr>
          <w:rStyle w:val="FootnoteReference"/>
        </w:rPr>
        <w:footnoteReference w:id="307"/>
      </w:r>
      <w:r w:rsidRPr="00D1590E">
        <w:t xml:space="preserve"> Fixed components of distribution output (such as providing access for each customer) are captured by the customer numbers output. The distance over which service providers have to distribute electricity, and the number of assets required to do so, is likely to be captured by the circuit line length variable.</w:t>
      </w:r>
    </w:p>
    <w:p w:rsidR="00D1590E" w:rsidRPr="00D1590E" w:rsidRDefault="00D1590E" w:rsidP="00D1590E">
      <w:pPr>
        <w:pStyle w:val="HeadingItalic"/>
      </w:pPr>
      <w:r w:rsidRPr="00D1590E">
        <w:t>Inputs</w:t>
      </w:r>
    </w:p>
    <w:p w:rsidR="00D1590E" w:rsidRPr="00D1590E" w:rsidRDefault="00D1590E" w:rsidP="00D1590E">
      <w:r w:rsidRPr="00D1590E">
        <w:t xml:space="preserve">Our benchmarking model only includes one input, which is opex. This is appropriate as the purpose of the model is to consider the efficiency of the service providers in using opex to deliver their outputs. </w:t>
      </w:r>
    </w:p>
    <w:p w:rsidR="00D1590E" w:rsidRPr="00D1590E" w:rsidRDefault="00D1590E" w:rsidP="00D1590E">
      <w:pPr>
        <w:pStyle w:val="HeadingItalic"/>
      </w:pPr>
      <w:r w:rsidRPr="00D1590E">
        <w:t>Operating environment factors</w:t>
      </w:r>
    </w:p>
    <w:p w:rsidR="00D1590E" w:rsidRPr="00D1590E" w:rsidRDefault="00D1590E" w:rsidP="00D1590E">
      <w:r w:rsidRPr="00D1590E">
        <w:t>Our opex modelling directly accounts for a number of operating environment factor differences. Economic Insights' model specification directly accounts for the main density factors such as customer density and demand density. This is because, as noted by Economic Insights, customer numbers, line length and ratcheted maximum demand are included as outputs.</w:t>
      </w:r>
      <w:r w:rsidRPr="00D1590E">
        <w:rPr>
          <w:rStyle w:val="FootnoteReference"/>
        </w:rPr>
        <w:footnoteReference w:id="308"/>
      </w:r>
      <w:r w:rsidRPr="00D1590E">
        <w:t xml:space="preserve"> </w:t>
      </w:r>
    </w:p>
    <w:p w:rsidR="00D1590E" w:rsidRPr="00D1590E" w:rsidRDefault="00D1590E" w:rsidP="00D1590E">
      <w:r w:rsidRPr="00D1590E">
        <w:t xml:space="preserve">The model specification also accounts for the effect of underground lines by including an operating environment variable for the proportion of underground lines. Underground lines will require less maintenance and no vegetation management. Further, underground lines are less exposed to exogenous factors that may cause network interruptions. </w:t>
      </w:r>
    </w:p>
    <w:p w:rsidR="00D1590E" w:rsidRPr="00D1590E" w:rsidRDefault="00D1590E" w:rsidP="00D1590E">
      <w:r w:rsidRPr="00D1590E">
        <w:t>To capture the effect of cross country operating environment differences Economic Insights also includes dummy variables for Ontario and New Zealand service providers.</w:t>
      </w:r>
      <w:r w:rsidRPr="00D1590E">
        <w:rPr>
          <w:rStyle w:val="FootnoteReference"/>
        </w:rPr>
        <w:footnoteReference w:id="309"/>
      </w:r>
      <w:r w:rsidRPr="00D1590E">
        <w:t xml:space="preserve"> </w:t>
      </w:r>
    </w:p>
    <w:p w:rsidR="00D1590E" w:rsidRPr="00D1590E" w:rsidRDefault="00D1590E" w:rsidP="00D1590E">
      <w:pPr>
        <w:rPr>
          <w:rStyle w:val="AERbody"/>
        </w:rPr>
      </w:pPr>
      <w:r w:rsidRPr="00D1590E">
        <w:rPr>
          <w:rStyle w:val="AERbody"/>
        </w:rPr>
        <w:lastRenderedPageBreak/>
        <w:t xml:space="preserve">We separately estimated the effect of operating environment factors that could not be directly incorporated into Economic Insights' Cobb Douglas SFA model. Our analysis of these adjustments is detailed in section </w:t>
      </w:r>
      <w:r w:rsidRPr="00D1590E">
        <w:rPr>
          <w:rStyle w:val="AERbody"/>
        </w:rPr>
        <w:fldChar w:fldCharType="begin"/>
      </w:r>
      <w:r w:rsidRPr="00D1590E">
        <w:rPr>
          <w:rStyle w:val="AERbody"/>
        </w:rPr>
        <w:instrText xml:space="preserve"> REF _Ref417551822 \n \h </w:instrText>
      </w:r>
      <w:r w:rsidRPr="00D1590E">
        <w:rPr>
          <w:rStyle w:val="AERbody"/>
        </w:rPr>
      </w:r>
      <w:r w:rsidRPr="00D1590E">
        <w:rPr>
          <w:rStyle w:val="AERbody"/>
        </w:rPr>
        <w:fldChar w:fldCharType="separate"/>
      </w:r>
      <w:r w:rsidR="00C57342">
        <w:rPr>
          <w:rStyle w:val="AERbody"/>
        </w:rPr>
        <w:t>A.6</w:t>
      </w:r>
      <w:r w:rsidRPr="00D1590E">
        <w:rPr>
          <w:rStyle w:val="AERbody"/>
        </w:rPr>
        <w:fldChar w:fldCharType="end"/>
      </w:r>
      <w:r w:rsidRPr="00D1590E">
        <w:rPr>
          <w:rStyle w:val="AERbody"/>
        </w:rPr>
        <w:t>.</w:t>
      </w:r>
    </w:p>
    <w:p w:rsidR="00D1590E" w:rsidRPr="00D1590E" w:rsidRDefault="00D1590E" w:rsidP="00D1590E">
      <w:r w:rsidRPr="00D1590E">
        <w:rPr>
          <w:rStyle w:val="AERbody"/>
        </w:rPr>
        <w:t>Some of service providers' consultants submit that we should have made adjustments to the data prior to undertaking the modelling for operating environment factors.</w:t>
      </w:r>
      <w:r w:rsidRPr="00D1590E">
        <w:rPr>
          <w:rStyle w:val="FootnoteReference"/>
        </w:rPr>
        <w:footnoteReference w:id="310"/>
      </w:r>
      <w:r w:rsidRPr="00D1590E">
        <w:rPr>
          <w:rStyle w:val="AERbody"/>
        </w:rPr>
        <w:t xml:space="preserve">  We consider that making ex-post adjustments for operating environment factors, as advised by Economic Insights, is an effective, reasoned and practical approach.</w:t>
      </w:r>
      <w:r w:rsidRPr="00D1590E">
        <w:rPr>
          <w:rStyle w:val="FootnoteReference"/>
        </w:rPr>
        <w:t xml:space="preserve"> </w:t>
      </w:r>
    </w:p>
    <w:p w:rsidR="00D1590E" w:rsidRPr="00D1590E" w:rsidRDefault="00D1590E" w:rsidP="00D1590E">
      <w:pPr>
        <w:rPr>
          <w:rStyle w:val="AERbody"/>
        </w:rPr>
      </w:pPr>
      <w:r w:rsidRPr="00D1590E">
        <w:rPr>
          <w:rStyle w:val="AERbody"/>
        </w:rPr>
        <w:t>To adjust for operating environment factors prior to modelling we would need to adjust each data point in the sample for the presumed effect of each operating environment factor. This is impractical with the numerous operating environment factors we have considered.  To do this would involve considerable judgement regarding the effect of operating environment factors to the 68 service providers in the sample.</w:t>
      </w:r>
      <w:r w:rsidRPr="00D1590E">
        <w:rPr>
          <w:rStyle w:val="FootnoteReference"/>
        </w:rPr>
        <w:t xml:space="preserve"> </w:t>
      </w:r>
    </w:p>
    <w:p w:rsidR="00D1590E" w:rsidRPr="00D1590E" w:rsidRDefault="00D1590E" w:rsidP="00D1590E">
      <w:pPr>
        <w:rPr>
          <w:rStyle w:val="AERbody"/>
        </w:rPr>
      </w:pPr>
      <w:r w:rsidRPr="00D1590E">
        <w:rPr>
          <w:rStyle w:val="AERbody"/>
        </w:rPr>
        <w:t>Other consultants have argued that we need to directly incorporate more operating environment factors into the model.</w:t>
      </w:r>
      <w:r w:rsidRPr="00D1590E">
        <w:rPr>
          <w:rStyle w:val="FootnoteReference"/>
        </w:rPr>
        <w:footnoteReference w:id="311"/>
      </w:r>
      <w:r w:rsidRPr="00D1590E">
        <w:rPr>
          <w:rStyle w:val="AERbody"/>
        </w:rPr>
        <w:t xml:space="preserve"> We consider this approach is inappropriate as:</w:t>
      </w:r>
    </w:p>
    <w:p w:rsidR="00D1590E" w:rsidRPr="00D1590E" w:rsidRDefault="00D1590E" w:rsidP="00D1590E">
      <w:pPr>
        <w:pStyle w:val="AERbulletlistfirststyle"/>
        <w:rPr>
          <w:rStyle w:val="AERbody"/>
        </w:rPr>
      </w:pPr>
      <w:r w:rsidRPr="00D1590E">
        <w:rPr>
          <w:rStyle w:val="AERbody"/>
        </w:rPr>
        <w:t>only a limited number of variables can be included in economic benchmarking analysis</w:t>
      </w:r>
      <w:r w:rsidRPr="00D1590E">
        <w:rPr>
          <w:rStyle w:val="FootnoteReference"/>
        </w:rPr>
        <w:footnoteReference w:id="312"/>
      </w:r>
    </w:p>
    <w:p w:rsidR="00D1590E" w:rsidRPr="00D1590E" w:rsidRDefault="00D1590E" w:rsidP="00D1590E">
      <w:pPr>
        <w:pStyle w:val="AERbulletlistfirststyle"/>
        <w:rPr>
          <w:rStyle w:val="AERbody"/>
        </w:rPr>
      </w:pPr>
      <w:r w:rsidRPr="00D1590E">
        <w:rPr>
          <w:rStyle w:val="AERbody"/>
        </w:rPr>
        <w:t>Economic Insights has captured a number of important operating environment factors directly in its model</w:t>
      </w:r>
      <w:r w:rsidRPr="00D1590E">
        <w:rPr>
          <w:rStyle w:val="FootnoteReference"/>
        </w:rPr>
        <w:footnoteReference w:id="313"/>
      </w:r>
    </w:p>
    <w:p w:rsidR="00D1590E" w:rsidRPr="00D1590E" w:rsidRDefault="00D1590E" w:rsidP="00D1590E">
      <w:pPr>
        <w:pStyle w:val="AERbulletlistfirststyle"/>
        <w:rPr>
          <w:rStyle w:val="AERbody"/>
        </w:rPr>
      </w:pPr>
      <w:r w:rsidRPr="00D1590E">
        <w:rPr>
          <w:rStyle w:val="AERbody"/>
        </w:rPr>
        <w:t>The availability of data on operating environment factors  is a constraint on the number of operating environment factors that can be directly incorporated into the model</w:t>
      </w:r>
      <w:r w:rsidRPr="00D1590E">
        <w:rPr>
          <w:rStyle w:val="FootnoteReference"/>
        </w:rPr>
        <w:footnoteReference w:id="314"/>
      </w:r>
    </w:p>
    <w:p w:rsidR="00D1590E" w:rsidRPr="00D1590E" w:rsidRDefault="00D1590E" w:rsidP="00D1590E">
      <w:r w:rsidRPr="00D1590E">
        <w:rPr>
          <w:rStyle w:val="AERbody"/>
        </w:rPr>
        <w:t>Given these points we consider that accounting for operating environment factors not directly incorporated in the modelling through post-model adjustments is a preferable approach. Economic Insights supports this conclusion.</w:t>
      </w:r>
      <w:r w:rsidRPr="00D1590E">
        <w:rPr>
          <w:rStyle w:val="FootnoteReference"/>
        </w:rPr>
        <w:footnoteReference w:id="315"/>
      </w:r>
    </w:p>
    <w:p w:rsidR="00D1590E" w:rsidRPr="00D1590E" w:rsidRDefault="00D1590E" w:rsidP="00D1590E">
      <w:pPr>
        <w:pStyle w:val="HeadingBoldItalic"/>
      </w:pPr>
      <w:r w:rsidRPr="00D1590E">
        <w:t>Proposed alternative approaches are not appropriate</w:t>
      </w:r>
    </w:p>
    <w:p w:rsidR="00D1590E" w:rsidRPr="00D1590E" w:rsidRDefault="00D1590E" w:rsidP="00D1590E">
      <w:r w:rsidRPr="00D1590E">
        <w:t xml:space="preserve">We prefer our benchmarking model specification to alternatives proposed by the service providers. The model specification that Economic Insights has applied is an appropriate approach to measuring outputs and inputs for Australian </w:t>
      </w:r>
      <w:r w:rsidR="00C867C5">
        <w:t>distributor</w:t>
      </w:r>
      <w:r w:rsidRPr="00D1590E">
        <w:t xml:space="preserve">s in the current context. This specification was developed the model through a rigorous consultation process, and has been informed by industry knowledge, economic theory </w:t>
      </w:r>
      <w:r w:rsidRPr="00D1590E">
        <w:lastRenderedPageBreak/>
        <w:t xml:space="preserve">and econometric expertise. As noted above, the model specification incorporates key service provider functional output variables valued by customers. </w:t>
      </w:r>
    </w:p>
    <w:p w:rsidR="00D1590E" w:rsidRPr="00D1590E" w:rsidRDefault="00D1590E" w:rsidP="00D1590E">
      <w:r w:rsidRPr="00D1590E">
        <w:t xml:space="preserve">A number of submissions have proposed alternative approaches to incorporating outputs, inputs and operating environment factors into our benchmarking modelling. </w:t>
      </w:r>
    </w:p>
    <w:p w:rsidR="00D1590E" w:rsidRPr="00D1590E" w:rsidRDefault="00D1590E" w:rsidP="00D1590E">
      <w:r w:rsidRPr="00D1590E">
        <w:t>We consider the alternative specifications proposed by consultants in the sections below.</w:t>
      </w:r>
    </w:p>
    <w:p w:rsidR="00D1590E" w:rsidRPr="00D1590E" w:rsidRDefault="00D1590E" w:rsidP="00D1590E">
      <w:pPr>
        <w:pStyle w:val="HeadingItalic"/>
      </w:pPr>
      <w:r w:rsidRPr="00D1590E">
        <w:t>The inclusion of a variable for lines with a voltage of 132 kV and above</w:t>
      </w:r>
    </w:p>
    <w:p w:rsidR="00D1590E" w:rsidRPr="00D1590E" w:rsidRDefault="00D1590E" w:rsidP="00D1590E">
      <w:r w:rsidRPr="00D1590E">
        <w:t>CEPA, PEG and Frontier all include a variable for lines above 66kV in their model.</w:t>
      </w:r>
      <w:r w:rsidRPr="00D1590E">
        <w:rPr>
          <w:rStyle w:val="FootnoteReference"/>
        </w:rPr>
        <w:t xml:space="preserve"> </w:t>
      </w:r>
      <w:r w:rsidRPr="00D1590E">
        <w:rPr>
          <w:rStyle w:val="FootnoteReference"/>
        </w:rPr>
        <w:footnoteReference w:id="316"/>
      </w:r>
      <w:r w:rsidRPr="00D1590E">
        <w:t xml:space="preserve"> </w:t>
      </w:r>
    </w:p>
    <w:p w:rsidR="00D1590E" w:rsidRPr="00D1590E" w:rsidRDefault="00D1590E" w:rsidP="00D1590E">
      <w:r w:rsidRPr="00D1590E">
        <w:t>As noted by Economic Insights, in the benchmarking data set, only service providers in NSW, Queensland and the ACT have significant lengths of lines above this voltage.</w:t>
      </w:r>
      <w:r w:rsidRPr="00D1590E">
        <w:rPr>
          <w:rStyle w:val="FootnoteReference"/>
        </w:rPr>
        <w:footnoteReference w:id="317"/>
      </w:r>
      <w:r w:rsidRPr="00D1590E">
        <w:t xml:space="preserve"> There is therefore a risk that this variable may pick up other characteristics that are shared by </w:t>
      </w:r>
      <w:r w:rsidR="00C867C5">
        <w:t>distributors</w:t>
      </w:r>
      <w:r w:rsidRPr="00D1590E">
        <w:t xml:space="preserve"> in these states relative to </w:t>
      </w:r>
      <w:r w:rsidR="00C867C5">
        <w:t>distributors</w:t>
      </w:r>
      <w:r w:rsidRPr="00D1590E">
        <w:t xml:space="preserve"> in the other states. This appears to be the case.</w:t>
      </w:r>
      <w:r w:rsidRPr="00D1590E">
        <w:rPr>
          <w:rStyle w:val="FootnoteReference"/>
        </w:rPr>
        <w:footnoteReference w:id="318"/>
      </w:r>
      <w:r w:rsidRPr="00D1590E">
        <w:t xml:space="preserve"> </w:t>
      </w:r>
    </w:p>
    <w:p w:rsidR="00D1590E" w:rsidRPr="00D1590E" w:rsidRDefault="00D1590E" w:rsidP="00D1590E">
      <w:r w:rsidRPr="00D1590E">
        <w:t>A useful comparison point is the costs that Ausgrid actually allocates to these assets in its regulatory accounts which we have used to develop our operating environment factor adjustment for these assets. Ausgrid reports its costs for 66kV and above assets separately (as they are predominantly classified as dual function assets). In its category analysis RIN AusGrid allocated 7.5 per cent of its opex to 132 kV lines. However:</w:t>
      </w:r>
    </w:p>
    <w:p w:rsidR="00D1590E" w:rsidRPr="00D1590E" w:rsidRDefault="00D1590E" w:rsidP="00D1590E">
      <w:pPr>
        <w:pStyle w:val="AERbulletlistfirststyle"/>
      </w:pPr>
      <w:r w:rsidRPr="00D1590E">
        <w:t>CEPA's modelling implies that 31 per cent of AusGrid's opex would be allocated to these assets</w:t>
      </w:r>
    </w:p>
    <w:p w:rsidR="00D1590E" w:rsidRPr="00D1590E" w:rsidRDefault="00D1590E" w:rsidP="00D1590E">
      <w:pPr>
        <w:pStyle w:val="AERbulletlistfirststyle"/>
      </w:pPr>
      <w:r w:rsidRPr="00D1590E">
        <w:t>PEG's model implies that 44 per cent of AusGrid's opex would be allocated to these assets</w:t>
      </w:r>
    </w:p>
    <w:p w:rsidR="00D1590E" w:rsidRPr="00D1590E" w:rsidRDefault="00D1590E" w:rsidP="00D1590E">
      <w:pPr>
        <w:pStyle w:val="AERbulletlistfirststyle"/>
      </w:pPr>
      <w:r w:rsidRPr="00D1590E">
        <w:t>Frontier's model implies 34 per cent of AusGrid's opex would be allocated to these assets</w:t>
      </w:r>
      <w:r w:rsidRPr="00D1590E">
        <w:rPr>
          <w:rStyle w:val="FootnoteReference"/>
        </w:rPr>
        <w:t xml:space="preserve"> </w:t>
      </w:r>
      <w:r w:rsidRPr="00D1590E">
        <w:rPr>
          <w:rStyle w:val="FootnoteReference"/>
        </w:rPr>
        <w:footnoteReference w:id="319"/>
      </w:r>
      <w:r w:rsidRPr="00D1590E">
        <w:t xml:space="preserve"> </w:t>
      </w:r>
    </w:p>
    <w:p w:rsidR="00D1590E" w:rsidRPr="00D1590E" w:rsidRDefault="00D1590E" w:rsidP="00D1590E">
      <w:pPr>
        <w:pStyle w:val="HeadingItalic"/>
      </w:pPr>
      <w:r w:rsidRPr="00D1590E">
        <w:t>Incorrect output specification</w:t>
      </w:r>
    </w:p>
    <w:p w:rsidR="00D1590E" w:rsidRPr="00D1590E" w:rsidRDefault="00D1590E" w:rsidP="00D1590E">
      <w:r w:rsidRPr="00D1590E">
        <w:t xml:space="preserve">We consider that a number of the alternative models have an incomplete output specification. For instance, CEPA develops a benchmarking model with only one </w:t>
      </w:r>
      <w:r w:rsidRPr="00D1590E">
        <w:lastRenderedPageBreak/>
        <w:t>primary output.</w:t>
      </w:r>
      <w:r w:rsidRPr="00D1590E">
        <w:rPr>
          <w:rStyle w:val="FootnoteReference"/>
        </w:rPr>
        <w:footnoteReference w:id="320"/>
      </w:r>
      <w:r w:rsidRPr="00D1590E">
        <w:rPr>
          <w:rStyle w:val="FootnoteReference"/>
        </w:rPr>
        <w:t xml:space="preserve"> </w:t>
      </w:r>
      <w:r w:rsidRPr="00D1590E">
        <w:t>We consider that it is necessary to incorporate several output variables to adequately represent the functional outputs of service providers, and Economic Insights agrees.</w:t>
      </w:r>
      <w:r w:rsidRPr="00D1590E">
        <w:rPr>
          <w:rStyle w:val="FootnoteReference"/>
        </w:rPr>
        <w:footnoteReference w:id="321"/>
      </w:r>
      <w:r w:rsidRPr="00D1590E">
        <w:t xml:space="preserve"> </w:t>
      </w:r>
    </w:p>
    <w:p w:rsidR="00D1590E" w:rsidRPr="00D1590E" w:rsidRDefault="00D1590E" w:rsidP="00D1590E">
      <w:r w:rsidRPr="00D1590E">
        <w:t>Huegin run a number of models using the outdated output specifications proposed by the AER and Economic Insights when consulting on the development of benchmarking models.</w:t>
      </w:r>
      <w:r w:rsidRPr="00D1590E">
        <w:rPr>
          <w:rStyle w:val="FootnoteReference"/>
        </w:rPr>
        <w:footnoteReference w:id="322"/>
      </w:r>
      <w:r w:rsidRPr="00D1590E">
        <w:t xml:space="preserve"> However, Huegin did not address the issues identified by Economic Insights when Economic Insights ran these specifications (like the multiplicative nature of the lines and transformer capacity variable).</w:t>
      </w:r>
      <w:r w:rsidRPr="00D1590E">
        <w:rPr>
          <w:rStyle w:val="FootnoteReference"/>
        </w:rPr>
        <w:footnoteReference w:id="323"/>
      </w:r>
      <w:r w:rsidRPr="00D1590E">
        <w:t xml:space="preserve"> These concerns were set out in the memorandum Economic Insights developed on its MTFP benchmarking.</w:t>
      </w:r>
      <w:r w:rsidRPr="00D1590E">
        <w:rPr>
          <w:rStyle w:val="FootnoteReference"/>
        </w:rPr>
        <w:footnoteReference w:id="324"/>
      </w:r>
      <w:r w:rsidRPr="00D1590E">
        <w:t xml:space="preserve"> We consider that these alternative output specifications have been superseded and Economic Insights agrees.</w:t>
      </w:r>
      <w:r w:rsidRPr="00D1590E">
        <w:rPr>
          <w:rStyle w:val="FootnoteReference"/>
        </w:rPr>
        <w:footnoteReference w:id="325"/>
      </w:r>
    </w:p>
    <w:p w:rsidR="00D1590E" w:rsidRPr="00D1590E" w:rsidRDefault="00D1590E" w:rsidP="00D1590E">
      <w:pPr>
        <w:pStyle w:val="HeadingItalic"/>
      </w:pPr>
      <w:r w:rsidRPr="00D1590E">
        <w:t>Incorrect input specification</w:t>
      </w:r>
    </w:p>
    <w:p w:rsidR="00D1590E" w:rsidRPr="00D1590E" w:rsidRDefault="00D1590E" w:rsidP="00D1590E">
      <w:r w:rsidRPr="00D1590E">
        <w:t>In a number of instances we have identified issues with the approach taken to incorporate inputs into alternative benchmarking models. We detail these below.</w:t>
      </w:r>
    </w:p>
    <w:p w:rsidR="00D1590E" w:rsidRPr="00D1590E" w:rsidRDefault="00D1590E" w:rsidP="00D1590E">
      <w:r w:rsidRPr="00D1590E">
        <w:t>Synergies applies a DEA model with three inputs: opex, MVA of transformer capacity and the user cost of capital of distribution lines (the value used to weight capital inputs under Economic Insights' benchmarking model).</w:t>
      </w:r>
      <w:r w:rsidRPr="00D1590E">
        <w:rPr>
          <w:rStyle w:val="FootnoteReference"/>
        </w:rPr>
        <w:footnoteReference w:id="326"/>
      </w:r>
      <w:r w:rsidRPr="00D1590E">
        <w:t xml:space="preserve"> We consider that the addition of the user cost of capital of distribution lines means that the modelling cannot be used to draw conclusions in regards to opex efficiency.</w:t>
      </w:r>
      <w:r w:rsidRPr="00D1590E">
        <w:rPr>
          <w:rStyle w:val="FootnoteReference"/>
        </w:rPr>
        <w:footnoteReference w:id="327"/>
      </w:r>
      <w:r w:rsidRPr="00D1590E">
        <w:t xml:space="preserve"> </w:t>
      </w:r>
    </w:p>
    <w:p w:rsidR="00D1590E" w:rsidRPr="00D1590E" w:rsidRDefault="00D1590E" w:rsidP="00D1590E">
      <w:r w:rsidRPr="00D1590E">
        <w:t>McKell's model only models a subset of opex, composed of maintenance, repair, inspection, vegetation management and similar 'upkeep' costs.</w:t>
      </w:r>
      <w:r w:rsidRPr="00D1590E">
        <w:rPr>
          <w:rStyle w:val="FootnoteReference"/>
        </w:rPr>
        <w:footnoteReference w:id="328"/>
      </w:r>
      <w:r w:rsidRPr="00D1590E">
        <w:t xml:space="preserve"> The upkeep costs exclude overhead costs.</w:t>
      </w:r>
      <w:r w:rsidRPr="00D1590E">
        <w:rPr>
          <w:rStyle w:val="FootnoteReference"/>
        </w:rPr>
        <w:footnoteReference w:id="329"/>
      </w:r>
      <w:r w:rsidRPr="00D1590E">
        <w:t xml:space="preserve"> These are a significant proportion of service provider costs. Because costs are excluded from McKell's model it does not measure the efficiency total opex (which also includes overhead costs and service provider operating costs). We prefer Economic Insights' benchmarking modelling because it estimates total opex.</w:t>
      </w:r>
      <w:r w:rsidRPr="00D1590E">
        <w:rPr>
          <w:rStyle w:val="FootnoteReference"/>
        </w:rPr>
        <w:footnoteReference w:id="330"/>
      </w:r>
      <w:r w:rsidRPr="00D1590E">
        <w:t xml:space="preserve"> We note that the Energy Supply Association of Australia also notes this limitation of McKell's analysis.</w:t>
      </w:r>
      <w:r w:rsidRPr="00D1590E">
        <w:rPr>
          <w:rStyle w:val="FootnoteReference"/>
        </w:rPr>
        <w:footnoteReference w:id="331"/>
      </w:r>
    </w:p>
    <w:p w:rsidR="00D1590E" w:rsidRPr="00D1590E" w:rsidRDefault="00D1590E" w:rsidP="00D1590E">
      <w:r w:rsidRPr="00D1590E">
        <w:lastRenderedPageBreak/>
        <w:t>PEG submits that it is necessary to levelise opex prices across service providers.</w:t>
      </w:r>
      <w:r w:rsidRPr="00D1590E">
        <w:rPr>
          <w:rStyle w:val="FootnoteReference"/>
        </w:rPr>
        <w:footnoteReference w:id="332"/>
      </w:r>
      <w:r w:rsidRPr="00D1590E">
        <w:t xml:space="preserve"> By ‘levelising’ prices, PEG means that we should not use a common opex price index. Instead, PEG submits that we should make allowance for possible different price levels across service providers.</w:t>
      </w:r>
      <w:r w:rsidRPr="00D1590E">
        <w:rPr>
          <w:rStyle w:val="FootnoteReference"/>
        </w:rPr>
        <w:footnoteReference w:id="333"/>
      </w:r>
      <w:r w:rsidRPr="00D1590E">
        <w:t xml:space="preserve"> </w:t>
      </w:r>
    </w:p>
    <w:p w:rsidR="00D1590E" w:rsidRPr="00D1590E" w:rsidRDefault="00D1590E" w:rsidP="00D1590E">
      <w:r w:rsidRPr="00D1590E">
        <w:t>Economic Insights explains that assuming a common annual opex price level and growth rate across service providers provides a more accurate and unbiased approach. This is because the mining boom in Australia has led to a high demand for field staff of the type employed by service providers right across Australia over the last several years. This has had the effect of greatly reducing any pre–existing labour price differences for field staff across the country.</w:t>
      </w:r>
      <w:r w:rsidRPr="00D1590E">
        <w:rPr>
          <w:rStyle w:val="FootnoteReference"/>
        </w:rPr>
        <w:t xml:space="preserve"> </w:t>
      </w:r>
      <w:r w:rsidRPr="00D1590E">
        <w:rPr>
          <w:rStyle w:val="FootnoteReference"/>
        </w:rPr>
        <w:footnoteReference w:id="334"/>
      </w:r>
      <w:r w:rsidRPr="00D1590E">
        <w:t xml:space="preserve"> </w:t>
      </w:r>
    </w:p>
    <w:p w:rsidR="00D1590E" w:rsidRPr="00D1590E" w:rsidRDefault="00D1590E" w:rsidP="00D1590E">
      <w:bookmarkStart w:id="245" w:name="_Toc415230982"/>
      <w:r w:rsidRPr="00D1590E">
        <w:t xml:space="preserve">Economic Insights also observes that there is inadequate information to levelise Australian service provider opex prices and that PEG’s attempts to introduce differences in opex price levels and price growth rates across </w:t>
      </w:r>
      <w:r w:rsidR="00C867C5">
        <w:t>distributors</w:t>
      </w:r>
      <w:r w:rsidRPr="00D1590E">
        <w:t xml:space="preserve"> is likely to create errors.</w:t>
      </w:r>
      <w:r w:rsidRPr="00D1590E">
        <w:rPr>
          <w:rStyle w:val="FootnoteReference"/>
        </w:rPr>
        <w:footnoteReference w:id="335"/>
      </w:r>
    </w:p>
    <w:p w:rsidR="00D1590E" w:rsidRPr="00D1590E" w:rsidRDefault="00D1590E" w:rsidP="00D1590E">
      <w:pPr>
        <w:pStyle w:val="HeadingBoldBlue"/>
      </w:pPr>
      <w:bookmarkStart w:id="246" w:name="_Toc417646283"/>
      <w:r w:rsidRPr="00D1590E">
        <w:t>Data</w:t>
      </w:r>
      <w:bookmarkEnd w:id="245"/>
      <w:bookmarkEnd w:id="246"/>
    </w:p>
    <w:p w:rsidR="00D1590E" w:rsidRPr="00D1590E" w:rsidRDefault="00D1590E" w:rsidP="00D1590E">
      <w:r w:rsidRPr="00D1590E">
        <w:t>In this sub-section we explain, in response to the service providers' criticisms, why our data is robust, reliable and used appropriately. First, we explain why we have used international data and our approach to incorporating it. In doing so, we address the approaches proposed by the service providers. Second, we emphasise the comparability of the data we have used. Third, we respond to the service providers' submissions on the quality of the data. Finally, we explain why our approach to conducting post-modelling adjustments is preferable to alternatives put forward by the service providers.</w:t>
      </w:r>
    </w:p>
    <w:p w:rsidR="00D1590E" w:rsidRPr="00D1590E" w:rsidRDefault="00D1590E" w:rsidP="00D1590E">
      <w:pPr>
        <w:pStyle w:val="HeadingBoldItalic"/>
      </w:pPr>
      <w:r w:rsidRPr="00D1590E">
        <w:t>International data</w:t>
      </w:r>
    </w:p>
    <w:p w:rsidR="00D1590E" w:rsidRPr="00D1590E" w:rsidRDefault="00D1590E" w:rsidP="00D1590E">
      <w:r w:rsidRPr="00D1590E">
        <w:t>We explained in our draft decision that Economic Insights included international data in the econometric models. Specifically, Economic Insights used databases of service providers from New Zealand and Ontario.</w:t>
      </w:r>
      <w:r w:rsidRPr="00D1590E">
        <w:rPr>
          <w:rStyle w:val="FootnoteReference"/>
        </w:rPr>
        <w:footnoteReference w:id="336"/>
      </w:r>
      <w:r w:rsidRPr="00D1590E">
        <w:t xml:space="preserve"> Economic Insights also investigated including data from the US but decided against doing so. This was due to the US data not being of consistent quality, incorporating data from vertically integrated monopolies (which introduces cost allocation issues) and lacking consistent data on variables such as line length and maximum demand.</w:t>
      </w:r>
      <w:r w:rsidRPr="00D1590E">
        <w:rPr>
          <w:rStyle w:val="FootnoteReference"/>
        </w:rPr>
        <w:footnoteReference w:id="337"/>
      </w:r>
      <w:r w:rsidRPr="00D1590E">
        <w:t xml:space="preserve"> </w:t>
      </w:r>
    </w:p>
    <w:p w:rsidR="00D1590E" w:rsidRPr="00D1590E" w:rsidRDefault="00D1590E" w:rsidP="00D1590E">
      <w:r w:rsidRPr="00D1590E">
        <w:t>In response to our draft decision, the service providers and their consultants raised several concerns with Economic Insights' inclusion of international data including:</w:t>
      </w:r>
    </w:p>
    <w:p w:rsidR="00D1590E" w:rsidRPr="00D1590E" w:rsidRDefault="00D1590E" w:rsidP="00D1590E">
      <w:pPr>
        <w:pStyle w:val="AERbulletlistfirststyle"/>
      </w:pPr>
      <w:r w:rsidRPr="00D1590E">
        <w:lastRenderedPageBreak/>
        <w:t>the model is heavily reliant on overseas data</w:t>
      </w:r>
    </w:p>
    <w:p w:rsidR="00D1590E" w:rsidRPr="00D1590E" w:rsidRDefault="00D1590E" w:rsidP="00D1590E">
      <w:pPr>
        <w:pStyle w:val="AERbulletlistfirststyle"/>
      </w:pPr>
      <w:r w:rsidRPr="00D1590E">
        <w:t>overseas data is not comparable with Australian data</w:t>
      </w:r>
    </w:p>
    <w:p w:rsidR="00D1590E" w:rsidRPr="00D1590E" w:rsidRDefault="00D1590E" w:rsidP="00D1590E">
      <w:pPr>
        <w:pStyle w:val="AERbulletlistfirststyle"/>
      </w:pPr>
      <w:r w:rsidRPr="00D1590E">
        <w:t>Economic Insights does not adequately account for differences between countries</w:t>
      </w:r>
    </w:p>
    <w:p w:rsidR="00D1590E" w:rsidRPr="00D1590E" w:rsidRDefault="00D1590E" w:rsidP="00D1590E">
      <w:pPr>
        <w:pStyle w:val="AERbulletlistfirststyle"/>
      </w:pPr>
      <w:r w:rsidRPr="00D1590E">
        <w:t>Economic Insights' data contains errors.</w:t>
      </w:r>
    </w:p>
    <w:p w:rsidR="00D1590E" w:rsidRPr="00D1590E" w:rsidRDefault="00D1590E" w:rsidP="00D1590E">
      <w:r w:rsidRPr="00D1590E">
        <w:t>The first three issues appear to be based on a misunderstanding of how Economic Insights has used the international data. The concerns with data quality are also misplaced. Economic Insights discusses international data in detail in its report in section 3.1. We highlight the key responses below.</w:t>
      </w:r>
    </w:p>
    <w:p w:rsidR="00D1590E" w:rsidRPr="00D1590E" w:rsidRDefault="00D1590E" w:rsidP="00D1590E">
      <w:pPr>
        <w:pStyle w:val="HeadingItalic"/>
      </w:pPr>
      <w:r w:rsidRPr="00D1590E">
        <w:t>Rationale for including international data</w:t>
      </w:r>
    </w:p>
    <w:p w:rsidR="00D1590E" w:rsidRPr="00D1590E" w:rsidRDefault="00D1590E" w:rsidP="00D1590E">
      <w:r w:rsidRPr="00D1590E">
        <w:t>As set out in the draft decision, the rationale for Economic Insights incorporating international data into its econometric modelling is not to undertake international benchmarking.</w:t>
      </w:r>
      <w:r w:rsidRPr="00D1590E">
        <w:rPr>
          <w:rStyle w:val="FootnoteReference"/>
        </w:rPr>
        <w:footnoteReference w:id="338"/>
      </w:r>
      <w:r w:rsidRPr="00D1590E">
        <w:t xml:space="preserve"> Rather, by including these extra data in the sample, Economic Insights can improve the precision of the results for the Australian service providers. </w:t>
      </w:r>
    </w:p>
    <w:p w:rsidR="00D1590E" w:rsidRPr="00D1590E" w:rsidRDefault="00D1590E" w:rsidP="00D1590E">
      <w:r w:rsidRPr="00D1590E">
        <w:t>It is necessary to include international data because while the Australian database is robust and reliable for economic benchmarking, it is small. In particular, it shows little time-series variability—a common situation in utilities benchmarking.</w:t>
      </w:r>
      <w:r w:rsidRPr="00D1590E">
        <w:rPr>
          <w:rStyle w:val="FootnoteReference"/>
        </w:rPr>
        <w:footnoteReference w:id="339"/>
      </w:r>
      <w:r w:rsidRPr="00D1590E">
        <w:t xml:space="preserve"> Unlike index-based techniques such as MTFP and MPFP, econometric cost functions require a large number of observations to produce robust results.</w:t>
      </w:r>
      <w:r w:rsidRPr="00D1590E">
        <w:rPr>
          <w:rStyle w:val="FootnoteReference"/>
        </w:rPr>
        <w:footnoteReference w:id="340"/>
      </w:r>
    </w:p>
    <w:p w:rsidR="00D1590E" w:rsidRPr="00D1590E" w:rsidRDefault="00D1590E" w:rsidP="00D1590E">
      <w:r w:rsidRPr="00D1590E">
        <w:t>Consequently, as Economic Insights explained in its draft decision report, econometric analysis using the Australian-only data set did not produce sufficiently stable results:</w:t>
      </w:r>
      <w:r w:rsidRPr="00D1590E">
        <w:rPr>
          <w:rStyle w:val="FootnoteReference"/>
        </w:rPr>
        <w:footnoteReference w:id="341"/>
      </w:r>
    </w:p>
    <w:p w:rsidR="00D1590E" w:rsidRPr="00D1590E" w:rsidRDefault="00D1590E" w:rsidP="00D1590E">
      <w:pPr>
        <w:pStyle w:val="AERquoteindent1"/>
      </w:pPr>
      <w:r w:rsidRPr="00D1590E">
        <w:t>After a careful analysis of the economic benchmarking RIN data we concluded that there was insufficient variation in the data set to allow us to reliably estimate even a simple version of an opex cost function model…the time series pattern of the data is quite similar across the 13 DNSPs. Hence, in this case, there is little additional data variation supplied by moving from a cross–sectional data set of 13 observations to a panel data set of 104 observations. As a consequence we are essentially trying to use a data set with 13 observations to estimate a complex econometric model. The ‘implicit’ degrees of freedom are near zero or even negative in some cases, producing model estimates that are relatively unstable and unreliable.</w:t>
      </w:r>
    </w:p>
    <w:p w:rsidR="00D1590E" w:rsidRPr="00D1590E" w:rsidRDefault="00D1590E" w:rsidP="00D1590E">
      <w:r w:rsidRPr="00D1590E">
        <w:t>The lack of time-series variation in the Australian dataset has also affected some models developed by the service providers' consultants. CEPA, for example, acknowledge that it was unable to accurately estimate SFA models robustly and consistently using the Australian only data.</w:t>
      </w:r>
      <w:r w:rsidRPr="00D1590E">
        <w:rPr>
          <w:rStyle w:val="FootnoteReference"/>
        </w:rPr>
        <w:footnoteReference w:id="342"/>
      </w:r>
    </w:p>
    <w:p w:rsidR="00D1590E" w:rsidRPr="00D1590E" w:rsidRDefault="00D1590E" w:rsidP="00D1590E">
      <w:r w:rsidRPr="00D1590E">
        <w:lastRenderedPageBreak/>
        <w:t>Therefore, to robustly estimate the relationship between opex and outputs using an econometric opex cost function, additional cross-sectional data—that is, more service providers—provides a means of increasing the number of observations. This is an approach PEG agrees with and has indeed undertaken.</w:t>
      </w:r>
      <w:r w:rsidRPr="00D1590E">
        <w:rPr>
          <w:rStyle w:val="FootnoteReference"/>
        </w:rPr>
        <w:footnoteReference w:id="343"/>
      </w:r>
      <w:r w:rsidRPr="00D1590E">
        <w:t xml:space="preserve"> Economic Insights concluded:</w:t>
      </w:r>
      <w:r w:rsidRPr="00D1590E">
        <w:rPr>
          <w:rStyle w:val="FootnoteReference"/>
        </w:rPr>
        <w:footnoteReference w:id="344"/>
      </w:r>
    </w:p>
    <w:p w:rsidR="00D1590E" w:rsidRPr="00D1590E" w:rsidRDefault="00D1590E" w:rsidP="00D1590E">
      <w:pPr>
        <w:pStyle w:val="AERquoteindent1"/>
      </w:pPr>
      <w:r w:rsidRPr="00D1590E">
        <w:t>…to obtain robust and reliable results from an econometric opex cost function analysis we needed to look to add additional cross sectional observations which meant drawing on overseas data, provided largely comparable DNSP data were available.</w:t>
      </w:r>
    </w:p>
    <w:p w:rsidR="00D1590E" w:rsidRPr="00D1590E" w:rsidRDefault="00D1590E" w:rsidP="00D1590E">
      <w:pPr>
        <w:rPr>
          <w:rStyle w:val="AERtexthighlight"/>
        </w:rPr>
      </w:pPr>
      <w:r w:rsidRPr="00D1590E">
        <w:t xml:space="preserve">By including the NZ and Ontario data, Economic Insights produced econometric results with significantly more accurate parameter estimates. Accurate parameter estimates are essential because they enable more robust opex efficiency comparisons among the Australian </w:t>
      </w:r>
      <w:r w:rsidR="00C867C5">
        <w:t>distributors</w:t>
      </w:r>
      <w:r w:rsidRPr="00D1590E">
        <w:t>.</w:t>
      </w:r>
      <w:r w:rsidRPr="00D1590E">
        <w:rPr>
          <w:rStyle w:val="FootnoteReference"/>
        </w:rPr>
        <w:footnoteReference w:id="345"/>
      </w:r>
      <w:r w:rsidRPr="00D1590E">
        <w:t xml:space="preserve"> Parameter estimates must be accurate to account for the effect of forecast output change on opex. More precise parameter estimates allow more accurate accounting for output change in forecasts of future opex productivity.</w:t>
      </w:r>
      <w:r w:rsidRPr="00D1590E">
        <w:rPr>
          <w:rStyle w:val="FootnoteReference"/>
        </w:rPr>
        <w:footnoteReference w:id="346"/>
      </w:r>
    </w:p>
    <w:p w:rsidR="00D1590E" w:rsidRPr="00D1590E" w:rsidRDefault="00D1590E" w:rsidP="00D1590E">
      <w:r w:rsidRPr="00D1590E">
        <w:t>Importantly, the efficiency rankings produced by the SFA model with Australian-only data are</w:t>
      </w:r>
      <w:r w:rsidRPr="00D1590E">
        <w:rPr>
          <w:rStyle w:val="AERbody"/>
        </w:rPr>
        <w:t xml:space="preserve"> consistent with the rankings</w:t>
      </w:r>
      <w:r w:rsidRPr="00D1590E">
        <w:t xml:space="preserve"> produced by the three-country database. This demonstrates that rather than influencing the results, the international data simply (albeit significantly) increases our confidence in the results.</w:t>
      </w:r>
      <w:r w:rsidRPr="00D1590E">
        <w:rPr>
          <w:rStyle w:val="FootnoteReference"/>
        </w:rPr>
        <w:footnoteReference w:id="347"/>
      </w:r>
      <w:r w:rsidRPr="00D1590E">
        <w:t xml:space="preserve"> </w:t>
      </w:r>
    </w:p>
    <w:p w:rsidR="00D1590E" w:rsidRPr="00D1590E" w:rsidRDefault="00D1590E" w:rsidP="00D1590E">
      <w:r w:rsidRPr="00D1590E">
        <w:t>The similarity in Australian service provider rankings using both approaches is evident from Figure A.1, which we discuss below in 'Efficiency results'. It is, therefore, misleading for the service providers to contend that the model is heavily reliant on overseas data.</w:t>
      </w:r>
    </w:p>
    <w:p w:rsidR="00D1590E" w:rsidRPr="00D1590E" w:rsidRDefault="00D1590E" w:rsidP="00D1590E">
      <w:pPr>
        <w:pStyle w:val="HeadingItalic"/>
      </w:pPr>
      <w:r w:rsidRPr="00D1590E">
        <w:t>Approach to incorporating international data</w:t>
      </w:r>
    </w:p>
    <w:p w:rsidR="00D1590E" w:rsidRPr="00D1590E" w:rsidRDefault="00D1590E" w:rsidP="00D1590E">
      <w:r w:rsidRPr="00D1590E">
        <w:t xml:space="preserve">The approach Economic Insights has taken to incorporate international data is to: </w:t>
      </w:r>
    </w:p>
    <w:p w:rsidR="00D1590E" w:rsidRPr="00D1590E" w:rsidRDefault="00D1590E" w:rsidP="00D1590E">
      <w:pPr>
        <w:pStyle w:val="AERbulletlistfirststyle"/>
      </w:pPr>
      <w:r w:rsidRPr="00D1590E">
        <w:t>select purpose-built economic benchmarking databases used in recent regulatory decisions which have comparable and consistent data</w:t>
      </w:r>
    </w:p>
    <w:p w:rsidR="00D1590E" w:rsidRPr="00D1590E" w:rsidRDefault="00D1590E" w:rsidP="00D1590E">
      <w:pPr>
        <w:pStyle w:val="AERbulletlistfirststyle"/>
      </w:pPr>
      <w:r w:rsidRPr="00D1590E">
        <w:t>explicitly account for jurisdictional differences where possible.</w:t>
      </w:r>
    </w:p>
    <w:p w:rsidR="00D1590E" w:rsidRPr="00D1590E" w:rsidRDefault="00D1590E" w:rsidP="00D1590E">
      <w:r w:rsidRPr="00D1590E">
        <w:t>As we explain above, the purpose of this approach is to strengthen the confidence in the results rather than compare Australian service providers to international service providers. For this reason, many of the concerns raised by the service providers' consultants are misplaced.</w:t>
      </w:r>
    </w:p>
    <w:p w:rsidR="00D1590E" w:rsidRPr="00D1590E" w:rsidRDefault="00D1590E" w:rsidP="00D1590E">
      <w:pPr>
        <w:pStyle w:val="HeadingOrange"/>
      </w:pPr>
      <w:r w:rsidRPr="00D1590E">
        <w:t>Purpose-built databases</w:t>
      </w:r>
    </w:p>
    <w:p w:rsidR="00D1590E" w:rsidRPr="00D1590E" w:rsidRDefault="00D1590E" w:rsidP="00D1590E">
      <w:r w:rsidRPr="00D1590E">
        <w:lastRenderedPageBreak/>
        <w:t>Economic Insights has only used databases with a long history of productivity measurement and which the regulators of the respective jurisdictions have recently used in their determinations. Further, Economic Insights ensured the databases contain similar variable coverage.</w:t>
      </w:r>
      <w:r w:rsidRPr="00D1590E">
        <w:rPr>
          <w:rStyle w:val="FootnoteReference"/>
        </w:rPr>
        <w:footnoteReference w:id="348"/>
      </w:r>
      <w:r w:rsidRPr="00D1590E">
        <w:t xml:space="preserve"> </w:t>
      </w:r>
    </w:p>
    <w:p w:rsidR="00D1590E" w:rsidRPr="00D1590E" w:rsidRDefault="00D1590E" w:rsidP="00D1590E">
      <w:r w:rsidRPr="00D1590E">
        <w:t>The New Zealand database, for example, is similar in construction to the Australian database and includes consistent data from 1996 to 2013. The NZCC has used productivity studies for regulatory determinations since 2003 with the most recent (2014) using a similar output and input specification to that used by Economic Insights for this determination.</w:t>
      </w:r>
      <w:r w:rsidRPr="00D1590E">
        <w:rPr>
          <w:rStyle w:val="FootnoteReference"/>
        </w:rPr>
        <w:footnoteReference w:id="349"/>
      </w:r>
    </w:p>
    <w:p w:rsidR="00D1590E" w:rsidRPr="00D1590E" w:rsidRDefault="00D1590E" w:rsidP="00D1590E">
      <w:r w:rsidRPr="00D1590E">
        <w:t>Similarly, the Ontario database contains most of the same outputs as the Australian database and includes consistent data from 2002 to 2013. The OEB used this dataset in its most recent determination in 2013, following a study conducted by PEGR.</w:t>
      </w:r>
      <w:r w:rsidRPr="00D1590E">
        <w:rPr>
          <w:rStyle w:val="FootnoteReference"/>
        </w:rPr>
        <w:footnoteReference w:id="350"/>
      </w:r>
      <w:r w:rsidRPr="00D1590E">
        <w:t xml:space="preserve"> </w:t>
      </w:r>
    </w:p>
    <w:p w:rsidR="00D1590E" w:rsidRPr="00D1590E" w:rsidRDefault="00D1590E" w:rsidP="00D1590E">
      <w:r w:rsidRPr="00D1590E">
        <w:t>Economic Insights was, therefore, satisfied that these two databases were appropriate candidates for inclusion. In contrast, upon examination of the US database prepared by PEG, Economic Insights was not satisfied that (among other things) it included enough of the key quantity variables that are fundamental to productivity measurement. Accordingly, Economic Insights did not use this database.</w:t>
      </w:r>
      <w:r w:rsidRPr="00D1590E">
        <w:rPr>
          <w:rStyle w:val="FootnoteReference"/>
        </w:rPr>
        <w:footnoteReference w:id="351"/>
      </w:r>
    </w:p>
    <w:p w:rsidR="00D1590E" w:rsidRPr="00D1590E" w:rsidRDefault="00D1590E" w:rsidP="00D1590E">
      <w:r w:rsidRPr="00D1590E">
        <w:t>Economic Insights observes that the NZCC and OEB undertook testing and validation of the international databases such that they were comfortable with relying on them for benchmarking in their regulatory determinations. The views of Huegin and Frontier Economics that the data contains errors or that Economic Insights has failed to apply due diligence to the data</w:t>
      </w:r>
      <w:r w:rsidRPr="00D1590E">
        <w:rPr>
          <w:rStyle w:val="FootnoteReference"/>
        </w:rPr>
        <w:footnoteReference w:id="352"/>
      </w:r>
      <w:r w:rsidRPr="00D1590E">
        <w:t xml:space="preserve"> are, therefore, not convincing.</w:t>
      </w:r>
    </w:p>
    <w:p w:rsidR="00D1590E" w:rsidRPr="00D1590E" w:rsidRDefault="00D1590E" w:rsidP="00D1590E">
      <w:pPr>
        <w:pStyle w:val="HeadingOrange"/>
      </w:pPr>
      <w:r w:rsidRPr="00D1590E">
        <w:t>Accounting for differences</w:t>
      </w:r>
    </w:p>
    <w:p w:rsidR="00D1590E" w:rsidRPr="00D1590E" w:rsidRDefault="00D1590E" w:rsidP="00D1590E">
      <w:r w:rsidRPr="00D1590E">
        <w:t>Economic Insights was explicit in identifying differences between the New Zealand and Ontario databases and the Australian database. In particular, Economic Insights made adjustments for:</w:t>
      </w:r>
      <w:r w:rsidRPr="00D1590E">
        <w:rPr>
          <w:rStyle w:val="FootnoteReference"/>
        </w:rPr>
        <w:footnoteReference w:id="353"/>
      </w:r>
    </w:p>
    <w:p w:rsidR="00D1590E" w:rsidRPr="00D1590E" w:rsidRDefault="00D1590E" w:rsidP="00D1590E">
      <w:pPr>
        <w:pStyle w:val="AERbulletlistfirststyle"/>
      </w:pPr>
      <w:r w:rsidRPr="00D1590E">
        <w:t>differences in the composition of the international databases by choosing a dataset that balanced the number of small service providers with the number of possible observations</w:t>
      </w:r>
    </w:p>
    <w:p w:rsidR="00D1590E" w:rsidRPr="00D1590E" w:rsidRDefault="00D1590E" w:rsidP="00D1590E">
      <w:pPr>
        <w:pStyle w:val="AERbulletlistfirststyle"/>
      </w:pPr>
      <w:r w:rsidRPr="00D1590E">
        <w:t>possible cross-country differences and inconsistencies in accounting definitions, price measures, regulatory and physical operating environments (such as the impact of harsher winter conditions in Ontario) by using country dummy variables.</w:t>
      </w:r>
    </w:p>
    <w:p w:rsidR="00D1590E" w:rsidRPr="00D1590E" w:rsidRDefault="00D1590E" w:rsidP="00D1590E">
      <w:r w:rsidRPr="00D1590E">
        <w:lastRenderedPageBreak/>
        <w:t>Limitations in the Ontario database meant Economic Insights included one operating environment variable and no capital input variable. However, Economic Insights was satisfied that these omissions would unlikely significantly influence the results.</w:t>
      </w:r>
      <w:r w:rsidRPr="00D1590E">
        <w:rPr>
          <w:rStyle w:val="FootnoteReference"/>
        </w:rPr>
        <w:footnoteReference w:id="354"/>
      </w:r>
      <w:r w:rsidRPr="00D1590E">
        <w:t xml:space="preserve"> Subsequent testing of significance levels and monotonicity properties by Economic Insights revealed this to be the case in the three models used in our decision.</w:t>
      </w:r>
      <w:r w:rsidRPr="00D1590E">
        <w:rPr>
          <w:rStyle w:val="FootnoteReference"/>
        </w:rPr>
        <w:footnoteReference w:id="355"/>
      </w:r>
    </w:p>
    <w:p w:rsidR="00D1590E" w:rsidRPr="00D1590E" w:rsidRDefault="00D1590E" w:rsidP="00D1590E">
      <w:r w:rsidRPr="00D1590E">
        <w:t>Despite this approach, one of the key concerns raised by the service providers' consultants is that Economic Insights does not appropriately account for differences between countries. In particular, they do not agree that the dummy variables are adequate.</w:t>
      </w:r>
      <w:r w:rsidRPr="00D1590E">
        <w:rPr>
          <w:rStyle w:val="FootnoteReference"/>
        </w:rPr>
        <w:footnoteReference w:id="356"/>
      </w:r>
    </w:p>
    <w:p w:rsidR="00D1590E" w:rsidRPr="00D1590E" w:rsidRDefault="00D1590E" w:rsidP="00D1590E">
      <w:r w:rsidRPr="00D1590E">
        <w:t>CEPA agrees that the dummy variables control for level differences between databases but considers they do not account for cost relationship differences.</w:t>
      </w:r>
      <w:r w:rsidRPr="00D1590E">
        <w:rPr>
          <w:rStyle w:val="FootnoteReference"/>
        </w:rPr>
        <w:footnoteReference w:id="357"/>
      </w:r>
      <w:r w:rsidRPr="00D1590E">
        <w:t xml:space="preserve"> Similarly, Frontier Economics and PEG submit that each service provider's costs are influenced by factors not captured by the explanatory variables in Economic Insights' model.</w:t>
      </w:r>
      <w:r w:rsidRPr="00D1590E">
        <w:rPr>
          <w:rStyle w:val="FootnoteReference"/>
        </w:rPr>
        <w:footnoteReference w:id="358"/>
      </w:r>
    </w:p>
    <w:p w:rsidR="00D1590E" w:rsidRPr="00D1590E" w:rsidRDefault="00D1590E" w:rsidP="00D1590E">
      <w:r w:rsidRPr="00D1590E">
        <w:t>In response to this, Economic Insights considers for such differences to have a material impact on the model results, significant differences in the technology to distribute electricity would need to exist. Economic Insights notes the international service providers deliver the same services using poles, wires and transformers so it does not agree that such a fundamental difference exists.</w:t>
      </w:r>
      <w:r w:rsidRPr="00D1590E">
        <w:rPr>
          <w:rStyle w:val="FootnoteReference"/>
        </w:rPr>
        <w:footnoteReference w:id="359"/>
      </w:r>
      <w:r w:rsidRPr="00D1590E">
        <w:t xml:space="preserve"> Economic Insights is, therefore, confident that the dummy variables are robust and reasonable:</w:t>
      </w:r>
      <w:r w:rsidRPr="00D1590E">
        <w:rPr>
          <w:rStyle w:val="FootnoteReference"/>
        </w:rPr>
        <w:footnoteReference w:id="360"/>
      </w:r>
    </w:p>
    <w:p w:rsidR="00D1590E" w:rsidRPr="00D1590E" w:rsidRDefault="00D1590E" w:rsidP="00D1590E">
      <w:pPr>
        <w:pStyle w:val="AERquoteindent1"/>
      </w:pPr>
      <w:r w:rsidRPr="00D1590E">
        <w:t>Because our objective was not to undertake international benchmarking as such but, rather, to improve the precision of parameter estimates to facilitate opex efficiency measurement across the Australian DNSPs only, there is no need for the coverage of opex in each jurisdiction to be identical nor for operating environment conditions to be identical…</w:t>
      </w:r>
    </w:p>
    <w:p w:rsidR="00D1590E" w:rsidRPr="00D1590E" w:rsidRDefault="00D1590E" w:rsidP="00D1590E">
      <w:pPr>
        <w:pStyle w:val="AERquoteindent1"/>
      </w:pPr>
      <w:r w:rsidRPr="00D1590E">
        <w:t>It is hence invalid to interpret the country dummy coefficients as differences in efficiency levels as FE has done or reflections of cost disadvantages as Synergies has done.</w:t>
      </w:r>
    </w:p>
    <w:p w:rsidR="00D1590E" w:rsidRPr="00D1590E" w:rsidRDefault="00D1590E" w:rsidP="00D1590E">
      <w:r w:rsidRPr="00D1590E">
        <w:t xml:space="preserve">A detailed </w:t>
      </w:r>
      <w:r w:rsidRPr="00D1590E">
        <w:rPr>
          <w:rStyle w:val="AERbody"/>
        </w:rPr>
        <w:t>discussion of Economic Insights' approach to incorporating international data is in section 3 of the</w:t>
      </w:r>
      <w:r w:rsidRPr="00D1590E">
        <w:t xml:space="preserve"> report attached to this decision.</w:t>
      </w:r>
    </w:p>
    <w:p w:rsidR="00D1590E" w:rsidRPr="00D1590E" w:rsidRDefault="00D1590E" w:rsidP="00D1590E">
      <w:pPr>
        <w:pStyle w:val="HeadingItalic"/>
      </w:pPr>
      <w:r w:rsidRPr="00D1590E">
        <w:t>Inappropriate alternatives to Economic Insights' use of international data proposed by the service providers</w:t>
      </w:r>
    </w:p>
    <w:p w:rsidR="00D1590E" w:rsidRPr="00D1590E" w:rsidRDefault="00D1590E" w:rsidP="00D1590E">
      <w:r w:rsidRPr="00D1590E">
        <w:lastRenderedPageBreak/>
        <w:t>Some of the service providers' consultants have proposed alternative approaches to using international data in the manner Economic Insights has. For example, PEG advocates using US data</w:t>
      </w:r>
      <w:r w:rsidRPr="00D1590E">
        <w:rPr>
          <w:rStyle w:val="FootnoteReference"/>
        </w:rPr>
        <w:footnoteReference w:id="361"/>
      </w:r>
      <w:r w:rsidRPr="00D1590E">
        <w:t xml:space="preserve"> and others, including Frontier Economics</w:t>
      </w:r>
      <w:r w:rsidRPr="00D1590E">
        <w:rPr>
          <w:rStyle w:val="FootnoteReference"/>
        </w:rPr>
        <w:footnoteReference w:id="362"/>
      </w:r>
      <w:r w:rsidRPr="00D1590E">
        <w:t xml:space="preserve"> and CEPA</w:t>
      </w:r>
      <w:r w:rsidRPr="00D1590E">
        <w:rPr>
          <w:rStyle w:val="FootnoteReference"/>
        </w:rPr>
        <w:footnoteReference w:id="363"/>
      </w:r>
      <w:r w:rsidRPr="00D1590E">
        <w:t xml:space="preserve"> suggest discarding the international data and relying only on Australian data.</w:t>
      </w:r>
    </w:p>
    <w:p w:rsidR="00D1590E" w:rsidRPr="00D1590E" w:rsidRDefault="00D1590E" w:rsidP="00D1590E">
      <w:r w:rsidRPr="00D1590E">
        <w:t>As we explain above and Economic Insights addresses in its report, the US database is unusable because the lack of sufficient data fundamental to productivity measurement makes it inconsistent with the Australian database. The alternative of relying only on Australian data is also not feasible due to the lack of time-series variation that may lead to unstable results, which PEG and CEPA recognise.</w:t>
      </w:r>
      <w:r w:rsidRPr="00D1590E">
        <w:rPr>
          <w:rStyle w:val="FootnoteReference"/>
        </w:rPr>
        <w:footnoteReference w:id="364"/>
      </w:r>
    </w:p>
    <w:p w:rsidR="00D1590E" w:rsidRPr="00D1590E" w:rsidRDefault="00D1590E" w:rsidP="00D1590E">
      <w:r w:rsidRPr="00D1590E">
        <w:t>Frontier Economics' 'strong' recommendation that we completely discard Economic Insights' model is also not feasible given the NER requirements that we conduct benchmarking.</w:t>
      </w:r>
      <w:r w:rsidRPr="00D1590E">
        <w:rPr>
          <w:rStyle w:val="FootnoteReference"/>
        </w:rPr>
        <w:footnoteReference w:id="365"/>
      </w:r>
      <w:r w:rsidRPr="00D1590E">
        <w:t xml:space="preserve"> Further, for the reasons outlined in this report, we consider that Economic Insights' data and modelling is robust.</w:t>
      </w:r>
    </w:p>
    <w:p w:rsidR="00D1590E" w:rsidRPr="00D1590E" w:rsidRDefault="00D1590E" w:rsidP="00D1590E">
      <w:pPr>
        <w:pStyle w:val="HeadingBoldItalic"/>
      </w:pPr>
      <w:r w:rsidRPr="00D1590E">
        <w:t>Comparability of data</w:t>
      </w:r>
    </w:p>
    <w:p w:rsidR="00D1590E" w:rsidRPr="00D1590E" w:rsidRDefault="00D1590E" w:rsidP="00D1590E">
      <w:r w:rsidRPr="00D1590E">
        <w:t xml:space="preserve">Our draft decision view was that the data we have relied on for economic benchmarking is robust, reliable and comparable. </w:t>
      </w:r>
    </w:p>
    <w:p w:rsidR="00D1590E" w:rsidRPr="00D1590E" w:rsidRDefault="00D1590E" w:rsidP="00D1590E">
      <w:r w:rsidRPr="00D1590E">
        <w:t xml:space="preserve">We collected consistent data from all service providers using the same reporting requirements, following extensive consultation with the service providers and other stakeholders. The RIN requirements allowed some reporting flexibility, including the ability to estimate data if actual data were not available. However, the requirements and definitions were clear. Further, we required the RIN responses to be independently audited and also certified by the service providers' CEOs. Therefore, we were satisfied the data is sufficiently comparable across service providers. </w:t>
      </w:r>
    </w:p>
    <w:p w:rsidR="00D1590E" w:rsidRPr="00D1590E" w:rsidRDefault="00D1590E" w:rsidP="00D1590E">
      <w:r w:rsidRPr="00D1590E">
        <w:t>In addition, on the recommendation of Economic Insights, our draft decision adjustments incorporated an allowance in favour of the service providers to allow for potential data and modelling issues:</w:t>
      </w:r>
      <w:r w:rsidRPr="00D1590E">
        <w:rPr>
          <w:rStyle w:val="FootnoteReference"/>
        </w:rPr>
        <w:footnoteReference w:id="366"/>
      </w:r>
    </w:p>
    <w:p w:rsidR="00D1590E" w:rsidRPr="00D1590E" w:rsidRDefault="00D1590E" w:rsidP="00D1590E">
      <w:pPr>
        <w:pStyle w:val="AERquoteindent1"/>
      </w:pPr>
      <w:r w:rsidRPr="00D1590E">
        <w:t>[I]t is prudent to adopt a conservative approach to choosing an appropriate benchmark for efficiency comparisons. Adopting a conservative approach allows for general limitations of the models with respect to the specification of outputs and inputs, data imperfections and other uncertainties…</w:t>
      </w:r>
    </w:p>
    <w:p w:rsidR="00D1590E" w:rsidRPr="00D1590E" w:rsidRDefault="00D1590E" w:rsidP="00D1590E">
      <w:pPr>
        <w:pStyle w:val="AERquoteindent1"/>
      </w:pPr>
      <w:r w:rsidRPr="00D1590E">
        <w:t xml:space="preserve">Rather than adopt the frontier DNSP as the benchmark for efficiency comparisons, we are of the view that it would be prudent to instead adopt a weighted average of the efficiency scores in the top quartile of the efficiency score range…This is equivalent to allowing an additional margin on the frontier </w:t>
      </w:r>
      <w:r w:rsidRPr="00D1590E">
        <w:lastRenderedPageBreak/>
        <w:t>DNSP’s input use of 10 per cent in calculating the benchmark for the NSW/ACT DNSPs (0.95/1.1 = 0.86) and is thus a relatively generous allowance.</w:t>
      </w:r>
    </w:p>
    <w:p w:rsidR="00D1590E" w:rsidRPr="00D1590E" w:rsidRDefault="00D1590E" w:rsidP="00D1590E">
      <w:r w:rsidRPr="00D1590E">
        <w:t>The service providers raised a number of concerns about the robustness of the Australian data and the comparability of service providers. In particular, submissions considered that:</w:t>
      </w:r>
    </w:p>
    <w:p w:rsidR="00D1590E" w:rsidRPr="00D1590E" w:rsidRDefault="00D1590E" w:rsidP="00D1590E">
      <w:pPr>
        <w:pStyle w:val="AERbulletlistfirststyle"/>
      </w:pPr>
      <w:r w:rsidRPr="00D1590E">
        <w:t>Australian service providers are among the largest in the benchmarking sample, especially Essential Energy and Ergon Energy</w:t>
      </w:r>
      <w:r w:rsidRPr="00D1590E">
        <w:rPr>
          <w:rStyle w:val="FootnoteReference"/>
        </w:rPr>
        <w:footnoteReference w:id="367"/>
      </w:r>
    </w:p>
    <w:p w:rsidR="00D1590E" w:rsidRPr="00D1590E" w:rsidRDefault="00D1590E" w:rsidP="00D1590E">
      <w:pPr>
        <w:pStyle w:val="AERbulletlistfirststyle"/>
      </w:pPr>
      <w:r w:rsidRPr="00D1590E">
        <w:t>many variables in the economic benchmarking RIN were not provided by service providers on a consistent basis</w:t>
      </w:r>
      <w:r w:rsidRPr="00D1590E">
        <w:rPr>
          <w:rStyle w:val="FootnoteReference"/>
        </w:rPr>
        <w:footnoteReference w:id="368"/>
      </w:r>
    </w:p>
    <w:p w:rsidR="00D1590E" w:rsidRPr="00D1590E" w:rsidRDefault="00D1590E" w:rsidP="00D1590E">
      <w:pPr>
        <w:pStyle w:val="AERbulletlistfirststyle"/>
      </w:pPr>
      <w:r w:rsidRPr="00D1590E">
        <w:t>we have not taken into account certain differences between services providers, including related party arrangements.</w:t>
      </w:r>
      <w:r w:rsidRPr="00D1590E">
        <w:rPr>
          <w:rStyle w:val="FootnoteReference"/>
        </w:rPr>
        <w:footnoteReference w:id="369"/>
      </w:r>
    </w:p>
    <w:p w:rsidR="00D1590E" w:rsidRPr="00D1590E" w:rsidRDefault="00D1590E" w:rsidP="00D1590E">
      <w:pPr>
        <w:pStyle w:val="HeadingItalic"/>
      </w:pPr>
      <w:r w:rsidRPr="00D1590E">
        <w:t>Relative size of service providers</w:t>
      </w:r>
    </w:p>
    <w:p w:rsidR="00D1590E" w:rsidRPr="00D1590E" w:rsidRDefault="00D1590E" w:rsidP="00D1590E">
      <w:r w:rsidRPr="00D1590E">
        <w:t>With reference to the appropriateness of international service providers, several consultant reports consider that the Australian service providers are disadvantaged because they have some of the longest circuit lengths in the benchmarking sample. They consider Essential Energy and Ergon Energy are particularly disadvantaged because they have the longest circuit length and the lowest customer density of all service providers.</w:t>
      </w:r>
      <w:r w:rsidRPr="00D1590E">
        <w:rPr>
          <w:rStyle w:val="FootnoteReference"/>
        </w:rPr>
        <w:footnoteReference w:id="370"/>
      </w:r>
      <w:r w:rsidRPr="00D1590E">
        <w:t xml:space="preserve"> They also noted that Ausgrid and Energex have a high customer numbers and ratcheted maximum demand relative to the sample average. </w:t>
      </w:r>
    </w:p>
    <w:p w:rsidR="00D1590E" w:rsidRPr="00D1590E" w:rsidRDefault="00D1590E" w:rsidP="00D1590E">
      <w:r w:rsidRPr="00D1590E">
        <w:t>We disagree that the size of the Australian service providers are not a comparative disadvantage to other providers in the sample.</w:t>
      </w:r>
    </w:p>
    <w:p w:rsidR="00D1590E" w:rsidRPr="00D1590E" w:rsidRDefault="00D1590E" w:rsidP="00D1590E">
      <w:pPr>
        <w:pStyle w:val="HeadingOrange"/>
      </w:pPr>
      <w:r w:rsidRPr="00D1590E">
        <w:t>Rural providers with very low customer density</w:t>
      </w:r>
    </w:p>
    <w:p w:rsidR="00D1590E" w:rsidRPr="00D1590E" w:rsidRDefault="00D1590E" w:rsidP="00D1590E">
      <w:r w:rsidRPr="00D1590E">
        <w:t>Economic Insights considers that the long circuit length of Essential Energy and Ergon Energy does not underestimate their efficiency. Economic Insights states that if Essential Energy and Ergon Energy were genuine outliers, it would expect the flexible translog function to given them much higher efficiency scores than the less flexible Cobb Douglas function. The results, however, are very similar.</w:t>
      </w:r>
      <w:r w:rsidRPr="00D1590E">
        <w:rPr>
          <w:rStyle w:val="FootnoteReference"/>
        </w:rPr>
        <w:footnoteReference w:id="371"/>
      </w:r>
    </w:p>
    <w:p w:rsidR="00D1590E" w:rsidRPr="00D1590E" w:rsidRDefault="00D1590E" w:rsidP="00D1590E">
      <w:r w:rsidRPr="00D1590E">
        <w:t xml:space="preserve">Economic Insights acknowledges that it would be desirable to have more 'large' rural providers in the sample, but considers these two service providers are unusual with no service providers in comparable countries with accessible data having the same extent </w:t>
      </w:r>
      <w:r w:rsidRPr="00D1590E">
        <w:lastRenderedPageBreak/>
        <w:t>of lines.</w:t>
      </w:r>
      <w:r w:rsidRPr="00D1590E">
        <w:rPr>
          <w:rStyle w:val="FootnoteReference"/>
        </w:rPr>
        <w:footnoteReference w:id="372"/>
      </w:r>
      <w:r w:rsidRPr="00D1590E">
        <w:t xml:space="preserve"> Economic Insights did not consider there was justification to adjust Essential Energy's and Ergon Energy's efficiency scores on the basis of their very low customer density.</w:t>
      </w:r>
    </w:p>
    <w:p w:rsidR="00D1590E" w:rsidRPr="00D1590E" w:rsidRDefault="00D1590E" w:rsidP="00D1590E">
      <w:r w:rsidRPr="00D1590E">
        <w:t xml:space="preserve">While comforted by Economic Insights' reasoning, we also engaged EMCa to consider whether—from an engineering perspective—the relationship between opex and customer density changes at the very low densities of Essential Energy and Ergon Energy. EMCa found it is feasible to compare sparse rural </w:t>
      </w:r>
      <w:r w:rsidR="00C867C5">
        <w:t>distributors</w:t>
      </w:r>
      <w:r w:rsidRPr="00D1590E">
        <w:t xml:space="preserve"> (like Essential Energy and Ergon) with other rural </w:t>
      </w:r>
      <w:r w:rsidR="00C867C5">
        <w:t>distributors</w:t>
      </w:r>
      <w:r w:rsidRPr="00D1590E">
        <w:t xml:space="preserve"> included in the benchmarking data set.</w:t>
      </w:r>
      <w:r w:rsidRPr="00D1590E">
        <w:rPr>
          <w:rStyle w:val="FootnoteReference"/>
        </w:rPr>
        <w:footnoteReference w:id="373"/>
      </w:r>
      <w:r w:rsidRPr="00D1590E">
        <w:t xml:space="preserve"> As such, the findings for our benchmarking model are applicable to the sparse rural service providers.</w:t>
      </w:r>
    </w:p>
    <w:p w:rsidR="00D1590E" w:rsidRPr="00D1590E" w:rsidRDefault="00D1590E" w:rsidP="00D1590E">
      <w:r w:rsidRPr="00D1590E">
        <w:t>In any event, the service providers used to derive the benchmark frontier (that we compared Essential Energy to in the draft decision) contains three rural providers—Powercor, SA Power Networks and AusNet Services. Further, we have changed the benchmark comparison point to AusNet services, who is at the bottom of the top quartile of observed scores, which means we have given more weight to (among other things) the characteristics of these rural providers. In our view, this significantly mitigates any perceived disadvantage Essential Energy and Ergon Energy face due to their low customer density.</w:t>
      </w:r>
    </w:p>
    <w:p w:rsidR="00D1590E" w:rsidRPr="00D1590E" w:rsidRDefault="00D1590E" w:rsidP="00D1590E">
      <w:pPr>
        <w:pStyle w:val="HeadingOrange"/>
      </w:pPr>
      <w:r w:rsidRPr="00D1590E">
        <w:t>Customer numbers and demand</w:t>
      </w:r>
    </w:p>
    <w:p w:rsidR="00D1590E" w:rsidRPr="00D1590E" w:rsidRDefault="00D1590E" w:rsidP="00D1590E">
      <w:r w:rsidRPr="00D1590E">
        <w:t>While Ausgrid and Energex may have high customer numbers and ratcheted maximum demand relative to the sample average, we do not consider they are comparatively disadvantaged. Economic Insights advises that there are sufficient comparably sized service providers to conclude that Ausgrid and Energex are not significantly distant from other observations such that they would be considered outliers.</w:t>
      </w:r>
      <w:r w:rsidRPr="00D1590E">
        <w:rPr>
          <w:rStyle w:val="FootnoteReference"/>
        </w:rPr>
        <w:footnoteReference w:id="374"/>
      </w:r>
      <w:r w:rsidRPr="00D1590E">
        <w:t xml:space="preserve"> </w:t>
      </w:r>
    </w:p>
    <w:p w:rsidR="00D1590E" w:rsidRPr="00D1590E" w:rsidRDefault="00D1590E" w:rsidP="00D1590E">
      <w:r w:rsidRPr="00D1590E">
        <w:t>The consistent results of the benchmarking models, including consistency with the MPFP model (which does not include the international data) provides comfort that Ausgrid and Energex are sufficiently comparable to other service providers in the sample.</w:t>
      </w:r>
    </w:p>
    <w:p w:rsidR="00D1590E" w:rsidRPr="00D1590E" w:rsidRDefault="00D1590E" w:rsidP="00D1590E">
      <w:pPr>
        <w:pStyle w:val="HeadingItalic"/>
      </w:pPr>
      <w:r w:rsidRPr="00D1590E">
        <w:t>Consistency of variables</w:t>
      </w:r>
    </w:p>
    <w:p w:rsidR="00D1590E" w:rsidRPr="00D1590E" w:rsidRDefault="00D1590E" w:rsidP="00D1590E">
      <w:r w:rsidRPr="00D1590E">
        <w:t>Some submissions considered that service providers may not have provided several variables in the economic benchmarking RIN on a consistent basis.</w:t>
      </w:r>
      <w:r w:rsidRPr="00D1590E">
        <w:rPr>
          <w:rStyle w:val="FootnoteReference"/>
        </w:rPr>
        <w:footnoteReference w:id="375"/>
      </w:r>
      <w:r w:rsidRPr="00D1590E">
        <w:t xml:space="preserve"> We do not consider these concerns are valid, or are sufficiently significant for us to not to conduct benchmarking. Economic Insights, as an economic benchmarking expert, is well qualified to form an opinion on the appropriateness of data for economic </w:t>
      </w:r>
      <w:r w:rsidRPr="00D1590E">
        <w:lastRenderedPageBreak/>
        <w:t>benchmarking. As we explained in our draft decision, Economic Insights considered the Australian database to be robust and suitable for economic benchmarking:</w:t>
      </w:r>
      <w:r w:rsidRPr="00D1590E">
        <w:rPr>
          <w:rStyle w:val="FootnoteReference"/>
        </w:rPr>
        <w:footnoteReference w:id="376"/>
      </w:r>
    </w:p>
    <w:p w:rsidR="00D1590E" w:rsidRPr="00D1590E" w:rsidRDefault="00D1590E" w:rsidP="00D1590E">
      <w:pPr>
        <w:pStyle w:val="AERquoteindent1"/>
      </w:pPr>
      <w:r w:rsidRPr="00D1590E">
        <w:t>Given the extensive process that has been gone through in forming the AER’s economic benchmarking RIN database to ensure maximum consistency and comparability both across DNSPs and over time, the database is fit for the purpose of undertaking economic benchmarking to assess DNSP opex efficiency levels and to estimate models that can be used to forecast future opex partial productivity growth rates.</w:t>
      </w:r>
    </w:p>
    <w:p w:rsidR="00D1590E" w:rsidRPr="00D1590E" w:rsidRDefault="00D1590E" w:rsidP="00D1590E">
      <w:r w:rsidRPr="00D1590E">
        <w:t>The econometric models require only six aggregate variables from the service providers to function effectively (network services opex, energy delivered, customer numbers, ratcheted maximum demand, circuit length and proportion of underground cables). Many submissions on data comparability do not actually relate to these variables. Accordingly, we consider concerns raised about the following matters are not relevant to our findings:</w:t>
      </w:r>
    </w:p>
    <w:p w:rsidR="00D1590E" w:rsidRPr="00D1590E" w:rsidRDefault="00D1590E" w:rsidP="00D1590E">
      <w:pPr>
        <w:pStyle w:val="AERbulletlistfirststyle"/>
      </w:pPr>
      <w:r w:rsidRPr="00D1590E">
        <w:t>RAB values</w:t>
      </w:r>
      <w:r w:rsidRPr="00D1590E">
        <w:rPr>
          <w:rStyle w:val="FootnoteReference"/>
        </w:rPr>
        <w:footnoteReference w:id="377"/>
      </w:r>
      <w:r w:rsidRPr="00D1590E">
        <w:t xml:space="preserve"> – these are not included in the opex modelling</w:t>
      </w:r>
    </w:p>
    <w:p w:rsidR="00D1590E" w:rsidRPr="00D1590E" w:rsidRDefault="00D1590E" w:rsidP="00D1590E">
      <w:pPr>
        <w:pStyle w:val="AERbulletlistfirststyle"/>
      </w:pPr>
      <w:r w:rsidRPr="00D1590E">
        <w:t>differences in opex category reporting, including treatment of metering costs – Economic Insights' model's use total network services opex, which excludes metering</w:t>
      </w:r>
    </w:p>
    <w:p w:rsidR="00D1590E" w:rsidRPr="00D1590E" w:rsidRDefault="00D1590E" w:rsidP="00D1590E">
      <w:pPr>
        <w:pStyle w:val="AERbulletlistfirststyle"/>
      </w:pPr>
      <w:r w:rsidRPr="00D1590E">
        <w:t>revenue data – our benchmarking models do not rely on revenue</w:t>
      </w:r>
    </w:p>
    <w:p w:rsidR="00D1590E" w:rsidRPr="00D1590E" w:rsidRDefault="00D1590E" w:rsidP="00D1590E">
      <w:pPr>
        <w:pStyle w:val="AERbulletlistfirststyle"/>
      </w:pPr>
      <w:r w:rsidRPr="00D1590E">
        <w:t>route line length – we have not used route line length in the opex models</w:t>
      </w:r>
      <w:r w:rsidRPr="00D1590E">
        <w:rPr>
          <w:rStyle w:val="FootnoteReference"/>
        </w:rPr>
        <w:footnoteReference w:id="378"/>
      </w:r>
    </w:p>
    <w:p w:rsidR="00D1590E" w:rsidRPr="00D1590E" w:rsidRDefault="00D1590E" w:rsidP="00D1590E">
      <w:pPr>
        <w:pStyle w:val="AERbulletlistfirststyle"/>
      </w:pPr>
      <w:r w:rsidRPr="00D1590E">
        <w:t>inconsistency in energy density and customer density calculations – these measures are not central to our analysis but, in any case, we rely on our own calculations, which are on a consistent basis</w:t>
      </w:r>
    </w:p>
    <w:p w:rsidR="00D1590E" w:rsidRPr="00D1590E" w:rsidRDefault="00D1590E" w:rsidP="00D1590E">
      <w:pPr>
        <w:pStyle w:val="AERbulletlistfirststyle"/>
      </w:pPr>
      <w:r w:rsidRPr="00D1590E">
        <w:t xml:space="preserve">system and operating model changes – the aggregate nature of the required variables and our precise definitions for these variables mitigate the impact of such changes </w:t>
      </w:r>
    </w:p>
    <w:p w:rsidR="00D1590E" w:rsidRPr="00D1590E" w:rsidRDefault="00D1590E" w:rsidP="00D1590E">
      <w:pPr>
        <w:pStyle w:val="AERbulletlistfirststyle"/>
      </w:pPr>
      <w:r w:rsidRPr="00D1590E">
        <w:t>weather adjusted maximum demand – we do not use this data</w:t>
      </w:r>
    </w:p>
    <w:p w:rsidR="00D1590E" w:rsidRPr="00D1590E" w:rsidRDefault="00D1590E" w:rsidP="00D1590E">
      <w:r w:rsidRPr="00D1590E">
        <w:t>To the extent that PwC and EY submit that circuit length the data is not appropriate for use in benchmarking because some service providers have estimated it, we consider:</w:t>
      </w:r>
      <w:r w:rsidRPr="00D1590E">
        <w:rPr>
          <w:rStyle w:val="FootnoteReference"/>
        </w:rPr>
        <w:footnoteReference w:id="379"/>
      </w:r>
      <w:r w:rsidRPr="00D1590E">
        <w:t xml:space="preserve"> </w:t>
      </w:r>
    </w:p>
    <w:p w:rsidR="00D1590E" w:rsidRPr="00D1590E" w:rsidRDefault="00D1590E" w:rsidP="00D1590E">
      <w:pPr>
        <w:pStyle w:val="AERbulletlistfirststyle"/>
      </w:pPr>
      <w:r w:rsidRPr="00D1590E">
        <w:lastRenderedPageBreak/>
        <w:t xml:space="preserve">As we explain below, neither PwC nor EY demonstrate that the data is not suitable. </w:t>
      </w:r>
    </w:p>
    <w:p w:rsidR="00D1590E" w:rsidRPr="00D1590E" w:rsidRDefault="00D1590E" w:rsidP="00D1590E">
      <w:pPr>
        <w:pStyle w:val="AERbulletlistfirststyle"/>
      </w:pPr>
      <w:r w:rsidRPr="00D1590E">
        <w:t>we consider that the estimates are reasonable because the service providers are the best placed to estimate their own asset characteristics and their CEOs have certified they are the best estimates the service provider can provide</w:t>
      </w:r>
    </w:p>
    <w:p w:rsidR="00D1590E" w:rsidRPr="00D1590E" w:rsidRDefault="00D1590E" w:rsidP="00D1590E">
      <w:pPr>
        <w:pStyle w:val="AERbulletlistfirststyle"/>
      </w:pPr>
      <w:r w:rsidRPr="00D1590E">
        <w:t>where estimated circuit length may vary from actual circuit length, we would be concerned if service providers were able only to estimate a value—of core assets they manage—that deviated from reality to the point where it would result in a material difference to their benchmarking performance.</w:t>
      </w:r>
      <w:r w:rsidRPr="00D1590E">
        <w:br w:type="page"/>
      </w:r>
    </w:p>
    <w:p w:rsidR="00D1590E" w:rsidRPr="00D1590E" w:rsidRDefault="00D1590E" w:rsidP="00D1590E">
      <w:pPr>
        <w:pStyle w:val="HeadingItalic"/>
      </w:pPr>
      <w:r w:rsidRPr="00D1590E">
        <w:lastRenderedPageBreak/>
        <w:t>Differences between service providers</w:t>
      </w:r>
    </w:p>
    <w:p w:rsidR="00D1590E" w:rsidRPr="00D1590E" w:rsidRDefault="00D1590E" w:rsidP="00D1590E">
      <w:r w:rsidRPr="00D1590E">
        <w:t>Some submissions raise comparability matters that are relevant to our opex modelling.</w:t>
      </w:r>
      <w:r w:rsidRPr="00D1590E">
        <w:rPr>
          <w:rStyle w:val="FootnoteReference"/>
        </w:rPr>
        <w:footnoteReference w:id="380"/>
      </w:r>
      <w:r w:rsidRPr="00D1590E">
        <w:t xml:space="preserve"> However, we have taken these into account in our draft and final decisions:</w:t>
      </w:r>
    </w:p>
    <w:p w:rsidR="00D1590E" w:rsidRPr="00D1590E" w:rsidRDefault="00D1590E" w:rsidP="00D1590E">
      <w:pPr>
        <w:pStyle w:val="AERbulletlistfirststyle"/>
      </w:pPr>
      <w:r w:rsidRPr="00D1590E">
        <w:t>differences in capitalisation policies and cost allocation methods – we considered these as part of our operating environment factor assessment and made an adjustment if we considered one was warranted</w:t>
      </w:r>
      <w:r w:rsidRPr="00D1590E">
        <w:rPr>
          <w:rStyle w:val="FootnoteReference"/>
        </w:rPr>
        <w:footnoteReference w:id="381"/>
      </w:r>
    </w:p>
    <w:p w:rsidR="00D1590E" w:rsidRPr="00D1590E" w:rsidRDefault="00D1590E" w:rsidP="00D1590E">
      <w:pPr>
        <w:pStyle w:val="AERbulletlistfirststyle"/>
      </w:pPr>
      <w:r w:rsidRPr="00D1590E">
        <w:t>differences in vegetation management clearance requirements between states – we considered this as part of our operating environment factor assessment and made an adjustment if we considered one was warranted</w:t>
      </w:r>
      <w:r w:rsidRPr="00D1590E">
        <w:rPr>
          <w:rStyle w:val="FootnoteReference"/>
        </w:rPr>
        <w:footnoteReference w:id="382"/>
      </w:r>
    </w:p>
    <w:p w:rsidR="00D1590E" w:rsidRPr="00D1590E" w:rsidRDefault="00D1590E" w:rsidP="00D1590E">
      <w:pPr>
        <w:pStyle w:val="AERbulletlistfirststyle"/>
      </w:pPr>
      <w:r w:rsidRPr="00D1590E">
        <w:t>differences in network age, service quality and reliability standards – we considered these as part of our operating environment factor assessment and made an adjustment if we considered one was warranted</w:t>
      </w:r>
      <w:r w:rsidRPr="00D1590E">
        <w:rPr>
          <w:rStyle w:val="FootnoteReference"/>
        </w:rPr>
        <w:footnoteReference w:id="383"/>
      </w:r>
    </w:p>
    <w:p w:rsidR="00D1590E" w:rsidRPr="00D1590E" w:rsidRDefault="00D1590E" w:rsidP="00D1590E">
      <w:pPr>
        <w:pStyle w:val="AERbulletlistfirststyle"/>
      </w:pPr>
      <w:r w:rsidRPr="00D1590E">
        <w:t>related party arrangements – considered as part of our examination of opex factors. We considered ownership arrangements are not a key concern for total opex assessment because benchmarking enables us to compare the relative efficiency of each service provider's opex regardless of the arrangements they have in place (which are the service provider's choice)</w:t>
      </w:r>
      <w:r w:rsidRPr="00D1590E">
        <w:rPr>
          <w:rStyle w:val="FootnoteReference"/>
        </w:rPr>
        <w:footnoteReference w:id="384"/>
      </w:r>
    </w:p>
    <w:p w:rsidR="00D1590E" w:rsidRPr="00D1590E" w:rsidRDefault="00D1590E" w:rsidP="00D1590E">
      <w:pPr>
        <w:pStyle w:val="AERbulletlistfirststyle"/>
      </w:pPr>
      <w:r w:rsidRPr="00D1590E">
        <w:t>provision reporting – service providers must develop their provision accounts in accordance with consistent  Australian accounting standards so they must meet the same requirements even if they may be named differently. Further, opex reported on a cash basis and accrual basis to be approximately equal on average.</w:t>
      </w:r>
      <w:r w:rsidRPr="00D1590E">
        <w:rPr>
          <w:rStyle w:val="FootnoteReference"/>
        </w:rPr>
        <w:t xml:space="preserve"> </w:t>
      </w:r>
      <w:r w:rsidRPr="00D1590E">
        <w:rPr>
          <w:rStyle w:val="FootnoteReference"/>
        </w:rPr>
        <w:footnoteReference w:id="385"/>
      </w:r>
      <w:r w:rsidRPr="00D1590E">
        <w:t xml:space="preserve"> Hence the use of eight years of panel data to derive an average efficiency score for the period will reduce the effect that provisions could have on the benchmarking results.</w:t>
      </w:r>
    </w:p>
    <w:p w:rsidR="00D1590E" w:rsidRPr="00D1590E" w:rsidRDefault="00D1590E" w:rsidP="00D1590E">
      <w:r w:rsidRPr="00D1590E">
        <w:t xml:space="preserve">In our draft decision, we did not explicitly consider differences in the allocation of responsibility for vegetation management across states or differences in fuel mix. In this final decision, however, we consider them as part of our operating environment factor assessment in section </w:t>
      </w:r>
      <w:r w:rsidRPr="00D1590E">
        <w:fldChar w:fldCharType="begin"/>
      </w:r>
      <w:r w:rsidRPr="00D1590E">
        <w:instrText xml:space="preserve"> REF _Ref417551822 \n \h </w:instrText>
      </w:r>
      <w:r w:rsidRPr="00D1590E">
        <w:fldChar w:fldCharType="separate"/>
      </w:r>
      <w:r w:rsidR="00C57342">
        <w:t>A.6</w:t>
      </w:r>
      <w:r w:rsidRPr="00D1590E">
        <w:fldChar w:fldCharType="end"/>
      </w:r>
      <w:r w:rsidRPr="00D1590E">
        <w:t>.</w:t>
      </w:r>
    </w:p>
    <w:p w:rsidR="00D1590E" w:rsidRPr="00D1590E" w:rsidRDefault="00D1590E" w:rsidP="00D1590E">
      <w:r w:rsidRPr="00D1590E">
        <w:br w:type="page"/>
      </w:r>
    </w:p>
    <w:p w:rsidR="00D1590E" w:rsidRPr="00D1590E" w:rsidRDefault="00D1590E" w:rsidP="00D1590E">
      <w:pPr>
        <w:pStyle w:val="HeadingBoldItalic"/>
      </w:pPr>
      <w:r w:rsidRPr="00D1590E">
        <w:lastRenderedPageBreak/>
        <w:t>Data quality</w:t>
      </w:r>
    </w:p>
    <w:p w:rsidR="00D1590E" w:rsidRPr="00D1590E" w:rsidRDefault="00D1590E" w:rsidP="00D1590E">
      <w:r w:rsidRPr="00D1590E">
        <w:t>The service providers and their consultants submitted they had some concerns regarding the quality of benchmarking data we have used.</w:t>
      </w:r>
      <w:r w:rsidRPr="00D1590E">
        <w:rPr>
          <w:rStyle w:val="FootnoteReference"/>
        </w:rPr>
        <w:footnoteReference w:id="386"/>
      </w:r>
      <w:r w:rsidRPr="00D1590E">
        <w:t xml:space="preserve"> We disagree with their submissions and maintain our draft decision view that our dataset is of good quality. As we mentioned above, Economic Insights considers our dataset is robust:</w:t>
      </w:r>
    </w:p>
    <w:p w:rsidR="00D1590E" w:rsidRPr="00D1590E" w:rsidRDefault="00D1590E" w:rsidP="00D1590E">
      <w:pPr>
        <w:pStyle w:val="AERquoteindent1"/>
      </w:pPr>
      <w:r w:rsidRPr="00D1590E">
        <w:t>While no dataset will likely ever be perfect, the AER’s economic benchmarking RIN data provides the most consistent and thoroughly examined DNSP dataset yet assembled in Australia… the AER’s economic benchmarking RIN data are also considerably more detailed, comprehensive and consistent than regulatory data in comparable countries, including the United States. The Australian output and input data used in this study are thus considered to be quite robust and to compare more than favourably with overseas datasets used in previous studies.</w:t>
      </w:r>
    </w:p>
    <w:p w:rsidR="00D1590E" w:rsidRPr="00D1590E" w:rsidRDefault="00D1590E" w:rsidP="00D1590E">
      <w:r w:rsidRPr="00D1590E">
        <w:t>PEG also submits that our dataset is "generally of good quality".</w:t>
      </w:r>
      <w:r w:rsidRPr="00D1590E">
        <w:rPr>
          <w:rStyle w:val="FootnoteReference"/>
        </w:rPr>
        <w:footnoteReference w:id="387"/>
      </w:r>
      <w:r w:rsidRPr="00D1590E">
        <w:t xml:space="preserve"> The CCP also praised the data, noting that it was supplied by the distributors.</w:t>
      </w:r>
      <w:r w:rsidRPr="00D1590E">
        <w:rPr>
          <w:rStyle w:val="FootnoteReference"/>
        </w:rPr>
        <w:footnoteReference w:id="388"/>
      </w:r>
      <w:r w:rsidRPr="00D1590E">
        <w:t xml:space="preserve"> Further, Jemena Gas Networks, and AusNet Services (Gas) have recently asked us to rely on their gas data after submitting benchmarking models prepared by Economic Insights.</w:t>
      </w:r>
      <w:r w:rsidRPr="00D1590E">
        <w:rPr>
          <w:rStyle w:val="FootnoteReference"/>
        </w:rPr>
        <w:t xml:space="preserve"> </w:t>
      </w:r>
      <w:r w:rsidRPr="00D1590E">
        <w:rPr>
          <w:rStyle w:val="FootnoteReference"/>
        </w:rPr>
        <w:footnoteReference w:id="389"/>
      </w:r>
      <w:r w:rsidRPr="00D1590E">
        <w:t xml:space="preserve"> The data they have relied on has not been subject to the same rigorous testing and validation process that the economic benchmarking RIN data has been subject to.</w:t>
      </w:r>
    </w:p>
    <w:p w:rsidR="00D1590E" w:rsidRPr="00D1590E" w:rsidRDefault="00D1590E" w:rsidP="00D1590E">
      <w:r w:rsidRPr="00D1590E">
        <w:t>In this sub-section we briefly reiterate our data collection and validation process before addressing previous comments regarding data quality and explaining why alternatives proposed by the service providers are unreasonable.</w:t>
      </w:r>
    </w:p>
    <w:p w:rsidR="00D1590E" w:rsidRPr="00D1590E" w:rsidRDefault="00D1590E" w:rsidP="00D1590E">
      <w:pPr>
        <w:pStyle w:val="HeadingItalic"/>
      </w:pPr>
      <w:r w:rsidRPr="00D1590E">
        <w:t>Data collection and validation process</w:t>
      </w:r>
    </w:p>
    <w:p w:rsidR="00D1590E" w:rsidRPr="00D1590E" w:rsidRDefault="00D1590E" w:rsidP="00D1590E">
      <w:r w:rsidRPr="00D1590E">
        <w:t>The development of our benchmarking dataset has come about as the result of a public consultation process that began May 2012. We presented the full process we went through to collect, test and validate the data in our approach section. This process included several open workshops to discuss data requirements and four explicit opportunities for service providers to comment on the data prior to submitting unaudited RIN responses.</w:t>
      </w:r>
      <w:r w:rsidRPr="00D1590E">
        <w:rPr>
          <w:rStyle w:val="FootnoteReference"/>
        </w:rPr>
        <w:footnoteReference w:id="390"/>
      </w:r>
    </w:p>
    <w:p w:rsidR="00D1590E" w:rsidRPr="00D1590E" w:rsidRDefault="00D1590E" w:rsidP="00D1590E">
      <w:r w:rsidRPr="00D1590E">
        <w:lastRenderedPageBreak/>
        <w:t>Following this process, and before requiring audited RIN responses, we initiated a comprehensive testing and validation process involving:</w:t>
      </w:r>
    </w:p>
    <w:p w:rsidR="00D1590E" w:rsidRPr="00D1590E" w:rsidRDefault="00D1590E" w:rsidP="00D1590E">
      <w:pPr>
        <w:pStyle w:val="AERbulletlistfirststyle"/>
      </w:pPr>
      <w:r w:rsidRPr="00D1590E">
        <w:t xml:space="preserve">comparing RIN information with information previously reported by service providers (such as regulatory proposals, previous RIN responses and </w:t>
      </w:r>
      <w:r w:rsidR="00C867C5">
        <w:t>distributor</w:t>
      </w:r>
      <w:r w:rsidRPr="00D1590E">
        <w:t xml:space="preserve"> annual reports) to ensure consistency</w:t>
      </w:r>
    </w:p>
    <w:p w:rsidR="00D1590E" w:rsidRPr="00D1590E" w:rsidRDefault="00D1590E" w:rsidP="00D1590E">
      <w:pPr>
        <w:pStyle w:val="AERbulletlistfirststyle"/>
      </w:pPr>
      <w:r w:rsidRPr="00D1590E">
        <w:t>reviewing time series data to identify any anomalous data points</w:t>
      </w:r>
    </w:p>
    <w:p w:rsidR="00D1590E" w:rsidRPr="00D1590E" w:rsidRDefault="00D1590E" w:rsidP="00D1590E">
      <w:pPr>
        <w:pStyle w:val="AERbulletlistfirststyle"/>
      </w:pPr>
      <w:r w:rsidRPr="00D1590E">
        <w:t>reviewing bases of preparation to ensure the service providers prepared the data in accordance with the RIN instructions and definitions</w:t>
      </w:r>
    </w:p>
    <w:p w:rsidR="00D1590E" w:rsidRPr="00D1590E" w:rsidRDefault="00D1590E" w:rsidP="00D1590E">
      <w:pPr>
        <w:pStyle w:val="AERbulletlistfirststyle"/>
      </w:pPr>
      <w:r w:rsidRPr="00D1590E">
        <w:t>comparing data across service providers to identify potential anomalies.</w:t>
      </w:r>
    </w:p>
    <w:p w:rsidR="00D1590E" w:rsidRPr="00D1590E" w:rsidRDefault="00D1590E" w:rsidP="00D1590E">
      <w:r w:rsidRPr="00D1590E">
        <w:t>Where we identified anomalies or inconsistencies we drew these to the attention of the service providers. Ultimately, to ensure that the data was reliable we required independent audit of the service providers' RIN responses prior to final submission and the service providers' CEOs to sign a statutory declaration attesting to the robustness of the data.</w:t>
      </w:r>
    </w:p>
    <w:p w:rsidR="00D1590E" w:rsidRPr="00D1590E" w:rsidRDefault="00D1590E" w:rsidP="00D1590E">
      <w:r w:rsidRPr="00D1590E">
        <w:t>We then published the audited RIN data on our website and called for submissions on the data.</w:t>
      </w:r>
      <w:r w:rsidRPr="00D1590E">
        <w:rPr>
          <w:rStyle w:val="FootnoteReference"/>
        </w:rPr>
        <w:footnoteReference w:id="391"/>
      </w:r>
      <w:r w:rsidRPr="00D1590E">
        <w:t xml:space="preserve"> In response, only Citipower and Powercor raised specific issues regarding data quality, which we addressed.</w:t>
      </w:r>
      <w:r w:rsidRPr="00D1590E">
        <w:rPr>
          <w:rStyle w:val="FootnoteReference"/>
        </w:rPr>
        <w:footnoteReference w:id="392"/>
      </w:r>
      <w:r w:rsidRPr="00D1590E">
        <w:t xml:space="preserve"> We subsequently undertook further review of audited RIN responses and discussed any further data issues directly with the relevant service providers. </w:t>
      </w:r>
    </w:p>
    <w:p w:rsidR="00D1590E" w:rsidRPr="00D1590E" w:rsidRDefault="00D1590E" w:rsidP="00D1590E">
      <w:r w:rsidRPr="00D1590E">
        <w:t>When we consulted on our draft benchmarking reports in August 2014, we again circulated our benchmarking data set. In this process, Energex raised the only significant data-related issue, relating to the inclusion of feed-in tariffs. To account for this submission we excluded the value of feed in tariffs from opex.</w:t>
      </w:r>
      <w:r w:rsidRPr="00D1590E">
        <w:rPr>
          <w:rStyle w:val="FootnoteReference"/>
        </w:rPr>
        <w:footnoteReference w:id="393"/>
      </w:r>
    </w:p>
    <w:p w:rsidR="00D1590E" w:rsidRPr="00D1590E" w:rsidRDefault="00D1590E" w:rsidP="00D1590E">
      <w:r w:rsidRPr="00D1590E">
        <w:t>In the course of our testing and validation process, we found that some responses for certain variables (particularly for several operating environment variables) were not robust. Accordingly, we decided not to use these variables.</w:t>
      </w:r>
    </w:p>
    <w:p w:rsidR="00D1590E" w:rsidRPr="00D1590E" w:rsidRDefault="00D1590E" w:rsidP="00D1590E">
      <w:r w:rsidRPr="00D1590E">
        <w:t>We are not professing that our benchmarking dataset is perfect. However, Economic Insights considers no dataset is ever likely to be perfect (Frontier Economics agrees</w:t>
      </w:r>
      <w:r w:rsidRPr="00D1590E">
        <w:rPr>
          <w:rStyle w:val="FootnoteReference"/>
        </w:rPr>
        <w:footnoteReference w:id="394"/>
      </w:r>
      <w:r w:rsidRPr="00D1590E">
        <w:t>), and ours is suitable for benchmarking.</w:t>
      </w:r>
      <w:r w:rsidRPr="00D1590E">
        <w:rPr>
          <w:rStyle w:val="FootnoteReference"/>
        </w:rPr>
        <w:footnoteReference w:id="395"/>
      </w:r>
      <w:r w:rsidRPr="00D1590E">
        <w:t xml:space="preserve"> We are satisfied that we have </w:t>
      </w:r>
      <w:r w:rsidRPr="00D1590E">
        <w:lastRenderedPageBreak/>
        <w:t>undertaken a very comprehensive and inclusive process to develop a database that is sufficiently robust and reliable for benchmarking purposes.</w:t>
      </w:r>
    </w:p>
    <w:p w:rsidR="00D1590E" w:rsidRPr="00D1590E" w:rsidRDefault="00D1590E" w:rsidP="00D1590E">
      <w:r w:rsidRPr="00D1590E">
        <w:t>Further, the data that we have used in our benchmarking models is aggregate data that the service providers themselves require for their own purposes. This data includes historic opex, reliability, demand, customers and the number and size or capacity of key assets. The customer numbers we use, for example, are the number of National Metering Identifiers that the service providers must submit to AEMO for settlement purposes.</w:t>
      </w:r>
    </w:p>
    <w:p w:rsidR="00D1590E" w:rsidRPr="00D1590E" w:rsidRDefault="00D1590E" w:rsidP="00D1590E">
      <w:r w:rsidRPr="00D1590E">
        <w:t>Without reliable information on the quantity, location, nature and condition of their networks and assets, service providers would be unable to effectively (or safely) operate and maintain their networks. We also note that the data produced in the economic benchmarking RINs is derived from the same systems the service providers use to prepare their regulatory proposals, which they use to justify increases in revenue.</w:t>
      </w:r>
    </w:p>
    <w:p w:rsidR="00D1590E" w:rsidRPr="00D1590E" w:rsidRDefault="00D1590E" w:rsidP="00D1590E">
      <w:pPr>
        <w:pStyle w:val="HeadingItalic"/>
      </w:pPr>
      <w:r w:rsidRPr="00D1590E">
        <w:t>Previous comments on data quality</w:t>
      </w:r>
    </w:p>
    <w:p w:rsidR="00D1590E" w:rsidRPr="00D1590E" w:rsidRDefault="00D1590E" w:rsidP="00D1590E">
      <w:r w:rsidRPr="00D1590E">
        <w:t>The service providers point to past comments the AER/ACCC, AEMC, PC and Economic Insights have made about benchmarking data as a reason why they consider our current benchmarking data is not robust.</w:t>
      </w:r>
      <w:r w:rsidRPr="00D1590E">
        <w:rPr>
          <w:rStyle w:val="FootnoteReference"/>
        </w:rPr>
        <w:footnoteReference w:id="396"/>
      </w:r>
      <w:r w:rsidRPr="00D1590E">
        <w:t xml:space="preserve"> The submissions highlight:</w:t>
      </w:r>
      <w:r w:rsidRPr="00D1590E">
        <w:rPr>
          <w:rStyle w:val="FootnoteReference"/>
        </w:rPr>
        <w:footnoteReference w:id="397"/>
      </w:r>
    </w:p>
    <w:p w:rsidR="00D1590E" w:rsidRPr="00D1590E" w:rsidRDefault="00D1590E" w:rsidP="00D1590E">
      <w:pPr>
        <w:pStyle w:val="AERbulletlistfirststyle"/>
      </w:pPr>
      <w:r w:rsidRPr="00D1590E">
        <w:t>the AER's 2008 opinion that it did not have robust, consistent and reliable long term data suitable for TFP</w:t>
      </w:r>
    </w:p>
    <w:p w:rsidR="00D1590E" w:rsidRPr="00D1590E" w:rsidRDefault="00D1590E" w:rsidP="00D1590E">
      <w:pPr>
        <w:pStyle w:val="AERbulletlistfirststyle"/>
      </w:pPr>
      <w:r w:rsidRPr="00D1590E">
        <w:t>Economic Insights' 2009 view that the regulatory data available at the time were not fit for the purpose of a robust TFP analysis of the standard required to base regulatory pricing and revenue determinations on</w:t>
      </w:r>
    </w:p>
    <w:p w:rsidR="00D1590E" w:rsidRPr="00D1590E" w:rsidRDefault="00D1590E" w:rsidP="00D1590E">
      <w:pPr>
        <w:pStyle w:val="AERbulletlistfirststyle"/>
      </w:pPr>
      <w:r w:rsidRPr="00D1590E">
        <w:t>the AEMC's decision in 2011 not to adopt TFP for price and revenue determinations</w:t>
      </w:r>
    </w:p>
    <w:p w:rsidR="00D1590E" w:rsidRPr="00D1590E" w:rsidRDefault="00D1590E" w:rsidP="00D1590E">
      <w:pPr>
        <w:pStyle w:val="AERbulletlistfirststyle"/>
      </w:pPr>
      <w:r w:rsidRPr="00D1590E">
        <w:t>the PC's conclusion in April 2013 that there was little immediate scope for benchmarking to play a decisive role in determinations due to its incipiency.</w:t>
      </w:r>
    </w:p>
    <w:p w:rsidR="00D1590E" w:rsidRPr="00D1590E" w:rsidRDefault="00D1590E" w:rsidP="00D1590E">
      <w:r w:rsidRPr="00D1590E">
        <w:t>Some service providers raised similar concerns during the development of our economic benchmarking RIN, in September 2013, also referring to the AEMC's TFP review. In that process, we explained that the AEMC's comments about data availability and quality related to data in the public domain or used in previous regulatory decisions.</w:t>
      </w:r>
      <w:r w:rsidRPr="00D1590E">
        <w:rPr>
          <w:rStyle w:val="FootnoteReference"/>
        </w:rPr>
        <w:footnoteReference w:id="398"/>
      </w:r>
    </w:p>
    <w:p w:rsidR="00D1590E" w:rsidRPr="00D1590E" w:rsidRDefault="00D1590E" w:rsidP="00D1590E">
      <w:r w:rsidRPr="00D1590E">
        <w:lastRenderedPageBreak/>
        <w:t xml:space="preserve">The same applies here. All of the above statements relate to data existing in the public domain or used in determinations at the time (that is, prior to April 2013). We collected the data we are using in this determination at the end of April in 2014. </w:t>
      </w:r>
    </w:p>
    <w:p w:rsidR="00D1590E" w:rsidRPr="00D1590E" w:rsidRDefault="00D1590E" w:rsidP="00D1590E">
      <w:r w:rsidRPr="00D1590E">
        <w:t xml:space="preserve">Given the aforementioned positive comments about our </w:t>
      </w:r>
      <w:r w:rsidRPr="00D1590E">
        <w:rPr>
          <w:rStyle w:val="AERtextitalic"/>
        </w:rPr>
        <w:t>current</w:t>
      </w:r>
      <w:r w:rsidRPr="00D1590E">
        <w:t xml:space="preserve"> benchmarking data, we are not convinced that the service providers' submissions have merit. </w:t>
      </w:r>
    </w:p>
    <w:p w:rsidR="00D1590E" w:rsidRPr="00D1590E" w:rsidRDefault="00D1590E" w:rsidP="00D1590E">
      <w:pPr>
        <w:pStyle w:val="HeadingItalic"/>
      </w:pPr>
      <w:r w:rsidRPr="00D1590E">
        <w:t>Alternative approaches proposed by service providers</w:t>
      </w:r>
    </w:p>
    <w:p w:rsidR="00D1590E" w:rsidRPr="00D1590E" w:rsidRDefault="00D1590E" w:rsidP="00D1590E">
      <w:r w:rsidRPr="00D1590E">
        <w:t xml:space="preserve">On behalf of the service providers, Frontier Economics considers we should spend more time collecting 'more consistent and reliable data across </w:t>
      </w:r>
      <w:r w:rsidR="00C867C5">
        <w:t>distributors</w:t>
      </w:r>
      <w:r w:rsidRPr="00D1590E">
        <w:t>' and work collaboratively with the service providers. In doing so, Frontier Economics observes that Ofgem has undertaken a decade or more of development work in respect of its data collection.</w:t>
      </w:r>
      <w:r w:rsidRPr="00D1590E">
        <w:rPr>
          <w:rStyle w:val="FootnoteReference"/>
        </w:rPr>
        <w:footnoteReference w:id="399"/>
      </w:r>
      <w:r w:rsidRPr="00D1590E">
        <w:t xml:space="preserve"> CEPA also comments that if we had consistent data across the Australian service providers we may not need to rely on international data.</w:t>
      </w:r>
      <w:r w:rsidRPr="00D1590E">
        <w:rPr>
          <w:rStyle w:val="FootnoteReference"/>
        </w:rPr>
        <w:footnoteReference w:id="400"/>
      </w:r>
    </w:p>
    <w:p w:rsidR="00D1590E" w:rsidRPr="00D1590E" w:rsidRDefault="00D1590E" w:rsidP="00D1590E">
      <w:r w:rsidRPr="00D1590E">
        <w:t>Notwithstanding our view that our data is of good quality now, this alternative is not feasible. Econometric benchmarking analysis with Australian service providers can only be conducted with the international data. This is due to the cross-sectional variation issue we discuss above. As PEG observes, the number of companies in the Australian sample will always be limited, even as additional years of data accumulate.</w:t>
      </w:r>
      <w:r w:rsidRPr="00D1590E">
        <w:rPr>
          <w:rStyle w:val="FootnoteReference"/>
        </w:rPr>
        <w:footnoteReference w:id="401"/>
      </w:r>
    </w:p>
    <w:p w:rsidR="00D1590E" w:rsidRPr="00D1590E" w:rsidRDefault="00D1590E" w:rsidP="00D1590E">
      <w:r w:rsidRPr="00D1590E">
        <w:t>As for Frontier Economics' observations of Ofgem, we note the following. According to CEPA, in its 1999 price review for distribution services Ofgem benchmarked operating expenditure. It did so with only one year of opex data that required a number of significant adjustments. Using this data Ofgem developed a simple benchmarking model with only one dependent variable and determined the UK service providers could reduce their opex by 16 per cent (on average). The service providers subsequently were able to reduce their opex by 20 per cent (on average).</w:t>
      </w:r>
      <w:r w:rsidRPr="00D1590E">
        <w:rPr>
          <w:rStyle w:val="FootnoteReference"/>
        </w:rPr>
        <w:footnoteReference w:id="402"/>
      </w:r>
      <w:r w:rsidRPr="00D1590E">
        <w:t xml:space="preserve"> </w:t>
      </w:r>
    </w:p>
    <w:p w:rsidR="00D1590E" w:rsidRPr="00D1590E" w:rsidRDefault="00D1590E" w:rsidP="00D1590E">
      <w:r w:rsidRPr="00D1590E">
        <w:t>We do not consider that Ofgem's approach was perfect. It does, however, indicate that Ofgem has in previously implemented opex benchmarking using a less sophisticated and less rigorously tested database than our own to determine expenditure requirements.</w:t>
      </w:r>
    </w:p>
    <w:p w:rsidR="00D1590E" w:rsidRPr="00D1590E" w:rsidRDefault="00D1590E" w:rsidP="00D1590E">
      <w:pPr>
        <w:pStyle w:val="HeadingBoldItalic"/>
      </w:pPr>
      <w:r w:rsidRPr="00D1590E">
        <w:t>Adjustments to data</w:t>
      </w:r>
    </w:p>
    <w:p w:rsidR="00D1590E" w:rsidRPr="00D1590E" w:rsidRDefault="00D1590E" w:rsidP="00D1590E">
      <w:r w:rsidRPr="00D1590E">
        <w:t xml:space="preserve">CEPA submits that our approach of adjusting for identified operating environment factors not explicitly included in the econometric models is ‘not in line with the </w:t>
      </w:r>
      <w:r w:rsidRPr="00D1590E">
        <w:lastRenderedPageBreak/>
        <w:t>approach used by Ofgem’. CEPA's view is that a better approach is to adjust for operating environment differences prior to conducting the modelling.</w:t>
      </w:r>
      <w:r w:rsidRPr="00D1590E">
        <w:rPr>
          <w:rStyle w:val="FootnoteReference"/>
        </w:rPr>
        <w:footnoteReference w:id="403"/>
      </w:r>
    </w:p>
    <w:p w:rsidR="00D1590E" w:rsidRPr="00D1590E" w:rsidRDefault="00D1590E" w:rsidP="00D1590E">
      <w:r w:rsidRPr="00D1590E">
        <w:t>Economic Insights disagrees that the post-modelling adjustment approach is inappropriate. Economic Insights considers that given the purpose of the study, adjustment for operating environment factors can be done either:</w:t>
      </w:r>
      <w:r w:rsidRPr="00D1590E">
        <w:rPr>
          <w:rStyle w:val="FootnoteReference"/>
        </w:rPr>
        <w:footnoteReference w:id="404"/>
      </w:r>
    </w:p>
    <w:p w:rsidR="00D1590E" w:rsidRPr="00D1590E" w:rsidRDefault="00D1590E" w:rsidP="00D1590E">
      <w:pPr>
        <w:pStyle w:val="AERbulletlistfirststyle"/>
      </w:pPr>
      <w:r w:rsidRPr="00D1590E">
        <w:t>as part of the modelling, if sufficient information is available for all included service providers across all jurisdictions, or</w:t>
      </w:r>
    </w:p>
    <w:p w:rsidR="00D1590E" w:rsidRPr="00D1590E" w:rsidRDefault="00D1590E" w:rsidP="00D1590E">
      <w:pPr>
        <w:pStyle w:val="AERbulletlistfirststyle"/>
      </w:pPr>
      <w:r w:rsidRPr="00D1590E">
        <w:t xml:space="preserve">after the modelling if data for particular variables are not universally and consistently available across countries, but are available for Australian </w:t>
      </w:r>
      <w:r w:rsidR="00C867C5">
        <w:t>distributors</w:t>
      </w:r>
      <w:r w:rsidRPr="00D1590E">
        <w:t>.</w:t>
      </w:r>
    </w:p>
    <w:p w:rsidR="00D1590E" w:rsidRPr="00D1590E" w:rsidRDefault="00D1590E" w:rsidP="00D1590E">
      <w:r w:rsidRPr="00D1590E">
        <w:t>Economic Insights has adopted the latter approach because—given we are comparing Australian service provider performance to the most efficient Australian providers—the requisite information is not available for all service providers across all jurisdictions.</w:t>
      </w:r>
    </w:p>
    <w:p w:rsidR="00D1590E" w:rsidRPr="00D1590E" w:rsidRDefault="00D1590E" w:rsidP="00D1590E">
      <w:r w:rsidRPr="00D1590E">
        <w:t>Economic Insights also notes that degrees of freedom considerations limit the number of operating environment variables that can usefully be included directly in economic benchmarking models. This means that making the use of subsequent adjustment is the only way of allowing a fuller treatment of operating environment factors. Therefore, while Economic Insights' approach may be different to that adopted by Ofgem, it is a valid approach and one that makes optimal use of the information available.</w:t>
      </w:r>
      <w:r w:rsidRPr="00D1590E">
        <w:rPr>
          <w:rStyle w:val="FootnoteReference"/>
        </w:rPr>
        <w:footnoteReference w:id="405"/>
      </w:r>
      <w:r w:rsidRPr="00D1590E">
        <w:t xml:space="preserve"> By adopting the two step approach analysis includes allowance for the impact of many more operating environment factors than have earlier economic benchmarking studies and the alternative models advanced by the </w:t>
      </w:r>
      <w:r w:rsidR="00C867C5">
        <w:t>distributors</w:t>
      </w:r>
      <w:r w:rsidRPr="00D1590E">
        <w:t>’ consultants.</w:t>
      </w:r>
      <w:r w:rsidRPr="00D1590E">
        <w:rPr>
          <w:rStyle w:val="FootnoteReference"/>
        </w:rPr>
        <w:footnoteReference w:id="406"/>
      </w:r>
      <w:r w:rsidRPr="00D1590E">
        <w:t xml:space="preserve"> </w:t>
      </w:r>
    </w:p>
    <w:p w:rsidR="00D1590E" w:rsidRPr="00D1590E" w:rsidRDefault="00D1590E" w:rsidP="00D1590E">
      <w:r w:rsidRPr="00D1590E">
        <w:t>We discuss operating environment factors in detail in section A.6.</w:t>
      </w:r>
    </w:p>
    <w:p w:rsidR="00D1590E" w:rsidRPr="00D1590E" w:rsidRDefault="00D1590E" w:rsidP="00D1590E">
      <w:pPr>
        <w:pStyle w:val="HeadingBoldBlue"/>
      </w:pPr>
      <w:bookmarkStart w:id="247" w:name="_Toc415230983"/>
      <w:bookmarkStart w:id="248" w:name="_Toc417646284"/>
      <w:r w:rsidRPr="00D1590E">
        <w:t>Estimation methods</w:t>
      </w:r>
      <w:bookmarkEnd w:id="247"/>
      <w:bookmarkEnd w:id="248"/>
    </w:p>
    <w:p w:rsidR="00D1590E" w:rsidRPr="00D1590E" w:rsidRDefault="00D1590E" w:rsidP="00D1590E">
      <w:r w:rsidRPr="00D1590E">
        <w:t>In this sub-section we compare and contrast our estimation methods with the alternatives proposed by the service providers' consultants. First, we explain what we have done and why. Second, we explain why we have not used data envelopment analysis (DEA) and why the DEA analysis used by the service providers' consultants is inappropriate. Third, we demonstrate why the service providers' estimation methods are not robust or reliable.</w:t>
      </w:r>
    </w:p>
    <w:p w:rsidR="00D1590E" w:rsidRPr="00D1590E" w:rsidRDefault="00D1590E" w:rsidP="00D1590E">
      <w:bookmarkStart w:id="249" w:name="_Toc415230984"/>
      <w:r w:rsidRPr="00D1590E">
        <w:br w:type="page"/>
      </w:r>
    </w:p>
    <w:p w:rsidR="00D1590E" w:rsidRPr="00D1590E" w:rsidRDefault="00D1590E" w:rsidP="00D1590E">
      <w:pPr>
        <w:pStyle w:val="HeadingBoldItalic"/>
      </w:pPr>
      <w:r w:rsidRPr="00D1590E">
        <w:lastRenderedPageBreak/>
        <w:t>Our estimation methods</w:t>
      </w:r>
    </w:p>
    <w:p w:rsidR="00D1590E" w:rsidRPr="00D1590E" w:rsidRDefault="00D1590E" w:rsidP="00D1590E">
      <w:r w:rsidRPr="00D1590E">
        <w:t>We have applied the best available model for estimating efficient opex. Economic Insights explains that our Cobb Douglas SFA model is statistically superior to other benchmarking methods for the following reasons:</w:t>
      </w:r>
      <w:r w:rsidRPr="00D1590E">
        <w:rPr>
          <w:rStyle w:val="FootnoteReference"/>
        </w:rPr>
        <w:footnoteReference w:id="407"/>
      </w:r>
    </w:p>
    <w:p w:rsidR="00D1590E" w:rsidRPr="00D1590E" w:rsidRDefault="00D1590E" w:rsidP="00D1590E">
      <w:pPr>
        <w:pStyle w:val="AERbulletlistfirststyle"/>
      </w:pPr>
      <w:r w:rsidRPr="00D1590E">
        <w:t>it specifies the relationship between opex and outputs and some operating environment factors in an opex cost function (unlike DEA and MPFP)</w:t>
      </w:r>
    </w:p>
    <w:p w:rsidR="00D1590E" w:rsidRPr="00D1590E" w:rsidRDefault="00D1590E" w:rsidP="00D1590E">
      <w:pPr>
        <w:pStyle w:val="AERbulletlistfirststyle"/>
      </w:pPr>
      <w:r w:rsidRPr="00D1590E">
        <w:t>it directly estimates an efficient frontier (unlike econometric models and MPFP)</w:t>
      </w:r>
    </w:p>
    <w:p w:rsidR="00D1590E" w:rsidRPr="00D1590E" w:rsidRDefault="00D1590E" w:rsidP="00D1590E">
      <w:pPr>
        <w:pStyle w:val="AERbulletlistfirststyle"/>
      </w:pPr>
      <w:r w:rsidRPr="00D1590E">
        <w:t>it contains a random error term that separates the effect of data noises or random errors from inefficiency (unlike econometric models, DEA and MPFP)</w:t>
      </w:r>
    </w:p>
    <w:p w:rsidR="00D1590E" w:rsidRPr="00D1590E" w:rsidRDefault="00D1590E" w:rsidP="00D1590E">
      <w:pPr>
        <w:pStyle w:val="AERbulletlistfirststyle"/>
      </w:pPr>
      <w:r w:rsidRPr="00D1590E">
        <w:t>the results of the Cobb Douglas SFA model can be verified with statistical testing (unlike DEA and MPFP).</w:t>
      </w:r>
    </w:p>
    <w:p w:rsidR="00D1590E" w:rsidRPr="00D1590E" w:rsidRDefault="00D1590E" w:rsidP="00D1590E">
      <w:r w:rsidRPr="00D1590E">
        <w:t>In addition, Economic Insights undertook tests of the Cobb Douglas SFA model and have found that:</w:t>
      </w:r>
      <w:r w:rsidRPr="00D1590E">
        <w:rPr>
          <w:rStyle w:val="FootnoteReference"/>
        </w:rPr>
        <w:footnoteReference w:id="408"/>
      </w:r>
    </w:p>
    <w:p w:rsidR="00D1590E" w:rsidRPr="00D1590E" w:rsidRDefault="00D1590E" w:rsidP="00D1590E">
      <w:pPr>
        <w:pStyle w:val="AERbulletlistfirststyle"/>
      </w:pPr>
      <w:r w:rsidRPr="00D1590E">
        <w:t>all the parameters are of the expected sign</w:t>
      </w:r>
    </w:p>
    <w:p w:rsidR="00D1590E" w:rsidRPr="00D1590E" w:rsidRDefault="00D1590E" w:rsidP="00D1590E">
      <w:pPr>
        <w:pStyle w:val="AERbulletlistfirststyle"/>
      </w:pPr>
      <w:r w:rsidRPr="00D1590E">
        <w:t>the parameter estimates all have plausible values</w:t>
      </w:r>
    </w:p>
    <w:p w:rsidR="00D1590E" w:rsidRPr="00D1590E" w:rsidRDefault="00D1590E" w:rsidP="00D1590E">
      <w:pPr>
        <w:pStyle w:val="AERbulletlistfirststyle"/>
      </w:pPr>
      <w:r w:rsidRPr="00D1590E">
        <w:t>estimated coefficients are statistically significant which indicates that they have been estimated to a high degree of precision</w:t>
      </w:r>
    </w:p>
    <w:p w:rsidR="00D1590E" w:rsidRPr="00D1590E" w:rsidRDefault="00D1590E" w:rsidP="00D1590E">
      <w:pPr>
        <w:pStyle w:val="AERbulletlistfirststyle"/>
      </w:pPr>
      <w:r w:rsidRPr="00D1590E">
        <w:t>the confidence intervals for the efficiency scores are relatively narrow.</w:t>
      </w:r>
    </w:p>
    <w:p w:rsidR="00D1590E" w:rsidRPr="00D1590E" w:rsidRDefault="00D1590E" w:rsidP="00D1590E">
      <w:r w:rsidRPr="00D1590E">
        <w:t>We have further confidence that the Cobb Douglas SFA model is appropriate because Economic Insights has also been able to corroborate the SFA model by producing consistent results using:</w:t>
      </w:r>
    </w:p>
    <w:p w:rsidR="00D1590E" w:rsidRPr="00D1590E" w:rsidRDefault="00D1590E" w:rsidP="00D1590E">
      <w:pPr>
        <w:pStyle w:val="AERbulletlistfirststyle"/>
      </w:pPr>
      <w:r w:rsidRPr="00D1590E">
        <w:t>other sophisticated econometric opex models using the same set of explanatory variables (Cobb Douglas LSE and translog LSE) that are more appropriate than the alternatives proposed by the service providers</w:t>
      </w:r>
    </w:p>
    <w:p w:rsidR="00D1590E" w:rsidRPr="00D1590E" w:rsidRDefault="00D1590E" w:rsidP="00D1590E">
      <w:pPr>
        <w:pStyle w:val="AERbulletlistfirststyle"/>
      </w:pPr>
      <w:r w:rsidRPr="00D1590E">
        <w:t>the opex MPFP model, which applies a different model specification and does not rely on international data.</w:t>
      </w:r>
    </w:p>
    <w:p w:rsidR="00D1590E" w:rsidRPr="00D1590E" w:rsidRDefault="00D1590E" w:rsidP="00D1590E">
      <w:r w:rsidRPr="00D1590E">
        <w:t>In addition, the results of our partial performance indicators and detailed review are consistent with the economic benchmarking results.</w:t>
      </w:r>
    </w:p>
    <w:p w:rsidR="00D1590E" w:rsidRPr="00D1590E" w:rsidRDefault="00D1590E" w:rsidP="00D1590E">
      <w:pPr>
        <w:pStyle w:val="HeadingBoldItalic"/>
      </w:pPr>
      <w:r w:rsidRPr="00D1590E">
        <w:t>Data envelopment analysis</w:t>
      </w:r>
    </w:p>
    <w:p w:rsidR="00D1590E" w:rsidRPr="00D1590E" w:rsidRDefault="00D1590E" w:rsidP="00D1590E">
      <w:pPr>
        <w:rPr>
          <w:rStyle w:val="AERbody"/>
        </w:rPr>
      </w:pPr>
      <w:r w:rsidRPr="00D1590E">
        <w:rPr>
          <w:rStyle w:val="AERbody"/>
        </w:rPr>
        <w:t xml:space="preserve">Some submissions suggested we should use DEA because we foreshadowed we would use it in our expenditure forecast assessment guideline. However, we have chosen not to apply DEA because it is an inferior modelling technique to a SFA model. </w:t>
      </w:r>
    </w:p>
    <w:p w:rsidR="00D1590E" w:rsidRPr="00D1590E" w:rsidRDefault="00D1590E" w:rsidP="00D1590E">
      <w:pPr>
        <w:rPr>
          <w:rStyle w:val="AERbody"/>
        </w:rPr>
      </w:pPr>
      <w:r w:rsidRPr="00D1590E">
        <w:rPr>
          <w:rStyle w:val="AERbody"/>
        </w:rPr>
        <w:lastRenderedPageBreak/>
        <w:t>As Economic Insights observes, DEA may identify certain service providers as efficient by default.</w:t>
      </w:r>
      <w:r w:rsidRPr="00D1590E">
        <w:rPr>
          <w:rStyle w:val="FootnoteReference"/>
        </w:rPr>
        <w:footnoteReference w:id="409"/>
      </w:r>
      <w:r w:rsidRPr="00D1590E">
        <w:rPr>
          <w:rStyle w:val="AERbody"/>
        </w:rPr>
        <w:t xml:space="preserve"> This is because DEA estimates the efficient frontier based upon the observed input and output combinations of service providers. This problem is compounded with the inclusion of additional output variables.</w:t>
      </w:r>
      <w:r w:rsidRPr="00D1590E">
        <w:rPr>
          <w:rStyle w:val="FootnoteReference"/>
        </w:rPr>
        <w:footnoteReference w:id="410"/>
      </w:r>
      <w:r w:rsidRPr="00D1590E">
        <w:rPr>
          <w:rStyle w:val="AERbody"/>
        </w:rPr>
        <w:t xml:space="preserve"> This is a particular concern when DEA is applied to a small sample of service providers (such as the Australian only data set).</w:t>
      </w:r>
      <w:r w:rsidRPr="00D1590E">
        <w:rPr>
          <w:rStyle w:val="FootnoteReference"/>
        </w:rPr>
        <w:footnoteReference w:id="411"/>
      </w:r>
    </w:p>
    <w:p w:rsidR="00D1590E" w:rsidRPr="00D1590E" w:rsidRDefault="00D1590E" w:rsidP="00D1590E">
      <w:r w:rsidRPr="00D1590E">
        <w:t xml:space="preserve">In addition, DEA models do not produce confidence intervals for efficiency estimates and DEA requires a large number of observations to be implemented satisfactorily. </w:t>
      </w:r>
      <w:r w:rsidRPr="00D1590E">
        <w:rPr>
          <w:rStyle w:val="FootnoteReference"/>
        </w:rPr>
        <w:footnoteReference w:id="412"/>
      </w:r>
      <w:r w:rsidRPr="00D1590E">
        <w:t xml:space="preserve"> Economic Insights considers that SFA is a preferable form of econometric model because it separates out the inefficiency component from the random noise component of the error term.</w:t>
      </w:r>
      <w:r w:rsidRPr="00D1590E">
        <w:rPr>
          <w:rStyle w:val="FootnoteReference"/>
        </w:rPr>
        <w:footnoteReference w:id="413"/>
      </w:r>
    </w:p>
    <w:p w:rsidR="00D1590E" w:rsidRPr="00D1590E" w:rsidRDefault="00D1590E" w:rsidP="00D1590E">
      <w:r w:rsidRPr="00D1590E">
        <w:t>In our expenditure forecast assessment guideline we indicated that we would use DEA. However, we also specified that we would take a holistic approach to developing benchmarking models based upon the availability of data. Once we received benchmarking data we discovered that we were able to develop a statistically superior SFA model. As such, we have decided to depart from the approach we set out in the Guideline.</w:t>
      </w:r>
    </w:p>
    <w:p w:rsidR="00D1590E" w:rsidRPr="00D1590E" w:rsidRDefault="00D1590E" w:rsidP="00D1590E">
      <w:pPr>
        <w:pStyle w:val="HeadingBoldItalic"/>
      </w:pPr>
      <w:r w:rsidRPr="00D1590E">
        <w:t>The service providers' estimation methods are not sufficiently robust or reliable</w:t>
      </w:r>
    </w:p>
    <w:p w:rsidR="00D1590E" w:rsidRPr="00D1590E" w:rsidRDefault="00D1590E" w:rsidP="00D1590E">
      <w:r w:rsidRPr="00D1590E">
        <w:t>A number of consultancy reports submitted have presented alternative benchmarking models to cross-check opex cost modelling by Economic Insights.</w:t>
      </w:r>
      <w:r w:rsidRPr="00D1590E">
        <w:rPr>
          <w:rStyle w:val="FootnoteReference"/>
        </w:rPr>
        <w:footnoteReference w:id="414"/>
      </w:r>
      <w:r w:rsidRPr="00D1590E">
        <w:t xml:space="preserve">  Depending on the model specification, these estimation methods differ in how they estimate inefficiencies, unobserved firm heterogeneity effect, and random errors.  The modelling differences include: </w:t>
      </w:r>
    </w:p>
    <w:p w:rsidR="00D1590E" w:rsidRPr="00D1590E" w:rsidRDefault="00D1590E" w:rsidP="00D1590E">
      <w:pPr>
        <w:pStyle w:val="AERbulletlistfirststyle"/>
      </w:pPr>
      <w:r w:rsidRPr="00D1590E">
        <w:t>treatment of unobserved firm heterogeneity and its separation from inefficiency</w:t>
      </w:r>
    </w:p>
    <w:p w:rsidR="00D1590E" w:rsidRPr="00D1590E" w:rsidRDefault="00D1590E" w:rsidP="00D1590E">
      <w:pPr>
        <w:pStyle w:val="AERbulletlistfirststyle"/>
      </w:pPr>
      <w:r w:rsidRPr="00D1590E">
        <w:t>the distributional form applied to modelled inefficiency</w:t>
      </w:r>
    </w:p>
    <w:p w:rsidR="00D1590E" w:rsidRPr="00D1590E" w:rsidRDefault="00D1590E" w:rsidP="00D1590E">
      <w:pPr>
        <w:pStyle w:val="AERbulletlistfirststyle"/>
      </w:pPr>
      <w:r w:rsidRPr="00D1590E">
        <w:t xml:space="preserve">The inclusion or exclusion of a random error term and the characteristics of this random error term.  </w:t>
      </w:r>
    </w:p>
    <w:p w:rsidR="00D1590E" w:rsidRPr="00D1590E" w:rsidRDefault="00D1590E" w:rsidP="00D1590E">
      <w:r w:rsidRPr="00D1590E">
        <w:t>The results of these models differ to that of Economic Insights. In our view, this is because the alternative models presented by the service providers' consultants are not robust. We outline our views on the alternative models below.</w:t>
      </w:r>
    </w:p>
    <w:p w:rsidR="00D1590E" w:rsidRPr="00D1590E" w:rsidRDefault="00D1590E" w:rsidP="00D1590E">
      <w:r w:rsidRPr="00D1590E">
        <w:br w:type="page"/>
      </w:r>
    </w:p>
    <w:p w:rsidR="00D1590E" w:rsidRPr="00D1590E" w:rsidRDefault="00D1590E" w:rsidP="00D1590E">
      <w:pPr>
        <w:pStyle w:val="HeadingItalic"/>
      </w:pPr>
      <w:r w:rsidRPr="00D1590E">
        <w:lastRenderedPageBreak/>
        <w:t>Use of DEA</w:t>
      </w:r>
    </w:p>
    <w:p w:rsidR="00D1590E" w:rsidRPr="00D1590E" w:rsidRDefault="00D1590E" w:rsidP="00D1590E">
      <w:r w:rsidRPr="00D1590E">
        <w:t>A number of the service providers' consultants have chosen to develop DEA models. We have noted the limitations of DEA models above.</w:t>
      </w:r>
    </w:p>
    <w:p w:rsidR="00D1590E" w:rsidRPr="00D1590E" w:rsidRDefault="00D1590E" w:rsidP="00D1590E">
      <w:r w:rsidRPr="00D1590E">
        <w:t>For instance, Huegin, Synergies and Frontier apply DEA models using a variety of inputs and outputs.</w:t>
      </w:r>
      <w:r w:rsidRPr="00D1590E">
        <w:rPr>
          <w:rStyle w:val="FootnoteReference"/>
        </w:rPr>
        <w:footnoteReference w:id="415"/>
      </w:r>
      <w:r w:rsidRPr="00D1590E">
        <w:t xml:space="preserve"> Frontier Economics finds more service providers to be efficient when additional output variables are added to the model or variable returns-to-scale technology is imposed. This illustrates the 'efficient by default' problem when using DEA. Economic Insights notes that increasing the number of outputs from three to four increases the number of </w:t>
      </w:r>
      <w:r w:rsidR="00C867C5">
        <w:t>distributors</w:t>
      </w:r>
      <w:r w:rsidRPr="00D1590E">
        <w:t xml:space="preserve"> with scores above 0.95 from two to seven, while also introducing variable returns to scale further increases the number with scores above 0.95 to 10 – simply because the sample is not large enough to support sensible efficiency analysis using this method.</w:t>
      </w:r>
      <w:r w:rsidRPr="00D1590E">
        <w:rPr>
          <w:rStyle w:val="FootnoteReference"/>
        </w:rPr>
        <w:footnoteReference w:id="416"/>
      </w:r>
    </w:p>
    <w:p w:rsidR="00D1590E" w:rsidRPr="00D1590E" w:rsidRDefault="00D1590E" w:rsidP="00D1590E">
      <w:pPr>
        <w:pStyle w:val="HeadingItalic"/>
      </w:pPr>
      <w:r w:rsidRPr="00D1590E">
        <w:t>True fixed-effects (FE) model and true random-effects (RE) models</w:t>
      </w:r>
    </w:p>
    <w:p w:rsidR="00D1590E" w:rsidRPr="00D1590E" w:rsidRDefault="00D1590E" w:rsidP="00D1590E">
      <w:r w:rsidRPr="00D1590E">
        <w:t>Frontier Economics developed FE and RE models. These models assume inefficiency varies randomly over time.</w:t>
      </w:r>
      <w:r w:rsidRPr="00D1590E">
        <w:rPr>
          <w:rStyle w:val="FootnoteReference"/>
        </w:rPr>
        <w:footnoteReference w:id="417"/>
      </w:r>
      <w:r w:rsidRPr="00D1590E">
        <w:t xml:space="preserve"> Consequently they attribute inefficiency that does not vary over time to latent heterogeneity.</w:t>
      </w:r>
      <w:r w:rsidRPr="00D1590E">
        <w:rPr>
          <w:rStyle w:val="FootnoteReference"/>
        </w:rPr>
        <w:footnoteReference w:id="418"/>
      </w:r>
      <w:r w:rsidRPr="00D1590E">
        <w:t xml:space="preserve"> This is an incorrect assumption where inefficiency persists over time as in such a circumstance these models will systematically underestimate inefficiency. Economic Insights notes that these models find very large mean efficiency scores which it considers would appear to be unreasonably high given what is known about the relative performance of firms in this sample from other sources.</w:t>
      </w:r>
      <w:r w:rsidRPr="00D1590E">
        <w:rPr>
          <w:rStyle w:val="FootnoteReference"/>
        </w:rPr>
        <w:footnoteReference w:id="419"/>
      </w:r>
      <w:r w:rsidRPr="00D1590E">
        <w:t xml:space="preserve"> Economic insights also notes that, to its knowledge, these models have not been applied by any regulator in any country due to the inherent problems with the underlying assumptions in the models.</w:t>
      </w:r>
      <w:r w:rsidRPr="00D1590E">
        <w:rPr>
          <w:rStyle w:val="FootnoteReference"/>
        </w:rPr>
        <w:footnoteReference w:id="420"/>
      </w:r>
    </w:p>
    <w:p w:rsidR="00D1590E" w:rsidRPr="00D1590E" w:rsidRDefault="00D1590E" w:rsidP="00D1590E">
      <w:pPr>
        <w:pStyle w:val="HeadingItalic"/>
      </w:pPr>
      <w:r w:rsidRPr="00D1590E">
        <w:t>Latent class modelling and k-means clustering</w:t>
      </w:r>
    </w:p>
    <w:p w:rsidR="00D1590E" w:rsidRPr="00D1590E" w:rsidRDefault="00D1590E" w:rsidP="00D1590E">
      <w:r w:rsidRPr="00D1590E">
        <w:t>Huegin, in their report for the NSW and ACT service providers, use latent class SFA models to identify heterogeneity in the dataset.</w:t>
      </w:r>
      <w:r w:rsidRPr="00D1590E">
        <w:rPr>
          <w:rStyle w:val="FootnoteReference"/>
        </w:rPr>
        <w:footnoteReference w:id="421"/>
      </w:r>
      <w:r w:rsidRPr="00D1590E">
        <w:t xml:space="preserve"> In this methodology, clustering methods are used to identify subsets of the sample data so that separate efficiency frontiers can be estimated for each subset. Huegin's modelling is flawed, however, because:</w:t>
      </w:r>
    </w:p>
    <w:p w:rsidR="00D1590E" w:rsidRPr="00D1590E" w:rsidRDefault="00D1590E" w:rsidP="00D1590E">
      <w:pPr>
        <w:pStyle w:val="AERbulletlistfirststyle"/>
      </w:pPr>
      <w:r w:rsidRPr="00D1590E">
        <w:t>Huegin did not include country dummy variables in its modelling to capture cross country differences.</w:t>
      </w:r>
      <w:r w:rsidRPr="00D1590E">
        <w:rPr>
          <w:rStyle w:val="FootnoteReference"/>
        </w:rPr>
        <w:footnoteReference w:id="422"/>
      </w:r>
    </w:p>
    <w:p w:rsidR="00D1590E" w:rsidRPr="00D1590E" w:rsidRDefault="00D1590E" w:rsidP="00D1590E">
      <w:pPr>
        <w:pStyle w:val="AERbulletlistfirststyle"/>
      </w:pPr>
      <w:r w:rsidRPr="00D1590E">
        <w:lastRenderedPageBreak/>
        <w:t>Huegin did not report parameter estimates for the model. When parameter estimates were later provided on request, some of the estimated coefficients had the incorrect signs</w:t>
      </w:r>
      <w:r w:rsidRPr="00D1590E">
        <w:rPr>
          <w:rStyle w:val="FootnoteReference"/>
        </w:rPr>
        <w:footnoteReference w:id="423"/>
      </w:r>
      <w:r w:rsidRPr="00D1590E">
        <w:t xml:space="preserve"> </w:t>
      </w:r>
    </w:p>
    <w:p w:rsidR="00D1590E" w:rsidRPr="00D1590E" w:rsidRDefault="00D1590E" w:rsidP="00D1590E">
      <w:pPr>
        <w:pStyle w:val="AERbulletlistfirststyle"/>
      </w:pPr>
      <w:r w:rsidRPr="00D1590E">
        <w:t xml:space="preserve">Latent class modelling will understate inefficiency because dividing any data set into subsets the mean efficiency score will almost invariably increase as the sample size decreases. </w:t>
      </w:r>
      <w:r w:rsidRPr="00D1590E">
        <w:rPr>
          <w:rStyle w:val="FootnoteReference"/>
        </w:rPr>
        <w:footnoteReference w:id="424"/>
      </w:r>
    </w:p>
    <w:p w:rsidR="00D1590E" w:rsidRPr="00D1590E" w:rsidRDefault="00D1590E" w:rsidP="00D1590E">
      <w:r w:rsidRPr="00D1590E">
        <w:t>In their subsequent report for Ergon Energy Huegin apply a different statistical technique, k–means clustering. This is used to look for clusters (classes) in Economic Insight's data set.</w:t>
      </w:r>
      <w:r w:rsidRPr="00D1590E">
        <w:rPr>
          <w:rStyle w:val="FootnoteReference"/>
        </w:rPr>
        <w:footnoteReference w:id="425"/>
      </w:r>
      <w:r w:rsidRPr="00D1590E">
        <w:t xml:space="preserve"> This approach has the following problems:</w:t>
      </w:r>
      <w:r w:rsidRPr="00D1590E">
        <w:rPr>
          <w:rStyle w:val="FootnoteReference"/>
        </w:rPr>
        <w:footnoteReference w:id="426"/>
      </w:r>
      <w:r w:rsidRPr="00D1590E">
        <w:t xml:space="preserve">  </w:t>
      </w:r>
    </w:p>
    <w:p w:rsidR="00D1590E" w:rsidRPr="00D1590E" w:rsidRDefault="00D1590E" w:rsidP="00D1590E">
      <w:pPr>
        <w:pStyle w:val="AERbulletlistfirststyle"/>
      </w:pPr>
      <w:r w:rsidRPr="00D1590E">
        <w:t xml:space="preserve">the Huegin clustering exercise involves a simple comparison of means, which is a linear analysis. The Economic Insights (2014) models are non–linear economic cost function models (Cobb–Douglas and translog) which are used to capture the classic diminishing marginal returns nature of economic cost structures. </w:t>
      </w:r>
    </w:p>
    <w:p w:rsidR="00D1590E" w:rsidRPr="00D1590E" w:rsidRDefault="00D1590E" w:rsidP="00D1590E">
      <w:pPr>
        <w:pStyle w:val="AERbulletlistfirststyle"/>
      </w:pPr>
      <w:r w:rsidRPr="00D1590E">
        <w:t xml:space="preserve">Huegin exclude the country–level dummy variables from the analysis, which introduces misspecification.  </w:t>
      </w:r>
    </w:p>
    <w:p w:rsidR="00D1590E" w:rsidRPr="00D1590E" w:rsidRDefault="00D1590E" w:rsidP="00D1590E">
      <w:pPr>
        <w:pStyle w:val="AERbulletlistfirststyle"/>
      </w:pPr>
      <w:r w:rsidRPr="00D1590E">
        <w:t>The clustering methods identify clusters of service providers that are similar to each other in terms of closeness of their means.  They do not provide evidence that the service providers in these clusters are significantly different from each other nor that they belong to separate cost functions.</w:t>
      </w:r>
      <w:r w:rsidRPr="00D1590E" w:rsidDel="009407C2">
        <w:rPr>
          <w:rStyle w:val="FootnoteReference"/>
        </w:rPr>
        <w:t xml:space="preserve"> </w:t>
      </w:r>
    </w:p>
    <w:p w:rsidR="00D1590E" w:rsidRPr="00D1590E" w:rsidRDefault="00D1590E" w:rsidP="00D1590E">
      <w:pPr>
        <w:pStyle w:val="HeadingBoldBlue"/>
      </w:pPr>
      <w:bookmarkStart w:id="250" w:name="_Toc417646285"/>
      <w:r w:rsidRPr="00D1590E">
        <w:t>Efficiency results</w:t>
      </w:r>
      <w:bookmarkEnd w:id="249"/>
      <w:bookmarkEnd w:id="250"/>
    </w:p>
    <w:p w:rsidR="00D1590E" w:rsidRPr="00D1590E" w:rsidRDefault="00D1590E" w:rsidP="00D1590E">
      <w:r w:rsidRPr="00D1590E">
        <w:t>In this sub-section we address the robustness and reliability of our approach, in light of the results of the service providers' alternative models.  The service providers, their consultants and the McKell Institute submit that our benchmarking results are sensitive to the modelling approach and model specification adopted. They present alternatives to demonstrate this. They consider the extent of the variation in outcomes indicates the poor explanatory power of our benchmarking as a proxy for the real operating costs of the service providers.</w:t>
      </w:r>
      <w:r w:rsidRPr="00D1590E">
        <w:rPr>
          <w:rStyle w:val="FootnoteReference"/>
        </w:rPr>
        <w:footnoteReference w:id="427"/>
      </w:r>
    </w:p>
    <w:p w:rsidR="00D1590E" w:rsidRPr="00D1590E" w:rsidRDefault="00D1590E" w:rsidP="00D1590E">
      <w:r w:rsidRPr="00D1590E">
        <w:t xml:space="preserve">We agree that different modelling techniques and model specifications will produce different results. However, as we demonstrated above, Economic Insights' modelling is robust whereas the alternatives developed by the consultants of the service providers </w:t>
      </w:r>
      <w:r w:rsidRPr="00D1590E">
        <w:lastRenderedPageBreak/>
        <w:t>are not. Economic Insights has considered the alternative models proposed by the service providers' consultants in detail and has identified significant deficiencies.</w:t>
      </w:r>
      <w:r w:rsidRPr="00D1590E">
        <w:rPr>
          <w:rStyle w:val="FootnoteReference"/>
        </w:rPr>
        <w:footnoteReference w:id="428"/>
      </w:r>
      <w:r w:rsidRPr="00D1590E">
        <w:t xml:space="preserve"> </w:t>
      </w:r>
    </w:p>
    <w:p w:rsidR="00D1590E" w:rsidRPr="00D1590E" w:rsidRDefault="00D1590E" w:rsidP="00D1590E">
      <w:pPr>
        <w:pStyle w:val="HeadingBoldItalic"/>
      </w:pPr>
      <w:r w:rsidRPr="00D1590E">
        <w:t>Our results are robust and reliable</w:t>
      </w:r>
    </w:p>
    <w:p w:rsidR="00D1590E" w:rsidRPr="00D1590E" w:rsidRDefault="00D1590E" w:rsidP="00D1590E">
      <w:r w:rsidRPr="00D1590E">
        <w:t>Our view is that the results of Economic Insights' modelling are robust and reliable because the model specification, data and estimation methods are superior to everything proposed by the service providers and their consultants. The CCP agree that the model is robust and reliable:</w:t>
      </w:r>
      <w:r w:rsidRPr="00D1590E">
        <w:rPr>
          <w:rStyle w:val="FootnoteReference"/>
        </w:rPr>
        <w:footnoteReference w:id="429"/>
      </w:r>
      <w:r w:rsidRPr="00D1590E">
        <w:t xml:space="preserve"> </w:t>
      </w:r>
    </w:p>
    <w:p w:rsidR="00D1590E" w:rsidRPr="00D1590E" w:rsidRDefault="00D1590E" w:rsidP="00D1590E">
      <w:pPr>
        <w:pStyle w:val="AERquoteindent1"/>
      </w:pPr>
      <w:r w:rsidRPr="00D1590E">
        <w:t>Our assessment is that the work is thorough, and that care has been taken in choosing appropriate models, testing them and defining their limitations including the standard errors of their estimates. We find the consistency of its partial slope coefficients (across models) and the narrowness of its standard errors reassuring. The explanatory factors that the model has chosen are consistent with those we have seen in other modelling exercises…and the ordinary least squares and least square dummy variable approaches are well accepted.</w:t>
      </w:r>
    </w:p>
    <w:p w:rsidR="00D1590E" w:rsidRPr="00D1590E" w:rsidRDefault="00D1590E" w:rsidP="00D1590E">
      <w:pPr>
        <w:pStyle w:val="HeadingItalic"/>
      </w:pPr>
      <w:r w:rsidRPr="00D1590E">
        <w:t>Model specification</w:t>
      </w:r>
    </w:p>
    <w:p w:rsidR="00D1590E" w:rsidRPr="00D1590E" w:rsidRDefault="00D1590E" w:rsidP="00D1590E">
      <w:r w:rsidRPr="00D1590E">
        <w:t>As we outline above, Economic Insights' model specification, in combination with a subsequent adjustment for operating environment factors, is appropriate because:</w:t>
      </w:r>
    </w:p>
    <w:p w:rsidR="00D1590E" w:rsidRPr="00D1590E" w:rsidRDefault="00D1590E" w:rsidP="00D1590E">
      <w:pPr>
        <w:pStyle w:val="AERbulletlistfirststyle"/>
      </w:pPr>
      <w:r w:rsidRPr="00D1590E">
        <w:t>it is informed by economic theory, engineering knowledge and industry expertise</w:t>
      </w:r>
    </w:p>
    <w:p w:rsidR="00D1590E" w:rsidRPr="00D1590E" w:rsidRDefault="00D1590E" w:rsidP="00D1590E">
      <w:pPr>
        <w:pStyle w:val="AERbulletlistfirststyle"/>
      </w:pPr>
      <w:r w:rsidRPr="00D1590E">
        <w:t>the inputs to the model reflect the key functions of service providers and the outputs reflect what is valued by customers</w:t>
      </w:r>
    </w:p>
    <w:p w:rsidR="00D1590E" w:rsidRPr="00D1590E" w:rsidRDefault="00D1590E" w:rsidP="00D1590E">
      <w:pPr>
        <w:pStyle w:val="AERbulletlistfirststyle"/>
      </w:pPr>
      <w:r w:rsidRPr="00D1590E">
        <w:t>the ex post operating environment factor adjustment involves a thorough assessment of potential differences between the service provider in question and the frontier service providers.</w:t>
      </w:r>
    </w:p>
    <w:p w:rsidR="00D1590E" w:rsidRPr="00D1590E" w:rsidRDefault="00D1590E" w:rsidP="00D1590E">
      <w:r w:rsidRPr="00D1590E">
        <w:t>In contrast, the alternative model specifications presented by the service providers' consultants seem to have little regard for the ultimate purpose of the benchmarking exercise. This is to, as accurately as possible, determine the efficiency of opex by examining the relationship between inputs and outputs. The service providers' alternative models either:</w:t>
      </w:r>
    </w:p>
    <w:p w:rsidR="00D1590E" w:rsidRPr="00D1590E" w:rsidRDefault="00D1590E" w:rsidP="00D1590E">
      <w:pPr>
        <w:pStyle w:val="AERbulletlistfirststyle"/>
      </w:pPr>
      <w:r w:rsidRPr="00D1590E">
        <w:t>Include a variable to capture the cost of lines above 66 kV that picks up other effects and leads to efficiency gaps being understated</w:t>
      </w:r>
      <w:r w:rsidRPr="00D1590E">
        <w:rPr>
          <w:rStyle w:val="FootnoteReference"/>
        </w:rPr>
        <w:t xml:space="preserve"> </w:t>
      </w:r>
      <w:r w:rsidRPr="00D1590E">
        <w:rPr>
          <w:rStyle w:val="FootnoteReference"/>
        </w:rPr>
        <w:footnoteReference w:id="430"/>
      </w:r>
    </w:p>
    <w:p w:rsidR="00D1590E" w:rsidRPr="00D1590E" w:rsidRDefault="00D1590E" w:rsidP="00D1590E">
      <w:pPr>
        <w:pStyle w:val="AERbulletlistfirststyle"/>
      </w:pPr>
      <w:r w:rsidRPr="00D1590E">
        <w:t>do not cover key functional outputs—CEPA, for example, presents a function with only one or two outputs, which is not adequate to accurately model service provider cost characteristics</w:t>
      </w:r>
      <w:r w:rsidRPr="00D1590E">
        <w:rPr>
          <w:rStyle w:val="FootnoteReference"/>
        </w:rPr>
        <w:footnoteReference w:id="431"/>
      </w:r>
    </w:p>
    <w:p w:rsidR="00D1590E" w:rsidRPr="00D1590E" w:rsidRDefault="00D1590E" w:rsidP="00D1590E">
      <w:pPr>
        <w:pStyle w:val="AERbulletlistfirststyle"/>
      </w:pPr>
      <w:r w:rsidRPr="00D1590E">
        <w:lastRenderedPageBreak/>
        <w:t>inappropriately measure inputs, such as Synergies use of input variables other than opex and PEGR's levelisation of opex prices.</w:t>
      </w:r>
      <w:r w:rsidRPr="00D1590E">
        <w:rPr>
          <w:rStyle w:val="FootnoteReference"/>
        </w:rPr>
        <w:footnoteReference w:id="432"/>
      </w:r>
    </w:p>
    <w:p w:rsidR="00D1590E" w:rsidRPr="00D1590E" w:rsidRDefault="00D1590E" w:rsidP="00D1590E">
      <w:r w:rsidRPr="00D1590E">
        <w:br w:type="page"/>
      </w:r>
    </w:p>
    <w:p w:rsidR="00D1590E" w:rsidRPr="00D1590E" w:rsidRDefault="00D1590E" w:rsidP="00D1590E">
      <w:pPr>
        <w:pStyle w:val="HeadingItalic"/>
      </w:pPr>
      <w:r w:rsidRPr="00D1590E">
        <w:lastRenderedPageBreak/>
        <w:t>Data</w:t>
      </w:r>
    </w:p>
    <w:p w:rsidR="00D1590E" w:rsidRPr="00D1590E" w:rsidRDefault="00D1590E" w:rsidP="00D1590E">
      <w:r w:rsidRPr="00D1590E">
        <w:t>As explained above, the data we have used is robust because:</w:t>
      </w:r>
    </w:p>
    <w:p w:rsidR="00D1590E" w:rsidRPr="00D1590E" w:rsidRDefault="00D1590E" w:rsidP="00D1590E">
      <w:pPr>
        <w:pStyle w:val="AERbulletlistfirststyle"/>
      </w:pPr>
      <w:r w:rsidRPr="00D1590E">
        <w:t>we developed the Australian dataset in consultation with the service providers and then conducted extensive testing and validation to ensure the variables relevant to the benchmarking models were reliable and fit for purpose</w:t>
      </w:r>
    </w:p>
    <w:p w:rsidR="00D1590E" w:rsidRPr="00D1590E" w:rsidRDefault="00D1590E" w:rsidP="00D1590E">
      <w:pPr>
        <w:pStyle w:val="AERbulletlistfirststyle"/>
      </w:pPr>
      <w:r w:rsidRPr="00D1590E">
        <w:t>the international datasets we use to improve the precision of the Australian efficiency results:</w:t>
      </w:r>
    </w:p>
    <w:p w:rsidR="00D1590E" w:rsidRPr="00D1590E" w:rsidRDefault="00D1590E" w:rsidP="00D1590E">
      <w:pPr>
        <w:pStyle w:val="AERbulletlistsecondstyle"/>
      </w:pPr>
      <w:r w:rsidRPr="00D1590E">
        <w:t>are used for economic benchmarking purposes by the regulators in the respective jurisdictions (OEB and NZCC)</w:t>
      </w:r>
    </w:p>
    <w:p w:rsidR="00D1590E" w:rsidRPr="00D1590E" w:rsidRDefault="00D1590E" w:rsidP="00D1590E">
      <w:pPr>
        <w:pStyle w:val="AERbulletlistsecondstyle"/>
      </w:pPr>
      <w:r w:rsidRPr="00D1590E">
        <w:t>contain sufficiently comparable service provider information for the purpose of enhancing the precision of the modelling results</w:t>
      </w:r>
    </w:p>
    <w:p w:rsidR="00D1590E" w:rsidRPr="00D1590E" w:rsidRDefault="00D1590E" w:rsidP="00D1590E">
      <w:pPr>
        <w:pStyle w:val="AERbulletlistsecondstyle"/>
      </w:pPr>
      <w:r w:rsidRPr="00D1590E">
        <w:t>have been in place in the mid–1990s and have been used in economic benchmarking since the early 2000s.</w:t>
      </w:r>
    </w:p>
    <w:p w:rsidR="00D1590E" w:rsidRPr="00D1590E" w:rsidRDefault="00D1590E" w:rsidP="00D1590E">
      <w:r w:rsidRPr="00D1590E">
        <w:t>Conversely, the service providers seek to:</w:t>
      </w:r>
    </w:p>
    <w:p w:rsidR="00D1590E" w:rsidRPr="00D1590E" w:rsidRDefault="00D1590E" w:rsidP="00D1590E">
      <w:pPr>
        <w:pStyle w:val="AERbulletlistfirststyle"/>
      </w:pPr>
      <w:r w:rsidRPr="00D1590E">
        <w:t>either rely only on the Australian data, which does not produce stable results due to the lack of cross-sectional variation or</w:t>
      </w:r>
    </w:p>
    <w:p w:rsidR="00D1590E" w:rsidRPr="00D1590E" w:rsidRDefault="00D1590E" w:rsidP="00D1590E">
      <w:pPr>
        <w:pStyle w:val="AERbulletlistfirststyle"/>
      </w:pPr>
      <w:r w:rsidRPr="00D1590E">
        <w:t>include US data in the sample, which Economic Insights has demonstrated is not fit for purpose.</w:t>
      </w:r>
    </w:p>
    <w:p w:rsidR="00D1590E" w:rsidRPr="00D1590E" w:rsidRDefault="00D1590E" w:rsidP="00D1590E">
      <w:pPr>
        <w:pStyle w:val="HeadingItalic"/>
      </w:pPr>
      <w:r w:rsidRPr="00D1590E">
        <w:t>Estimation methods</w:t>
      </w:r>
    </w:p>
    <w:p w:rsidR="00D1590E" w:rsidRPr="00D1590E" w:rsidRDefault="00D1590E" w:rsidP="00D1590E">
      <w:r w:rsidRPr="00D1590E">
        <w:t>Our use of Economic Insights modelling is appropriate as Economic Insights has applied the best available model for estimating efficient opex. They have chosen appropriate estimation methods that produce robust and reliable results for benchmarking opex. Economic Insights' Cobb Douglas SFA model is statistically superior to other benchmarking methods because it can (among other things) estimate the efficient frontier. Further the Cobb Douglas SFA model has a random error term that separates the effect of data noises or random errors from inefficiency.</w:t>
      </w:r>
      <w:r w:rsidRPr="00D1590E">
        <w:rPr>
          <w:rStyle w:val="FootnoteReference"/>
        </w:rPr>
        <w:footnoteReference w:id="433"/>
      </w:r>
      <w:r w:rsidRPr="00D1590E">
        <w:t xml:space="preserve"> . </w:t>
      </w:r>
    </w:p>
    <w:p w:rsidR="00D1590E" w:rsidRPr="00D1590E" w:rsidRDefault="00D1590E" w:rsidP="00D1590E">
      <w:r w:rsidRPr="00D1590E">
        <w:t>Economic Insights has also been able to corroborate the SFA model by producing consistent results using:</w:t>
      </w:r>
    </w:p>
    <w:p w:rsidR="00D1590E" w:rsidRPr="00D1590E" w:rsidRDefault="00D1590E" w:rsidP="00D1590E">
      <w:pPr>
        <w:pStyle w:val="AERbulletlistfirststyle"/>
      </w:pPr>
      <w:r w:rsidRPr="00D1590E">
        <w:t>other sophisticated econometric opex models using the same set of explanatory variables (Cobb Douglas LSE and translog LSE) that are more robust than the alternatives proposed by the service providers</w:t>
      </w:r>
    </w:p>
    <w:p w:rsidR="00D1590E" w:rsidRPr="00D1590E" w:rsidRDefault="00D1590E" w:rsidP="00D1590E">
      <w:pPr>
        <w:pStyle w:val="AERbulletlistfirststyle"/>
      </w:pPr>
      <w:r w:rsidRPr="00D1590E">
        <w:t>the opex MPFP model, which applies a different model specification and does not rely on international data.</w:t>
      </w:r>
    </w:p>
    <w:p w:rsidR="00D1590E" w:rsidRPr="00D1590E" w:rsidRDefault="00D1590E" w:rsidP="00D1590E">
      <w:r w:rsidRPr="00D1590E">
        <w:lastRenderedPageBreak/>
        <w:t>In addition, the results of our partial performance indicators and detailed review are consistent with the economic benchmarking results.</w:t>
      </w:r>
    </w:p>
    <w:p w:rsidR="00D1590E" w:rsidRPr="00D1590E" w:rsidRDefault="00D1590E" w:rsidP="00D1590E">
      <w:r w:rsidRPr="00D1590E">
        <w:t>On the other hand, the service providers and their consultants have presented alternative estimation methods that Economic Insights has demonstrated are not robust because of the assumptions that underlie the modelling or the limited data set used.</w:t>
      </w:r>
    </w:p>
    <w:p w:rsidR="00D1590E" w:rsidRPr="00D1590E" w:rsidRDefault="00D1590E" w:rsidP="00D1590E">
      <w:pPr>
        <w:pStyle w:val="HeadingItalic"/>
      </w:pPr>
      <w:r w:rsidRPr="00D1590E">
        <w:t>Modelling results</w:t>
      </w:r>
    </w:p>
    <w:p w:rsidR="00D1590E" w:rsidRPr="00D1590E" w:rsidRDefault="00D1590E" w:rsidP="00D1590E">
      <w:r w:rsidRPr="00D1590E">
        <w:t xml:space="preserve">We highlight in our discussion on international data, the importance of understanding how and why Economic Insights has used international data. Economic Insights is not using the international data to compare the absolute levels of opex between Australian service providers and their overseas peers. Rather, the purpose is to improve the precision of parameter estimates to facilitate opex efficiency measurement across the Australian </w:t>
      </w:r>
      <w:r w:rsidR="00C867C5">
        <w:t>distributors</w:t>
      </w:r>
      <w:r w:rsidRPr="00D1590E">
        <w:t xml:space="preserve"> only.</w:t>
      </w:r>
      <w:r w:rsidRPr="00D1590E">
        <w:rPr>
          <w:rStyle w:val="FootnoteReference"/>
        </w:rPr>
        <w:footnoteReference w:id="434"/>
      </w:r>
      <w:r w:rsidRPr="00D1590E">
        <w:t xml:space="preserve"> </w:t>
      </w:r>
    </w:p>
    <w:p w:rsidR="00D1590E" w:rsidRPr="00D1590E" w:rsidRDefault="00D1590E" w:rsidP="00D1590E">
      <w:r w:rsidRPr="00D1590E">
        <w:t>Ultimately, this means it is possible to compare efficiency scores within each jurisdiction but not across jurisdictions. The service providers' consultants have misunderstood this distinction, so the following observations and criticisms are not valid or compatible with Economic Insights' modelling approach:</w:t>
      </w:r>
      <w:r w:rsidRPr="00D1590E">
        <w:rPr>
          <w:rStyle w:val="FootnoteReference"/>
        </w:rPr>
        <w:footnoteReference w:id="435"/>
      </w:r>
    </w:p>
    <w:p w:rsidR="00D1590E" w:rsidRPr="00D1590E" w:rsidRDefault="00D1590E" w:rsidP="00D1590E">
      <w:pPr>
        <w:pStyle w:val="AERbulletlistfirststyle"/>
      </w:pPr>
      <w:r w:rsidRPr="00D1590E">
        <w:t>reference to an Ontario firm as being the ‘frontier' or 'best performing' firm’</w:t>
      </w:r>
      <w:r w:rsidRPr="00D1590E">
        <w:rPr>
          <w:rStyle w:val="FootnoteReference"/>
        </w:rPr>
        <w:footnoteReference w:id="436"/>
      </w:r>
    </w:p>
    <w:p w:rsidR="00D1590E" w:rsidRPr="00D1590E" w:rsidRDefault="00D1590E" w:rsidP="00D1590E">
      <w:pPr>
        <w:pStyle w:val="AERbulletlistfirststyle"/>
      </w:pPr>
      <w:r w:rsidRPr="00D1590E">
        <w:t>comparisons of raw efficiency scores across countries</w:t>
      </w:r>
      <w:r w:rsidRPr="00D1590E">
        <w:rPr>
          <w:rStyle w:val="FootnoteReference"/>
        </w:rPr>
        <w:footnoteReference w:id="437"/>
      </w:r>
    </w:p>
    <w:p w:rsidR="00D1590E" w:rsidRPr="00D1590E" w:rsidRDefault="00D1590E" w:rsidP="00D1590E">
      <w:pPr>
        <w:pStyle w:val="AERbulletlistfirststyle"/>
      </w:pPr>
      <w:r w:rsidRPr="00D1590E">
        <w:t>attempting to interpret country dummy variables as reflecting the extent to which an Australian service provider would need to have lower opex than a New Zealand or Ontario service providers to be ‘fully efficient’</w:t>
      </w:r>
      <w:r w:rsidRPr="00D1590E">
        <w:rPr>
          <w:rStyle w:val="FootnoteReference"/>
        </w:rPr>
        <w:footnoteReference w:id="438"/>
      </w:r>
    </w:p>
    <w:p w:rsidR="00D1590E" w:rsidRPr="00D1590E" w:rsidRDefault="00D1590E" w:rsidP="00D1590E">
      <w:pPr>
        <w:pStyle w:val="AERbulletlistfirststyle"/>
      </w:pPr>
      <w:r w:rsidRPr="00D1590E">
        <w:t>the need for reporting or operating environment ‘standardisation’ across countries</w:t>
      </w:r>
      <w:r w:rsidRPr="00D1590E">
        <w:rPr>
          <w:rStyle w:val="FootnoteReference"/>
        </w:rPr>
        <w:footnoteReference w:id="439"/>
      </w:r>
    </w:p>
    <w:p w:rsidR="00D1590E" w:rsidRPr="00D1590E" w:rsidRDefault="00D1590E" w:rsidP="00D1590E">
      <w:pPr>
        <w:pStyle w:val="AERbulletlistfirststyle"/>
      </w:pPr>
      <w:r w:rsidRPr="00D1590E">
        <w:t>the need to include additional country dummy variables to allow for differences in exogenous variable coefficients across countries.</w:t>
      </w:r>
      <w:r w:rsidRPr="00D1590E">
        <w:rPr>
          <w:rStyle w:val="FootnoteReference"/>
        </w:rPr>
        <w:footnoteReference w:id="440"/>
      </w:r>
    </w:p>
    <w:p w:rsidR="00D1590E" w:rsidRPr="00D1590E" w:rsidRDefault="00D1590E" w:rsidP="00D1590E">
      <w:r w:rsidRPr="00D1590E">
        <w:t>Further, Economic Insights also demonstrates that the Ontario or New Zealand data are not 'driving the results' of the Cobb Douglas SFA model as is submitted by a number of the service providers consultants.</w:t>
      </w:r>
      <w:r w:rsidRPr="00D1590E">
        <w:rPr>
          <w:rStyle w:val="FootnoteReference"/>
        </w:rPr>
        <w:footnoteReference w:id="441"/>
      </w:r>
    </w:p>
    <w:p w:rsidR="00D1590E" w:rsidRPr="00D1590E" w:rsidRDefault="00D1590E" w:rsidP="00D1590E">
      <w:r w:rsidRPr="00D1590E">
        <w:lastRenderedPageBreak/>
        <w:t>Economic Insights is also clear that it is difficult to produce stable and reliable results with the Australian data on its own:</w:t>
      </w:r>
      <w:r w:rsidRPr="00D1590E">
        <w:rPr>
          <w:rStyle w:val="FootnoteReference"/>
        </w:rPr>
        <w:footnoteReference w:id="442"/>
      </w:r>
    </w:p>
    <w:p w:rsidR="00D1590E" w:rsidRPr="00D1590E" w:rsidRDefault="00D1590E" w:rsidP="00D1590E">
      <w:pPr>
        <w:pStyle w:val="AERquoteindent1"/>
      </w:pPr>
      <w:r w:rsidRPr="00D1590E">
        <w:t>[It] is important to recognise that the characteristics of the Australian RIN data make any econometric model estimated using only the RIN data insufficiently robust to support regulatory decisions.</w:t>
      </w:r>
    </w:p>
    <w:p w:rsidR="00D1590E" w:rsidRPr="00D1590E" w:rsidRDefault="00D1590E" w:rsidP="00D1590E">
      <w:r w:rsidRPr="00D1590E">
        <w:t xml:space="preserve">However, we can demonstrate that the robust Australian efficiency results that utilise the international data are very similar to the efficiency results using the Australian data alone. </w:t>
      </w:r>
      <w:r w:rsidRPr="00D1590E">
        <w:fldChar w:fldCharType="begin"/>
      </w:r>
      <w:r w:rsidRPr="00D1590E">
        <w:instrText xml:space="preserve"> REF _Ref415229885 \h </w:instrText>
      </w:r>
      <w:r w:rsidRPr="00D1590E">
        <w:fldChar w:fldCharType="separate"/>
      </w:r>
      <w:r w:rsidR="00C57342" w:rsidRPr="00D1590E">
        <w:t xml:space="preserve">Figure </w:t>
      </w:r>
      <w:r w:rsidR="00C57342">
        <w:rPr>
          <w:noProof/>
        </w:rPr>
        <w:t>A</w:t>
      </w:r>
      <w:r w:rsidR="00C57342" w:rsidRPr="00D1590E">
        <w:t>.</w:t>
      </w:r>
      <w:r w:rsidR="00C57342">
        <w:rPr>
          <w:noProof/>
        </w:rPr>
        <w:t>6</w:t>
      </w:r>
      <w:r w:rsidRPr="00D1590E">
        <w:fldChar w:fldCharType="end"/>
      </w:r>
      <w:r w:rsidRPr="00D1590E">
        <w:t xml:space="preserve"> compares the two and proves that the international data is not driving the results of the model.</w:t>
      </w:r>
    </w:p>
    <w:p w:rsidR="00D1590E" w:rsidRPr="00D1590E" w:rsidRDefault="00D1590E" w:rsidP="00D1590E">
      <w:pPr>
        <w:pStyle w:val="Caption"/>
      </w:pPr>
      <w:bookmarkStart w:id="251" w:name="_Ref415229885"/>
      <w:bookmarkStart w:id="252" w:name="_Ref413837797"/>
      <w:r w:rsidRPr="00D1590E">
        <w:t xml:space="preserve">Figure </w:t>
      </w:r>
      <w:fldSimple w:instr=" STYLEREF 7 \s ">
        <w:r w:rsidR="00C57342">
          <w:rPr>
            <w:noProof/>
          </w:rPr>
          <w:t>A</w:t>
        </w:r>
      </w:fldSimple>
      <w:r w:rsidRPr="00D1590E">
        <w:t>.</w:t>
      </w:r>
      <w:fldSimple w:instr=" SEQ AFigure \* ARABIC \s 7 ">
        <w:r w:rsidR="00C57342">
          <w:rPr>
            <w:noProof/>
          </w:rPr>
          <w:t>6</w:t>
        </w:r>
      </w:fldSimple>
      <w:bookmarkEnd w:id="251"/>
      <w:r w:rsidRPr="00D1590E">
        <w:tab/>
        <w:t>Modelling results – all data and Australian only data</w:t>
      </w:r>
    </w:p>
    <w:bookmarkEnd w:id="252"/>
    <w:p w:rsidR="00D1590E" w:rsidRPr="00D1590E" w:rsidRDefault="00D1590E" w:rsidP="00D1590E">
      <w:r w:rsidRPr="00D1590E">
        <w:rPr>
          <w:noProof/>
          <w:lang w:eastAsia="en-AU"/>
        </w:rPr>
        <w:drawing>
          <wp:inline distT="0" distB="0" distL="0" distR="0" wp14:anchorId="5085385E" wp14:editId="21D049A3">
            <wp:extent cx="5382895" cy="332227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322274"/>
                    </a:xfrm>
                    <a:prstGeom prst="rect">
                      <a:avLst/>
                    </a:prstGeom>
                    <a:noFill/>
                    <a:ln>
                      <a:noFill/>
                    </a:ln>
                  </pic:spPr>
                </pic:pic>
              </a:graphicData>
            </a:graphic>
          </wp:inline>
        </w:drawing>
      </w:r>
    </w:p>
    <w:p w:rsidR="00D1590E" w:rsidRPr="00D1590E" w:rsidRDefault="00D1590E" w:rsidP="00D1590E">
      <w:pPr>
        <w:pStyle w:val="Source"/>
      </w:pPr>
      <w:r w:rsidRPr="00D1590E">
        <w:t xml:space="preserve">Source: </w:t>
      </w:r>
      <w:r w:rsidRPr="00D1590E">
        <w:tab/>
        <w:t>Economic Insights, 2015</w:t>
      </w:r>
    </w:p>
    <w:p w:rsidR="00D1590E" w:rsidRPr="00D1590E" w:rsidRDefault="00D1590E" w:rsidP="00D1590E">
      <w:pPr>
        <w:pStyle w:val="HeadingOrange"/>
      </w:pPr>
      <w:r w:rsidRPr="00D1590E">
        <w:t>Different results to Ontario</w:t>
      </w:r>
    </w:p>
    <w:p w:rsidR="00D1590E" w:rsidRPr="00D1590E" w:rsidRDefault="00D1590E" w:rsidP="00D1590E">
      <w:r w:rsidRPr="00D1590E">
        <w:t>A number of the consultants’ reports submit that the efficiency results for the Ontario service providers differ markedly between those derived from (but not presented) in Economic Insights' 2014 report and those presented by PEG in 2013 and subsequently used by the Ontario Energy Board.</w:t>
      </w:r>
      <w:r w:rsidRPr="00D1590E">
        <w:rPr>
          <w:rStyle w:val="FootnoteReference"/>
        </w:rPr>
        <w:footnoteReference w:id="443"/>
      </w:r>
      <w:r w:rsidRPr="00D1590E">
        <w:t xml:space="preserve"> </w:t>
      </w:r>
    </w:p>
    <w:p w:rsidR="00D1590E" w:rsidRPr="00D1590E" w:rsidRDefault="00D1590E" w:rsidP="00D1590E">
      <w:r w:rsidRPr="00D1590E">
        <w:t xml:space="preserve">Economic Insights notes that it is not surprising that the two sets of efficiency score rankings differ because Economic Insights' relate to </w:t>
      </w:r>
      <w:r w:rsidRPr="00D1590E">
        <w:rPr>
          <w:rStyle w:val="AERtextitalic"/>
        </w:rPr>
        <w:t>opex</w:t>
      </w:r>
      <w:r w:rsidRPr="00D1590E">
        <w:t xml:space="preserve"> efficiency while PEG's relate </w:t>
      </w:r>
      <w:r w:rsidRPr="00D1590E">
        <w:lastRenderedPageBreak/>
        <w:t xml:space="preserve">to </w:t>
      </w:r>
      <w:r w:rsidRPr="00D1590E">
        <w:rPr>
          <w:rStyle w:val="AERtextitalic"/>
        </w:rPr>
        <w:t>total</w:t>
      </w:r>
      <w:r w:rsidRPr="00D1590E">
        <w:t xml:space="preserve"> cost efficiency. The reason different efficiency measures were used in the two studies reflects the fundamentally different regulatory regimes – Australia uses building blocks regulation with its separate examinations of opex and capex whereas Ontario uses productivity–based regulation which focuses on total costs.</w:t>
      </w:r>
      <w:r w:rsidRPr="00D1590E">
        <w:rPr>
          <w:rStyle w:val="FootnoteReference"/>
        </w:rPr>
        <w:footnoteReference w:id="444"/>
      </w:r>
    </w:p>
    <w:p w:rsidR="00D1590E" w:rsidRPr="00D1590E" w:rsidRDefault="00D1590E" w:rsidP="00D1590E">
      <w:pPr>
        <w:pStyle w:val="HeadingBoldItalic"/>
      </w:pPr>
      <w:r w:rsidRPr="00D1590E">
        <w:t>Results from alternative modelling are not robust</w:t>
      </w:r>
    </w:p>
    <w:p w:rsidR="00D1590E" w:rsidRPr="00D1590E" w:rsidRDefault="00D1590E" w:rsidP="00D1590E">
      <w:r w:rsidRPr="00D1590E">
        <w:t>Economic Insights has considered the alternative models presented by the service providers' consultants in detail and has serious flaws. These are as follows:</w:t>
      </w:r>
      <w:r w:rsidRPr="00D1590E">
        <w:rPr>
          <w:rStyle w:val="FootnoteReference"/>
        </w:rPr>
        <w:footnoteReference w:id="445"/>
      </w:r>
      <w:r w:rsidRPr="00D1590E">
        <w:t xml:space="preserve">   </w:t>
      </w:r>
    </w:p>
    <w:p w:rsidR="00D1590E" w:rsidRPr="00D1590E" w:rsidRDefault="00D1590E" w:rsidP="007D27B1">
      <w:pPr>
        <w:pStyle w:val="ListNumber"/>
        <w:numPr>
          <w:ilvl w:val="0"/>
          <w:numId w:val="30"/>
        </w:numPr>
      </w:pPr>
      <w:r w:rsidRPr="00D1590E">
        <w:t>The Australian data has inadequate variation to support robust model estimation where it is the only data source used and where tests for parameter differences across countries are made</w:t>
      </w:r>
    </w:p>
    <w:p w:rsidR="00D1590E" w:rsidRPr="00D1590E" w:rsidRDefault="00D1590E" w:rsidP="00D1590E">
      <w:pPr>
        <w:pStyle w:val="ListNumber"/>
      </w:pPr>
      <w:r w:rsidRPr="00D1590E">
        <w:t>Use of a 132kV line variable inadvertently picks up other effects and leads to efficiency gaps being understated</w:t>
      </w:r>
    </w:p>
    <w:p w:rsidR="00D1590E" w:rsidRPr="00D1590E" w:rsidRDefault="00D1590E" w:rsidP="00D1590E">
      <w:pPr>
        <w:pStyle w:val="ListNumber"/>
      </w:pPr>
      <w:r w:rsidRPr="00D1590E">
        <w:t>Latent heterogeneity models incorrectly allocate persistent inefficiency effects to operating environment differences</w:t>
      </w:r>
    </w:p>
    <w:p w:rsidR="00D1590E" w:rsidRPr="00D1590E" w:rsidRDefault="00D1590E" w:rsidP="00D1590E">
      <w:pPr>
        <w:pStyle w:val="ListNumber"/>
      </w:pPr>
      <w:r w:rsidRPr="00D1590E">
        <w:t>Inadequate observation numbers lead to some models misleadingly finding service providers to be ‘efficient by default’</w:t>
      </w:r>
    </w:p>
    <w:p w:rsidR="00D1590E" w:rsidRPr="00D1590E" w:rsidRDefault="00D1590E" w:rsidP="00D1590E">
      <w:pPr>
        <w:pStyle w:val="ListNumber"/>
      </w:pPr>
      <w:r w:rsidRPr="00D1590E">
        <w:t>Some output and input specifications are inadequate and/or not relevant</w:t>
      </w:r>
    </w:p>
    <w:p w:rsidR="00D1590E" w:rsidRPr="00D1590E" w:rsidRDefault="00D1590E" w:rsidP="00D1590E">
      <w:pPr>
        <w:pStyle w:val="ListNumber"/>
      </w:pPr>
      <w:r w:rsidRPr="00D1590E">
        <w:t>Other overseas data sources unduly limit the range of variables and number of comparators that can be included</w:t>
      </w:r>
    </w:p>
    <w:p w:rsidR="00D1590E" w:rsidRPr="00D1590E" w:rsidRDefault="00D1590E" w:rsidP="00D1590E">
      <w:r w:rsidRPr="00D1590E">
        <w:t xml:space="preserve">The issues identified with each of the service provider's consultant's models are set out in </w:t>
      </w:r>
      <w:r w:rsidRPr="00D1590E">
        <w:fldChar w:fldCharType="begin"/>
      </w:r>
      <w:r w:rsidRPr="00D1590E">
        <w:instrText xml:space="preserve"> REF _Ref417393206 \h </w:instrText>
      </w:r>
      <w:r w:rsidRPr="00D1590E">
        <w:fldChar w:fldCharType="separate"/>
      </w:r>
      <w:r w:rsidR="00C57342" w:rsidRPr="00D1590E">
        <w:t xml:space="preserve">Table </w:t>
      </w:r>
      <w:r w:rsidR="00C57342">
        <w:rPr>
          <w:noProof/>
        </w:rPr>
        <w:t>A</w:t>
      </w:r>
      <w:r w:rsidR="00C57342" w:rsidRPr="00D1590E">
        <w:t>.</w:t>
      </w:r>
      <w:r w:rsidR="00C57342">
        <w:rPr>
          <w:noProof/>
        </w:rPr>
        <w:t>4</w:t>
      </w:r>
      <w:r w:rsidRPr="00D1590E">
        <w:fldChar w:fldCharType="end"/>
      </w:r>
      <w:r w:rsidRPr="00D1590E">
        <w:t>.</w:t>
      </w:r>
    </w:p>
    <w:p w:rsidR="00D1590E" w:rsidRPr="00D1590E" w:rsidRDefault="00D1590E" w:rsidP="00D1590E">
      <w:pPr>
        <w:pStyle w:val="Caption"/>
      </w:pPr>
      <w:bookmarkStart w:id="253" w:name="_Ref417393206"/>
      <w:r w:rsidRPr="00D1590E">
        <w:t xml:space="preserve">Table </w:t>
      </w:r>
      <w:fldSimple w:instr=" STYLEREF 7 \s ">
        <w:r w:rsidR="00C57342">
          <w:rPr>
            <w:noProof/>
          </w:rPr>
          <w:t>A</w:t>
        </w:r>
      </w:fldSimple>
      <w:r w:rsidRPr="00D1590E">
        <w:t>.</w:t>
      </w:r>
      <w:fldSimple w:instr=" SEQ ATable \* ARABIC \s 7 ">
        <w:r w:rsidR="00C57342">
          <w:rPr>
            <w:noProof/>
          </w:rPr>
          <w:t>4</w:t>
        </w:r>
      </w:fldSimple>
      <w:bookmarkEnd w:id="253"/>
      <w:r w:rsidRPr="00D1590E">
        <w:tab/>
        <w:t>Problems identified with service provider's consultant's models</w:t>
      </w:r>
    </w:p>
    <w:tbl>
      <w:tblPr>
        <w:tblStyle w:val="AERtable-text0"/>
        <w:tblW w:w="5000" w:type="pct"/>
        <w:tblLook w:val="04A0" w:firstRow="1" w:lastRow="0" w:firstColumn="1" w:lastColumn="0" w:noHBand="0" w:noVBand="1"/>
      </w:tblPr>
      <w:tblGrid>
        <w:gridCol w:w="1241"/>
        <w:gridCol w:w="1419"/>
        <w:gridCol w:w="1559"/>
        <w:gridCol w:w="2761"/>
        <w:gridCol w:w="1712"/>
      </w:tblGrid>
      <w:tr w:rsidR="00D1590E" w:rsidRPr="00F14036" w:rsidTr="00D1590E">
        <w:trPr>
          <w:cnfStyle w:val="100000000000" w:firstRow="1" w:lastRow="0" w:firstColumn="0" w:lastColumn="0" w:oddVBand="0" w:evenVBand="0" w:oddHBand="0" w:evenHBand="0" w:firstRowFirstColumn="0" w:firstRowLastColumn="0" w:lastRowFirstColumn="0" w:lastRowLastColumn="0"/>
          <w:tblHeader/>
        </w:trPr>
        <w:tc>
          <w:tcPr>
            <w:tcW w:w="714" w:type="pct"/>
          </w:tcPr>
          <w:p w:rsidR="00D1590E" w:rsidRPr="00D1590E" w:rsidRDefault="00D1590E" w:rsidP="00D1590E">
            <w:r w:rsidRPr="00D1590E">
              <w:t>Consultancy report reviewed</w:t>
            </w:r>
          </w:p>
        </w:tc>
        <w:tc>
          <w:tcPr>
            <w:tcW w:w="816" w:type="pct"/>
          </w:tcPr>
          <w:p w:rsidR="00D1590E" w:rsidRPr="00D1590E" w:rsidRDefault="00D1590E" w:rsidP="00D1590E">
            <w:r w:rsidRPr="00D1590E">
              <w:t>Data</w:t>
            </w:r>
          </w:p>
        </w:tc>
        <w:tc>
          <w:tcPr>
            <w:tcW w:w="897" w:type="pct"/>
          </w:tcPr>
          <w:p w:rsidR="00D1590E" w:rsidRPr="00D1590E" w:rsidRDefault="00D1590E" w:rsidP="00D1590E">
            <w:r w:rsidRPr="00D1590E">
              <w:t>Benchmarking method</w:t>
            </w:r>
          </w:p>
        </w:tc>
        <w:tc>
          <w:tcPr>
            <w:tcW w:w="1588" w:type="pct"/>
          </w:tcPr>
          <w:p w:rsidR="00D1590E" w:rsidRPr="00D1590E" w:rsidRDefault="00D1590E" w:rsidP="00D1590E">
            <w:r w:rsidRPr="00D1590E">
              <w:t>Model specification</w:t>
            </w:r>
          </w:p>
        </w:tc>
        <w:tc>
          <w:tcPr>
            <w:tcW w:w="985" w:type="pct"/>
          </w:tcPr>
          <w:p w:rsidR="00D1590E" w:rsidRPr="00D1590E" w:rsidRDefault="00D1590E" w:rsidP="00D1590E">
            <w:r w:rsidRPr="00D1590E">
              <w:t>Main issues identified</w:t>
            </w:r>
          </w:p>
        </w:tc>
      </w:tr>
      <w:tr w:rsidR="00D1590E" w:rsidRPr="00F14036" w:rsidTr="00D1590E">
        <w:tc>
          <w:tcPr>
            <w:tcW w:w="714" w:type="pct"/>
          </w:tcPr>
          <w:p w:rsidR="00D1590E" w:rsidRPr="00D1590E" w:rsidRDefault="00D1590E" w:rsidP="00D1590E">
            <w:r w:rsidRPr="00D1590E">
              <w:t>CEPA (2015a) and CEPA (2015b)</w:t>
            </w:r>
          </w:p>
        </w:tc>
        <w:tc>
          <w:tcPr>
            <w:tcW w:w="816" w:type="pct"/>
          </w:tcPr>
          <w:p w:rsidR="00D1590E" w:rsidRPr="00D1590E" w:rsidRDefault="00D1590E" w:rsidP="00D1590E">
            <w:r w:rsidRPr="00D1590E">
              <w:t>Australian only sample, 2006-2013, adjusted opex data</w:t>
            </w:r>
          </w:p>
        </w:tc>
        <w:tc>
          <w:tcPr>
            <w:tcW w:w="897" w:type="pct"/>
          </w:tcPr>
          <w:p w:rsidR="00D1590E" w:rsidRPr="00D1590E" w:rsidRDefault="00D1590E" w:rsidP="00D1590E">
            <w:r w:rsidRPr="00D1590E">
              <w:t>pooled OLS</w:t>
            </w:r>
            <w:r w:rsidRPr="00D1590E">
              <w:rPr>
                <w:rStyle w:val="FootnoteReference"/>
              </w:rPr>
              <w:footnoteReference w:id="446"/>
            </w:r>
            <w:r w:rsidRPr="00D1590E">
              <w:t xml:space="preserve"> / random-effects GLS</w:t>
            </w:r>
            <w:r w:rsidRPr="00D1590E">
              <w:rPr>
                <w:rStyle w:val="FootnoteReference"/>
              </w:rPr>
              <w:footnoteReference w:id="447"/>
            </w:r>
          </w:p>
          <w:p w:rsidR="00D1590E" w:rsidRPr="00D1590E" w:rsidRDefault="00D1590E" w:rsidP="00D1590E">
            <w:r w:rsidRPr="00D1590E">
              <w:t>Cobb-Douglas / Translog function</w:t>
            </w:r>
          </w:p>
        </w:tc>
        <w:tc>
          <w:tcPr>
            <w:tcW w:w="1588" w:type="pct"/>
          </w:tcPr>
          <w:p w:rsidR="00D1590E" w:rsidRPr="00D1590E" w:rsidRDefault="00D1590E" w:rsidP="00D1590E">
            <w:r w:rsidRPr="00D1590E">
              <w:t>DV</w:t>
            </w:r>
            <w:r w:rsidRPr="00D1590E">
              <w:rPr>
                <w:rStyle w:val="FootnoteReference"/>
              </w:rPr>
              <w:footnoteReference w:id="448"/>
            </w:r>
            <w:r w:rsidRPr="00D1590E">
              <w:t>: real opex</w:t>
            </w:r>
          </w:p>
          <w:p w:rsidR="00D1590E" w:rsidRPr="00D1590E" w:rsidRDefault="00D1590E" w:rsidP="00D1590E">
            <w:r w:rsidRPr="00D1590E">
              <w:t xml:space="preserve">Output: circuit length, customer density (length or km2) </w:t>
            </w:r>
          </w:p>
          <w:p w:rsidR="00D1590E" w:rsidRPr="00D1590E" w:rsidRDefault="00D1590E" w:rsidP="00D1590E">
            <w:r w:rsidRPr="00D1590E">
              <w:t>OEF: selective variables from: undergrounding, RAB additions, 132kV share of circuit, share of SWER</w:t>
            </w:r>
          </w:p>
          <w:p w:rsidR="00D1590E" w:rsidRPr="00D1590E" w:rsidRDefault="00D1590E" w:rsidP="00D1590E">
            <w:r w:rsidRPr="00D1590E">
              <w:t>Other: Year</w:t>
            </w:r>
          </w:p>
        </w:tc>
        <w:tc>
          <w:tcPr>
            <w:tcW w:w="985" w:type="pct"/>
          </w:tcPr>
          <w:p w:rsidR="00D1590E" w:rsidRPr="00D1590E" w:rsidRDefault="00D1590E" w:rsidP="00D1590E">
            <w:r w:rsidRPr="00D1590E">
              <w:t>1 Use of Australian only data</w:t>
            </w:r>
          </w:p>
          <w:p w:rsidR="00D1590E" w:rsidRPr="00D1590E" w:rsidRDefault="00D1590E" w:rsidP="00D1590E">
            <w:r w:rsidRPr="00D1590E">
              <w:t>2 Use of 132 kV variable</w:t>
            </w:r>
          </w:p>
          <w:p w:rsidR="00D1590E" w:rsidRPr="00D1590E" w:rsidRDefault="00D1590E" w:rsidP="00D1590E">
            <w:r w:rsidRPr="00D1590E">
              <w:t>5 inadequate input/output specification</w:t>
            </w:r>
          </w:p>
          <w:p w:rsidR="00D1590E" w:rsidRPr="00D1590E" w:rsidRDefault="00D1590E" w:rsidP="00D1590E">
            <w:r w:rsidRPr="00D1590E">
              <w:t xml:space="preserve">Inappropriate </w:t>
            </w:r>
            <w:r w:rsidRPr="00D1590E">
              <w:lastRenderedPageBreak/>
              <w:t>adjustments to opex</w:t>
            </w:r>
            <w:r w:rsidRPr="00D1590E">
              <w:rPr>
                <w:rStyle w:val="FootnoteReference"/>
              </w:rPr>
              <w:footnoteReference w:id="449"/>
            </w:r>
          </w:p>
        </w:tc>
      </w:tr>
      <w:tr w:rsidR="00D1590E" w:rsidRPr="00F14036" w:rsidTr="00D1590E">
        <w:trPr>
          <w:cnfStyle w:val="000000010000" w:firstRow="0" w:lastRow="0" w:firstColumn="0" w:lastColumn="0" w:oddVBand="0" w:evenVBand="0" w:oddHBand="0" w:evenHBand="1" w:firstRowFirstColumn="0" w:firstRowLastColumn="0" w:lastRowFirstColumn="0" w:lastRowLastColumn="0"/>
        </w:trPr>
        <w:tc>
          <w:tcPr>
            <w:tcW w:w="714" w:type="pct"/>
          </w:tcPr>
          <w:p w:rsidR="00D1590E" w:rsidRPr="00D1590E" w:rsidRDefault="00D1590E" w:rsidP="00D1590E">
            <w:r w:rsidRPr="00D1590E">
              <w:lastRenderedPageBreak/>
              <w:t>CEPA (2015a)</w:t>
            </w:r>
          </w:p>
        </w:tc>
        <w:tc>
          <w:tcPr>
            <w:tcW w:w="816" w:type="pct"/>
          </w:tcPr>
          <w:p w:rsidR="00D1590E" w:rsidRPr="00D1590E" w:rsidRDefault="00D1590E" w:rsidP="00D1590E">
            <w:r w:rsidRPr="00D1590E">
              <w:t>Full sample (Australia, NZ, Ontario) or jurisdiction-specific sample, 2006-2013</w:t>
            </w:r>
          </w:p>
        </w:tc>
        <w:tc>
          <w:tcPr>
            <w:tcW w:w="897" w:type="pct"/>
          </w:tcPr>
          <w:p w:rsidR="00D1590E" w:rsidRPr="00D1590E" w:rsidRDefault="00D1590E" w:rsidP="00D1590E">
            <w:r w:rsidRPr="00D1590E">
              <w:t xml:space="preserve">SFA </w:t>
            </w:r>
          </w:p>
          <w:p w:rsidR="00D1590E" w:rsidRPr="00D1590E" w:rsidRDefault="00D1590E" w:rsidP="00D1590E">
            <w:r w:rsidRPr="00D1590E">
              <w:t>Cobb-Douglas function</w:t>
            </w:r>
          </w:p>
        </w:tc>
        <w:tc>
          <w:tcPr>
            <w:tcW w:w="1588" w:type="pct"/>
          </w:tcPr>
          <w:p w:rsidR="00D1590E" w:rsidRPr="00D1590E" w:rsidRDefault="00D1590E" w:rsidP="00D1590E">
            <w:r w:rsidRPr="00D1590E">
              <w:t>DV: real opex</w:t>
            </w:r>
          </w:p>
          <w:p w:rsidR="00D1590E" w:rsidRPr="00D1590E" w:rsidRDefault="00D1590E" w:rsidP="00D1590E">
            <w:r w:rsidRPr="00D1590E">
              <w:t>Output: customer number, circuit length, RMDemand</w:t>
            </w:r>
          </w:p>
          <w:p w:rsidR="00D1590E" w:rsidRPr="00D1590E" w:rsidRDefault="00D1590E" w:rsidP="00D1590E">
            <w:r w:rsidRPr="00D1590E">
              <w:t>OEF: undergrounding</w:t>
            </w:r>
          </w:p>
          <w:p w:rsidR="00D1590E" w:rsidRPr="00D1590E" w:rsidRDefault="00D1590E" w:rsidP="00D1590E">
            <w:r w:rsidRPr="00D1590E">
              <w:t>Other: Year</w:t>
            </w:r>
          </w:p>
        </w:tc>
        <w:tc>
          <w:tcPr>
            <w:tcW w:w="985" w:type="pct"/>
          </w:tcPr>
          <w:p w:rsidR="00D1590E" w:rsidRPr="00D1590E" w:rsidRDefault="00D1590E" w:rsidP="00D1590E">
            <w:r w:rsidRPr="00D1590E">
              <w:t>1 Use of Australian only data</w:t>
            </w:r>
          </w:p>
        </w:tc>
      </w:tr>
      <w:tr w:rsidR="00D1590E" w:rsidRPr="00F14036" w:rsidTr="00D1590E">
        <w:tc>
          <w:tcPr>
            <w:tcW w:w="714" w:type="pct"/>
          </w:tcPr>
          <w:p w:rsidR="00D1590E" w:rsidRPr="00D1590E" w:rsidRDefault="00D1590E" w:rsidP="00D1590E">
            <w:r w:rsidRPr="00D1590E">
              <w:t>FE (2015a)</w:t>
            </w:r>
          </w:p>
        </w:tc>
        <w:tc>
          <w:tcPr>
            <w:tcW w:w="816" w:type="pct"/>
          </w:tcPr>
          <w:p w:rsidR="00D1590E" w:rsidRPr="00D1590E" w:rsidRDefault="00D1590E" w:rsidP="00D1590E">
            <w:r w:rsidRPr="00D1590E">
              <w:t>Full sample, 2006-2013</w:t>
            </w:r>
          </w:p>
        </w:tc>
        <w:tc>
          <w:tcPr>
            <w:tcW w:w="897" w:type="pct"/>
          </w:tcPr>
          <w:p w:rsidR="00D1590E" w:rsidRPr="00D1590E" w:rsidRDefault="00D1590E" w:rsidP="00D1590E">
            <w:r w:rsidRPr="00D1590E">
              <w:t>True RE and True FE models</w:t>
            </w:r>
            <w:r w:rsidRPr="00D1590E">
              <w:rPr>
                <w:rStyle w:val="FootnoteReference"/>
              </w:rPr>
              <w:footnoteReference w:id="450"/>
            </w:r>
          </w:p>
          <w:p w:rsidR="00D1590E" w:rsidRPr="00D1590E" w:rsidRDefault="00D1590E" w:rsidP="00D1590E">
            <w:r w:rsidRPr="00D1590E">
              <w:t>Cobb-Douglas function</w:t>
            </w:r>
          </w:p>
        </w:tc>
        <w:tc>
          <w:tcPr>
            <w:tcW w:w="1588" w:type="pct"/>
          </w:tcPr>
          <w:p w:rsidR="00D1590E" w:rsidRPr="00D1590E" w:rsidRDefault="00D1590E" w:rsidP="00D1590E">
            <w:r w:rsidRPr="00D1590E">
              <w:t>DV: real opex</w:t>
            </w:r>
          </w:p>
          <w:p w:rsidR="00D1590E" w:rsidRPr="00D1590E" w:rsidRDefault="00D1590E" w:rsidP="00D1590E">
            <w:r w:rsidRPr="00D1590E">
              <w:t xml:space="preserve">Output: customer number, circuit length, RMDemand </w:t>
            </w:r>
          </w:p>
          <w:p w:rsidR="00D1590E" w:rsidRPr="00D1590E" w:rsidRDefault="00D1590E" w:rsidP="00D1590E">
            <w:r w:rsidRPr="00D1590E">
              <w:t>OEF: undergrounding</w:t>
            </w:r>
          </w:p>
          <w:p w:rsidR="00D1590E" w:rsidRPr="00D1590E" w:rsidRDefault="00D1590E" w:rsidP="00D1590E">
            <w:r w:rsidRPr="00D1590E">
              <w:t>Other: Year</w:t>
            </w:r>
          </w:p>
        </w:tc>
        <w:tc>
          <w:tcPr>
            <w:tcW w:w="985" w:type="pct"/>
          </w:tcPr>
          <w:p w:rsidR="00D1590E" w:rsidRPr="00D1590E" w:rsidRDefault="00D1590E" w:rsidP="00D1590E">
            <w:r w:rsidRPr="00D1590E">
              <w:t>3 Use of latent heterogeneity model</w:t>
            </w:r>
          </w:p>
        </w:tc>
      </w:tr>
      <w:tr w:rsidR="00D1590E" w:rsidRPr="00F14036" w:rsidTr="00D1590E">
        <w:trPr>
          <w:cnfStyle w:val="000000010000" w:firstRow="0" w:lastRow="0" w:firstColumn="0" w:lastColumn="0" w:oddVBand="0" w:evenVBand="0" w:oddHBand="0" w:evenHBand="1" w:firstRowFirstColumn="0" w:firstRowLastColumn="0" w:lastRowFirstColumn="0" w:lastRowLastColumn="0"/>
        </w:trPr>
        <w:tc>
          <w:tcPr>
            <w:tcW w:w="714" w:type="pct"/>
          </w:tcPr>
          <w:p w:rsidR="00D1590E" w:rsidRPr="00D1590E" w:rsidRDefault="00D1590E" w:rsidP="00D1590E">
            <w:r w:rsidRPr="00D1590E">
              <w:t>FE (2015a)</w:t>
            </w:r>
          </w:p>
        </w:tc>
        <w:tc>
          <w:tcPr>
            <w:tcW w:w="816" w:type="pct"/>
          </w:tcPr>
          <w:p w:rsidR="00D1590E" w:rsidRPr="00D1590E" w:rsidRDefault="00D1590E" w:rsidP="00D1590E">
            <w:r w:rsidRPr="00D1590E">
              <w:t>Full sample or jurisdiction-specific sample, 2006-2013</w:t>
            </w:r>
          </w:p>
        </w:tc>
        <w:tc>
          <w:tcPr>
            <w:tcW w:w="897" w:type="pct"/>
          </w:tcPr>
          <w:p w:rsidR="00D1590E" w:rsidRPr="00D1590E" w:rsidRDefault="00D1590E" w:rsidP="00D1590E">
            <w:r w:rsidRPr="00D1590E">
              <w:t>SFA</w:t>
            </w:r>
          </w:p>
          <w:p w:rsidR="00D1590E" w:rsidRPr="00D1590E" w:rsidRDefault="00D1590E" w:rsidP="00D1590E">
            <w:r w:rsidRPr="00D1590E">
              <w:t>Cobb-Douglas function</w:t>
            </w:r>
          </w:p>
        </w:tc>
        <w:tc>
          <w:tcPr>
            <w:tcW w:w="1588" w:type="pct"/>
          </w:tcPr>
          <w:p w:rsidR="00D1590E" w:rsidRPr="00D1590E" w:rsidRDefault="00D1590E" w:rsidP="00D1590E">
            <w:r w:rsidRPr="00D1590E">
              <w:t>DV: real opex</w:t>
            </w:r>
          </w:p>
          <w:p w:rsidR="00D1590E" w:rsidRPr="00D1590E" w:rsidRDefault="00D1590E" w:rsidP="00D1590E">
            <w:r w:rsidRPr="00D1590E">
              <w:t xml:space="preserve">Output: customer number, circuit length, RMDemand </w:t>
            </w:r>
          </w:p>
          <w:p w:rsidR="00D1590E" w:rsidRPr="00D1590E" w:rsidRDefault="00D1590E" w:rsidP="00D1590E">
            <w:r w:rsidRPr="00D1590E">
              <w:t>OEF: undergrounding</w:t>
            </w:r>
          </w:p>
          <w:p w:rsidR="00D1590E" w:rsidRPr="00D1590E" w:rsidRDefault="00D1590E" w:rsidP="00D1590E">
            <w:r w:rsidRPr="00D1590E">
              <w:t>Other Year</w:t>
            </w:r>
          </w:p>
        </w:tc>
        <w:tc>
          <w:tcPr>
            <w:tcW w:w="985" w:type="pct"/>
          </w:tcPr>
          <w:p w:rsidR="00D1590E" w:rsidRPr="00D1590E" w:rsidRDefault="00D1590E" w:rsidP="00D1590E">
            <w:r w:rsidRPr="00D1590E">
              <w:t>1 Use of Australian only data</w:t>
            </w:r>
          </w:p>
        </w:tc>
      </w:tr>
      <w:tr w:rsidR="00D1590E" w:rsidRPr="00F14036" w:rsidTr="00D1590E">
        <w:tc>
          <w:tcPr>
            <w:tcW w:w="714" w:type="pct"/>
          </w:tcPr>
          <w:p w:rsidR="00D1590E" w:rsidRPr="00D1590E" w:rsidRDefault="00D1590E" w:rsidP="00D1590E">
            <w:r w:rsidRPr="00D1590E">
              <w:t>FE (2015a)</w:t>
            </w:r>
          </w:p>
        </w:tc>
        <w:tc>
          <w:tcPr>
            <w:tcW w:w="816" w:type="pct"/>
          </w:tcPr>
          <w:p w:rsidR="00D1590E" w:rsidRPr="00D1590E" w:rsidRDefault="00D1590E" w:rsidP="00D1590E">
            <w:r w:rsidRPr="00D1590E">
              <w:t xml:space="preserve">Australian only sample, 2013 only </w:t>
            </w:r>
          </w:p>
        </w:tc>
        <w:tc>
          <w:tcPr>
            <w:tcW w:w="897" w:type="pct"/>
          </w:tcPr>
          <w:p w:rsidR="00D1590E" w:rsidRPr="00D1590E" w:rsidRDefault="00D1590E" w:rsidP="00D1590E">
            <w:r w:rsidRPr="00D1590E">
              <w:t xml:space="preserve">DEA </w:t>
            </w:r>
          </w:p>
          <w:p w:rsidR="00D1590E" w:rsidRPr="00D1590E" w:rsidRDefault="00D1590E" w:rsidP="00D1590E">
            <w:r w:rsidRPr="00D1590E">
              <w:t>CRS and VRS</w:t>
            </w:r>
            <w:r w:rsidRPr="00D1590E">
              <w:rPr>
                <w:rStyle w:val="FootnoteReference"/>
              </w:rPr>
              <w:footnoteReference w:id="451"/>
            </w:r>
          </w:p>
        </w:tc>
        <w:tc>
          <w:tcPr>
            <w:tcW w:w="1588" w:type="pct"/>
          </w:tcPr>
          <w:p w:rsidR="00D1590E" w:rsidRPr="00D1590E" w:rsidRDefault="00D1590E" w:rsidP="00D1590E">
            <w:r w:rsidRPr="00D1590E">
              <w:t xml:space="preserve">Input: real opex </w:t>
            </w:r>
          </w:p>
          <w:p w:rsidR="00D1590E" w:rsidRPr="00D1590E" w:rsidRDefault="00D1590E" w:rsidP="00D1590E">
            <w:r w:rsidRPr="00D1590E">
              <w:t xml:space="preserve">Output: Energy delivered, RMDemand, customer number, before adding circuit length; </w:t>
            </w:r>
          </w:p>
          <w:p w:rsidR="00D1590E" w:rsidRPr="00D1590E" w:rsidRDefault="00D1590E" w:rsidP="00D1590E"/>
        </w:tc>
        <w:tc>
          <w:tcPr>
            <w:tcW w:w="985" w:type="pct"/>
          </w:tcPr>
          <w:p w:rsidR="00D1590E" w:rsidRPr="00D1590E" w:rsidRDefault="00D1590E" w:rsidP="00C867C5">
            <w:r w:rsidRPr="00D1590E">
              <w:t xml:space="preserve">4 finding </w:t>
            </w:r>
            <w:r w:rsidR="00C867C5" w:rsidRPr="00C867C5">
              <w:t xml:space="preserve">distributors </w:t>
            </w:r>
            <w:r w:rsidRPr="00D1590E">
              <w:t xml:space="preserve"> efficient by default</w:t>
            </w:r>
          </w:p>
        </w:tc>
      </w:tr>
      <w:tr w:rsidR="00D1590E" w:rsidRPr="00F14036" w:rsidTr="00D1590E">
        <w:trPr>
          <w:cnfStyle w:val="000000010000" w:firstRow="0" w:lastRow="0" w:firstColumn="0" w:lastColumn="0" w:oddVBand="0" w:evenVBand="0" w:oddHBand="0" w:evenHBand="1" w:firstRowFirstColumn="0" w:firstRowLastColumn="0" w:lastRowFirstColumn="0" w:lastRowLastColumn="0"/>
        </w:trPr>
        <w:tc>
          <w:tcPr>
            <w:tcW w:w="714" w:type="pct"/>
          </w:tcPr>
          <w:p w:rsidR="00D1590E" w:rsidRPr="00D1590E" w:rsidRDefault="00D1590E" w:rsidP="00D1590E">
            <w:r w:rsidRPr="00D1590E">
              <w:t>FE (2015b)</w:t>
            </w:r>
          </w:p>
        </w:tc>
        <w:tc>
          <w:tcPr>
            <w:tcW w:w="816" w:type="pct"/>
          </w:tcPr>
          <w:p w:rsidR="00D1590E" w:rsidRPr="00D1590E" w:rsidRDefault="00D1590E" w:rsidP="00D1590E">
            <w:r w:rsidRPr="00D1590E">
              <w:t>Full sample, 2006-2013</w:t>
            </w:r>
          </w:p>
        </w:tc>
        <w:tc>
          <w:tcPr>
            <w:tcW w:w="897" w:type="pct"/>
          </w:tcPr>
          <w:p w:rsidR="00D1590E" w:rsidRPr="00D1590E" w:rsidRDefault="00D1590E" w:rsidP="00D1590E">
            <w:r w:rsidRPr="00D1590E">
              <w:t>SFA</w:t>
            </w:r>
          </w:p>
          <w:p w:rsidR="00D1590E" w:rsidRPr="00D1590E" w:rsidRDefault="00D1590E" w:rsidP="00D1590E">
            <w:r w:rsidRPr="00D1590E">
              <w:t>Cobb-Douglas</w:t>
            </w:r>
          </w:p>
        </w:tc>
        <w:tc>
          <w:tcPr>
            <w:tcW w:w="1588" w:type="pct"/>
          </w:tcPr>
          <w:p w:rsidR="00D1590E" w:rsidRPr="00D1590E" w:rsidRDefault="00D1590E" w:rsidP="00D1590E">
            <w:r w:rsidRPr="00D1590E">
              <w:t>DV: real opex</w:t>
            </w:r>
          </w:p>
          <w:p w:rsidR="00D1590E" w:rsidRPr="00D1590E" w:rsidRDefault="00D1590E" w:rsidP="00D1590E">
            <w:r w:rsidRPr="00D1590E">
              <w:t xml:space="preserve">Output: customer number, circuit length, RMDemand </w:t>
            </w:r>
          </w:p>
          <w:p w:rsidR="00D1590E" w:rsidRPr="00D1590E" w:rsidRDefault="00D1590E" w:rsidP="00D1590E">
            <w:r w:rsidRPr="00D1590E">
              <w:t>OEF: undergrounding, squared term for customer density, share of circuit above 66kV, country dummies</w:t>
            </w:r>
          </w:p>
          <w:p w:rsidR="00D1590E" w:rsidRPr="00D1590E" w:rsidRDefault="00D1590E" w:rsidP="00D1590E">
            <w:r w:rsidRPr="00D1590E">
              <w:t>Other: Year</w:t>
            </w:r>
          </w:p>
        </w:tc>
        <w:tc>
          <w:tcPr>
            <w:tcW w:w="985" w:type="pct"/>
          </w:tcPr>
          <w:p w:rsidR="00D1590E" w:rsidRPr="00D1590E" w:rsidRDefault="00D1590E" w:rsidP="00D1590E">
            <w:r w:rsidRPr="00D1590E">
              <w:t>2 Use of 132 kV variable</w:t>
            </w:r>
          </w:p>
          <w:p w:rsidR="00D1590E" w:rsidRPr="00D1590E" w:rsidRDefault="00D1590E" w:rsidP="00D1590E">
            <w:r w:rsidRPr="00D1590E">
              <w:t>5 inadequate input/output specification</w:t>
            </w:r>
          </w:p>
        </w:tc>
      </w:tr>
      <w:tr w:rsidR="00D1590E" w:rsidRPr="00F14036" w:rsidTr="00D1590E">
        <w:tc>
          <w:tcPr>
            <w:tcW w:w="714" w:type="pct"/>
          </w:tcPr>
          <w:p w:rsidR="00D1590E" w:rsidRPr="00D1590E" w:rsidRDefault="00D1590E" w:rsidP="00D1590E">
            <w:r w:rsidRPr="00D1590E">
              <w:t>FE (2015b)</w:t>
            </w:r>
          </w:p>
        </w:tc>
        <w:tc>
          <w:tcPr>
            <w:tcW w:w="816" w:type="pct"/>
          </w:tcPr>
          <w:p w:rsidR="00D1590E" w:rsidRPr="00D1590E" w:rsidRDefault="00D1590E" w:rsidP="00D1590E">
            <w:r w:rsidRPr="00D1590E">
              <w:t>Australian only sample used for second stage regression, average of the period data</w:t>
            </w:r>
          </w:p>
        </w:tc>
        <w:tc>
          <w:tcPr>
            <w:tcW w:w="897" w:type="pct"/>
          </w:tcPr>
          <w:p w:rsidR="00D1590E" w:rsidRPr="00D1590E" w:rsidRDefault="00D1590E" w:rsidP="00D1590E">
            <w:r w:rsidRPr="00D1590E">
              <w:t xml:space="preserve">Second-stage OLS analysis </w:t>
            </w:r>
          </w:p>
        </w:tc>
        <w:tc>
          <w:tcPr>
            <w:tcW w:w="1588" w:type="pct"/>
          </w:tcPr>
          <w:p w:rsidR="00D1590E" w:rsidRPr="00D1590E" w:rsidRDefault="00D1590E" w:rsidP="00D1590E">
            <w:r w:rsidRPr="00D1590E">
              <w:t>DV: raw efficiency scores from EI model and FE’s modified model respectively</w:t>
            </w:r>
          </w:p>
          <w:p w:rsidR="00D1590E" w:rsidRPr="00D1590E" w:rsidRDefault="00D1590E" w:rsidP="00D1590E">
            <w:r w:rsidRPr="00D1590E">
              <w:t xml:space="preserve">OEF: selected variables, including share of circuit above 66kV, customer density (linear vs spatial), weather variables (e.g., wind gust </w:t>
            </w:r>
            <w:r w:rsidRPr="00D1590E">
              <w:lastRenderedPageBreak/>
              <w:t>speed, rainfall, temperature, humidity)</w:t>
            </w:r>
          </w:p>
        </w:tc>
        <w:tc>
          <w:tcPr>
            <w:tcW w:w="985" w:type="pct"/>
          </w:tcPr>
          <w:p w:rsidR="00D1590E" w:rsidRPr="00D1590E" w:rsidRDefault="00D1590E" w:rsidP="00D1590E">
            <w:r w:rsidRPr="00D1590E">
              <w:lastRenderedPageBreak/>
              <w:t>2 Use of 132 kV variable</w:t>
            </w:r>
          </w:p>
          <w:p w:rsidR="00D1590E" w:rsidRPr="00D1590E" w:rsidRDefault="00D1590E" w:rsidP="00D1590E">
            <w:r w:rsidRPr="00D1590E">
              <w:t>Single stage SFA is preferred, where appropriate.</w:t>
            </w:r>
            <w:r w:rsidRPr="00D1590E">
              <w:rPr>
                <w:rStyle w:val="FootnoteReference"/>
              </w:rPr>
              <w:footnoteReference w:id="452"/>
            </w:r>
            <w:r w:rsidRPr="00D1590E">
              <w:t xml:space="preserve"> </w:t>
            </w:r>
          </w:p>
        </w:tc>
      </w:tr>
      <w:tr w:rsidR="00D1590E" w:rsidRPr="00F14036" w:rsidTr="00D1590E">
        <w:trPr>
          <w:cnfStyle w:val="000000010000" w:firstRow="0" w:lastRow="0" w:firstColumn="0" w:lastColumn="0" w:oddVBand="0" w:evenVBand="0" w:oddHBand="0" w:evenHBand="1" w:firstRowFirstColumn="0" w:firstRowLastColumn="0" w:lastRowFirstColumn="0" w:lastRowLastColumn="0"/>
        </w:trPr>
        <w:tc>
          <w:tcPr>
            <w:tcW w:w="714" w:type="pct"/>
          </w:tcPr>
          <w:p w:rsidR="00D1590E" w:rsidRPr="00D1590E" w:rsidRDefault="00D1590E" w:rsidP="00D1590E">
            <w:r w:rsidRPr="00D1590E">
              <w:lastRenderedPageBreak/>
              <w:t>Huegin (2015a)</w:t>
            </w:r>
          </w:p>
        </w:tc>
        <w:tc>
          <w:tcPr>
            <w:tcW w:w="816" w:type="pct"/>
          </w:tcPr>
          <w:p w:rsidR="00D1590E" w:rsidRPr="00D1590E" w:rsidRDefault="00D1590E" w:rsidP="00D1590E">
            <w:r w:rsidRPr="00D1590E">
              <w:t>Full sample, 2006-2013</w:t>
            </w:r>
          </w:p>
        </w:tc>
        <w:tc>
          <w:tcPr>
            <w:tcW w:w="897" w:type="pct"/>
          </w:tcPr>
          <w:p w:rsidR="00D1590E" w:rsidRPr="00D1590E" w:rsidRDefault="00D1590E" w:rsidP="00D1590E">
            <w:r w:rsidRPr="00D1590E">
              <w:t>SFA</w:t>
            </w:r>
          </w:p>
          <w:p w:rsidR="00D1590E" w:rsidRPr="00D1590E" w:rsidRDefault="00D1590E" w:rsidP="00D1590E">
            <w:r w:rsidRPr="00D1590E">
              <w:t>Cobb-Douglas function</w:t>
            </w:r>
          </w:p>
        </w:tc>
        <w:tc>
          <w:tcPr>
            <w:tcW w:w="1588" w:type="pct"/>
          </w:tcPr>
          <w:p w:rsidR="00D1590E" w:rsidRPr="00D1590E" w:rsidRDefault="00D1590E" w:rsidP="00D1590E">
            <w:r w:rsidRPr="00D1590E">
              <w:t>DV: real opex</w:t>
            </w:r>
          </w:p>
          <w:p w:rsidR="00D1590E" w:rsidRPr="00D1590E" w:rsidRDefault="00D1590E" w:rsidP="00D1590E">
            <w:r w:rsidRPr="00D1590E">
              <w:t xml:space="preserve">Output: customer number, circuit length, RMDemand </w:t>
            </w:r>
          </w:p>
          <w:p w:rsidR="00D1590E" w:rsidRPr="00D1590E" w:rsidRDefault="00D1590E" w:rsidP="00D1590E">
            <w:r w:rsidRPr="00D1590E">
              <w:t xml:space="preserve">Undergrounding or Year variable is modelled for explaining the efficiency term </w:t>
            </w:r>
          </w:p>
          <w:p w:rsidR="00D1590E" w:rsidRPr="00D1590E" w:rsidRDefault="00D1590E" w:rsidP="00D1590E"/>
        </w:tc>
        <w:tc>
          <w:tcPr>
            <w:tcW w:w="985" w:type="pct"/>
          </w:tcPr>
          <w:p w:rsidR="00D1590E" w:rsidRPr="00D1590E" w:rsidRDefault="00D1590E" w:rsidP="00D1590E">
            <w:r w:rsidRPr="00D1590E">
              <w:t>5 inadequate input/output specification</w:t>
            </w:r>
          </w:p>
        </w:tc>
      </w:tr>
      <w:tr w:rsidR="00D1590E" w:rsidRPr="00F14036" w:rsidTr="00D1590E">
        <w:tc>
          <w:tcPr>
            <w:tcW w:w="714" w:type="pct"/>
          </w:tcPr>
          <w:p w:rsidR="00D1590E" w:rsidRPr="00D1590E" w:rsidRDefault="00D1590E" w:rsidP="00D1590E">
            <w:r w:rsidRPr="00D1590E">
              <w:t>Huegin (2015a)</w:t>
            </w:r>
          </w:p>
        </w:tc>
        <w:tc>
          <w:tcPr>
            <w:tcW w:w="816" w:type="pct"/>
          </w:tcPr>
          <w:p w:rsidR="00D1590E" w:rsidRPr="00D1590E" w:rsidRDefault="00D1590E" w:rsidP="00D1590E">
            <w:r w:rsidRPr="00D1590E">
              <w:t>Australian only sample, 2006-2013</w:t>
            </w:r>
          </w:p>
        </w:tc>
        <w:tc>
          <w:tcPr>
            <w:tcW w:w="897" w:type="pct"/>
          </w:tcPr>
          <w:p w:rsidR="00D1590E" w:rsidRPr="00D1590E" w:rsidRDefault="00D1590E" w:rsidP="00D1590E">
            <w:r w:rsidRPr="00D1590E">
              <w:t>Opex PFP</w:t>
            </w:r>
          </w:p>
        </w:tc>
        <w:tc>
          <w:tcPr>
            <w:tcW w:w="1588" w:type="pct"/>
          </w:tcPr>
          <w:p w:rsidR="00D1590E" w:rsidRPr="00D1590E" w:rsidRDefault="00D1590E" w:rsidP="00D1590E">
            <w:r w:rsidRPr="00D1590E">
              <w:t>Seven alternative model specification previously considered by EI and AER</w:t>
            </w:r>
          </w:p>
        </w:tc>
        <w:tc>
          <w:tcPr>
            <w:tcW w:w="985" w:type="pct"/>
          </w:tcPr>
          <w:p w:rsidR="00D1590E" w:rsidRPr="00D1590E" w:rsidRDefault="00D1590E" w:rsidP="00D1590E">
            <w:r w:rsidRPr="00D1590E">
              <w:t>5 inadequate input/output specification</w:t>
            </w:r>
          </w:p>
        </w:tc>
      </w:tr>
      <w:tr w:rsidR="00D1590E" w:rsidRPr="00F14036" w:rsidTr="00D1590E">
        <w:trPr>
          <w:cnfStyle w:val="000000010000" w:firstRow="0" w:lastRow="0" w:firstColumn="0" w:lastColumn="0" w:oddVBand="0" w:evenVBand="0" w:oddHBand="0" w:evenHBand="1" w:firstRowFirstColumn="0" w:firstRowLastColumn="0" w:lastRowFirstColumn="0" w:lastRowLastColumn="0"/>
        </w:trPr>
        <w:tc>
          <w:tcPr>
            <w:tcW w:w="714" w:type="pct"/>
          </w:tcPr>
          <w:p w:rsidR="00D1590E" w:rsidRPr="00D1590E" w:rsidRDefault="00D1590E" w:rsidP="00D1590E">
            <w:r w:rsidRPr="00D1590E">
              <w:t>Huegin (2015b)</w:t>
            </w:r>
          </w:p>
        </w:tc>
        <w:tc>
          <w:tcPr>
            <w:tcW w:w="816" w:type="pct"/>
          </w:tcPr>
          <w:p w:rsidR="00D1590E" w:rsidRPr="00D1590E" w:rsidRDefault="00D1590E" w:rsidP="00D1590E">
            <w:r w:rsidRPr="00D1590E">
              <w:t>Full sample</w:t>
            </w:r>
          </w:p>
        </w:tc>
        <w:tc>
          <w:tcPr>
            <w:tcW w:w="897" w:type="pct"/>
          </w:tcPr>
          <w:p w:rsidR="00D1590E" w:rsidRPr="00D1590E" w:rsidRDefault="00D1590E" w:rsidP="00D1590E">
            <w:r w:rsidRPr="00D1590E">
              <w:t xml:space="preserve">latent class modelling </w:t>
            </w:r>
          </w:p>
        </w:tc>
        <w:tc>
          <w:tcPr>
            <w:tcW w:w="1588" w:type="pct"/>
          </w:tcPr>
          <w:p w:rsidR="00D1590E" w:rsidRPr="00D1590E" w:rsidRDefault="00D1590E" w:rsidP="00D1590E">
            <w:r w:rsidRPr="00D1590E">
              <w:t>DV: real opex</w:t>
            </w:r>
          </w:p>
          <w:p w:rsidR="00D1590E" w:rsidRPr="00D1590E" w:rsidRDefault="00D1590E" w:rsidP="00D1590E">
            <w:r w:rsidRPr="00D1590E">
              <w:t>Output: customer number, circuit length</w:t>
            </w:r>
          </w:p>
          <w:p w:rsidR="00D1590E" w:rsidRPr="00D1590E" w:rsidRDefault="00D1590E" w:rsidP="00D1590E">
            <w:r w:rsidRPr="00D1590E">
              <w:t>OEF: undergrounding</w:t>
            </w:r>
          </w:p>
          <w:p w:rsidR="00D1590E" w:rsidRPr="00D1590E" w:rsidRDefault="00D1590E" w:rsidP="00D1590E"/>
        </w:tc>
        <w:tc>
          <w:tcPr>
            <w:tcW w:w="985" w:type="pct"/>
          </w:tcPr>
          <w:p w:rsidR="00D1590E" w:rsidRPr="00D1590E" w:rsidRDefault="00D1590E" w:rsidP="00D1590E">
            <w:r w:rsidRPr="00D1590E">
              <w:t>3 Use of latent heterogeneity model</w:t>
            </w:r>
          </w:p>
        </w:tc>
      </w:tr>
      <w:tr w:rsidR="00D1590E" w:rsidRPr="00F14036" w:rsidTr="00D1590E">
        <w:tc>
          <w:tcPr>
            <w:tcW w:w="714" w:type="pct"/>
          </w:tcPr>
          <w:p w:rsidR="00D1590E" w:rsidRPr="00D1590E" w:rsidRDefault="00D1590E" w:rsidP="00D1590E">
            <w:r w:rsidRPr="00D1590E">
              <w:t>Huegin (2015b)</w:t>
            </w:r>
          </w:p>
        </w:tc>
        <w:tc>
          <w:tcPr>
            <w:tcW w:w="816" w:type="pct"/>
          </w:tcPr>
          <w:p w:rsidR="00D1590E" w:rsidRPr="00D1590E" w:rsidRDefault="00D1590E" w:rsidP="00D1590E">
            <w:r w:rsidRPr="00D1590E">
              <w:t>Australian only sample</w:t>
            </w:r>
          </w:p>
        </w:tc>
        <w:tc>
          <w:tcPr>
            <w:tcW w:w="897" w:type="pct"/>
          </w:tcPr>
          <w:p w:rsidR="00D1590E" w:rsidRPr="00D1590E" w:rsidRDefault="00D1590E" w:rsidP="00D1590E">
            <w:r w:rsidRPr="00D1590E">
              <w:t xml:space="preserve">K-means clustering </w:t>
            </w:r>
          </w:p>
        </w:tc>
        <w:tc>
          <w:tcPr>
            <w:tcW w:w="1588" w:type="pct"/>
          </w:tcPr>
          <w:p w:rsidR="00D1590E" w:rsidRPr="00D1590E" w:rsidRDefault="00D1590E" w:rsidP="00D1590E">
            <w:r w:rsidRPr="00D1590E">
              <w:t xml:space="preserve">18 variables on four dimensions are used to group the 13 Australian </w:t>
            </w:r>
            <w:r w:rsidR="00C867C5" w:rsidRPr="00C867C5">
              <w:t>distributors</w:t>
            </w:r>
          </w:p>
        </w:tc>
        <w:tc>
          <w:tcPr>
            <w:tcW w:w="985" w:type="pct"/>
          </w:tcPr>
          <w:p w:rsidR="00D1590E" w:rsidRPr="00D1590E" w:rsidRDefault="00D1590E" w:rsidP="00D1590E">
            <w:r w:rsidRPr="00D1590E">
              <w:t>3 Use of latent heterogeneity model</w:t>
            </w:r>
          </w:p>
        </w:tc>
      </w:tr>
      <w:tr w:rsidR="00D1590E" w:rsidRPr="00F14036" w:rsidTr="00D1590E">
        <w:trPr>
          <w:cnfStyle w:val="000000010000" w:firstRow="0" w:lastRow="0" w:firstColumn="0" w:lastColumn="0" w:oddVBand="0" w:evenVBand="0" w:oddHBand="0" w:evenHBand="1" w:firstRowFirstColumn="0" w:firstRowLastColumn="0" w:lastRowFirstColumn="0" w:lastRowLastColumn="0"/>
        </w:trPr>
        <w:tc>
          <w:tcPr>
            <w:tcW w:w="714" w:type="pct"/>
            <w:vAlign w:val="top"/>
          </w:tcPr>
          <w:p w:rsidR="00D1590E" w:rsidRPr="00D1590E" w:rsidRDefault="00D1590E" w:rsidP="00D1590E">
            <w:r w:rsidRPr="00D1590E">
              <w:t>Huegin (2015c)</w:t>
            </w:r>
          </w:p>
        </w:tc>
        <w:tc>
          <w:tcPr>
            <w:tcW w:w="816" w:type="pct"/>
            <w:vAlign w:val="top"/>
          </w:tcPr>
          <w:p w:rsidR="00D1590E" w:rsidRPr="00D1590E" w:rsidRDefault="00D1590E" w:rsidP="00D1590E">
            <w:r w:rsidRPr="00D1590E">
              <w:t xml:space="preserve">Full sample vs. Australian only sample vs. Large rural only sample </w:t>
            </w:r>
          </w:p>
        </w:tc>
        <w:tc>
          <w:tcPr>
            <w:tcW w:w="897" w:type="pct"/>
            <w:vAlign w:val="top"/>
          </w:tcPr>
          <w:p w:rsidR="00D1590E" w:rsidRPr="00D1590E" w:rsidRDefault="00D1590E" w:rsidP="00D1590E">
            <w:r w:rsidRPr="00D1590E">
              <w:t xml:space="preserve">SFA </w:t>
            </w:r>
          </w:p>
        </w:tc>
        <w:tc>
          <w:tcPr>
            <w:tcW w:w="1588" w:type="pct"/>
            <w:vAlign w:val="top"/>
          </w:tcPr>
          <w:p w:rsidR="00D1590E" w:rsidRPr="00D1590E" w:rsidRDefault="00D1590E" w:rsidP="00D1590E">
            <w:r w:rsidRPr="00D1590E">
              <w:t>DV: opex</w:t>
            </w:r>
          </w:p>
          <w:p w:rsidR="00D1590E" w:rsidRPr="00D1590E" w:rsidRDefault="00D1590E" w:rsidP="00D1590E">
            <w:r w:rsidRPr="00D1590E">
              <w:t>Output: customer number, circuit length, RMDemand</w:t>
            </w:r>
          </w:p>
          <w:p w:rsidR="00D1590E" w:rsidRPr="00D1590E" w:rsidRDefault="00D1590E" w:rsidP="00D1590E">
            <w:r w:rsidRPr="00D1590E">
              <w:t>OEF: undergrounding</w:t>
            </w:r>
          </w:p>
        </w:tc>
        <w:tc>
          <w:tcPr>
            <w:tcW w:w="985" w:type="pct"/>
            <w:vAlign w:val="top"/>
          </w:tcPr>
          <w:p w:rsidR="00D1590E" w:rsidRPr="00D1590E" w:rsidRDefault="00D1590E" w:rsidP="00D1590E">
            <w:r w:rsidRPr="00D1590E">
              <w:t>1 Use of Australian only data</w:t>
            </w:r>
          </w:p>
        </w:tc>
      </w:tr>
      <w:tr w:rsidR="00D1590E" w:rsidRPr="00F14036" w:rsidTr="00D1590E">
        <w:tc>
          <w:tcPr>
            <w:tcW w:w="714" w:type="pct"/>
          </w:tcPr>
          <w:p w:rsidR="00D1590E" w:rsidRPr="00D1590E" w:rsidRDefault="00D1590E" w:rsidP="00D1590E">
            <w:r w:rsidRPr="00D1590E">
              <w:t>McKell (2014)</w:t>
            </w:r>
          </w:p>
        </w:tc>
        <w:tc>
          <w:tcPr>
            <w:tcW w:w="816" w:type="pct"/>
          </w:tcPr>
          <w:p w:rsidR="00D1590E" w:rsidRPr="00D1590E" w:rsidRDefault="00D1590E" w:rsidP="00D1590E">
            <w:r w:rsidRPr="00D1590E">
              <w:t>Australian only sample</w:t>
            </w:r>
          </w:p>
        </w:tc>
        <w:tc>
          <w:tcPr>
            <w:tcW w:w="897" w:type="pct"/>
          </w:tcPr>
          <w:p w:rsidR="00D1590E" w:rsidRPr="00D1590E" w:rsidRDefault="00D1590E" w:rsidP="00D1590E">
            <w:r w:rsidRPr="00D1590E">
              <w:t>OLS</w:t>
            </w:r>
          </w:p>
        </w:tc>
        <w:tc>
          <w:tcPr>
            <w:tcW w:w="1588" w:type="pct"/>
          </w:tcPr>
          <w:p w:rsidR="00D1590E" w:rsidRPr="00D1590E" w:rsidRDefault="00D1590E" w:rsidP="00D1590E">
            <w:r w:rsidRPr="00D1590E">
              <w:t>DV: Upkeep cost per customer</w:t>
            </w:r>
          </w:p>
          <w:p w:rsidR="00D1590E" w:rsidRPr="00D1590E" w:rsidRDefault="00D1590E" w:rsidP="00D1590E">
            <w:r w:rsidRPr="00D1590E">
              <w:t>IV: line length</w:t>
            </w:r>
          </w:p>
        </w:tc>
        <w:tc>
          <w:tcPr>
            <w:tcW w:w="985" w:type="pct"/>
          </w:tcPr>
          <w:p w:rsidR="00D1590E" w:rsidRPr="00D1590E" w:rsidRDefault="00D1590E" w:rsidP="00D1590E">
            <w:r w:rsidRPr="00D1590E">
              <w:t>1 Use of Australian only data</w:t>
            </w:r>
          </w:p>
          <w:p w:rsidR="00D1590E" w:rsidRPr="00D1590E" w:rsidRDefault="00D1590E" w:rsidP="00D1590E">
            <w:r w:rsidRPr="00D1590E">
              <w:t>5 inadequate input/output specification</w:t>
            </w:r>
          </w:p>
        </w:tc>
      </w:tr>
      <w:tr w:rsidR="00D1590E" w:rsidRPr="00F14036" w:rsidTr="00D1590E">
        <w:trPr>
          <w:cnfStyle w:val="000000010000" w:firstRow="0" w:lastRow="0" w:firstColumn="0" w:lastColumn="0" w:oddVBand="0" w:evenVBand="0" w:oddHBand="0" w:evenHBand="1" w:firstRowFirstColumn="0" w:firstRowLastColumn="0" w:lastRowFirstColumn="0" w:lastRowLastColumn="0"/>
        </w:trPr>
        <w:tc>
          <w:tcPr>
            <w:tcW w:w="714" w:type="pct"/>
          </w:tcPr>
          <w:p w:rsidR="00D1590E" w:rsidRPr="00D1590E" w:rsidRDefault="00D1590E" w:rsidP="00D1590E">
            <w:r w:rsidRPr="00D1590E">
              <w:t>PEGR (2014)</w:t>
            </w:r>
          </w:p>
        </w:tc>
        <w:tc>
          <w:tcPr>
            <w:tcW w:w="816" w:type="pct"/>
          </w:tcPr>
          <w:p w:rsidR="00D1590E" w:rsidRPr="00D1590E" w:rsidRDefault="00D1590E" w:rsidP="00D1590E">
            <w:r w:rsidRPr="00D1590E">
              <w:t>Australian sample (2006-2013) vs. Australian and US sample (unbalanced, with an addition of 170 observations for 15 US utilities 1995 to 2013)</w:t>
            </w:r>
          </w:p>
        </w:tc>
        <w:tc>
          <w:tcPr>
            <w:tcW w:w="897" w:type="pct"/>
          </w:tcPr>
          <w:p w:rsidR="00D1590E" w:rsidRPr="00D1590E" w:rsidRDefault="00D1590E" w:rsidP="00D1590E">
            <w:r w:rsidRPr="00D1590E">
              <w:t>FGLS</w:t>
            </w:r>
            <w:r w:rsidRPr="00D1590E">
              <w:rPr>
                <w:rStyle w:val="FootnoteReference"/>
              </w:rPr>
              <w:footnoteReference w:id="453"/>
            </w:r>
          </w:p>
        </w:tc>
        <w:tc>
          <w:tcPr>
            <w:tcW w:w="1588" w:type="pct"/>
          </w:tcPr>
          <w:p w:rsidR="00D1590E" w:rsidRPr="00D1590E" w:rsidRDefault="00D1590E" w:rsidP="00D1590E">
            <w:r w:rsidRPr="00D1590E">
              <w:t>DV: real opex</w:t>
            </w:r>
          </w:p>
          <w:p w:rsidR="00D1590E" w:rsidRPr="00D1590E" w:rsidRDefault="00D1590E" w:rsidP="00D1590E">
            <w:r w:rsidRPr="00D1590E">
              <w:t>Output: customer number, distribution substation capacity, distribution structure kilometres – Translog function</w:t>
            </w:r>
          </w:p>
          <w:p w:rsidR="00D1590E" w:rsidRPr="00D1590E" w:rsidRDefault="00D1590E" w:rsidP="00D1590E">
            <w:r w:rsidRPr="00D1590E">
              <w:t>OEF: overhead line percentage, 132kv or above network (kilometre), average rainfall, Victoria Bushfire Risk dummy, US firm dummy (relevant only to transnational data)</w:t>
            </w:r>
          </w:p>
          <w:p w:rsidR="00D1590E" w:rsidRPr="00D1590E" w:rsidRDefault="00D1590E" w:rsidP="00D1590E">
            <w:r w:rsidRPr="00D1590E">
              <w:t>Other: Year</w:t>
            </w:r>
          </w:p>
        </w:tc>
        <w:tc>
          <w:tcPr>
            <w:tcW w:w="985" w:type="pct"/>
          </w:tcPr>
          <w:p w:rsidR="00D1590E" w:rsidRPr="00D1590E" w:rsidRDefault="00D1590E" w:rsidP="00D1590E">
            <w:r w:rsidRPr="00D1590E">
              <w:t>2 Use of 132 kV variable</w:t>
            </w:r>
          </w:p>
          <w:p w:rsidR="00D1590E" w:rsidRPr="00D1590E" w:rsidRDefault="00D1590E" w:rsidP="00D1590E">
            <w:r w:rsidRPr="00D1590E">
              <w:t>6 unduly limited specification due to data availability</w:t>
            </w:r>
          </w:p>
          <w:p w:rsidR="00D1590E" w:rsidRPr="00D1590E" w:rsidRDefault="00D1590E" w:rsidP="00D1590E">
            <w:r w:rsidRPr="00D1590E">
              <w:t>Stata coding error identified</w:t>
            </w:r>
            <w:r w:rsidRPr="00D1590E">
              <w:rPr>
                <w:rStyle w:val="FootnoteReference"/>
              </w:rPr>
              <w:footnoteReference w:id="454"/>
            </w:r>
          </w:p>
        </w:tc>
      </w:tr>
      <w:tr w:rsidR="00D1590E" w:rsidRPr="00F14036" w:rsidTr="00D1590E">
        <w:trPr>
          <w:trHeight w:val="1266"/>
        </w:trPr>
        <w:tc>
          <w:tcPr>
            <w:tcW w:w="714" w:type="pct"/>
          </w:tcPr>
          <w:p w:rsidR="00D1590E" w:rsidRPr="00D1590E" w:rsidRDefault="00D1590E" w:rsidP="00D1590E">
            <w:r w:rsidRPr="00D1590E">
              <w:lastRenderedPageBreak/>
              <w:t>Synergies (2015b)</w:t>
            </w:r>
          </w:p>
        </w:tc>
        <w:tc>
          <w:tcPr>
            <w:tcW w:w="816" w:type="pct"/>
          </w:tcPr>
          <w:p w:rsidR="00D1590E" w:rsidRPr="00D1590E" w:rsidRDefault="00D1590E" w:rsidP="00D1590E">
            <w:r w:rsidRPr="00D1590E">
              <w:t>Australian and NZ sample</w:t>
            </w:r>
          </w:p>
        </w:tc>
        <w:tc>
          <w:tcPr>
            <w:tcW w:w="897" w:type="pct"/>
          </w:tcPr>
          <w:p w:rsidR="00D1590E" w:rsidRPr="00D1590E" w:rsidRDefault="00D1590E" w:rsidP="00D1590E">
            <w:r w:rsidRPr="00D1590E">
              <w:t>DEA</w:t>
            </w:r>
          </w:p>
        </w:tc>
        <w:tc>
          <w:tcPr>
            <w:tcW w:w="1588" w:type="pct"/>
          </w:tcPr>
          <w:p w:rsidR="00D1590E" w:rsidRPr="00D1590E" w:rsidRDefault="00D1590E" w:rsidP="00D1590E">
            <w:r w:rsidRPr="00D1590E">
              <w:t>Output: customer number, peak demand, circuit length</w:t>
            </w:r>
          </w:p>
          <w:p w:rsidR="00D1590E" w:rsidRPr="00D1590E" w:rsidRDefault="00D1590E" w:rsidP="00D1590E">
            <w:r w:rsidRPr="00D1590E">
              <w:t>Input: operating costs, MVA of transformer capacity, user cost of capital associated with distribution lines</w:t>
            </w:r>
          </w:p>
          <w:p w:rsidR="00D1590E" w:rsidRPr="00D1590E" w:rsidRDefault="00D1590E" w:rsidP="00D1590E"/>
        </w:tc>
        <w:tc>
          <w:tcPr>
            <w:tcW w:w="985" w:type="pct"/>
          </w:tcPr>
          <w:p w:rsidR="00D1590E" w:rsidRPr="00D1590E" w:rsidRDefault="00D1590E" w:rsidP="00D1590E">
            <w:r w:rsidRPr="00D1590E">
              <w:t xml:space="preserve">4 finding </w:t>
            </w:r>
            <w:r w:rsidR="00C867C5" w:rsidRPr="00C867C5">
              <w:t>distributors</w:t>
            </w:r>
            <w:r w:rsidRPr="00D1590E">
              <w:t xml:space="preserve"> efficient by default</w:t>
            </w:r>
          </w:p>
          <w:p w:rsidR="00D1590E" w:rsidRPr="00D1590E" w:rsidRDefault="00D1590E" w:rsidP="00D1590E">
            <w:r w:rsidRPr="00D1590E">
              <w:t>5 inadequate input/output specification</w:t>
            </w:r>
          </w:p>
        </w:tc>
      </w:tr>
      <w:tr w:rsidR="00D1590E" w:rsidRPr="00F14036" w:rsidTr="00D1590E">
        <w:trPr>
          <w:cnfStyle w:val="000000010000" w:firstRow="0" w:lastRow="0" w:firstColumn="0" w:lastColumn="0" w:oddVBand="0" w:evenVBand="0" w:oddHBand="0" w:evenHBand="1" w:firstRowFirstColumn="0" w:firstRowLastColumn="0" w:lastRowFirstColumn="0" w:lastRowLastColumn="0"/>
          <w:trHeight w:val="1266"/>
        </w:trPr>
        <w:tc>
          <w:tcPr>
            <w:tcW w:w="714" w:type="pct"/>
            <w:vAlign w:val="top"/>
          </w:tcPr>
          <w:p w:rsidR="00D1590E" w:rsidRPr="00D1590E" w:rsidRDefault="00D1590E" w:rsidP="00D1590E">
            <w:r w:rsidRPr="00D1590E">
              <w:t>Synergies (2015b)</w:t>
            </w:r>
          </w:p>
        </w:tc>
        <w:tc>
          <w:tcPr>
            <w:tcW w:w="816" w:type="pct"/>
            <w:vAlign w:val="top"/>
          </w:tcPr>
          <w:p w:rsidR="00D1590E" w:rsidRPr="00D1590E" w:rsidRDefault="00D1590E" w:rsidP="00D1590E">
            <w:r w:rsidRPr="00D1590E">
              <w:t>Full sample or data from each jurisdiction, 2006–2013</w:t>
            </w:r>
          </w:p>
        </w:tc>
        <w:tc>
          <w:tcPr>
            <w:tcW w:w="897" w:type="pct"/>
            <w:vAlign w:val="top"/>
          </w:tcPr>
          <w:p w:rsidR="00D1590E" w:rsidRPr="00D1590E" w:rsidRDefault="00D1590E" w:rsidP="00D1590E">
            <w:r w:rsidRPr="00D1590E">
              <w:t xml:space="preserve">SFA and LSE </w:t>
            </w:r>
          </w:p>
          <w:p w:rsidR="00D1590E" w:rsidRPr="00D1590E" w:rsidRDefault="00D1590E" w:rsidP="00D1590E">
            <w:r w:rsidRPr="00D1590E">
              <w:t>Cobb–Douglas function</w:t>
            </w:r>
          </w:p>
        </w:tc>
        <w:tc>
          <w:tcPr>
            <w:tcW w:w="1588" w:type="pct"/>
            <w:vAlign w:val="top"/>
          </w:tcPr>
          <w:p w:rsidR="00D1590E" w:rsidRPr="00D1590E" w:rsidRDefault="00D1590E" w:rsidP="00D1590E">
            <w:r w:rsidRPr="00D1590E">
              <w:t>DV: real opex</w:t>
            </w:r>
          </w:p>
          <w:p w:rsidR="00D1590E" w:rsidRPr="00D1590E" w:rsidRDefault="00D1590E" w:rsidP="00D1590E">
            <w:r w:rsidRPr="00D1590E">
              <w:t>Output: customer numbers, circuit length, RMDemand</w:t>
            </w:r>
          </w:p>
          <w:p w:rsidR="00D1590E" w:rsidRPr="00D1590E" w:rsidRDefault="00D1590E" w:rsidP="00D1590E">
            <w:r w:rsidRPr="00D1590E">
              <w:t>OEF: undergrounding</w:t>
            </w:r>
          </w:p>
          <w:p w:rsidR="00D1590E" w:rsidRPr="00D1590E" w:rsidRDefault="00D1590E" w:rsidP="00D1590E">
            <w:r w:rsidRPr="00D1590E">
              <w:t>Other: Year</w:t>
            </w:r>
          </w:p>
        </w:tc>
        <w:tc>
          <w:tcPr>
            <w:tcW w:w="985" w:type="pct"/>
          </w:tcPr>
          <w:p w:rsidR="00D1590E" w:rsidRPr="00D1590E" w:rsidRDefault="00D1590E" w:rsidP="00D1590E">
            <w:r w:rsidRPr="00D1590E">
              <w:t>1 Use of Australian only data</w:t>
            </w:r>
          </w:p>
          <w:p w:rsidR="00D1590E" w:rsidRPr="00D1590E" w:rsidRDefault="00D1590E" w:rsidP="00D1590E"/>
        </w:tc>
      </w:tr>
    </w:tbl>
    <w:p w:rsidR="00D1590E" w:rsidRPr="00D1590E" w:rsidRDefault="00D1590E" w:rsidP="00D1590E">
      <w:pPr>
        <w:pStyle w:val="AERtablesource"/>
      </w:pPr>
    </w:p>
    <w:p w:rsidR="00D1590E" w:rsidRPr="00D1590E" w:rsidRDefault="00D1590E" w:rsidP="00D1590E">
      <w:pPr>
        <w:pStyle w:val="AERtablesource"/>
      </w:pPr>
      <w:r w:rsidRPr="00D1590E">
        <w:t xml:space="preserve">Source: </w:t>
      </w:r>
      <w:r w:rsidRPr="00D1590E">
        <w:tab/>
        <w:t xml:space="preserve">CEPA (2015a), Benchmarking and Setting Efficiency Targets for the Australian </w:t>
      </w:r>
      <w:r w:rsidR="00C867C5" w:rsidRPr="00C867C5">
        <w:t>distributors</w:t>
      </w:r>
      <w:r w:rsidRPr="00D1590E">
        <w:t xml:space="preserve">:  An Expert Report for ActewAGL Distribution, 19 January. </w:t>
      </w:r>
    </w:p>
    <w:p w:rsidR="00D1590E" w:rsidRPr="00D1590E" w:rsidRDefault="00D1590E" w:rsidP="00D1590E">
      <w:pPr>
        <w:pStyle w:val="AERtablesource"/>
      </w:pPr>
      <w:r w:rsidRPr="00D1590E">
        <w:tab/>
        <w:t xml:space="preserve">CEPA (2015b), Ausgrid – Attachment 1.07 – David Newbery Expert Report, January. </w:t>
      </w:r>
    </w:p>
    <w:p w:rsidR="00D1590E" w:rsidRPr="00D1590E" w:rsidRDefault="00D1590E" w:rsidP="00D1590E">
      <w:pPr>
        <w:pStyle w:val="AERtablesource"/>
      </w:pPr>
      <w:r w:rsidRPr="00D1590E">
        <w:tab/>
        <w:t xml:space="preserve">Frontier Economics (2015a), Review of the AER’s Econometric Benchmarking Models and Their Application in the Draft Determinations for Networks NSW:  A Report prepared for Networks NSW, January. </w:t>
      </w:r>
    </w:p>
    <w:p w:rsidR="00D1590E" w:rsidRPr="00D1590E" w:rsidRDefault="00D1590E" w:rsidP="00D1590E">
      <w:pPr>
        <w:pStyle w:val="AERtablesource"/>
      </w:pPr>
      <w:r w:rsidRPr="00D1590E">
        <w:tab/>
        <w:t xml:space="preserve">Frontier Economics (2015b), Taking Account of Heterogeneity Between Networks When Conducting Economic Benchmarking Analysis: A Report prepared for Ergon Energy, February. </w:t>
      </w:r>
    </w:p>
    <w:p w:rsidR="00D1590E" w:rsidRPr="00D1590E" w:rsidRDefault="00D1590E" w:rsidP="00D1590E">
      <w:pPr>
        <w:pStyle w:val="AERtablesource"/>
      </w:pPr>
      <w:r w:rsidRPr="00D1590E">
        <w:tab/>
        <w:t xml:space="preserve">Huegin (2015a), Huegin’s Response to Draft Determination on behalf of NNSW and ActewAGL, Technical Response to the Application of Benchmarking by the AER, 16 January. </w:t>
      </w:r>
    </w:p>
    <w:p w:rsidR="00D1590E" w:rsidRPr="00D1590E" w:rsidRDefault="00D1590E" w:rsidP="00D1590E">
      <w:pPr>
        <w:pStyle w:val="AERtablesource"/>
      </w:pPr>
      <w:r w:rsidRPr="00D1590E">
        <w:tab/>
        <w:t xml:space="preserve">Huegin (2015b), Heterogeneity in Electricity Distribution Networks: Testing for the Presence of Latent Classes, 12 February. </w:t>
      </w:r>
    </w:p>
    <w:p w:rsidR="00D1590E" w:rsidRPr="00D1590E" w:rsidRDefault="00D1590E" w:rsidP="00D1590E">
      <w:pPr>
        <w:pStyle w:val="AERtablesource"/>
      </w:pPr>
      <w:r w:rsidRPr="00D1590E">
        <w:tab/>
        <w:t>Huegin (2015c), Benchmarking Ergon Energy's Opeating Expenditure: A Study of the Relevance of the NSW Draft Decision Outcome on Ergon Energy's Benchmarking Results, 10 February.</w:t>
      </w:r>
    </w:p>
    <w:p w:rsidR="00D1590E" w:rsidRPr="00D1590E" w:rsidRDefault="00D1590E" w:rsidP="00D1590E">
      <w:pPr>
        <w:pStyle w:val="AERtablesource"/>
      </w:pPr>
      <w:r w:rsidRPr="00D1590E">
        <w:tab/>
        <w:t xml:space="preserve">McKell Institute (2014), Nothing to Gain, Plenty to Lose: Why the Government, Households and Businesses Could End Up Paying A High Price for Electricity Privatisation, December. </w:t>
      </w:r>
    </w:p>
    <w:p w:rsidR="00D1590E" w:rsidRPr="00D1590E" w:rsidRDefault="00D1590E" w:rsidP="00D1590E">
      <w:pPr>
        <w:pStyle w:val="AERtablesource"/>
      </w:pPr>
      <w:r w:rsidRPr="00D1590E">
        <w:tab/>
        <w:t>Pacific Economics Group Research (2014), Database for Distribution Network Services in the US and Australia, Final Report, 21 August.</w:t>
      </w:r>
    </w:p>
    <w:p w:rsidR="00D1590E" w:rsidRPr="00D1590E" w:rsidRDefault="00D1590E" w:rsidP="00D1590E">
      <w:pPr>
        <w:pStyle w:val="AERtablesource"/>
      </w:pPr>
      <w:r w:rsidRPr="00D1590E">
        <w:tab/>
        <w:t>Synergies Economic Consulting (2015), Concerns over the AER’s Use of Benchmarking as It Might Apply in Its Forthcoming Draft Decision on Ergon, January.</w:t>
      </w:r>
    </w:p>
    <w:p w:rsidR="00D1590E" w:rsidRPr="00D1590E" w:rsidRDefault="00D1590E" w:rsidP="00D1590E">
      <w:pPr>
        <w:pStyle w:val="HeadingBoldBlue"/>
      </w:pPr>
      <w:bookmarkStart w:id="254" w:name="_Toc417646286"/>
      <w:r w:rsidRPr="00D1590E">
        <w:t>Partial performance indicators</w:t>
      </w:r>
      <w:bookmarkEnd w:id="225"/>
      <w:bookmarkEnd w:id="254"/>
    </w:p>
    <w:p w:rsidR="00D1590E" w:rsidRPr="00D1590E" w:rsidRDefault="00D1590E" w:rsidP="00D1590E">
      <w:r w:rsidRPr="00D1590E">
        <w:t xml:space="preserve">In this sub-section we reiterate why PPIs are an appropriate means of testing the benchmarking results. In doing so we </w:t>
      </w:r>
      <w:r w:rsidRPr="00D1590E">
        <w:rPr>
          <w:rStyle w:val="AERbody"/>
        </w:rPr>
        <w:t>respond to Essential Energy's submissions</w:t>
      </w:r>
      <w:r w:rsidRPr="00D1590E">
        <w:t xml:space="preserve"> on our PPI analysis.</w:t>
      </w:r>
    </w:p>
    <w:p w:rsidR="00D1590E" w:rsidRPr="00D1590E" w:rsidRDefault="00D1590E" w:rsidP="00D1590E">
      <w:r w:rsidRPr="00D1590E">
        <w:lastRenderedPageBreak/>
        <w:t>Our view in the draft decision was, and it remains our view in this final decision, that the PPI results complement the economic benchmarking results.</w:t>
      </w:r>
      <w:r w:rsidRPr="00D1590E">
        <w:rPr>
          <w:rStyle w:val="FootnoteReference"/>
        </w:rPr>
        <w:footnoteReference w:id="455"/>
      </w:r>
      <w:r w:rsidRPr="00D1590E">
        <w:t xml:space="preserve"> </w:t>
      </w:r>
    </w:p>
    <w:p w:rsidR="00D1590E" w:rsidRPr="00D1590E" w:rsidRDefault="00D1590E" w:rsidP="00D1590E">
      <w:r w:rsidRPr="00D1590E">
        <w:t>In the draft decision, we compared the average performance the NSW service providers to their peers (and quantified the gap between Powercor—one of the economic benchmarking frontier performers) on two measures:</w:t>
      </w:r>
      <w:r w:rsidRPr="00D1590E">
        <w:rPr>
          <w:rStyle w:val="FootnoteReference"/>
        </w:rPr>
        <w:footnoteReference w:id="456"/>
      </w:r>
    </w:p>
    <w:p w:rsidR="00D1590E" w:rsidRPr="00D1590E" w:rsidRDefault="00D1590E" w:rsidP="00D1590E">
      <w:pPr>
        <w:pStyle w:val="AERbulletlistfirststyle"/>
      </w:pPr>
      <w:r w:rsidRPr="00D1590E">
        <w:t>average annual user cost per customer for 2009–13 (Figure A.7)</w:t>
      </w:r>
    </w:p>
    <w:p w:rsidR="00D1590E" w:rsidRPr="00D1590E" w:rsidRDefault="00D1590E" w:rsidP="00D1590E">
      <w:pPr>
        <w:pStyle w:val="AERbulletlistfirststyle"/>
      </w:pPr>
      <w:r w:rsidRPr="00D1590E">
        <w:t>opex per customer for 2009–13 (Figure A.8).</w:t>
      </w:r>
    </w:p>
    <w:p w:rsidR="00D1590E" w:rsidRPr="00D1590E" w:rsidRDefault="00D1590E" w:rsidP="00D1590E">
      <w:r w:rsidRPr="00D1590E">
        <w:t>These PPIs produced consistent results to the economic benchmarking, indicating that all three of the NSW distributors had higher costs than their peers. The gap in performance for Ausgrid and Essential Energy was more significant than for Endeavour Energy.</w:t>
      </w:r>
    </w:p>
    <w:p w:rsidR="00D1590E" w:rsidRPr="00D1590E" w:rsidRDefault="00D1590E" w:rsidP="00D1590E">
      <w:r w:rsidRPr="00D1590E">
        <w:t>In its revised proposal, Essential Energy</w:t>
      </w:r>
      <w:r w:rsidRPr="00D1590E">
        <w:rPr>
          <w:rStyle w:val="FootnoteReference"/>
        </w:rPr>
        <w:footnoteReference w:id="457"/>
      </w:r>
      <w:r w:rsidRPr="00D1590E">
        <w:t xml:space="preserve"> submitted that 'per customer' PPI metrics are biased against rural service providers. Because of this, Essential Energy considers our PPIs illustrate the differences between the operating factors impacting each service provider rather than relative efficiency.</w:t>
      </w:r>
      <w:r w:rsidRPr="00D1590E">
        <w:rPr>
          <w:rStyle w:val="FootnoteReference"/>
        </w:rPr>
        <w:footnoteReference w:id="458"/>
      </w:r>
      <w:r w:rsidRPr="00D1590E">
        <w:t xml:space="preserve"> Essential Energy also submits that normalisation of PPIs by customer density can be misleading due to its view that opex at very low customer densities is highly sensitive.</w:t>
      </w:r>
      <w:r w:rsidRPr="00D1590E">
        <w:rPr>
          <w:rStyle w:val="FootnoteReference"/>
        </w:rPr>
        <w:footnoteReference w:id="459"/>
      </w:r>
    </w:p>
    <w:p w:rsidR="00D1590E" w:rsidRPr="00D1590E" w:rsidRDefault="00D1590E" w:rsidP="00D1590E">
      <w:pPr>
        <w:pStyle w:val="HeadingBoldItalic"/>
      </w:pPr>
      <w:r w:rsidRPr="00D1590E">
        <w:t>Per customer metrics</w:t>
      </w:r>
    </w:p>
    <w:p w:rsidR="00D1590E" w:rsidRPr="00D1590E" w:rsidRDefault="00D1590E" w:rsidP="00D1590E">
      <w:r w:rsidRPr="00D1590E">
        <w:t>In our draft decision, we acknowledged that 'per customer' metrics will appear to disadvantage less dense (that is, rural) service providers because they have more assets per customer so they appear to have high higher costs than urban service providers. We also recognised that PPIs do not account for operating environment differences. As a result, we explained that we must bear these limitations of PPIs in mind when interpreting their results.</w:t>
      </w:r>
      <w:r w:rsidRPr="00D1590E">
        <w:rPr>
          <w:rStyle w:val="FootnoteReference"/>
        </w:rPr>
        <w:footnoteReference w:id="460"/>
      </w:r>
    </w:p>
    <w:p w:rsidR="00D1590E" w:rsidRPr="00D1590E" w:rsidRDefault="00D1590E" w:rsidP="00D1590E">
      <w:r w:rsidRPr="00D1590E">
        <w:t>Indeed, we explained that Essential Energy's performance on the per customer PPIs was likely partly due to its size:</w:t>
      </w:r>
      <w:r w:rsidRPr="00D1590E">
        <w:rPr>
          <w:rStyle w:val="FootnoteReference"/>
        </w:rPr>
        <w:footnoteReference w:id="461"/>
      </w:r>
    </w:p>
    <w:p w:rsidR="00D1590E" w:rsidRPr="00D1590E" w:rsidRDefault="00D1590E" w:rsidP="00D1590E">
      <w:pPr>
        <w:pStyle w:val="AERquoteindent1"/>
      </w:pPr>
      <w:r w:rsidRPr="00D1590E">
        <w:t xml:space="preserve">Because Essential Energy has a lower customer density than Powercor, in theory, Essential Energy should be at a cost disadvantage on this 'per customer' PPI. This is because it has more assets per customer and, therefore, more costs. The economic benchmarking results appear to support this notion </w:t>
      </w:r>
      <w:r w:rsidRPr="00D1590E">
        <w:lastRenderedPageBreak/>
        <w:t xml:space="preserve">because Essential Energy appears to perform worse in Figure A.7 relative to Powercor than it does on the economic benchmarking results in Figure A.6. </w:t>
      </w:r>
    </w:p>
    <w:p w:rsidR="00D1590E" w:rsidRPr="00D1590E" w:rsidRDefault="00D1590E" w:rsidP="00D1590E">
      <w:r w:rsidRPr="00D1590E">
        <w:t>The reason we prefer 'per customer' metrics for PPIs is because this is consistent with the weight Economic Insights assigns to customer numbers in its output specification. Economic Insights assigns the highest weight to customer numbers because the correlation between customers and opex is stronger than that of other outputs. This view is accepted by other benchmarking experts such as PEG.</w:t>
      </w:r>
    </w:p>
    <w:p w:rsidR="00D1590E" w:rsidRPr="00D1590E" w:rsidRDefault="00D1590E" w:rsidP="00D1590E">
      <w:r w:rsidRPr="00D1590E">
        <w:t>We also explained in the draft decision that, despite the inability of PPIs to account for operating environment differences, this could not wholly explain the gap in performance between Essential Energy and its peers, particularly Powercor. This is because the economic benchmarking models explicitly account for Essential Energy's customer density:</w:t>
      </w:r>
      <w:r w:rsidRPr="00D1590E">
        <w:rPr>
          <w:rStyle w:val="FootnoteReference"/>
        </w:rPr>
        <w:footnoteReference w:id="462"/>
      </w:r>
    </w:p>
    <w:p w:rsidR="00D1590E" w:rsidRPr="00D1590E" w:rsidRDefault="00D1590E" w:rsidP="00D1590E">
      <w:pPr>
        <w:pStyle w:val="AERquoteindent1"/>
      </w:pPr>
      <w:r w:rsidRPr="00D1590E">
        <w:t xml:space="preserve">However, the economic benchmarking results nevertheless indicate that Essential Energy's costs are higher than Powercor's. The economic benchmarking techniques explicitly account for customer density. Therefore, differences in customer density can only account for part of the cost difference between Essential Energy and Powercor. </w:t>
      </w:r>
    </w:p>
    <w:p w:rsidR="00D1590E" w:rsidRPr="00D1590E" w:rsidRDefault="00D1590E" w:rsidP="00D1590E">
      <w:r w:rsidRPr="00D1590E">
        <w:t>Therefore, we recognised the limitations of PPIs and acknowledged our metrics may partially distort Essential Energy's performance in an adverse way. We disagree that this approach is biased against rural service providers.</w:t>
      </w:r>
    </w:p>
    <w:p w:rsidR="00D1590E" w:rsidRPr="00D1590E" w:rsidRDefault="00D1590E" w:rsidP="00D1590E">
      <w:r w:rsidRPr="00D1590E">
        <w:t xml:space="preserve">Further, as we explain above, EMCa has considered the impact of low customer density on opex performance and found it is feasible to compare sparse rural </w:t>
      </w:r>
      <w:r w:rsidR="00C867C5">
        <w:t>distributors</w:t>
      </w:r>
      <w:r w:rsidRPr="00D1590E">
        <w:t xml:space="preserve">’ costs with other rural </w:t>
      </w:r>
      <w:r w:rsidR="00C867C5">
        <w:t>distributors</w:t>
      </w:r>
      <w:r w:rsidRPr="00D1590E">
        <w:t>’ costs.</w:t>
      </w:r>
      <w:r w:rsidRPr="00D1590E">
        <w:rPr>
          <w:rStyle w:val="FootnoteReference"/>
        </w:rPr>
        <w:footnoteReference w:id="463"/>
      </w:r>
    </w:p>
    <w:p w:rsidR="00D1590E" w:rsidRPr="00D1590E" w:rsidRDefault="00D1590E" w:rsidP="00D1590E">
      <w:pPr>
        <w:pStyle w:val="HeadingBoldItalic"/>
      </w:pPr>
      <w:r w:rsidRPr="00D1590E">
        <w:t>Normalising by customer density</w:t>
      </w:r>
    </w:p>
    <w:p w:rsidR="00D1590E" w:rsidRPr="00D1590E" w:rsidRDefault="00D1590E" w:rsidP="00D1590E">
      <w:r w:rsidRPr="00D1590E">
        <w:t>In our draft decision, we explained that we normalise PPIs by customer density because of the limitations of 'per customer' metrics that we mention above. Presenting metrics against customer density provides a visualisation of the service providers' relative densities and makes it easier to distinguish between urban providers, rural providers and those in between. This means that it is obvious which distributors are comparable and which are not so it is easier to make meaningful comparisons. Accordingly, we disagree with Essential Energy's view that this approach is misleading.</w:t>
      </w:r>
    </w:p>
    <w:p w:rsidR="00D1590E" w:rsidRPr="00D1590E" w:rsidRDefault="00D1590E" w:rsidP="00D1590E">
      <w:bookmarkStart w:id="255" w:name="_Ref414467125"/>
      <w:bookmarkStart w:id="256" w:name="_Toc415230986"/>
      <w:bookmarkStart w:id="257" w:name="_Ref401328498"/>
      <w:bookmarkStart w:id="258" w:name="_Ref400697389"/>
      <w:bookmarkStart w:id="259" w:name="_Ref398114434"/>
      <w:bookmarkStart w:id="260" w:name="_Ref401736478"/>
      <w:bookmarkStart w:id="261" w:name="_Ref397015892"/>
      <w:r w:rsidRPr="00D1590E">
        <w:br w:type="page"/>
      </w:r>
    </w:p>
    <w:p w:rsidR="00D1590E" w:rsidRPr="00D1590E" w:rsidRDefault="00D1590E" w:rsidP="00D1590E">
      <w:pPr>
        <w:pStyle w:val="Heading8"/>
      </w:pPr>
      <w:bookmarkStart w:id="262" w:name="_Ref415580439"/>
      <w:bookmarkStart w:id="263" w:name="_Ref417310513"/>
      <w:bookmarkStart w:id="264" w:name="_Toc417649230"/>
      <w:bookmarkStart w:id="265" w:name="_Toc417659862"/>
      <w:bookmarkStart w:id="266" w:name="_Ref399833221"/>
      <w:bookmarkStart w:id="267" w:name="_Ref400555003"/>
      <w:bookmarkStart w:id="268" w:name="_Toc404697041"/>
      <w:bookmarkStart w:id="269" w:name="_Toc410292996"/>
      <w:bookmarkStart w:id="270" w:name="_Toc415230987"/>
      <w:bookmarkEnd w:id="255"/>
      <w:bookmarkEnd w:id="256"/>
      <w:bookmarkEnd w:id="257"/>
      <w:bookmarkEnd w:id="258"/>
      <w:bookmarkEnd w:id="259"/>
      <w:bookmarkEnd w:id="260"/>
      <w:bookmarkEnd w:id="261"/>
      <w:r w:rsidRPr="00D1590E">
        <w:lastRenderedPageBreak/>
        <w:t>Category analysis and qualitative review</w:t>
      </w:r>
      <w:bookmarkEnd w:id="262"/>
      <w:bookmarkEnd w:id="263"/>
      <w:bookmarkEnd w:id="264"/>
      <w:bookmarkEnd w:id="265"/>
    </w:p>
    <w:p w:rsidR="00D1590E" w:rsidRPr="00D1590E" w:rsidRDefault="00D1590E" w:rsidP="00D1590E">
      <w:pPr>
        <w:numPr>
          <w:ilvl w:val="0"/>
          <w:numId w:val="24"/>
        </w:numPr>
      </w:pPr>
      <w:r w:rsidRPr="00D1590E">
        <w:t>The aim of this section is to investigate the gap in performance that we identified in our economic benchmarking analysis between the NSW service providers and the frontier service providers. This is a two stage process where we first examine the NSW service providers' proposals and use category analysis to identify potential drivers of the gap in performance, and then conduct targeted detailed reviews based on our first stage findings. We have:</w:t>
      </w:r>
    </w:p>
    <w:p w:rsidR="00D1590E" w:rsidRPr="00D1590E" w:rsidRDefault="00D1590E" w:rsidP="00D1590E">
      <w:pPr>
        <w:pStyle w:val="AERbulletlistfirststyle"/>
      </w:pPr>
      <w:r w:rsidRPr="00D1590E">
        <w:t>examined the NSW service providers' explanations of opex drivers in their regulatory proposals and supporting material (stage 1)</w:t>
      </w:r>
    </w:p>
    <w:p w:rsidR="00D1590E" w:rsidRPr="00D1590E" w:rsidRDefault="00D1590E" w:rsidP="00D1590E">
      <w:pPr>
        <w:pStyle w:val="AERbulletlistfirststyle"/>
      </w:pPr>
      <w:r w:rsidRPr="00D1590E">
        <w:t>conducted category analysis benchmarking for major categories of opex (stage 1)</w:t>
      </w:r>
    </w:p>
    <w:p w:rsidR="00D1590E" w:rsidRPr="00D1590E" w:rsidRDefault="00D1590E" w:rsidP="00D1590E">
      <w:pPr>
        <w:pStyle w:val="AERbulletlistfirststyle"/>
      </w:pPr>
      <w:r w:rsidRPr="00D1590E">
        <w:t>engaged Deloitte Access Economics (Deloitte) to undertake an independent detailed review of the each of the NSW service providers' labour costs (stage 2)</w:t>
      </w:r>
    </w:p>
    <w:p w:rsidR="00D1590E" w:rsidRPr="00D1590E" w:rsidRDefault="00D1590E" w:rsidP="00D1590E">
      <w:pPr>
        <w:pStyle w:val="AERbulletlistfirststyle"/>
      </w:pPr>
      <w:r w:rsidRPr="00D1590E">
        <w:t>undertaken a detailed review of Essential Energy's vegetation management costs (stage 2).</w:t>
      </w:r>
      <w:r w:rsidRPr="00D1590E">
        <w:rPr>
          <w:rStyle w:val="FootnoteReference"/>
        </w:rPr>
        <w:footnoteReference w:id="464"/>
      </w:r>
    </w:p>
    <w:p w:rsidR="00D1590E" w:rsidRPr="00D1590E" w:rsidRDefault="00D1590E" w:rsidP="00D1590E">
      <w:pPr>
        <w:numPr>
          <w:ilvl w:val="0"/>
          <w:numId w:val="24"/>
        </w:numPr>
      </w:pPr>
      <w:r w:rsidRPr="00D1590E">
        <w:t>This analysis can corroborate our economic benchmarking analysis, which looks at the efficiency of opex overall. It can do so by identifying factors that are contributing to the NSW service providers' overall efficiency performance.</w:t>
      </w:r>
    </w:p>
    <w:p w:rsidR="00D1590E" w:rsidRPr="00D1590E" w:rsidRDefault="00D1590E" w:rsidP="00D1590E">
      <w:pPr>
        <w:pStyle w:val="ListParagraph"/>
        <w:numPr>
          <w:ilvl w:val="0"/>
          <w:numId w:val="24"/>
        </w:numPr>
      </w:pPr>
      <w:r w:rsidRPr="00D1590E">
        <w:t>Importantly, the NER require us to form a view on total forecast opex.</w:t>
      </w:r>
      <w:r w:rsidRPr="00D1590E">
        <w:rPr>
          <w:rStyle w:val="FootnoteReference"/>
        </w:rPr>
        <w:footnoteReference w:id="465"/>
      </w:r>
      <w:r w:rsidRPr="00D1590E">
        <w:t xml:space="preserve"> In doing so, we are not required to assess individual projects or components of a forecast. It is, therefore, appropriate for us to rely on top down techniques such as economic benchmarking to assess whether a service provider's opex proposal reasonably reflects the opex criteria. However, while we could have relied solely on our economic benchmarking techniques to form a view about the efficiency of opex, we have supplemented that analysis with category analysis and detailed review. This is consistent with the Guideline, which explains that we will apply a number of different techniques to form a view about the efficiency of base opex.</w:t>
      </w:r>
      <w:r w:rsidRPr="00D1590E">
        <w:rPr>
          <w:rStyle w:val="FootnoteReference"/>
        </w:rPr>
        <w:footnoteReference w:id="466"/>
      </w:r>
      <w:r w:rsidRPr="00D1590E">
        <w:t xml:space="preserve"> </w:t>
      </w:r>
    </w:p>
    <w:p w:rsidR="00D1590E" w:rsidRPr="00D1590E" w:rsidRDefault="00D1590E" w:rsidP="00D1590E">
      <w:pPr>
        <w:pStyle w:val="ListParagraph"/>
        <w:numPr>
          <w:ilvl w:val="0"/>
          <w:numId w:val="24"/>
        </w:numPr>
      </w:pPr>
      <w:r w:rsidRPr="00D1590E">
        <w:t>Category analysis and detailed review can assist in identifying whether base opex contains inefficiencies when they examine large portions of opex.</w:t>
      </w:r>
    </w:p>
    <w:p w:rsidR="00D1590E" w:rsidRPr="00D1590E" w:rsidRDefault="00D1590E" w:rsidP="00D1590E">
      <w:pPr>
        <w:numPr>
          <w:ilvl w:val="0"/>
          <w:numId w:val="24"/>
        </w:numPr>
      </w:pPr>
      <w:r w:rsidRPr="00D1590E">
        <w:t xml:space="preserve">Therefore, we have used category analysis metrics to identify significant categories of expenditure that are high relative to other service providers. We have then investigated some of those categories of expenditure further with the aid of experts to form a view about whether those categories could be contributing to overall inefficiency. While we have not reviewed every category of expenditure, by reviewing labour costs (which </w:t>
      </w:r>
      <w:r w:rsidRPr="00D1590E">
        <w:lastRenderedPageBreak/>
        <w:t>comprise approximately 70 per cent of the NSW service providers' opex over the 2009–14 period</w:t>
      </w:r>
      <w:r w:rsidRPr="00D1590E">
        <w:rPr>
          <w:rStyle w:val="FootnoteReference"/>
        </w:rPr>
        <w:footnoteReference w:id="467"/>
      </w:r>
      <w:r w:rsidRPr="00D1590E">
        <w:t>) we are examining a significant proportion of opex.</w:t>
      </w:r>
    </w:p>
    <w:p w:rsidR="00D1590E" w:rsidRPr="00D1590E" w:rsidRDefault="00D1590E" w:rsidP="00D1590E">
      <w:pPr>
        <w:numPr>
          <w:ilvl w:val="0"/>
          <w:numId w:val="24"/>
        </w:numPr>
      </w:pPr>
      <w:r w:rsidRPr="00D1590E">
        <w:t>We are not using category analysis and detailed review to either examine all of opex or produce highly disaggregated findings. The NER do not require us to conduct and, indeed, the regulatory regime discourages us from conducting, a complete 'line by line' bottom up review of a service provider’s operations. To this end, submissions that contend our category analysis metrics are flawed because they do not reconcile with the economic benchmark results misunderstand these techniques.</w:t>
      </w:r>
      <w:r w:rsidRPr="00D1590E">
        <w:rPr>
          <w:rStyle w:val="FootnoteReference"/>
        </w:rPr>
        <w:footnoteReference w:id="468"/>
      </w:r>
      <w:r w:rsidRPr="00D1590E">
        <w:t xml:space="preserve"> Category analysis and detailed review are not designed to reconcile with our overall benchmarks, they are designed to identify and explain the drivers of efficiency performance.</w:t>
      </w:r>
    </w:p>
    <w:p w:rsidR="00D1590E" w:rsidRPr="00D1590E" w:rsidRDefault="00D1590E" w:rsidP="00D1590E">
      <w:pPr>
        <w:numPr>
          <w:ilvl w:val="0"/>
          <w:numId w:val="24"/>
        </w:numPr>
      </w:pPr>
      <w:r w:rsidRPr="00D1590E">
        <w:t xml:space="preserve">As </w:t>
      </w:r>
      <w:r w:rsidRPr="00D1590E">
        <w:rPr>
          <w:rStyle w:val="AERbody"/>
        </w:rPr>
        <w:t xml:space="preserve">set out in section </w:t>
      </w:r>
      <w:r w:rsidRPr="00D1590E">
        <w:rPr>
          <w:rStyle w:val="AERbody"/>
        </w:rPr>
        <w:fldChar w:fldCharType="begin"/>
      </w:r>
      <w:r w:rsidRPr="00D1590E">
        <w:rPr>
          <w:rStyle w:val="AERbody"/>
        </w:rPr>
        <w:instrText xml:space="preserve"> REF _Ref417384454 \n \h </w:instrText>
      </w:r>
      <w:r w:rsidRPr="00D1590E">
        <w:rPr>
          <w:rStyle w:val="AERbody"/>
        </w:rPr>
      </w:r>
      <w:r w:rsidRPr="00D1590E">
        <w:rPr>
          <w:rStyle w:val="AERbody"/>
        </w:rPr>
        <w:fldChar w:fldCharType="separate"/>
      </w:r>
      <w:r w:rsidR="00C57342">
        <w:rPr>
          <w:rStyle w:val="AERbody"/>
        </w:rPr>
        <w:t>A.2</w:t>
      </w:r>
      <w:r w:rsidRPr="00D1590E">
        <w:rPr>
          <w:rStyle w:val="AERbody"/>
        </w:rPr>
        <w:fldChar w:fldCharType="end"/>
      </w:r>
      <w:r w:rsidRPr="00D1590E">
        <w:rPr>
          <w:rStyle w:val="AERbody"/>
        </w:rPr>
        <w:t>, in the context of information</w:t>
      </w:r>
      <w:r w:rsidRPr="00D1590E">
        <w:t xml:space="preserve"> asymmetry between the regulator and the service provider, it is neither feasible nor desirable for the regulator to make findings at a granular level about the manner in which a service provider should operate. It is for the service provider's management to decide how best to operate its network with the opex that we determine reasonably reflects the opex criteria. We have primarily formed a view about efficiency drawing on the results of overall outcomes (economic benchmarking), which is corroborated by the detailed review.</w:t>
      </w:r>
    </w:p>
    <w:p w:rsidR="00D1590E" w:rsidRPr="00D1590E" w:rsidRDefault="00D1590E" w:rsidP="00D1590E">
      <w:pPr>
        <w:pStyle w:val="Heading9"/>
      </w:pPr>
      <w:bookmarkStart w:id="271" w:name="_Toc417646288"/>
      <w:bookmarkStart w:id="272" w:name="_Toc417649231"/>
      <w:bookmarkStart w:id="273" w:name="_Toc417659863"/>
      <w:r w:rsidRPr="00D1590E">
        <w:t>Position</w:t>
      </w:r>
      <w:bookmarkEnd w:id="271"/>
      <w:bookmarkEnd w:id="272"/>
      <w:bookmarkEnd w:id="273"/>
    </w:p>
    <w:p w:rsidR="00D1590E" w:rsidRPr="00D1590E" w:rsidRDefault="00D1590E" w:rsidP="00D1590E">
      <w:r w:rsidRPr="00D1590E">
        <w:t>As part of our draft decision review of the NSW service providers' regulatory proposals, we found all three service providers stated in their proposals that they were facing stranded labour problems due to reductions in capex, resulting in a need to incur voluntary redundancy costs.</w:t>
      </w:r>
      <w:r w:rsidRPr="00D1590E">
        <w:rPr>
          <w:rStyle w:val="FootnoteReference"/>
        </w:rPr>
        <w:footnoteReference w:id="469"/>
      </w:r>
      <w:r w:rsidRPr="00D1590E">
        <w:t xml:space="preserve"> This suggested labour costs could be one of the drivers of the NSW service providers' benchmarking performance.</w:t>
      </w:r>
    </w:p>
    <w:p w:rsidR="00D1590E" w:rsidRPr="00D1590E" w:rsidRDefault="00D1590E" w:rsidP="00D1590E">
      <w:pPr>
        <w:pStyle w:val="ListParagraph"/>
        <w:numPr>
          <w:ilvl w:val="0"/>
          <w:numId w:val="24"/>
        </w:numPr>
      </w:pPr>
      <w:r w:rsidRPr="00D1590E">
        <w:t>We also found that Essential Energy submitted a step down in vegetation management expenditure in the forecast period, this, and other evidence from its proposal, suggested vegetation management practices may also be a driver of Essential Energy's benchmarking performance.</w:t>
      </w:r>
      <w:r w:rsidRPr="00D1590E">
        <w:rPr>
          <w:rStyle w:val="FootnoteReference"/>
        </w:rPr>
        <w:t xml:space="preserve"> </w:t>
      </w:r>
      <w:r w:rsidRPr="00D1590E">
        <w:rPr>
          <w:rStyle w:val="FootnoteReference"/>
        </w:rPr>
        <w:footnoteReference w:id="470"/>
      </w:r>
    </w:p>
    <w:p w:rsidR="00D1590E" w:rsidRPr="00D1590E" w:rsidRDefault="00D1590E" w:rsidP="00D1590E">
      <w:r w:rsidRPr="00D1590E">
        <w:t>Further, when we compared components of the NSW service providers' opex to its peers using category analysis we found that they had 'very high' costs on labour and overheads metrics compared to most of their peers. We also found that Essential Energy had 'very high' costs on the vegetation management metrics, and that its total vegetation management expenditure had increased significantly over the 2009–13 period.</w:t>
      </w:r>
    </w:p>
    <w:p w:rsidR="00D1590E" w:rsidRPr="00D1590E" w:rsidRDefault="00D1590E" w:rsidP="00D1590E">
      <w:r w:rsidRPr="00D1590E">
        <w:lastRenderedPageBreak/>
        <w:t>Accordingly, (and because these categories account for a significant proportion of the NSW service providers' opex) we engaged Deloitte to conduct an independent detailed review of each of the NSW service providers' labour practices. We also conducted a review of Essential Energy's vegetation management opex. Through the detailed reviews, we found significant issues in these categories of the NSW service providers' opex, which we considered was evidence of base year inefficiency, supporting our benchmarking results.</w:t>
      </w:r>
    </w:p>
    <w:p w:rsidR="00D1590E" w:rsidRPr="00D1590E" w:rsidRDefault="00D1590E" w:rsidP="00D1590E">
      <w:r w:rsidRPr="00D1590E">
        <w:t>In their revised proposals, the NSW service providers disagreed with our draft decision findings, particularly those arising from detailed review. While we have carefully considered the NSW service providers' submissions, our final decision is:</w:t>
      </w:r>
    </w:p>
    <w:p w:rsidR="00D1590E" w:rsidRPr="00D1590E" w:rsidRDefault="00D1590E" w:rsidP="00D1590E">
      <w:pPr>
        <w:pStyle w:val="AERbulletlistfirststyle"/>
      </w:pPr>
      <w:r w:rsidRPr="00D1590E">
        <w:t>category analysis is an appropriate technique for diagnosing areas for further qualitative review; and</w:t>
      </w:r>
    </w:p>
    <w:p w:rsidR="00D1590E" w:rsidRPr="00D1590E" w:rsidRDefault="00D1590E" w:rsidP="00D1590E">
      <w:pPr>
        <w:pStyle w:val="AERbulletlistfirststyle"/>
      </w:pPr>
      <w:r w:rsidRPr="00D1590E">
        <w:t>our further qualitative reviews demonstrate that:</w:t>
      </w:r>
    </w:p>
    <w:p w:rsidR="00D1590E" w:rsidRPr="00D1590E" w:rsidRDefault="00D1590E" w:rsidP="00D1590E">
      <w:pPr>
        <w:pStyle w:val="AERbulletlistsecondstyle"/>
      </w:pPr>
      <w:r w:rsidRPr="00D1590E">
        <w:t>the NSW service providers' labour practices are likely key drivers of their benchmarking performance relative to their peers</w:t>
      </w:r>
    </w:p>
    <w:p w:rsidR="00D1590E" w:rsidRPr="00D1590E" w:rsidRDefault="00D1590E" w:rsidP="00D1590E">
      <w:pPr>
        <w:pStyle w:val="AERbulletlistsecondstyle"/>
      </w:pPr>
      <w:r w:rsidRPr="00D1590E">
        <w:t>Essential Energy's vegetation management opex is also likely a key driver of Essential Energy's benchmarking performance.</w:t>
      </w:r>
    </w:p>
    <w:p w:rsidR="00D1590E" w:rsidRPr="00D1590E" w:rsidRDefault="00D1590E" w:rsidP="00D1590E">
      <w:pPr>
        <w:pStyle w:val="HeadingBoldBlue"/>
      </w:pPr>
      <w:bookmarkStart w:id="274" w:name="_Toc417646289"/>
      <w:r w:rsidRPr="00D1590E">
        <w:t>Category analysis</w:t>
      </w:r>
      <w:bookmarkEnd w:id="274"/>
    </w:p>
    <w:p w:rsidR="00D1590E" w:rsidRPr="00D1590E" w:rsidRDefault="00D1590E" w:rsidP="00D1590E">
      <w:r w:rsidRPr="00D1590E">
        <w:t xml:space="preserve">Our category analysis techniques indicate that the NSW service providers may be comparable to some of their peers for certain categories of opex but appear to have high or very high opex on others. In particular, they appear high on labour and overheads. We use category analysis metrics to assist in identifying the categories of opex to examine further in our detailed review. </w:t>
      </w:r>
      <w:r w:rsidRPr="00D1590E">
        <w:fldChar w:fldCharType="begin"/>
      </w:r>
      <w:r w:rsidRPr="00D1590E">
        <w:instrText xml:space="preserve"> REF _Ref416767249 \h </w:instrText>
      </w:r>
      <w:r w:rsidRPr="00D1590E">
        <w:fldChar w:fldCharType="separate"/>
      </w:r>
      <w:r w:rsidR="006139BC" w:rsidRPr="00D1590E">
        <w:t xml:space="preserve">Table </w:t>
      </w:r>
      <w:r w:rsidR="006139BC">
        <w:rPr>
          <w:noProof/>
        </w:rPr>
        <w:t>A</w:t>
      </w:r>
      <w:r w:rsidR="006139BC" w:rsidRPr="00D1590E">
        <w:t>.</w:t>
      </w:r>
      <w:r w:rsidR="006139BC">
        <w:rPr>
          <w:noProof/>
        </w:rPr>
        <w:t>5</w:t>
      </w:r>
      <w:r w:rsidRPr="00D1590E">
        <w:fldChar w:fldCharType="end"/>
      </w:r>
      <w:r w:rsidRPr="00D1590E">
        <w:t xml:space="preserve"> shows the summary of the category analysis results.</w:t>
      </w:r>
    </w:p>
    <w:p w:rsidR="00D1590E" w:rsidRPr="00D1590E" w:rsidRDefault="00D1590E" w:rsidP="00D1590E">
      <w:pPr>
        <w:pStyle w:val="Caption"/>
      </w:pPr>
      <w:bookmarkStart w:id="275" w:name="_Ref416767249"/>
      <w:r w:rsidRPr="00D1590E">
        <w:t xml:space="preserve">Table </w:t>
      </w:r>
      <w:fldSimple w:instr=" STYLEREF 7 \s ">
        <w:r w:rsidR="006139BC">
          <w:rPr>
            <w:noProof/>
          </w:rPr>
          <w:t>A</w:t>
        </w:r>
      </w:fldSimple>
      <w:r w:rsidRPr="00D1590E">
        <w:t>.</w:t>
      </w:r>
      <w:fldSimple w:instr=" SEQ ATable \* ARABIC \s 7 ">
        <w:r w:rsidR="006139BC">
          <w:rPr>
            <w:noProof/>
          </w:rPr>
          <w:t>5</w:t>
        </w:r>
      </w:fldSimple>
      <w:bookmarkEnd w:id="275"/>
      <w:r w:rsidRPr="00D1590E">
        <w:tab/>
        <w:t>Summary of category analysis metrics – NSW service providers' relative costs (average over 2008–09 to 2012–13)</w:t>
      </w:r>
    </w:p>
    <w:tbl>
      <w:tblPr>
        <w:tblStyle w:val="AERtable-numbers"/>
        <w:tblW w:w="0" w:type="auto"/>
        <w:tblLook w:val="04A0" w:firstRow="1" w:lastRow="0" w:firstColumn="1" w:lastColumn="0" w:noHBand="0" w:noVBand="1"/>
      </w:tblPr>
      <w:tblGrid>
        <w:gridCol w:w="2801"/>
        <w:gridCol w:w="1549"/>
        <w:gridCol w:w="2171"/>
        <w:gridCol w:w="2171"/>
      </w:tblGrid>
      <w:tr w:rsidR="00D1590E" w:rsidTr="00D15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D1590E" w:rsidRPr="00D1590E" w:rsidRDefault="00D1590E" w:rsidP="00D1590E">
            <w:pPr>
              <w:pStyle w:val="AERtabletextleft"/>
            </w:pPr>
          </w:p>
        </w:tc>
        <w:tc>
          <w:tcPr>
            <w:tcW w:w="1549" w:type="dxa"/>
          </w:tcPr>
          <w:p w:rsidR="00D1590E" w:rsidRPr="00D1590E" w:rsidRDefault="00D1590E" w:rsidP="00D1590E">
            <w:pPr>
              <w:pStyle w:val="AERtabletextright"/>
              <w:cnfStyle w:val="100000000000" w:firstRow="1" w:lastRow="0" w:firstColumn="0" w:lastColumn="0" w:oddVBand="0" w:evenVBand="0" w:oddHBand="0" w:evenHBand="0" w:firstRowFirstColumn="0" w:firstRowLastColumn="0" w:lastRowFirstColumn="0" w:lastRowLastColumn="0"/>
            </w:pPr>
            <w:r w:rsidRPr="00D1590E">
              <w:t>Ausgrid</w:t>
            </w:r>
          </w:p>
        </w:tc>
        <w:tc>
          <w:tcPr>
            <w:tcW w:w="2171" w:type="dxa"/>
          </w:tcPr>
          <w:p w:rsidR="00D1590E" w:rsidRPr="00D1590E" w:rsidRDefault="00D1590E" w:rsidP="00D1590E">
            <w:pPr>
              <w:pStyle w:val="AERtabletextright"/>
              <w:cnfStyle w:val="100000000000" w:firstRow="1" w:lastRow="0" w:firstColumn="0" w:lastColumn="0" w:oddVBand="0" w:evenVBand="0" w:oddHBand="0" w:evenHBand="0" w:firstRowFirstColumn="0" w:firstRowLastColumn="0" w:lastRowFirstColumn="0" w:lastRowLastColumn="0"/>
            </w:pPr>
            <w:r w:rsidRPr="00D1590E">
              <w:t>Endeavour</w:t>
            </w:r>
          </w:p>
        </w:tc>
        <w:tc>
          <w:tcPr>
            <w:tcW w:w="2171" w:type="dxa"/>
          </w:tcPr>
          <w:p w:rsidR="00D1590E" w:rsidRPr="00D1590E" w:rsidRDefault="00D1590E" w:rsidP="00D1590E">
            <w:pPr>
              <w:pStyle w:val="AERtabletextright"/>
              <w:cnfStyle w:val="100000000000" w:firstRow="1" w:lastRow="0" w:firstColumn="0" w:lastColumn="0" w:oddVBand="0" w:evenVBand="0" w:oddHBand="0" w:evenHBand="0" w:firstRowFirstColumn="0" w:firstRowLastColumn="0" w:lastRowFirstColumn="0" w:lastRowLastColumn="0"/>
            </w:pPr>
            <w:r w:rsidRPr="00D1590E">
              <w:t>Essential</w:t>
            </w:r>
          </w:p>
        </w:tc>
      </w:tr>
      <w:tr w:rsidR="00D1590E" w:rsidTr="00D1590E">
        <w:tc>
          <w:tcPr>
            <w:cnfStyle w:val="001000000000" w:firstRow="0" w:lastRow="0" w:firstColumn="1" w:lastColumn="0" w:oddVBand="0" w:evenVBand="0" w:oddHBand="0" w:evenHBand="0" w:firstRowFirstColumn="0" w:firstRowLastColumn="0" w:lastRowFirstColumn="0" w:lastRowLastColumn="0"/>
            <w:tcW w:w="2802" w:type="dxa"/>
          </w:tcPr>
          <w:p w:rsidR="00D1590E" w:rsidRPr="00D1590E" w:rsidRDefault="00D1590E" w:rsidP="00D1590E">
            <w:pPr>
              <w:pStyle w:val="AERtabletextleft"/>
            </w:pPr>
            <w:r w:rsidRPr="00D1590E">
              <w:t>Labour</w:t>
            </w:r>
          </w:p>
        </w:tc>
        <w:tc>
          <w:tcPr>
            <w:tcW w:w="1549"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Very High</w:t>
            </w:r>
          </w:p>
        </w:tc>
        <w:tc>
          <w:tcPr>
            <w:tcW w:w="2171"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High</w:t>
            </w:r>
          </w:p>
        </w:tc>
        <w:tc>
          <w:tcPr>
            <w:tcW w:w="2171"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Very High</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D1590E" w:rsidRPr="00D1590E" w:rsidRDefault="00D1590E" w:rsidP="00D1590E">
            <w:pPr>
              <w:pStyle w:val="AERtabletextleft"/>
            </w:pPr>
            <w:r w:rsidRPr="00D1590E">
              <w:t>Total overheads</w:t>
            </w:r>
          </w:p>
        </w:tc>
        <w:tc>
          <w:tcPr>
            <w:tcW w:w="1549" w:type="dxa"/>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Very High</w:t>
            </w:r>
          </w:p>
        </w:tc>
        <w:tc>
          <w:tcPr>
            <w:tcW w:w="2171" w:type="dxa"/>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High</w:t>
            </w:r>
          </w:p>
        </w:tc>
        <w:tc>
          <w:tcPr>
            <w:tcW w:w="2171" w:type="dxa"/>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Very High</w:t>
            </w:r>
          </w:p>
        </w:tc>
      </w:tr>
      <w:tr w:rsidR="00D1590E" w:rsidTr="00D1590E">
        <w:tc>
          <w:tcPr>
            <w:cnfStyle w:val="001000000000" w:firstRow="0" w:lastRow="0" w:firstColumn="1" w:lastColumn="0" w:oddVBand="0" w:evenVBand="0" w:oddHBand="0" w:evenHBand="0" w:firstRowFirstColumn="0" w:firstRowLastColumn="0" w:lastRowFirstColumn="0" w:lastRowLastColumn="0"/>
            <w:tcW w:w="2802" w:type="dxa"/>
          </w:tcPr>
          <w:p w:rsidR="00D1590E" w:rsidRPr="00D1590E" w:rsidRDefault="00D1590E" w:rsidP="00D1590E">
            <w:pPr>
              <w:pStyle w:val="AERtabletextleft"/>
            </w:pPr>
            <w:r w:rsidRPr="00D1590E">
              <w:t>Total corporate overheads</w:t>
            </w:r>
          </w:p>
        </w:tc>
        <w:tc>
          <w:tcPr>
            <w:tcW w:w="1549"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Comparable</w:t>
            </w:r>
          </w:p>
        </w:tc>
        <w:tc>
          <w:tcPr>
            <w:tcW w:w="2171"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Comparable</w:t>
            </w:r>
          </w:p>
        </w:tc>
        <w:tc>
          <w:tcPr>
            <w:tcW w:w="2171"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Very high</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D1590E" w:rsidRPr="00D1590E" w:rsidRDefault="00D1590E" w:rsidP="00D1590E">
            <w:pPr>
              <w:pStyle w:val="AERtabletextleft"/>
            </w:pPr>
            <w:r w:rsidRPr="00D1590E">
              <w:t>Total network overheads</w:t>
            </w:r>
          </w:p>
        </w:tc>
        <w:tc>
          <w:tcPr>
            <w:tcW w:w="1549" w:type="dxa"/>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Very High</w:t>
            </w:r>
          </w:p>
        </w:tc>
        <w:tc>
          <w:tcPr>
            <w:tcW w:w="2171" w:type="dxa"/>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High</w:t>
            </w:r>
          </w:p>
        </w:tc>
        <w:tc>
          <w:tcPr>
            <w:tcW w:w="2171" w:type="dxa"/>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Comparable</w:t>
            </w:r>
          </w:p>
        </w:tc>
      </w:tr>
      <w:tr w:rsidR="00D1590E" w:rsidTr="00D1590E">
        <w:tc>
          <w:tcPr>
            <w:cnfStyle w:val="001000000000" w:firstRow="0" w:lastRow="0" w:firstColumn="1" w:lastColumn="0" w:oddVBand="0" w:evenVBand="0" w:oddHBand="0" w:evenHBand="0" w:firstRowFirstColumn="0" w:firstRowLastColumn="0" w:lastRowFirstColumn="0" w:lastRowLastColumn="0"/>
            <w:tcW w:w="2802" w:type="dxa"/>
          </w:tcPr>
          <w:p w:rsidR="00D1590E" w:rsidRPr="00D1590E" w:rsidRDefault="00D1590E" w:rsidP="00D1590E">
            <w:pPr>
              <w:pStyle w:val="AERtabletextleft"/>
            </w:pPr>
            <w:r w:rsidRPr="00D1590E">
              <w:t>Maintenance</w:t>
            </w:r>
          </w:p>
        </w:tc>
        <w:tc>
          <w:tcPr>
            <w:tcW w:w="1549"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High</w:t>
            </w:r>
          </w:p>
        </w:tc>
        <w:tc>
          <w:tcPr>
            <w:tcW w:w="2171"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High</w:t>
            </w:r>
          </w:p>
        </w:tc>
        <w:tc>
          <w:tcPr>
            <w:tcW w:w="2171"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Comparable</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D1590E" w:rsidRPr="00D1590E" w:rsidRDefault="00D1590E" w:rsidP="00D1590E">
            <w:pPr>
              <w:pStyle w:val="AERtabletextleft"/>
            </w:pPr>
            <w:r w:rsidRPr="00D1590E">
              <w:t>Emergency response</w:t>
            </w:r>
          </w:p>
        </w:tc>
        <w:tc>
          <w:tcPr>
            <w:tcW w:w="1549" w:type="dxa"/>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High</w:t>
            </w:r>
          </w:p>
        </w:tc>
        <w:tc>
          <w:tcPr>
            <w:tcW w:w="2171" w:type="dxa"/>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High</w:t>
            </w:r>
          </w:p>
        </w:tc>
        <w:tc>
          <w:tcPr>
            <w:tcW w:w="2171" w:type="dxa"/>
          </w:tcPr>
          <w:p w:rsidR="00D1590E" w:rsidRPr="00D1590E" w:rsidRDefault="00D1590E" w:rsidP="00D1590E">
            <w:pPr>
              <w:pStyle w:val="AERtabletextright"/>
              <w:cnfStyle w:val="000000010000" w:firstRow="0" w:lastRow="0" w:firstColumn="0" w:lastColumn="0" w:oddVBand="0" w:evenVBand="0" w:oddHBand="0" w:evenHBand="1" w:firstRowFirstColumn="0" w:firstRowLastColumn="0" w:lastRowFirstColumn="0" w:lastRowLastColumn="0"/>
            </w:pPr>
            <w:r w:rsidRPr="00D1590E">
              <w:t>High</w:t>
            </w:r>
          </w:p>
        </w:tc>
      </w:tr>
      <w:tr w:rsidR="00D1590E" w:rsidTr="00D1590E">
        <w:tc>
          <w:tcPr>
            <w:cnfStyle w:val="001000000000" w:firstRow="0" w:lastRow="0" w:firstColumn="1" w:lastColumn="0" w:oddVBand="0" w:evenVBand="0" w:oddHBand="0" w:evenHBand="0" w:firstRowFirstColumn="0" w:firstRowLastColumn="0" w:lastRowFirstColumn="0" w:lastRowLastColumn="0"/>
            <w:tcW w:w="2802" w:type="dxa"/>
          </w:tcPr>
          <w:p w:rsidR="00D1590E" w:rsidRPr="00D1590E" w:rsidRDefault="00D1590E" w:rsidP="00D1590E">
            <w:pPr>
              <w:pStyle w:val="AERtabletextleft"/>
            </w:pPr>
            <w:r w:rsidRPr="00D1590E">
              <w:t>Vegetation management</w:t>
            </w:r>
          </w:p>
        </w:tc>
        <w:tc>
          <w:tcPr>
            <w:tcW w:w="1549"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High</w:t>
            </w:r>
          </w:p>
        </w:tc>
        <w:tc>
          <w:tcPr>
            <w:tcW w:w="2171"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High</w:t>
            </w:r>
          </w:p>
        </w:tc>
        <w:tc>
          <w:tcPr>
            <w:tcW w:w="2171" w:type="dxa"/>
          </w:tcPr>
          <w:p w:rsidR="00D1590E" w:rsidRPr="00D1590E" w:rsidRDefault="00D1590E" w:rsidP="00D1590E">
            <w:pPr>
              <w:pStyle w:val="AERtabletextright"/>
              <w:cnfStyle w:val="000000000000" w:firstRow="0" w:lastRow="0" w:firstColumn="0" w:lastColumn="0" w:oddVBand="0" w:evenVBand="0" w:oddHBand="0" w:evenHBand="0" w:firstRowFirstColumn="0" w:firstRowLastColumn="0" w:lastRowFirstColumn="0" w:lastRowLastColumn="0"/>
            </w:pPr>
            <w:r w:rsidRPr="00D1590E">
              <w:t>Very High</w:t>
            </w:r>
          </w:p>
        </w:tc>
      </w:tr>
    </w:tbl>
    <w:p w:rsidR="00D1590E" w:rsidRPr="00D1590E" w:rsidRDefault="00D1590E" w:rsidP="00D1590E">
      <w:pPr>
        <w:pStyle w:val="AERtablesource"/>
      </w:pPr>
      <w:r w:rsidRPr="00D1590E">
        <w:t>Source:</w:t>
      </w:r>
      <w:r w:rsidRPr="00D1590E">
        <w:tab/>
        <w:t>AER analysis.</w:t>
      </w:r>
    </w:p>
    <w:p w:rsidR="00D1590E" w:rsidRPr="00D1590E" w:rsidRDefault="00D1590E" w:rsidP="00D1590E">
      <w:pPr>
        <w:pStyle w:val="AERtablesource"/>
      </w:pPr>
      <w:r w:rsidRPr="00D1590E">
        <w:lastRenderedPageBreak/>
        <w:t xml:space="preserve">Note: </w:t>
      </w:r>
      <w:r w:rsidRPr="00D1590E">
        <w:tab/>
        <w:t>In this final decision, we re-examined our summary of the category analysis metrics and consider that Endeavour Energy's network overhead should be interpreted as 'high,' rather than 'comparable'. We also consider that Essential Energy's corporate overhead should be interpreted as 'very high,' rather than 'high'.</w:t>
      </w:r>
    </w:p>
    <w:p w:rsidR="00D1590E" w:rsidRPr="00D1590E" w:rsidRDefault="00D1590E" w:rsidP="00D1590E">
      <w:r w:rsidRPr="00D1590E">
        <w:t xml:space="preserve">We discuss category analysis in more detail in section </w:t>
      </w:r>
      <w:r w:rsidRPr="00D1590E">
        <w:fldChar w:fldCharType="begin"/>
      </w:r>
      <w:r w:rsidRPr="00D1590E">
        <w:instrText xml:space="preserve"> REF _Ref412134204 \n \h </w:instrText>
      </w:r>
      <w:r w:rsidRPr="00D1590E">
        <w:fldChar w:fldCharType="separate"/>
      </w:r>
      <w:r w:rsidR="00C57342">
        <w:t>A.5.3</w:t>
      </w:r>
      <w:r w:rsidRPr="00D1590E">
        <w:fldChar w:fldCharType="end"/>
      </w:r>
      <w:r w:rsidRPr="00D1590E">
        <w:t>.</w:t>
      </w:r>
    </w:p>
    <w:p w:rsidR="00D1590E" w:rsidRPr="00D1590E" w:rsidRDefault="00D1590E" w:rsidP="00D1590E">
      <w:pPr>
        <w:pStyle w:val="HeadingBoldBlue"/>
      </w:pPr>
      <w:bookmarkStart w:id="276" w:name="_Toc417646290"/>
      <w:r w:rsidRPr="00D1590E">
        <w:t>Detailed review of labour and workforce practices</w:t>
      </w:r>
      <w:bookmarkEnd w:id="276"/>
    </w:p>
    <w:p w:rsidR="00D1590E" w:rsidRPr="00D1590E" w:rsidRDefault="00D1590E" w:rsidP="00D1590E">
      <w:r w:rsidRPr="00D1590E">
        <w:t>The category analysis results and our findings from reviewing the NSW service providers' regulatory proposals suggest they have high labour costs. Deloitte's view is that for the majority of the 2009–14 period, the NSW service providers incurred labour costs that were higher than efficient levels.</w:t>
      </w:r>
      <w:r w:rsidRPr="00D1590E">
        <w:rPr>
          <w:rStyle w:val="FootnoteReference"/>
        </w:rPr>
        <w:footnoteReference w:id="471"/>
      </w:r>
      <w:r w:rsidRPr="00D1590E">
        <w:t xml:space="preserve"> </w:t>
      </w:r>
    </w:p>
    <w:p w:rsidR="00D1590E" w:rsidRPr="00D1590E" w:rsidRDefault="00D1590E" w:rsidP="00D1590E">
      <w:r w:rsidRPr="00D1590E">
        <w:t xml:space="preserve">For the final decision, we engaged Deloitte to consider the material provided by the NSW service providers in response our draft decision, and consider whether the additional information and submissions affected their initial findings. </w:t>
      </w:r>
    </w:p>
    <w:p w:rsidR="00D1590E" w:rsidRPr="00D1590E" w:rsidRDefault="00D1590E" w:rsidP="00D1590E">
      <w:r w:rsidRPr="00D1590E">
        <w:t>Deloitte maintain its view that the NSW service providers' high labour costs and workforce practices mean that their respective proposed opex base years were not efficient.</w:t>
      </w:r>
      <w:r w:rsidRPr="00D1590E">
        <w:rPr>
          <w:rStyle w:val="FootnoteReference"/>
        </w:rPr>
        <w:footnoteReference w:id="472"/>
      </w:r>
      <w:r w:rsidRPr="00D1590E">
        <w:t xml:space="preserve"> Deloitte found that:</w:t>
      </w:r>
      <w:r w:rsidRPr="00D1590E">
        <w:rPr>
          <w:rStyle w:val="FootnoteReference"/>
        </w:rPr>
        <w:footnoteReference w:id="473"/>
      </w:r>
      <w:r w:rsidRPr="00D1590E">
        <w:t xml:space="preserve"> </w:t>
      </w:r>
    </w:p>
    <w:p w:rsidR="00D1590E" w:rsidRPr="00D1590E" w:rsidRDefault="00D1590E" w:rsidP="00D1590E">
      <w:pPr>
        <w:pStyle w:val="AERbulletlistfirststyle"/>
      </w:pPr>
      <w:r w:rsidRPr="00D1590E">
        <w:t>the NSW service providers had high labour costs over the 2009–14 period due to having more employees than their peers, rather than high costs per employee</w:t>
      </w:r>
    </w:p>
    <w:p w:rsidR="00D1590E" w:rsidRPr="00D1590E" w:rsidRDefault="00D1590E" w:rsidP="00D1590E">
      <w:pPr>
        <w:pStyle w:val="AERbulletlistfirststyle"/>
      </w:pPr>
      <w:r w:rsidRPr="00D1590E">
        <w:t>because the NSW service providers' employ a relatively higher proportion of their employees through enterprise bargaining agreements (EBAs), restrictive EBA clauses have a greater impact on their workforce flexibility</w:t>
      </w:r>
    </w:p>
    <w:p w:rsidR="00D1590E" w:rsidRPr="00D1590E" w:rsidRDefault="00D1590E" w:rsidP="00D1590E">
      <w:pPr>
        <w:pStyle w:val="AERbulletlistfirststyle"/>
      </w:pPr>
      <w:r w:rsidRPr="00D1590E">
        <w:t>the optimum level of outsourcing is likely to be higher than the level the NSW service providers outsourced at over the 2009–14 period.</w:t>
      </w:r>
    </w:p>
    <w:p w:rsidR="00D1590E" w:rsidRPr="00D1590E" w:rsidRDefault="00D1590E" w:rsidP="00D1590E">
      <w:r w:rsidRPr="00D1590E">
        <w:t>Further, in response to submissions in its revised proposal about the adverse impact of the dispersed nature of its network on labour costs, Deloitte found that Essential Energy could potentially achieve significant cost savings by implementing a local service agent (LSA) model. Powercor achieved significant efficiencies from implementing an LSA model following privatisation.</w:t>
      </w:r>
      <w:r w:rsidRPr="00D1590E">
        <w:rPr>
          <w:rStyle w:val="FootnoteReference"/>
        </w:rPr>
        <w:footnoteReference w:id="474"/>
      </w:r>
      <w:r w:rsidRPr="00D1590E">
        <w:t xml:space="preserve"> </w:t>
      </w:r>
    </w:p>
    <w:p w:rsidR="00D1590E" w:rsidRPr="00D1590E" w:rsidRDefault="00D1590E" w:rsidP="00D1590E">
      <w:r w:rsidRPr="00D1590E">
        <w:lastRenderedPageBreak/>
        <w:t>Deloitte also considered new evidence provided by the NSW service providers affirmed its 2014 findings that, although the NSW service providers have made significant efficiency gains, most of these take place after the 2012–13 base year.</w:t>
      </w:r>
      <w:r w:rsidRPr="00D1590E">
        <w:rPr>
          <w:rStyle w:val="FootnoteReference"/>
        </w:rPr>
        <w:footnoteReference w:id="475"/>
      </w:r>
    </w:p>
    <w:p w:rsidR="00D1590E" w:rsidRPr="00D1590E" w:rsidRDefault="00D1590E" w:rsidP="00D1590E">
      <w:pPr>
        <w:pStyle w:val="HeadingBoldBlue"/>
      </w:pPr>
      <w:bookmarkStart w:id="277" w:name="_Toc417646291"/>
      <w:r w:rsidRPr="00D1590E">
        <w:t>Detailed review of vegetation management</w:t>
      </w:r>
      <w:bookmarkEnd w:id="277"/>
    </w:p>
    <w:p w:rsidR="00D1590E" w:rsidRPr="00D1590E" w:rsidRDefault="00D1590E" w:rsidP="00D1590E">
      <w:r w:rsidRPr="00D1590E">
        <w:t>The category analysis results and our findings from reviewing Essential Energy's regulatory proposal suggest that it has high vegetation management costs. We considered that the Select Solutions report (and Essential Energy documentation discussing it), submitted by Essential Energy with its regulatory proposal, demonstrates there are inefficiencies in its vegetation management practices in the 2012–13 base year.</w:t>
      </w:r>
      <w:r w:rsidRPr="00D1590E">
        <w:rPr>
          <w:rStyle w:val="FootnoteReference"/>
        </w:rPr>
        <w:footnoteReference w:id="476"/>
      </w:r>
      <w:r w:rsidRPr="00D1590E">
        <w:t xml:space="preserve"> While Essential Energy may have since improved its practices, the evidence suggests it had not done so in 2012–13.</w:t>
      </w:r>
    </w:p>
    <w:p w:rsidR="00D1590E" w:rsidRPr="00D1590E" w:rsidRDefault="00D1590E" w:rsidP="00D1590E">
      <w:r w:rsidRPr="00D1590E">
        <w:t>Therefore, we maintain our view that Essential Energy's vegetation management practices are likely to be a driver of its poor benchmarking performance.</w:t>
      </w:r>
    </w:p>
    <w:p w:rsidR="00D1590E" w:rsidRPr="00D1590E" w:rsidRDefault="00D1590E" w:rsidP="00D1590E">
      <w:pPr>
        <w:pStyle w:val="Heading9"/>
      </w:pPr>
      <w:bookmarkStart w:id="278" w:name="_Toc414628204"/>
      <w:bookmarkStart w:id="279" w:name="_Ref416804235"/>
      <w:bookmarkStart w:id="280" w:name="_Toc417646292"/>
      <w:bookmarkStart w:id="281" w:name="_Toc417649232"/>
      <w:bookmarkStart w:id="282" w:name="_Toc417659864"/>
      <w:r w:rsidRPr="00D1590E">
        <w:t xml:space="preserve">Draft </w:t>
      </w:r>
      <w:bookmarkEnd w:id="278"/>
      <w:r w:rsidRPr="00D1590E">
        <w:t>position</w:t>
      </w:r>
      <w:bookmarkEnd w:id="279"/>
      <w:bookmarkEnd w:id="280"/>
      <w:bookmarkEnd w:id="281"/>
      <w:bookmarkEnd w:id="282"/>
    </w:p>
    <w:p w:rsidR="00D1590E" w:rsidRPr="00D1590E" w:rsidRDefault="00D1590E" w:rsidP="00D1590E">
      <w:r w:rsidRPr="00D1590E">
        <w:t>In our draft decision, we considered information in the NSW service providers' regulatory proposals and findings from category analysis metrics supported an examination of labour costs and of Essential Energy's vegetation management opex in further detail. Through our detailed review, we found significant issues in these categories of the NSW service providers' opex, which we considered was evidence of base year inefficiency, supporting our benchmarking results.</w:t>
      </w:r>
    </w:p>
    <w:p w:rsidR="00D1590E" w:rsidRPr="00D1590E" w:rsidRDefault="00D1590E" w:rsidP="00D1590E">
      <w:r w:rsidRPr="00D1590E">
        <w:t>We engaged Deloitte to conduct a targeted detailed review of the NSW service providers' labour and workforce practices. Deloitte found:</w:t>
      </w:r>
    </w:p>
    <w:p w:rsidR="00D1590E" w:rsidRPr="00D1590E" w:rsidRDefault="00D1590E" w:rsidP="00D1590E">
      <w:pPr>
        <w:pStyle w:val="AERbulletlistfirststyle"/>
      </w:pPr>
      <w:r w:rsidRPr="00D1590E">
        <w:t>evidence that the NSW service providers’ expenditure and approaches to resourcing their capex programs were not consistent with that of a prudent or efficient service provider. In particular Deloitte stated that there is strong evidence to indicate:</w:t>
      </w:r>
      <w:r w:rsidRPr="00D1590E">
        <w:rPr>
          <w:rStyle w:val="FootnoteReference"/>
        </w:rPr>
        <w:footnoteReference w:id="477"/>
      </w:r>
    </w:p>
    <w:p w:rsidR="00D1590E" w:rsidRPr="00D1590E" w:rsidRDefault="00D1590E" w:rsidP="00D1590E">
      <w:pPr>
        <w:pStyle w:val="AERbulletlistsecondstyle"/>
      </w:pPr>
      <w:r w:rsidRPr="00D1590E">
        <w:t>each service provider relied too heavily on hiring internal labour resources rather than using temporary external contractors to undertake their capex programs;</w:t>
      </w:r>
    </w:p>
    <w:p w:rsidR="00D1590E" w:rsidRPr="00D1590E" w:rsidRDefault="00D1590E" w:rsidP="00D1590E">
      <w:pPr>
        <w:pStyle w:val="AERbulletlistsecondstyle"/>
      </w:pPr>
      <w:r w:rsidRPr="00D1590E">
        <w:t>Ausgrid entered into a MOU which appears to have driven its costs up, or at a minimum entrenched them at a relatively high level;</w:t>
      </w:r>
    </w:p>
    <w:p w:rsidR="00D1590E" w:rsidRPr="00D1590E" w:rsidRDefault="00D1590E" w:rsidP="00D1590E">
      <w:pPr>
        <w:pStyle w:val="AERbulletlistsecondstyle"/>
      </w:pPr>
      <w:r w:rsidRPr="00D1590E">
        <w:lastRenderedPageBreak/>
        <w:t>all service providers' labour related capex was impacted by unionised workforces that were relatively inflexible, high cost and unproductive compared to their peers.</w:t>
      </w:r>
    </w:p>
    <w:p w:rsidR="00D1590E" w:rsidRPr="00D1590E" w:rsidRDefault="00D1590E" w:rsidP="00D1590E">
      <w:pPr>
        <w:pStyle w:val="AERbulletlistfirststyle"/>
      </w:pPr>
      <w:r w:rsidRPr="00D1590E">
        <w:t>evidence of inefficiency in each of the service providers’ labour costs and practices. For much of the 2009–14 regulatory period it appears likely that the service providers’ labour costs were heavily impacted by:</w:t>
      </w:r>
      <w:r w:rsidRPr="00D1590E">
        <w:rPr>
          <w:rStyle w:val="FootnoteReference"/>
        </w:rPr>
        <w:footnoteReference w:id="478"/>
      </w:r>
    </w:p>
    <w:p w:rsidR="00D1590E" w:rsidRPr="00D1590E" w:rsidRDefault="00D1590E" w:rsidP="00D1590E">
      <w:pPr>
        <w:pStyle w:val="AERbulletlistsecondstyle"/>
      </w:pPr>
      <w:r w:rsidRPr="00D1590E">
        <w:t>a relatively inflexible workforce with limited ability to innovate or respond to changing circumstances;</w:t>
      </w:r>
    </w:p>
    <w:p w:rsidR="00D1590E" w:rsidRPr="00D1590E" w:rsidRDefault="00D1590E" w:rsidP="00D1590E">
      <w:pPr>
        <w:pStyle w:val="AERbulletlistsecondstyle"/>
      </w:pPr>
      <w:r w:rsidRPr="00D1590E">
        <w:t>labour costs entrenched in EBAs, which are well above peer costs;</w:t>
      </w:r>
    </w:p>
    <w:p w:rsidR="00D1590E" w:rsidRPr="00D1590E" w:rsidRDefault="00D1590E" w:rsidP="00D1590E">
      <w:pPr>
        <w:pStyle w:val="AERbulletlistsecondstyle"/>
      </w:pPr>
      <w:r w:rsidRPr="00D1590E">
        <w:t>in some cases, poor management of labour costs, for example in relation to overtime;</w:t>
      </w:r>
    </w:p>
    <w:p w:rsidR="00D1590E" w:rsidRPr="00D1590E" w:rsidRDefault="00D1590E" w:rsidP="00D1590E">
      <w:pPr>
        <w:pStyle w:val="AERbulletlistsecondstyle"/>
      </w:pPr>
      <w:r w:rsidRPr="00D1590E">
        <w:t>union opposition to management attempts to reduce costs and/or improve productivity.</w:t>
      </w:r>
    </w:p>
    <w:p w:rsidR="00D1590E" w:rsidRPr="00D1590E" w:rsidRDefault="00D1590E" w:rsidP="00D1590E">
      <w:r w:rsidRPr="00D1590E">
        <w:rPr>
          <w:rStyle w:val="AERbody"/>
        </w:rPr>
        <w:t>Deloitte considered these factors were apparent to a different extent across all three service providers but, in general, it appears that Endeavour Energy commenced programs to improve its efficiency at an earlier stage than Ausgrid and Essential Energy.</w:t>
      </w:r>
      <w:r w:rsidRPr="00D1590E">
        <w:rPr>
          <w:rStyle w:val="FootnoteReference"/>
        </w:rPr>
        <w:footnoteReference w:id="479"/>
      </w:r>
    </w:p>
    <w:p w:rsidR="00D1590E" w:rsidRPr="00D1590E" w:rsidRDefault="00D1590E" w:rsidP="00D1590E">
      <w:pPr>
        <w:numPr>
          <w:ilvl w:val="0"/>
          <w:numId w:val="24"/>
        </w:numPr>
      </w:pPr>
      <w:r w:rsidRPr="00D1590E">
        <w:t>From our review of Essential Energy's vegetation management practices, we identified that it had engaged Select Solutions in December 2012 to review its vegetation management strategy.</w:t>
      </w:r>
      <w:r w:rsidRPr="00D1590E">
        <w:rPr>
          <w:rStyle w:val="FootnoteReference"/>
        </w:rPr>
        <w:t xml:space="preserve"> </w:t>
      </w:r>
      <w:r w:rsidRPr="00D1590E">
        <w:rPr>
          <w:rStyle w:val="FootnoteReference"/>
        </w:rPr>
        <w:footnoteReference w:id="480"/>
      </w:r>
      <w:r w:rsidRPr="00D1590E">
        <w:t xml:space="preserve"> Select Solutions' review found that Essential Energy must move to a "significantly more efficient" vegetation management model to reduce the impact of its expenditure on customer prices.</w:t>
      </w:r>
      <w:r w:rsidRPr="00D1590E">
        <w:rPr>
          <w:rStyle w:val="FootnoteReference"/>
        </w:rPr>
        <w:t xml:space="preserve"> </w:t>
      </w:r>
      <w:r w:rsidRPr="00D1590E">
        <w:rPr>
          <w:rStyle w:val="FootnoteReference"/>
        </w:rPr>
        <w:footnoteReference w:id="481"/>
      </w:r>
      <w:r w:rsidRPr="00D1590E">
        <w:t xml:space="preserve"> Select Solutions found several causes of inefficiency, including:</w:t>
      </w:r>
      <w:r w:rsidRPr="00D1590E">
        <w:rPr>
          <w:rStyle w:val="FootnoteReference"/>
        </w:rPr>
        <w:footnoteReference w:id="482"/>
      </w:r>
    </w:p>
    <w:p w:rsidR="00D1590E" w:rsidRPr="00D1590E" w:rsidRDefault="00D1590E" w:rsidP="00D1590E">
      <w:pPr>
        <w:pStyle w:val="AERbulletlistfirststyle"/>
      </w:pPr>
      <w:r w:rsidRPr="00D1590E">
        <w:t>attributing too much vegetation management effort to reactive spot clearing rather than proactive cyclic maintenance;</w:t>
      </w:r>
    </w:p>
    <w:p w:rsidR="00D1590E" w:rsidRPr="00D1590E" w:rsidRDefault="00D1590E" w:rsidP="00D1590E">
      <w:pPr>
        <w:pStyle w:val="AERbulletlistfirststyle"/>
      </w:pPr>
      <w:r w:rsidRPr="00D1590E">
        <w:t xml:space="preserve">primarily engaging contractors for cutting on a demonstrably less efficient hourly rate basis; </w:t>
      </w:r>
    </w:p>
    <w:p w:rsidR="00D1590E" w:rsidRPr="00D1590E" w:rsidRDefault="00D1590E" w:rsidP="00D1590E">
      <w:pPr>
        <w:pStyle w:val="AERbulletlistfirststyle"/>
      </w:pPr>
      <w:r w:rsidRPr="00D1590E">
        <w:t>less than optimal outsourcing.</w:t>
      </w:r>
    </w:p>
    <w:p w:rsidR="00D1590E" w:rsidRPr="00D1590E" w:rsidRDefault="00D1590E" w:rsidP="00D1590E">
      <w:r w:rsidRPr="00D1590E">
        <w:t xml:space="preserve">While Essential Energy's proposal suggested it would implement Select Solutions' recommendations in the forecast period, this provided evidence that these inefficiencies existed in the base year. Therefore, we were satisfied that vegetation </w:t>
      </w:r>
      <w:r w:rsidRPr="00D1590E">
        <w:lastRenderedPageBreak/>
        <w:t>management practices contributed to Essential Energy's high opex in the 2012–13 base year.</w:t>
      </w:r>
    </w:p>
    <w:p w:rsidR="00D1590E" w:rsidRPr="00D1590E" w:rsidRDefault="00D1590E" w:rsidP="00D1590E">
      <w:pPr>
        <w:pStyle w:val="Heading9"/>
      </w:pPr>
      <w:bookmarkStart w:id="283" w:name="_Ref412134204"/>
      <w:bookmarkStart w:id="284" w:name="_Toc414628205"/>
      <w:bookmarkStart w:id="285" w:name="_Toc417646293"/>
      <w:bookmarkStart w:id="286" w:name="_Toc417649233"/>
      <w:bookmarkStart w:id="287" w:name="_Toc417659865"/>
      <w:r w:rsidRPr="00D1590E">
        <w:t>Revised proposals and submissions</w:t>
      </w:r>
      <w:bookmarkEnd w:id="283"/>
      <w:bookmarkEnd w:id="284"/>
      <w:bookmarkEnd w:id="285"/>
      <w:bookmarkEnd w:id="286"/>
      <w:bookmarkEnd w:id="287"/>
    </w:p>
    <w:p w:rsidR="00D1590E" w:rsidRPr="00D1590E" w:rsidRDefault="00D1590E" w:rsidP="00D1590E">
      <w:r w:rsidRPr="00D1590E">
        <w:t>In this section, we summarise and respond to the issues the NSW service providers' raised in their revised regulatory proposals. For the reasons that follow, we remain of the view that labour is a driver of the NSW service providers' benchmarking performance. In the case of Essential Energy, we also remain of the view that its vegetation management practices are another driver of its benchmarking performance,</w:t>
      </w:r>
    </w:p>
    <w:p w:rsidR="00D1590E" w:rsidRPr="00D1590E" w:rsidRDefault="00D1590E" w:rsidP="00D1590E">
      <w:r w:rsidRPr="00D1590E">
        <w:t>We first present our response to issues regarding the detailed retailed review, because Deloitte provide further evidence of inefficiencies in the NSW service providers' labour and workforce practices. We have not significantly changed our views in response to the NSW service providers' concerns with our evidence from their proposals and the category analysis metrics.</w:t>
      </w:r>
    </w:p>
    <w:p w:rsidR="00D1590E" w:rsidRPr="00D1590E" w:rsidRDefault="00D1590E" w:rsidP="00D1590E">
      <w:pPr>
        <w:pStyle w:val="HeadingBoldBlue"/>
      </w:pPr>
      <w:bookmarkStart w:id="288" w:name="_Toc417646294"/>
      <w:r w:rsidRPr="00D1590E">
        <w:t>Detailed review of labour and workforce practices</w:t>
      </w:r>
      <w:bookmarkEnd w:id="288"/>
    </w:p>
    <w:p w:rsidR="00D1590E" w:rsidRPr="00D1590E" w:rsidRDefault="00D1590E" w:rsidP="00D1590E">
      <w:r w:rsidRPr="00D1590E">
        <w:t>Deloitte considered the NSW service providers' submissions and provided further analysis on the efficiency of the service providers' labour costs during the 2009–14 regulatory period. The NSW service providers' submissions have not caused Deloitte to change its findings on the number of employees, inefficient labour practices and the impact on base year efficiency.</w:t>
      </w:r>
      <w:r w:rsidRPr="00D1590E">
        <w:rPr>
          <w:rStyle w:val="FootnoteReference"/>
        </w:rPr>
        <w:footnoteReference w:id="483"/>
      </w:r>
    </w:p>
    <w:p w:rsidR="00D1590E" w:rsidRPr="00D1590E" w:rsidRDefault="00D1590E" w:rsidP="00D1590E">
      <w:r w:rsidRPr="00D1590E">
        <w:t>The NSW service providers submitted two joint consultants' reports (KL Gates and CEG) in response to our draft decision and Deloitte’s findings.</w:t>
      </w:r>
      <w:r w:rsidRPr="00D1590E">
        <w:rPr>
          <w:rStyle w:val="FootnoteReference"/>
        </w:rPr>
        <w:footnoteReference w:id="484"/>
      </w:r>
      <w:r w:rsidRPr="00D1590E">
        <w:t xml:space="preserve"> Endeavour Energy and Essential Energy also submitted their own labour analysis, and Ausgrid engaged Arup to review its historic workforce planning.</w:t>
      </w:r>
      <w:r w:rsidRPr="00D1590E">
        <w:rPr>
          <w:rStyle w:val="FootnoteReference"/>
        </w:rPr>
        <w:footnoteReference w:id="485"/>
      </w:r>
      <w:r w:rsidRPr="00D1590E">
        <w:t xml:space="preserve"> </w:t>
      </w:r>
    </w:p>
    <w:p w:rsidR="00D1590E" w:rsidRPr="00D1590E" w:rsidRDefault="00D1590E" w:rsidP="00D1590E">
      <w:r w:rsidRPr="00D1590E">
        <w:t>In the addendum to their 2014 report, Deloitte:</w:t>
      </w:r>
      <w:r w:rsidRPr="00D1590E">
        <w:rPr>
          <w:rStyle w:val="FootnoteReference"/>
        </w:rPr>
        <w:footnoteReference w:id="486"/>
      </w:r>
    </w:p>
    <w:p w:rsidR="00D1590E" w:rsidRPr="00D1590E" w:rsidRDefault="00D1590E" w:rsidP="00D1590E">
      <w:pPr>
        <w:pStyle w:val="AERbulletlistfirststyle"/>
      </w:pPr>
      <w:r w:rsidRPr="00D1590E">
        <w:t>clarified that over 2009–14 the NSW service providers had high labour costs, due to  having more employees than their peers, rather than having high costs per employee. Deloitte presented further information on actual labour costs to support its view</w:t>
      </w:r>
    </w:p>
    <w:p w:rsidR="00D1590E" w:rsidRPr="00D1590E" w:rsidRDefault="00D1590E" w:rsidP="00D1590E">
      <w:pPr>
        <w:pStyle w:val="AERbulletlistfirststyle"/>
      </w:pPr>
      <w:r w:rsidRPr="00D1590E">
        <w:lastRenderedPageBreak/>
        <w:t>maintained the view that EBA clauses which constrain workforce flexibility and contribute to an increased number of employees</w:t>
      </w:r>
    </w:p>
    <w:p w:rsidR="00D1590E" w:rsidRPr="00D1590E" w:rsidRDefault="00D1590E" w:rsidP="00D1590E">
      <w:pPr>
        <w:pStyle w:val="AERbulletlistfirststyle"/>
      </w:pPr>
      <w:r w:rsidRPr="00D1590E">
        <w:t>maintained the view that outsourcing provides benefits by imposing competitive pressure on the internal workforce to improve productivity. Deloitte considers that gains through outsourcing realised by the Victorian service providers is one of the key reasons for the productivity gap between them and the NSW service providers</w:t>
      </w:r>
    </w:p>
    <w:p w:rsidR="00D1590E" w:rsidRPr="00D1590E" w:rsidRDefault="00D1590E" w:rsidP="00D1590E">
      <w:pPr>
        <w:pStyle w:val="AERbulletlistfirststyle"/>
      </w:pPr>
      <w:r w:rsidRPr="00D1590E" w:rsidDel="00FA2CB7">
        <w:t>f</w:t>
      </w:r>
      <w:r w:rsidRPr="00D1590E">
        <w:t>ou</w:t>
      </w:r>
      <w:r w:rsidRPr="00D1590E" w:rsidDel="00FA2CB7">
        <w:t xml:space="preserve">nd that that the NSW service providers have </w:t>
      </w:r>
      <w:r w:rsidRPr="00D1590E">
        <w:t>realised savings</w:t>
      </w:r>
      <w:r w:rsidRPr="00D1590E" w:rsidDel="00FA2CB7">
        <w:t xml:space="preserve"> </w:t>
      </w:r>
      <w:r w:rsidRPr="00D1590E">
        <w:t xml:space="preserve">in </w:t>
      </w:r>
      <w:r w:rsidRPr="00D1590E" w:rsidDel="00FA2CB7">
        <w:t>labour costs through reducing the number of staff, and are forecasting further savings, but that most of the reductions take pla</w:t>
      </w:r>
      <w:r w:rsidRPr="00D1590E">
        <w:t>ce after the base year, 2012–13</w:t>
      </w:r>
    </w:p>
    <w:p w:rsidR="00D1590E" w:rsidRPr="00D1590E" w:rsidRDefault="00D1590E" w:rsidP="00D1590E">
      <w:pPr>
        <w:pStyle w:val="AERbulletlistfirststyle"/>
      </w:pPr>
      <w:r w:rsidRPr="00D1590E">
        <w:t>undertook research into the Local Service Agent (LSA) model, and considers that with the LSA outsourcing model there is the possibility that Essential Energy could realise significant cost savings.</w:t>
      </w:r>
    </w:p>
    <w:p w:rsidR="00D1590E" w:rsidRPr="00D1590E" w:rsidRDefault="00D1590E" w:rsidP="00D1590E">
      <w:pPr>
        <w:rPr>
          <w:rStyle w:val="AERbody"/>
        </w:rPr>
      </w:pPr>
      <w:r w:rsidRPr="00D1590E">
        <w:rPr>
          <w:rStyle w:val="AERbody"/>
        </w:rPr>
        <w:t xml:space="preserve">We outline the NSW service provider's submissions and Deloitte's response to the submissions below. </w:t>
      </w:r>
    </w:p>
    <w:p w:rsidR="00D1590E" w:rsidRPr="00D1590E" w:rsidRDefault="00D1590E" w:rsidP="00D1590E">
      <w:pPr>
        <w:pStyle w:val="HeadingBoldItalic"/>
        <w:rPr>
          <w:rStyle w:val="Strong"/>
        </w:rPr>
      </w:pPr>
      <w:r w:rsidRPr="00D1590E">
        <w:rPr>
          <w:rStyle w:val="Strong"/>
        </w:rPr>
        <w:t>Evidence of high labour costs</w:t>
      </w:r>
    </w:p>
    <w:p w:rsidR="00D1590E" w:rsidRPr="00D1590E" w:rsidRDefault="00D1590E" w:rsidP="00D1590E">
      <w:r w:rsidRPr="00D1590E">
        <w:t>The NSW service providers submitted that Deloitte failed to provide sufficient evidence of high labour costs.</w:t>
      </w:r>
      <w:r w:rsidRPr="00D1590E">
        <w:rPr>
          <w:rStyle w:val="FootnoteReference"/>
        </w:rPr>
        <w:footnoteReference w:id="487"/>
      </w:r>
      <w:r w:rsidRPr="00D1590E">
        <w:t xml:space="preserve"> Deloitte conducted further analysis of labour costs and confirmed that over 2009–14 the NSW service providers had high labour costs. However, this was due to them having more employees than their peers rather than higher costs per employee, which </w:t>
      </w:r>
      <w:r w:rsidRPr="00D1590E">
        <w:fldChar w:fldCharType="begin"/>
      </w:r>
      <w:r w:rsidRPr="00D1590E">
        <w:instrText xml:space="preserve"> REF _Ref417282615 \h </w:instrText>
      </w:r>
      <w:r w:rsidRPr="00D1590E">
        <w:fldChar w:fldCharType="separate"/>
      </w:r>
      <w:r w:rsidR="00C57342" w:rsidRPr="00D1590E">
        <w:t xml:space="preserve">Figure </w:t>
      </w:r>
      <w:r w:rsidR="00C57342">
        <w:rPr>
          <w:noProof/>
        </w:rPr>
        <w:t>A</w:t>
      </w:r>
      <w:r w:rsidR="00C57342" w:rsidRPr="00D1590E">
        <w:t>.</w:t>
      </w:r>
      <w:r w:rsidR="00C57342">
        <w:rPr>
          <w:noProof/>
        </w:rPr>
        <w:t>7</w:t>
      </w:r>
      <w:r w:rsidRPr="00D1590E">
        <w:fldChar w:fldCharType="end"/>
      </w:r>
      <w:r w:rsidRPr="00D1590E">
        <w:t xml:space="preserve"> demonstrates. </w:t>
      </w:r>
      <w:r w:rsidRPr="00D1590E">
        <w:fldChar w:fldCharType="begin"/>
      </w:r>
      <w:r w:rsidRPr="00D1590E">
        <w:instrText xml:space="preserve"> REF _Ref417282615 \h </w:instrText>
      </w:r>
      <w:r w:rsidRPr="00D1590E">
        <w:fldChar w:fldCharType="separate"/>
      </w:r>
      <w:r w:rsidR="00C57342" w:rsidRPr="00D1590E">
        <w:t xml:space="preserve">Figure </w:t>
      </w:r>
      <w:r w:rsidR="00C57342">
        <w:rPr>
          <w:noProof/>
        </w:rPr>
        <w:t>A</w:t>
      </w:r>
      <w:r w:rsidR="00C57342" w:rsidRPr="00D1590E">
        <w:t>.</w:t>
      </w:r>
      <w:r w:rsidR="00C57342">
        <w:rPr>
          <w:noProof/>
        </w:rPr>
        <w:t>7</w:t>
      </w:r>
      <w:r w:rsidRPr="00D1590E">
        <w:fldChar w:fldCharType="end"/>
      </w:r>
      <w:r w:rsidRPr="00D1590E">
        <w:t xml:space="preserve"> compares the NSW service providers' labour costs per ASL to similar NEM service providers and the averages of the Victorian and NEM service providers.</w:t>
      </w:r>
      <w:r w:rsidRPr="00D1590E">
        <w:rPr>
          <w:rStyle w:val="FootnoteReference"/>
        </w:rPr>
        <w:footnoteReference w:id="488"/>
      </w:r>
      <w:r w:rsidRPr="00D1590E" w:rsidDel="00881BA0">
        <w:t xml:space="preserve"> </w:t>
      </w:r>
    </w:p>
    <w:p w:rsidR="00D1590E" w:rsidRPr="00D1590E" w:rsidRDefault="00D1590E" w:rsidP="00D1590E">
      <w:pPr>
        <w:pStyle w:val="Caption"/>
      </w:pPr>
      <w:bookmarkStart w:id="289" w:name="_Ref417282615"/>
      <w:r w:rsidRPr="00D1590E">
        <w:t xml:space="preserve">Figure </w:t>
      </w:r>
      <w:fldSimple w:instr=" STYLEREF 7 \s ">
        <w:r w:rsidR="00C57342">
          <w:rPr>
            <w:noProof/>
          </w:rPr>
          <w:t>A</w:t>
        </w:r>
      </w:fldSimple>
      <w:r w:rsidRPr="00D1590E">
        <w:t>.</w:t>
      </w:r>
      <w:fldSimple w:instr=" SEQ AFigure \* ARABIC \s 7 ">
        <w:r w:rsidR="00C57342">
          <w:rPr>
            <w:noProof/>
          </w:rPr>
          <w:t>7</w:t>
        </w:r>
      </w:fldSimple>
      <w:bookmarkEnd w:id="289"/>
      <w:r w:rsidRPr="00D1590E">
        <w:tab/>
        <w:t>Labour cost per ASL, 2008-09 to 2013-14 (2013–14, $real)</w:t>
      </w:r>
    </w:p>
    <w:p w:rsidR="00D1590E" w:rsidRPr="00D1590E" w:rsidRDefault="00D1590E" w:rsidP="00D1590E">
      <w:pPr>
        <w:pStyle w:val="BodyText"/>
      </w:pPr>
      <w:r w:rsidRPr="00D1590E">
        <w:rPr>
          <w:noProof/>
          <w:lang w:eastAsia="en-AU"/>
        </w:rPr>
        <w:drawing>
          <wp:inline distT="0" distB="0" distL="0" distR="0" wp14:anchorId="4EA5C3BC" wp14:editId="4852F51D">
            <wp:extent cx="5220335" cy="16139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0335" cy="1613988"/>
                    </a:xfrm>
                    <a:prstGeom prst="rect">
                      <a:avLst/>
                    </a:prstGeom>
                    <a:noFill/>
                    <a:ln>
                      <a:noFill/>
                    </a:ln>
                  </pic:spPr>
                </pic:pic>
              </a:graphicData>
            </a:graphic>
          </wp:inline>
        </w:drawing>
      </w:r>
    </w:p>
    <w:p w:rsidR="00D1590E" w:rsidRPr="00D1590E" w:rsidRDefault="00D1590E" w:rsidP="00D1590E">
      <w:pPr>
        <w:pStyle w:val="AERtablesource"/>
      </w:pPr>
      <w:r w:rsidRPr="00D1590E">
        <w:t xml:space="preserve">Source: </w:t>
      </w:r>
      <w:r w:rsidRPr="00D1590E">
        <w:tab/>
        <w:t xml:space="preserve">Deloitte Access Economics, </w:t>
      </w:r>
      <w:r w:rsidRPr="00D1590E">
        <w:rPr>
          <w:rStyle w:val="AERtextitalic"/>
        </w:rPr>
        <w:t>NSW distribution network service providers labour analysis - addendum to 2014 report</w:t>
      </w:r>
      <w:r w:rsidRPr="00D1590E">
        <w:t xml:space="preserve">, April 2015, p. 19; Category analysis RINs. </w:t>
      </w:r>
    </w:p>
    <w:p w:rsidR="00D1590E" w:rsidRPr="00D1590E" w:rsidRDefault="00D1590E" w:rsidP="00D1590E">
      <w:pPr>
        <w:pStyle w:val="AERtablesource"/>
      </w:pPr>
      <w:r w:rsidRPr="00D1590E">
        <w:lastRenderedPageBreak/>
        <w:t>Note:</w:t>
      </w:r>
      <w:r w:rsidRPr="00D1590E">
        <w:tab/>
        <w:t xml:space="preserve">This graph is in financial years, but the Victorian </w:t>
      </w:r>
      <w:r w:rsidR="000C4E69" w:rsidRPr="000C4E69">
        <w:t>distributors</w:t>
      </w:r>
      <w:r w:rsidRPr="00D1590E">
        <w:t xml:space="preserve"> report on the basis of calendar years. The Victorian </w:t>
      </w:r>
      <w:r w:rsidR="000C4E69" w:rsidRPr="000C4E69">
        <w:t>distributors</w:t>
      </w:r>
      <w:r w:rsidRPr="00D1590E">
        <w:t xml:space="preserve"> have not yet reported their 2014 data. </w:t>
      </w:r>
    </w:p>
    <w:p w:rsidR="00D1590E" w:rsidRPr="00D1590E" w:rsidRDefault="00D1590E" w:rsidP="00D1590E">
      <w:bookmarkStart w:id="290" w:name="_Ref417282713"/>
      <w:r w:rsidRPr="00D1590E">
        <w:t xml:space="preserve">However, because the NSW service providers have more ASLs per customer than many of their peers, permanent staff levels are likely driving high labour costs, per </w:t>
      </w:r>
      <w:r w:rsidRPr="00D1590E">
        <w:fldChar w:fldCharType="begin"/>
      </w:r>
      <w:r w:rsidRPr="00D1590E">
        <w:instrText xml:space="preserve"> REF _Ref417632840 \h </w:instrText>
      </w:r>
      <w:r w:rsidRPr="00D1590E">
        <w:fldChar w:fldCharType="separate"/>
      </w:r>
      <w:r w:rsidR="00C57342" w:rsidRPr="00D1590E">
        <w:t xml:space="preserve">Figure </w:t>
      </w:r>
      <w:r w:rsidR="00C57342">
        <w:rPr>
          <w:noProof/>
        </w:rPr>
        <w:t>A</w:t>
      </w:r>
      <w:r w:rsidR="00C57342" w:rsidRPr="00D1590E">
        <w:t>.</w:t>
      </w:r>
      <w:r w:rsidR="00C57342">
        <w:rPr>
          <w:noProof/>
        </w:rPr>
        <w:t>8</w:t>
      </w:r>
      <w:r w:rsidRPr="00D1590E">
        <w:fldChar w:fldCharType="end"/>
      </w:r>
      <w:r w:rsidRPr="00D1590E">
        <w:t>.</w:t>
      </w:r>
    </w:p>
    <w:p w:rsidR="00D1590E" w:rsidRPr="00D1590E" w:rsidRDefault="00D1590E" w:rsidP="00D1590E">
      <w:pPr>
        <w:pStyle w:val="Caption"/>
      </w:pPr>
      <w:bookmarkStart w:id="291" w:name="_Ref417632840"/>
      <w:r w:rsidRPr="00D1590E">
        <w:t xml:space="preserve">Figure </w:t>
      </w:r>
      <w:fldSimple w:instr=" STYLEREF 7 \s ">
        <w:r w:rsidR="00C57342">
          <w:rPr>
            <w:noProof/>
          </w:rPr>
          <w:t>A</w:t>
        </w:r>
      </w:fldSimple>
      <w:r w:rsidRPr="00D1590E">
        <w:t>.</w:t>
      </w:r>
      <w:fldSimple w:instr=" SEQ AFigure \* ARABIC \s 7 ">
        <w:r w:rsidR="00C57342">
          <w:rPr>
            <w:noProof/>
          </w:rPr>
          <w:t>8</w:t>
        </w:r>
      </w:fldSimple>
      <w:bookmarkEnd w:id="290"/>
      <w:bookmarkEnd w:id="291"/>
      <w:r w:rsidRPr="00D1590E">
        <w:tab/>
        <w:t>Average staffing levels per 100,000 customers, 2008-09 to 2013-14</w:t>
      </w:r>
    </w:p>
    <w:p w:rsidR="00D1590E" w:rsidRPr="00D1590E" w:rsidRDefault="00D1590E" w:rsidP="00D1590E">
      <w:r w:rsidRPr="00D1590E">
        <w:rPr>
          <w:noProof/>
          <w:lang w:eastAsia="en-AU"/>
        </w:rPr>
        <w:drawing>
          <wp:inline distT="0" distB="0" distL="0" distR="0" wp14:anchorId="31923001" wp14:editId="5048615E">
            <wp:extent cx="5220335" cy="1593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0335" cy="1593290"/>
                    </a:xfrm>
                    <a:prstGeom prst="rect">
                      <a:avLst/>
                    </a:prstGeom>
                    <a:noFill/>
                    <a:ln>
                      <a:noFill/>
                    </a:ln>
                  </pic:spPr>
                </pic:pic>
              </a:graphicData>
            </a:graphic>
          </wp:inline>
        </w:drawing>
      </w:r>
    </w:p>
    <w:p w:rsidR="00D1590E" w:rsidRPr="00D1590E" w:rsidRDefault="00D1590E" w:rsidP="00D1590E">
      <w:pPr>
        <w:pStyle w:val="AERtablesource"/>
      </w:pPr>
      <w:r w:rsidRPr="00D1590E">
        <w:t xml:space="preserve">Source: </w:t>
      </w:r>
      <w:r w:rsidRPr="00D1590E">
        <w:tab/>
        <w:t xml:space="preserve">Deloitte Access Economics, </w:t>
      </w:r>
      <w:r w:rsidRPr="00D1590E">
        <w:rPr>
          <w:rStyle w:val="AERtextitalic"/>
        </w:rPr>
        <w:t>NSW distribution network service providers labour analysis - addendum to 2014 report</w:t>
      </w:r>
      <w:r w:rsidRPr="00D1590E">
        <w:t xml:space="preserve">, April 2015, p. 22; Category analysis RINs. </w:t>
      </w:r>
    </w:p>
    <w:p w:rsidR="00D1590E" w:rsidRPr="00D1590E" w:rsidRDefault="00D1590E" w:rsidP="00D1590E">
      <w:pPr>
        <w:pStyle w:val="AERtablesource"/>
      </w:pPr>
      <w:r w:rsidRPr="00D1590E">
        <w:t xml:space="preserve">Note: </w:t>
      </w:r>
      <w:r w:rsidRPr="00D1590E">
        <w:tab/>
        <w:t xml:space="preserve">This graph is in financial years, but the Victorian </w:t>
      </w:r>
      <w:r w:rsidR="000C4E69" w:rsidRPr="000C4E69">
        <w:t>distributors</w:t>
      </w:r>
      <w:r w:rsidRPr="00D1590E">
        <w:t xml:space="preserve"> report on the basis of calendar years. The Victorian </w:t>
      </w:r>
      <w:r w:rsidR="000C4E69" w:rsidRPr="000C4E69">
        <w:t>distributors</w:t>
      </w:r>
      <w:r w:rsidRPr="00D1590E">
        <w:t xml:space="preserve"> have not yet reported their 2014 data.</w:t>
      </w:r>
    </w:p>
    <w:p w:rsidR="00D1590E" w:rsidRPr="00D1590E" w:rsidRDefault="00D1590E" w:rsidP="00D1590E">
      <w:r w:rsidRPr="00D1590E">
        <w:fldChar w:fldCharType="begin"/>
      </w:r>
      <w:r w:rsidRPr="00D1590E">
        <w:instrText xml:space="preserve"> REF _Ref417632840 \h </w:instrText>
      </w:r>
      <w:r w:rsidRPr="00D1590E">
        <w:fldChar w:fldCharType="separate"/>
      </w:r>
      <w:r w:rsidR="00C57342" w:rsidRPr="00D1590E">
        <w:t xml:space="preserve">Figure </w:t>
      </w:r>
      <w:r w:rsidR="00C57342">
        <w:rPr>
          <w:noProof/>
        </w:rPr>
        <w:t>A</w:t>
      </w:r>
      <w:r w:rsidR="00C57342" w:rsidRPr="00D1590E">
        <w:t>.</w:t>
      </w:r>
      <w:r w:rsidR="00C57342">
        <w:rPr>
          <w:noProof/>
        </w:rPr>
        <w:t>8</w:t>
      </w:r>
      <w:r w:rsidRPr="00D1590E">
        <w:fldChar w:fldCharType="end"/>
      </w:r>
      <w:r w:rsidRPr="00D1590E">
        <w:t xml:space="preserve"> shows Average Staffing Levels (ASLs) per 100,000 customers. It shows that Ausgrid, Essential Energy and to a lesser extent Endeavour Energy have significantly more employees than the average of service providers in Victoria (excluding UED</w:t>
      </w:r>
      <w:r w:rsidRPr="00D1590E">
        <w:rPr>
          <w:rStyle w:val="FootnoteReference"/>
        </w:rPr>
        <w:footnoteReference w:id="489"/>
      </w:r>
      <w:r w:rsidRPr="00D1590E">
        <w:t>), and SA Power Networks whom our economic benchmarking show to be more efficient.</w:t>
      </w:r>
      <w:r w:rsidRPr="00D1590E">
        <w:rPr>
          <w:rStyle w:val="FootnoteReference"/>
        </w:rPr>
        <w:footnoteReference w:id="490"/>
      </w:r>
    </w:p>
    <w:p w:rsidR="00D1590E" w:rsidRPr="00D1590E" w:rsidRDefault="00D1590E" w:rsidP="00D1590E">
      <w:pPr>
        <w:rPr>
          <w:rStyle w:val="AERbody"/>
        </w:rPr>
      </w:pPr>
      <w:r w:rsidRPr="00D1590E">
        <w:rPr>
          <w:rStyle w:val="AERbody"/>
        </w:rPr>
        <w:t xml:space="preserve">This metric will be influenced by the amount service providers outsource but we do not consider that accounting for all differences in outsourcing practices is required when comparing ASLs per customer. Lower ASLs per customer may indicate a greater degree of outsourcing, and vice versa. However, it is not possible to fully control for outsourcing given that service providers do not tend to contract for inputs (people). Rather, they contract to deliver a certain output. </w:t>
      </w:r>
    </w:p>
    <w:p w:rsidR="00D1590E" w:rsidRPr="00D1590E" w:rsidRDefault="00D1590E" w:rsidP="00D1590E">
      <w:pPr>
        <w:rPr>
          <w:rStyle w:val="AERbody"/>
        </w:rPr>
      </w:pPr>
      <w:r w:rsidRPr="00D1590E">
        <w:rPr>
          <w:rStyle w:val="AERbody"/>
        </w:rPr>
        <w:t xml:space="preserve">Since labour forms a large proportion of opex (approximately 70 per cent, for the NSW service providers) opex per customer is indicative of labour costs per customer. </w:t>
      </w:r>
      <w:r w:rsidRPr="00D1590E">
        <w:rPr>
          <w:rStyle w:val="AERbody"/>
        </w:rPr>
        <w:fldChar w:fldCharType="begin"/>
      </w:r>
      <w:r w:rsidRPr="00D1590E">
        <w:rPr>
          <w:rStyle w:val="AERbody"/>
        </w:rPr>
        <w:instrText xml:space="preserve"> REF _Ref416958342 \h </w:instrText>
      </w:r>
      <w:r w:rsidRPr="00D1590E">
        <w:rPr>
          <w:rStyle w:val="AERbody"/>
        </w:rPr>
      </w:r>
      <w:r w:rsidRPr="00D1590E">
        <w:rPr>
          <w:rStyle w:val="AERbody"/>
        </w:rPr>
        <w:fldChar w:fldCharType="separate"/>
      </w:r>
      <w:r w:rsidR="00C57342" w:rsidRPr="00D1590E">
        <w:t xml:space="preserve">Figure </w:t>
      </w:r>
      <w:r w:rsidR="00C57342">
        <w:rPr>
          <w:noProof/>
        </w:rPr>
        <w:lastRenderedPageBreak/>
        <w:t>A</w:t>
      </w:r>
      <w:r w:rsidR="00C57342" w:rsidRPr="00D1590E">
        <w:t>.</w:t>
      </w:r>
      <w:r w:rsidR="00C57342">
        <w:rPr>
          <w:noProof/>
        </w:rPr>
        <w:t>9</w:t>
      </w:r>
      <w:r w:rsidRPr="00D1590E">
        <w:rPr>
          <w:rStyle w:val="AERbody"/>
        </w:rPr>
        <w:fldChar w:fldCharType="end"/>
      </w:r>
      <w:r w:rsidRPr="00D1590E">
        <w:rPr>
          <w:rStyle w:val="AERbody"/>
        </w:rPr>
        <w:t xml:space="preserve"> shows Ausgrid and Essential Energy have higher opex per customer than most of their peers and Endeavour Energy has higher costs than many of its peers. </w:t>
      </w:r>
    </w:p>
    <w:p w:rsidR="00D1590E" w:rsidRPr="00D1590E" w:rsidRDefault="00D1590E" w:rsidP="00D1590E">
      <w:pPr>
        <w:pStyle w:val="Caption"/>
      </w:pPr>
      <w:bookmarkStart w:id="292" w:name="_Ref416958342"/>
      <w:r w:rsidRPr="00D1590E">
        <w:t xml:space="preserve">Figure </w:t>
      </w:r>
      <w:fldSimple w:instr=" STYLEREF 7 \s ">
        <w:r w:rsidR="00C57342">
          <w:rPr>
            <w:noProof/>
          </w:rPr>
          <w:t>A</w:t>
        </w:r>
      </w:fldSimple>
      <w:r w:rsidRPr="00D1590E">
        <w:t>.</w:t>
      </w:r>
      <w:fldSimple w:instr=" SEQ AFigure \* ARABIC \s 7 ">
        <w:r w:rsidR="00C57342">
          <w:rPr>
            <w:noProof/>
          </w:rPr>
          <w:t>9</w:t>
        </w:r>
      </w:fldSimple>
      <w:bookmarkEnd w:id="292"/>
      <w:r w:rsidRPr="00D1590E">
        <w:tab/>
        <w:t>Average annual opex per customer for 2009–2013 against customer density ($2013-14)</w:t>
      </w:r>
    </w:p>
    <w:p w:rsidR="00D1590E" w:rsidRPr="00D1590E" w:rsidRDefault="00D1590E" w:rsidP="00D1590E">
      <w:pPr>
        <w:rPr>
          <w:rStyle w:val="AERbody"/>
        </w:rPr>
      </w:pPr>
      <w:r w:rsidRPr="00D1590E">
        <w:rPr>
          <w:noProof/>
          <w:lang w:eastAsia="en-AU"/>
        </w:rPr>
        <w:drawing>
          <wp:inline distT="0" distB="0" distL="0" distR="0" wp14:anchorId="03CC262C" wp14:editId="49E1235A">
            <wp:extent cx="5091618" cy="354064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9569" cy="3539217"/>
                    </a:xfrm>
                    <a:prstGeom prst="rect">
                      <a:avLst/>
                    </a:prstGeom>
                    <a:noFill/>
                  </pic:spPr>
                </pic:pic>
              </a:graphicData>
            </a:graphic>
          </wp:inline>
        </w:drawing>
      </w:r>
    </w:p>
    <w:p w:rsidR="00D1590E" w:rsidRPr="00D1590E" w:rsidRDefault="00D1590E" w:rsidP="00D1590E">
      <w:pPr>
        <w:pStyle w:val="AERtablesource"/>
      </w:pPr>
      <w:r w:rsidRPr="00D1590E">
        <w:t xml:space="preserve">Source: </w:t>
      </w:r>
      <w:r w:rsidRPr="00D1590E">
        <w:tab/>
        <w:t>Economic benchmarking RIN responses.</w:t>
      </w:r>
    </w:p>
    <w:p w:rsidR="00D1590E" w:rsidRPr="00D1590E" w:rsidRDefault="00D1590E" w:rsidP="00D1590E">
      <w:pPr>
        <w:rPr>
          <w:rStyle w:val="AERbody"/>
        </w:rPr>
      </w:pPr>
      <w:r w:rsidRPr="00D1590E">
        <w:rPr>
          <w:rStyle w:val="AERbody"/>
        </w:rPr>
        <w:fldChar w:fldCharType="begin"/>
      </w:r>
      <w:r w:rsidRPr="00D1590E">
        <w:rPr>
          <w:rStyle w:val="AERbody"/>
        </w:rPr>
        <w:instrText xml:space="preserve"> REF _Ref416958342 \h </w:instrText>
      </w:r>
      <w:r w:rsidRPr="00D1590E">
        <w:rPr>
          <w:rStyle w:val="AERbody"/>
        </w:rPr>
      </w:r>
      <w:r w:rsidRPr="00D1590E">
        <w:rPr>
          <w:rStyle w:val="AERbody"/>
        </w:rPr>
        <w:fldChar w:fldCharType="separate"/>
      </w:r>
      <w:r w:rsidR="00C57342" w:rsidRPr="00D1590E">
        <w:t xml:space="preserve">Figure </w:t>
      </w:r>
      <w:r w:rsidR="00C57342">
        <w:rPr>
          <w:noProof/>
        </w:rPr>
        <w:t>A</w:t>
      </w:r>
      <w:r w:rsidR="00C57342" w:rsidRPr="00D1590E">
        <w:t>.</w:t>
      </w:r>
      <w:r w:rsidR="00C57342">
        <w:rPr>
          <w:noProof/>
        </w:rPr>
        <w:t>9</w:t>
      </w:r>
      <w:r w:rsidRPr="00D1590E">
        <w:rPr>
          <w:rStyle w:val="AERbody"/>
        </w:rPr>
        <w:fldChar w:fldCharType="end"/>
      </w:r>
      <w:r w:rsidRPr="00D1590E">
        <w:rPr>
          <w:rStyle w:val="AERbody"/>
        </w:rPr>
        <w:t xml:space="preserve"> compares service providers with varying mixes of internal staff and outsourcing. It is apparent that the NSW service providers' high ASL is a driver of high opex and, therefore, high labour costs.</w:t>
      </w:r>
    </w:p>
    <w:p w:rsidR="00D1590E" w:rsidRPr="00D1590E" w:rsidRDefault="00D1590E" w:rsidP="00D1590E">
      <w:pPr>
        <w:rPr>
          <w:rStyle w:val="Strong"/>
        </w:rPr>
      </w:pPr>
      <w:r w:rsidRPr="00D1590E">
        <w:rPr>
          <w:rStyle w:val="AERbody"/>
        </w:rPr>
        <w:t>To this end, service providers who outsource will likely have done so because they expect to realise efficiencies. Indeed, as we discuss below, the service providers who perform better on labour cost per customer, ASL per customer and opex per customer have realised efficiency gains due to outsourcing. The NSW service providers, on the other hand, have not explored all opportunities to outsource.</w:t>
      </w:r>
    </w:p>
    <w:p w:rsidR="00D1590E" w:rsidRPr="00D1590E" w:rsidRDefault="00D1590E" w:rsidP="00D1590E">
      <w:pPr>
        <w:rPr>
          <w:rStyle w:val="AERbody"/>
        </w:rPr>
      </w:pPr>
      <w:r w:rsidRPr="00D1590E">
        <w:rPr>
          <w:rStyle w:val="AERbody"/>
        </w:rPr>
        <w:t xml:space="preserve">If we compare the NSW service providers to Powercor, for example it is evident that the NSW service providers are employing higher proportions of internal labour. Powercor has higher labour costs per ASL but much lower ASLs per customer. This indicates that it is outsourcing low skilled work, but retaining high skilled workers in house. Powercor's low opex per customer in </w:t>
      </w:r>
      <w:r w:rsidRPr="00D1590E">
        <w:rPr>
          <w:rStyle w:val="AERbody"/>
        </w:rPr>
        <w:fldChar w:fldCharType="begin"/>
      </w:r>
      <w:r w:rsidRPr="00D1590E">
        <w:rPr>
          <w:rStyle w:val="AERbody"/>
        </w:rPr>
        <w:instrText xml:space="preserve"> REF _Ref416958342 \h </w:instrText>
      </w:r>
      <w:r w:rsidRPr="00D1590E">
        <w:rPr>
          <w:rStyle w:val="AERbody"/>
        </w:rPr>
      </w:r>
      <w:r w:rsidRPr="00D1590E">
        <w:rPr>
          <w:rStyle w:val="AERbody"/>
        </w:rPr>
        <w:fldChar w:fldCharType="separate"/>
      </w:r>
      <w:r w:rsidR="00C57342" w:rsidRPr="00D1590E">
        <w:t xml:space="preserve">Figure </w:t>
      </w:r>
      <w:r w:rsidR="00C57342">
        <w:rPr>
          <w:noProof/>
        </w:rPr>
        <w:t>A</w:t>
      </w:r>
      <w:r w:rsidR="00C57342" w:rsidRPr="00D1590E">
        <w:t>.</w:t>
      </w:r>
      <w:r w:rsidR="00C57342">
        <w:rPr>
          <w:noProof/>
        </w:rPr>
        <w:t>9</w:t>
      </w:r>
      <w:r w:rsidRPr="00D1590E">
        <w:rPr>
          <w:rStyle w:val="AERbody"/>
        </w:rPr>
        <w:fldChar w:fldCharType="end"/>
      </w:r>
      <w:r w:rsidRPr="00D1590E">
        <w:rPr>
          <w:rStyle w:val="AERbody"/>
        </w:rPr>
        <w:t>.</w:t>
      </w:r>
    </w:p>
    <w:p w:rsidR="00D1590E" w:rsidRPr="00D1590E" w:rsidRDefault="00D1590E" w:rsidP="00D1590E">
      <w:pPr>
        <w:rPr>
          <w:rStyle w:val="AERbody"/>
        </w:rPr>
      </w:pPr>
      <w:r w:rsidRPr="00D1590E">
        <w:rPr>
          <w:rStyle w:val="AERbody"/>
        </w:rPr>
        <w:t xml:space="preserve">On the other hand, the NSW service providers have high labour costs per ASL and very high ASLs per customer. This indicates they are employing a large amount of internal staff at a high cost. Such an approach, is not necessarily inefficient, but appears to be contributing to their very high opex per customer (high in the case of </w:t>
      </w:r>
      <w:r w:rsidRPr="00D1590E">
        <w:rPr>
          <w:rStyle w:val="AERbody"/>
        </w:rPr>
        <w:lastRenderedPageBreak/>
        <w:t xml:space="preserve">Endeavour Energy) in </w:t>
      </w:r>
      <w:r w:rsidRPr="00D1590E">
        <w:rPr>
          <w:rStyle w:val="AERbody"/>
        </w:rPr>
        <w:fldChar w:fldCharType="begin"/>
      </w:r>
      <w:r w:rsidRPr="00D1590E">
        <w:rPr>
          <w:rStyle w:val="AERbody"/>
        </w:rPr>
        <w:instrText xml:space="preserve"> REF _Ref416958342 \h </w:instrText>
      </w:r>
      <w:r w:rsidRPr="00D1590E">
        <w:rPr>
          <w:rStyle w:val="AERbody"/>
        </w:rPr>
      </w:r>
      <w:r w:rsidRPr="00D1590E">
        <w:rPr>
          <w:rStyle w:val="AERbody"/>
        </w:rPr>
        <w:fldChar w:fldCharType="separate"/>
      </w:r>
      <w:r w:rsidR="00C57342" w:rsidRPr="00D1590E">
        <w:t xml:space="preserve">Figure </w:t>
      </w:r>
      <w:r w:rsidR="00C57342">
        <w:rPr>
          <w:noProof/>
        </w:rPr>
        <w:t>A</w:t>
      </w:r>
      <w:r w:rsidR="00C57342" w:rsidRPr="00D1590E">
        <w:t>.</w:t>
      </w:r>
      <w:r w:rsidR="00C57342">
        <w:rPr>
          <w:noProof/>
        </w:rPr>
        <w:t>9</w:t>
      </w:r>
      <w:r w:rsidRPr="00D1590E">
        <w:rPr>
          <w:rStyle w:val="AERbody"/>
        </w:rPr>
        <w:fldChar w:fldCharType="end"/>
      </w:r>
      <w:r w:rsidRPr="00D1590E">
        <w:rPr>
          <w:rStyle w:val="AERbody"/>
        </w:rPr>
        <w:t xml:space="preserve"> (and our economic benchmarking). As a result, the NSW service providers could potentially achieve efficiencies by outsourcing more. </w:t>
      </w:r>
    </w:p>
    <w:p w:rsidR="00D1590E" w:rsidRPr="00D1590E" w:rsidRDefault="00D1590E" w:rsidP="00D1590E">
      <w:r w:rsidRPr="00D1590E">
        <w:rPr>
          <w:rStyle w:val="AERbody"/>
        </w:rPr>
        <w:t>Outsourcing will not necessarily be the lowest cost option in every circumstance. However, as we discuss below, Deloitte considers that the NSW service providers, due to restrictions on outsourcing in their EBA, face limitations on resourcing flexibility and cost.</w:t>
      </w:r>
      <w:r w:rsidRPr="00D1590E">
        <w:t xml:space="preserve"> Deloitte considers the gains through outsourcing realised by the Victorian service providers is one of the key reasons for the productivity gap between them and the NSW service providers.</w:t>
      </w:r>
      <w:r w:rsidRPr="00D1590E">
        <w:rPr>
          <w:rStyle w:val="FootnoteReference"/>
        </w:rPr>
        <w:footnoteReference w:id="491"/>
      </w:r>
    </w:p>
    <w:p w:rsidR="00D1590E" w:rsidRPr="00D1590E" w:rsidRDefault="00D1590E" w:rsidP="00D1590E">
      <w:pPr>
        <w:pStyle w:val="HeadingBoldItalic"/>
        <w:rPr>
          <w:rStyle w:val="Strong"/>
        </w:rPr>
      </w:pPr>
      <w:r w:rsidRPr="00D1590E">
        <w:rPr>
          <w:rStyle w:val="Strong"/>
        </w:rPr>
        <w:t>Number of employees</w:t>
      </w:r>
    </w:p>
    <w:p w:rsidR="00D1590E" w:rsidRPr="00D1590E" w:rsidRDefault="00D1590E" w:rsidP="00D1590E">
      <w:r w:rsidRPr="00D1590E">
        <w:t>In response to Deloitte's analysis of EBA provisions, the NSW service providers submitted comparisons of EBA conditions across Australian utilities.</w:t>
      </w:r>
      <w:r w:rsidRPr="00D1590E">
        <w:rPr>
          <w:rStyle w:val="FootnoteReference"/>
        </w:rPr>
        <w:footnoteReference w:id="492"/>
      </w:r>
      <w:r w:rsidRPr="00D1590E">
        <w:t xml:space="preserve"> They considered that their wages and employment conditions compare favourably against peers when all employment conditions are considered.</w:t>
      </w:r>
      <w:r w:rsidRPr="00D1590E">
        <w:rPr>
          <w:rStyle w:val="FootnoteReference"/>
        </w:rPr>
        <w:footnoteReference w:id="493"/>
      </w:r>
    </w:p>
    <w:p w:rsidR="00D1590E" w:rsidRDefault="00D1590E" w:rsidP="00D1590E">
      <w:r w:rsidRPr="00D1590E">
        <w:t>Deloitte presented further analysis of the EBA clauses which constrain workforce flexibility and contribute to an increased number of employees. Deloitte found that the majority of service providers</w:t>
      </w:r>
      <w:r w:rsidRPr="00D1590E">
        <w:rPr>
          <w:rStyle w:val="FootnoteReference"/>
        </w:rPr>
        <w:footnoteReference w:id="494"/>
      </w:r>
      <w:r w:rsidRPr="00D1590E">
        <w:t xml:space="preserve"> cannot carry out forced redundancies as a result of provisions in their respective EBAs.</w:t>
      </w:r>
      <w:r w:rsidRPr="00D1590E">
        <w:rPr>
          <w:rStyle w:val="FootnoteReference"/>
        </w:rPr>
        <w:footnoteReference w:id="495"/>
      </w:r>
      <w:r w:rsidRPr="00D1590E">
        <w:t xml:space="preserve"> It considered that these provisions are an important impediment to any program of reductions in workforce size, outside of natural attrition.</w:t>
      </w:r>
      <w:r w:rsidRPr="00D1590E">
        <w:rPr>
          <w:rStyle w:val="FootnoteReference"/>
        </w:rPr>
        <w:footnoteReference w:id="496"/>
      </w:r>
      <w:r w:rsidRPr="00D1590E">
        <w:t xml:space="preserve"> However, Deloitte reiterates that the NSW service providers have a higher proportion of their workforces employed under EBAs than service providers in other states. This amplifies the inflexibilities in the NSW service providers' EBAs.</w:t>
      </w:r>
      <w:r w:rsidRPr="00D1590E">
        <w:rPr>
          <w:rStyle w:val="FootnoteReference"/>
        </w:rPr>
        <w:footnoteReference w:id="497"/>
      </w:r>
    </w:p>
    <w:p w:rsidR="005048F1" w:rsidRDefault="005048F1">
      <w:pPr>
        <w:spacing w:line="240" w:lineRule="auto"/>
      </w:pPr>
      <w:r>
        <w:br w:type="page"/>
      </w:r>
    </w:p>
    <w:p w:rsidR="00D1590E" w:rsidRPr="00D1590E" w:rsidRDefault="00D1590E" w:rsidP="00D1590E">
      <w:pPr>
        <w:pStyle w:val="HeadingBoldItalic"/>
        <w:rPr>
          <w:rStyle w:val="Strong"/>
        </w:rPr>
      </w:pPr>
      <w:r w:rsidRPr="00D1590E">
        <w:rPr>
          <w:rStyle w:val="Strong"/>
        </w:rPr>
        <w:lastRenderedPageBreak/>
        <w:t>Outsourcing during the 2009–14 regulatory period</w:t>
      </w:r>
    </w:p>
    <w:p w:rsidR="00D1590E" w:rsidRPr="00D1590E" w:rsidRDefault="00D1590E" w:rsidP="00D1590E">
      <w:r w:rsidRPr="00D1590E">
        <w:t>The NSW service providers submitted that outsourcing is not appropriate in all circumstances, and note much of the Victorian service providers outsourced work is outsourced to related parties.</w:t>
      </w:r>
      <w:r w:rsidRPr="00D1590E">
        <w:rPr>
          <w:rStyle w:val="FootnoteReference"/>
        </w:rPr>
        <w:footnoteReference w:id="498"/>
      </w:r>
    </w:p>
    <w:p w:rsidR="00D1590E" w:rsidRPr="00D1590E" w:rsidRDefault="00D1590E" w:rsidP="00D1590E">
      <w:r w:rsidRPr="00D1590E">
        <w:t>Deloitte agreed with the NSW service providers’ that outsourcing is not appropriate in all circumstances. However, it considered that the optimum level is likely to be higher than that of the NSW service providers over 2009–14 because the Victorian service providers outsource more of their opex and have attributed some of their efficiency gains to outsourcing.</w:t>
      </w:r>
      <w:r w:rsidRPr="00D1590E">
        <w:rPr>
          <w:rStyle w:val="FootnoteReference"/>
        </w:rPr>
        <w:footnoteReference w:id="499"/>
      </w:r>
      <w:r w:rsidRPr="00D1590E">
        <w:t xml:space="preserve"> Deloitte maintained its view that outsourcing also provides benefits by imposing competitive pressure on the internal workforce to improve productivity. Deloitte considered that gains through outsourcing realised by the Victorian service providers is one of the key reasons for the productivity gap between them and the NSW service providers.</w:t>
      </w:r>
      <w:r w:rsidRPr="00D1590E">
        <w:rPr>
          <w:rStyle w:val="FootnoteReference"/>
        </w:rPr>
        <w:footnoteReference w:id="500"/>
      </w:r>
    </w:p>
    <w:p w:rsidR="00D1590E" w:rsidRPr="00D1590E" w:rsidRDefault="00D1590E" w:rsidP="00D1590E">
      <w:pPr>
        <w:rPr>
          <w:rStyle w:val="Strong"/>
        </w:rPr>
      </w:pPr>
      <w:r w:rsidRPr="00D1590E">
        <w:t>Deloitte also noted that, even after accounting for the Victorian service providers' outsourcing to related parties and assuming it is no more efficient than an internal workforce (which they disagree with), the Victorian service providers still outsource around 25 percent more opex than the NSW service providers.</w:t>
      </w:r>
      <w:r w:rsidRPr="00D1590E">
        <w:rPr>
          <w:rStyle w:val="FootnoteReference"/>
        </w:rPr>
        <w:footnoteReference w:id="501"/>
      </w:r>
      <w:r w:rsidRPr="00D1590E">
        <w:t xml:space="preserve"> </w:t>
      </w:r>
    </w:p>
    <w:p w:rsidR="00D1590E" w:rsidRPr="00D1590E" w:rsidDel="00FA2CB7" w:rsidRDefault="00D1590E" w:rsidP="00D1590E">
      <w:pPr>
        <w:pStyle w:val="HeadingBoldItalic"/>
        <w:rPr>
          <w:rStyle w:val="Strong"/>
        </w:rPr>
      </w:pPr>
      <w:r w:rsidRPr="00D1590E" w:rsidDel="00FA2CB7">
        <w:rPr>
          <w:rStyle w:val="Strong"/>
        </w:rPr>
        <w:t>Efficiency programs and base year efficiency</w:t>
      </w:r>
    </w:p>
    <w:p w:rsidR="00D1590E" w:rsidRPr="00D1590E" w:rsidRDefault="00D1590E" w:rsidP="00D1590E">
      <w:pPr>
        <w:pStyle w:val="BodyText"/>
      </w:pPr>
      <w:r w:rsidRPr="00D1590E">
        <w:t>The NSW service providers submitted that the AER and Deloitte did not take into account the information they provided to show that they have implemented significant efficiency programs in the 2009–14 regulatory period.</w:t>
      </w:r>
      <w:r w:rsidRPr="00D1590E">
        <w:rPr>
          <w:rStyle w:val="FootnoteReference"/>
        </w:rPr>
        <w:footnoteReference w:id="502"/>
      </w:r>
    </w:p>
    <w:p w:rsidR="00D1590E" w:rsidRPr="00D1590E" w:rsidRDefault="00D1590E" w:rsidP="00D1590E">
      <w:pPr>
        <w:pStyle w:val="BodyText"/>
      </w:pPr>
      <w:r w:rsidRPr="00D1590E" w:rsidDel="00FA2CB7">
        <w:t xml:space="preserve">Using the new information provided on efficiency programs conducted by Endeavour and Ausgrid, Deloitte undertook new analysis of the timing of reductions in FTEs. </w:t>
      </w:r>
      <w:r w:rsidRPr="00D1590E">
        <w:t>It</w:t>
      </w:r>
      <w:r w:rsidRPr="00D1590E" w:rsidDel="00FA2CB7">
        <w:t xml:space="preserve"> f</w:t>
      </w:r>
      <w:r w:rsidRPr="00D1590E">
        <w:t>ou</w:t>
      </w:r>
      <w:r w:rsidRPr="00D1590E" w:rsidDel="00FA2CB7">
        <w:t>nd</w:t>
      </w:r>
      <w:r w:rsidRPr="00D1590E">
        <w:t xml:space="preserve"> </w:t>
      </w:r>
      <w:r w:rsidRPr="00D1590E" w:rsidDel="00FA2CB7">
        <w:t>that the NSW service providers have managed to achieve significant reductions in labour costs through reducing the number of staff, and are forecasting further savings, but that most of the reductions take place after the base year, 2012–13</w:t>
      </w:r>
      <w:r w:rsidRPr="00D1590E">
        <w:t xml:space="preserve"> (see </w:t>
      </w:r>
      <w:r w:rsidRPr="00D1590E">
        <w:fldChar w:fldCharType="begin"/>
      </w:r>
      <w:r w:rsidRPr="00D1590E">
        <w:instrText xml:space="preserve"> REF _Ref417014871 \h </w:instrText>
      </w:r>
      <w:r w:rsidRPr="00D1590E">
        <w:fldChar w:fldCharType="separate"/>
      </w:r>
      <w:r w:rsidR="00C57342" w:rsidRPr="00D1590E">
        <w:t xml:space="preserve">Figure </w:t>
      </w:r>
      <w:r w:rsidR="00C57342">
        <w:rPr>
          <w:noProof/>
        </w:rPr>
        <w:t>A</w:t>
      </w:r>
      <w:r w:rsidR="00C57342" w:rsidRPr="00D1590E">
        <w:t>.</w:t>
      </w:r>
      <w:r w:rsidR="00C57342">
        <w:rPr>
          <w:noProof/>
        </w:rPr>
        <w:t>10</w:t>
      </w:r>
      <w:r w:rsidRPr="00D1590E">
        <w:fldChar w:fldCharType="end"/>
      </w:r>
      <w:r w:rsidRPr="00D1590E">
        <w:t>)</w:t>
      </w:r>
      <w:r w:rsidRPr="00D1590E" w:rsidDel="00FA2CB7">
        <w:t>.</w:t>
      </w:r>
      <w:r w:rsidRPr="00D1590E">
        <w:rPr>
          <w:rStyle w:val="FootnoteReference"/>
        </w:rPr>
        <w:footnoteReference w:id="503"/>
      </w:r>
    </w:p>
    <w:p w:rsidR="00D1590E" w:rsidRPr="00D1590E" w:rsidRDefault="00D1590E" w:rsidP="00D1590E">
      <w:pPr>
        <w:pStyle w:val="Caption"/>
      </w:pPr>
      <w:bookmarkStart w:id="293" w:name="_Ref417014871"/>
      <w:r w:rsidRPr="00D1590E">
        <w:lastRenderedPageBreak/>
        <w:t xml:space="preserve">Figure </w:t>
      </w:r>
      <w:fldSimple w:instr=" STYLEREF 7 \s ">
        <w:r w:rsidR="00C57342">
          <w:rPr>
            <w:noProof/>
          </w:rPr>
          <w:t>A</w:t>
        </w:r>
      </w:fldSimple>
      <w:r w:rsidRPr="00D1590E">
        <w:t>.</w:t>
      </w:r>
      <w:fldSimple w:instr=" SEQ AFigure \* ARABIC \s 7 ">
        <w:r w:rsidR="00C57342">
          <w:rPr>
            <w:noProof/>
          </w:rPr>
          <w:t>10</w:t>
        </w:r>
      </w:fldSimple>
      <w:bookmarkEnd w:id="293"/>
      <w:r w:rsidRPr="00D1590E">
        <w:tab/>
      </w:r>
      <w:r w:rsidRPr="00D1590E">
        <w:tab/>
        <w:t>FTE reductions (non-TSA) in and after the base year</w:t>
      </w:r>
    </w:p>
    <w:p w:rsidR="00D1590E" w:rsidRPr="00D1590E" w:rsidRDefault="00D1590E" w:rsidP="00D1590E">
      <w:r w:rsidRPr="00D1590E">
        <w:rPr>
          <w:noProof/>
          <w:lang w:eastAsia="en-AU"/>
        </w:rPr>
        <w:drawing>
          <wp:inline distT="0" distB="0" distL="0" distR="0" wp14:anchorId="5D160477" wp14:editId="30B64217">
            <wp:extent cx="5220335" cy="2004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0335" cy="2004695"/>
                    </a:xfrm>
                    <a:prstGeom prst="rect">
                      <a:avLst/>
                    </a:prstGeom>
                    <a:noFill/>
                    <a:ln>
                      <a:noFill/>
                    </a:ln>
                  </pic:spPr>
                </pic:pic>
              </a:graphicData>
            </a:graphic>
          </wp:inline>
        </w:drawing>
      </w:r>
    </w:p>
    <w:p w:rsidR="00D1590E" w:rsidRPr="00D1590E" w:rsidRDefault="00D1590E" w:rsidP="00D1590E">
      <w:pPr>
        <w:pStyle w:val="AERtablesource"/>
      </w:pPr>
      <w:r w:rsidRPr="00D1590E">
        <w:t xml:space="preserve">Source: </w:t>
      </w:r>
      <w:r w:rsidRPr="00D1590E">
        <w:tab/>
        <w:t>Deloitte (2015); Ausgrid, Revised regulatory proposal, Attachment 6.04, 19 January 2015, pp. 5-6.</w:t>
      </w:r>
    </w:p>
    <w:p w:rsidR="00D1590E" w:rsidRPr="00D1590E" w:rsidRDefault="00D1590E" w:rsidP="00D1590E">
      <w:pPr>
        <w:pStyle w:val="AERtablesource"/>
      </w:pPr>
      <w:r w:rsidRPr="00D1590E">
        <w:t>Note:</w:t>
      </w:r>
      <w:r w:rsidRPr="00D1590E">
        <w:tab/>
        <w:t>FTE reductions relate to capex and opex.</w:t>
      </w:r>
    </w:p>
    <w:p w:rsidR="00D1590E" w:rsidRPr="00D1590E" w:rsidRDefault="00D1590E" w:rsidP="00D1590E">
      <w:pPr>
        <w:pStyle w:val="AERtablesource"/>
      </w:pPr>
      <w:r w:rsidRPr="00D1590E">
        <w:tab/>
        <w:t>Non-TSA FTEs are those not related to the sale of the distributors' retail businesses.</w:t>
      </w:r>
    </w:p>
    <w:p w:rsidR="00D1590E" w:rsidRPr="00D1590E" w:rsidRDefault="00D1590E" w:rsidP="00D1590E">
      <w:pPr>
        <w:pStyle w:val="HeadingBoldItalic"/>
        <w:rPr>
          <w:rStyle w:val="Strong"/>
        </w:rPr>
      </w:pPr>
      <w:r w:rsidRPr="00D1590E">
        <w:rPr>
          <w:rStyle w:val="Strong"/>
        </w:rPr>
        <w:t>Regional depots and the Local Service Agent model</w:t>
      </w:r>
    </w:p>
    <w:p w:rsidR="00D1590E" w:rsidRPr="00D1590E" w:rsidRDefault="00D1590E" w:rsidP="00D1590E">
      <w:r w:rsidRPr="00D1590E">
        <w:t>In its revised regulatory proposal, Essential's Energy submitted that the dispersed nature of its network constrains the open market from cost effectively proving alternative sources of labour and services in regional locations.</w:t>
      </w:r>
      <w:r w:rsidRPr="00D1590E">
        <w:rPr>
          <w:rStyle w:val="FootnoteReference"/>
        </w:rPr>
        <w:footnoteReference w:id="504"/>
      </w:r>
    </w:p>
    <w:p w:rsidR="00D1590E" w:rsidRPr="00D1590E" w:rsidRDefault="00D1590E" w:rsidP="00D1590E">
      <w:r w:rsidRPr="00D1590E">
        <w:t>In response, Deloitte undertook research into the LSA outsourcing model, and considered that by applying the LSA model there is the possibility that Essential Energy could realise significant cost savings.</w:t>
      </w:r>
      <w:r w:rsidRPr="00D1590E">
        <w:rPr>
          <w:rStyle w:val="FootnoteReference"/>
        </w:rPr>
        <w:footnoteReference w:id="505"/>
      </w:r>
    </w:p>
    <w:p w:rsidR="00D1590E" w:rsidRPr="00D1590E" w:rsidRDefault="00D1590E" w:rsidP="00D1590E">
      <w:r w:rsidRPr="00D1590E">
        <w:t>Deloitte found the LSA model had significantly increased the operational efficiency of Powercor’s regional network areas. These efficiency outcomes were associated with:</w:t>
      </w:r>
      <w:r w:rsidRPr="00D1590E">
        <w:rPr>
          <w:rStyle w:val="FootnoteReference"/>
        </w:rPr>
        <w:footnoteReference w:id="506"/>
      </w:r>
    </w:p>
    <w:p w:rsidR="00D1590E" w:rsidRPr="00D1590E" w:rsidRDefault="00D1590E" w:rsidP="00D1590E">
      <w:pPr>
        <w:pStyle w:val="AERbulletlistfirststyle"/>
      </w:pPr>
      <w:r w:rsidRPr="00D1590E">
        <w:t>reductions in the absolute number of depots and sites;</w:t>
      </w:r>
    </w:p>
    <w:p w:rsidR="00D1590E" w:rsidRPr="00D1590E" w:rsidRDefault="00D1590E" w:rsidP="00D1590E">
      <w:pPr>
        <w:pStyle w:val="AERbulletlistfirststyle"/>
      </w:pPr>
      <w:r w:rsidRPr="00D1590E">
        <w:t>reductions in staff per depot, with more flexibility in rostering;</w:t>
      </w:r>
    </w:p>
    <w:p w:rsidR="00D1590E" w:rsidRPr="00D1590E" w:rsidRDefault="00D1590E" w:rsidP="00D1590E">
      <w:pPr>
        <w:pStyle w:val="AERbulletlistfirststyle"/>
      </w:pPr>
      <w:r w:rsidRPr="00D1590E">
        <w:t>cultural change, driven by the small business incentives to reduce costs. Once the LSA model was established, significant efficiencies were identified and achieved in a range of existing processes, driven by a more cost-conscious approach and the need to reduce overtime.</w:t>
      </w:r>
    </w:p>
    <w:p w:rsidR="00D1590E" w:rsidRPr="00D1590E" w:rsidRDefault="00D1590E" w:rsidP="00D1590E">
      <w:r w:rsidRPr="00D1590E">
        <w:t xml:space="preserve">Deloitte considered that Essential Energy could realise similar benefits implementing a LSA model. Essential Energy was formed as an amalgamation of small council </w:t>
      </w:r>
      <w:r w:rsidRPr="00D1590E">
        <w:lastRenderedPageBreak/>
        <w:t>networks, similar to Powercor, and therefore the location of many of its sites and depots remains a function of historical arrangements.</w:t>
      </w:r>
      <w:r w:rsidRPr="00D1590E">
        <w:rPr>
          <w:rStyle w:val="FootnoteReference"/>
        </w:rPr>
        <w:footnoteReference w:id="507"/>
      </w:r>
      <w:r w:rsidRPr="00D1590E">
        <w:t xml:space="preserve"> We consider Essential Energy could realise these efficiencies in addition to those gains identified in the Networks NSW document entitled </w:t>
      </w:r>
      <w:r w:rsidRPr="00D1590E">
        <w:rPr>
          <w:rStyle w:val="AERtextitalic"/>
        </w:rPr>
        <w:t>Delivering efficiencies for our customers</w:t>
      </w:r>
      <w:r w:rsidRPr="00D1590E">
        <w:t>.</w:t>
      </w:r>
      <w:r w:rsidRPr="00D1590E">
        <w:rPr>
          <w:rStyle w:val="FootnoteReference"/>
        </w:rPr>
        <w:footnoteReference w:id="508"/>
      </w:r>
    </w:p>
    <w:p w:rsidR="00D1590E" w:rsidRPr="00D1590E" w:rsidRDefault="00D1590E" w:rsidP="00D1590E">
      <w:pPr>
        <w:pStyle w:val="HeadingBoldBlue"/>
      </w:pPr>
      <w:bookmarkStart w:id="294" w:name="_Toc417646295"/>
      <w:r w:rsidRPr="00D1590E">
        <w:t>Detailed review of vegetation management</w:t>
      </w:r>
      <w:bookmarkEnd w:id="294"/>
    </w:p>
    <w:p w:rsidR="00D1590E" w:rsidRPr="00D1590E" w:rsidRDefault="00D1590E" w:rsidP="00D1590E">
      <w:r w:rsidRPr="00D1590E">
        <w:t>We maintain that our detailed review into Essential Energy's vegetation management expenditure provides evidence of the gap in performance in its base opex as observed in our economic benchmarking.</w:t>
      </w:r>
    </w:p>
    <w:p w:rsidR="00D1590E" w:rsidRPr="00D1590E" w:rsidRDefault="00D1590E" w:rsidP="00D1590E">
      <w:r w:rsidRPr="00D1590E">
        <w:t>In particular, we consider the Select Solutions report (and Essential Energy documentation discussing it) submitted by Essential Energy with its regulatory proposal demonstrates there are inefficiencies in its vegetation management practices in the 2012–13 base year. While Essential may have since improved its practices, the evidence suggests it had not done so in 2012–13. Therefore, the costs in 2012–13 are overstated.</w:t>
      </w:r>
    </w:p>
    <w:p w:rsidR="00D1590E" w:rsidRPr="00D1590E" w:rsidRDefault="00D1590E" w:rsidP="00D1590E">
      <w:r w:rsidRPr="00D1590E">
        <w:t>In its revised proposal, Essential Energy disagreed with the conclusions of our draft decision analysis of its vegetation management expenditure. Ausgrid and Endeavour Energy also commented that we have used the review of Essential Energy's vegetation management program to support our view that the other service providers are inefficient. We consider these issues separately.</w:t>
      </w:r>
    </w:p>
    <w:p w:rsidR="00D1590E" w:rsidRPr="00D1590E" w:rsidRDefault="00D1590E" w:rsidP="00D1590E">
      <w:pPr>
        <w:pStyle w:val="HeadingBoldItalic"/>
        <w:rPr>
          <w:rStyle w:val="Strong"/>
        </w:rPr>
      </w:pPr>
      <w:r w:rsidRPr="00D1590E">
        <w:rPr>
          <w:rStyle w:val="Strong"/>
        </w:rPr>
        <w:t>Essential Energy's submission on the detailed review</w:t>
      </w:r>
    </w:p>
    <w:p w:rsidR="00D1590E" w:rsidRPr="00D1590E" w:rsidRDefault="00D1590E" w:rsidP="00D1590E">
      <w:r w:rsidRPr="00D1590E">
        <w:t>Essential Energy submitted that if we had undertaken our task in a proper manner we would have been satisfied that the proposed vegetation management costs were the efficient and prudent level of expenditure to achieve its regulatory obligations. Essential Energy and Advisian (engaged by Networks NSW) have submitted material with Essential Energy's revised proposal in which they considered:</w:t>
      </w:r>
      <w:r w:rsidRPr="00D1590E">
        <w:rPr>
          <w:rStyle w:val="FootnoteReference"/>
        </w:rPr>
        <w:footnoteReference w:id="509"/>
      </w:r>
    </w:p>
    <w:p w:rsidR="00D1590E" w:rsidRPr="00D1590E" w:rsidRDefault="00D1590E" w:rsidP="00D1590E">
      <w:pPr>
        <w:pStyle w:val="AERbulletlistfirststyle"/>
      </w:pPr>
      <w:r w:rsidRPr="00D1590E">
        <w:t>Essential Energy and Ergon Energy are only good comparators on customer density; and are not good comparators in relation to clearance requirements, bushfire risk and outage information;</w:t>
      </w:r>
    </w:p>
    <w:p w:rsidR="00D1590E" w:rsidRPr="00D1590E" w:rsidRDefault="00D1590E" w:rsidP="00D1590E">
      <w:pPr>
        <w:pStyle w:val="AERbulletlistfirststyle"/>
      </w:pPr>
      <w:r w:rsidRPr="00D1590E">
        <w:t>we were incorrect in our assessment of clearance requirements in NSW compared to other jurisdictions;</w:t>
      </w:r>
    </w:p>
    <w:p w:rsidR="00D1590E" w:rsidRPr="00D1590E" w:rsidRDefault="00D1590E" w:rsidP="00D1590E">
      <w:pPr>
        <w:pStyle w:val="AERbulletlistfirststyle"/>
      </w:pPr>
      <w:r w:rsidRPr="00D1590E">
        <w:t>we were incorrect in assessment of bushfire risk in NSW compared to other jurisdictions;</w:t>
      </w:r>
    </w:p>
    <w:p w:rsidR="00D1590E" w:rsidRPr="00D1590E" w:rsidRDefault="00D1590E" w:rsidP="00D1590E">
      <w:pPr>
        <w:pStyle w:val="AERbulletlistfirststyle"/>
      </w:pPr>
      <w:r w:rsidRPr="00D1590E">
        <w:lastRenderedPageBreak/>
        <w:t>it is inappropriate for us to rely on benchmark expenditure in a single year to forecast ongoing efficient costs;</w:t>
      </w:r>
    </w:p>
    <w:p w:rsidR="00D1590E" w:rsidRPr="00D1590E" w:rsidRDefault="00D1590E" w:rsidP="00D1590E">
      <w:pPr>
        <w:pStyle w:val="AERbulletlistfirststyle"/>
      </w:pPr>
      <w:r w:rsidRPr="00D1590E">
        <w:t>Powercor and SA Power Networks (who are service providers in the top quartile of our economic benchmarking results) have increased vegetation management opex at a greater rate over the period;</w:t>
      </w:r>
    </w:p>
    <w:p w:rsidR="00D1590E" w:rsidRPr="00D1590E" w:rsidRDefault="00D1590E" w:rsidP="00D1590E">
      <w:pPr>
        <w:pStyle w:val="AERbulletlistfirststyle"/>
      </w:pPr>
      <w:r w:rsidRPr="00D1590E">
        <w:t>the Select Solutions report is outdated and does not apply to Essential Energy's current practices;</w:t>
      </w:r>
    </w:p>
    <w:p w:rsidR="00D1590E" w:rsidRPr="00D1590E" w:rsidRDefault="00D1590E" w:rsidP="00D1590E">
      <w:pPr>
        <w:pStyle w:val="AERbulletlistfirststyle"/>
      </w:pPr>
      <w:r w:rsidRPr="00D1590E">
        <w:t>our view that vegetation management overhead is too high is incorrect, and is a consequence of Essential Energy's overhead allocation model; and</w:t>
      </w:r>
    </w:p>
    <w:p w:rsidR="00D1590E" w:rsidRPr="00D1590E" w:rsidRDefault="00D1590E" w:rsidP="00D1590E">
      <w:pPr>
        <w:pStyle w:val="AERbulletlistfirststyle"/>
      </w:pPr>
      <w:r w:rsidRPr="00D1590E">
        <w:t>Essential Energy's</w:t>
      </w:r>
      <w:r w:rsidRPr="00D1590E" w:rsidDel="00797522">
        <w:t xml:space="preserve"> </w:t>
      </w:r>
      <w:r w:rsidRPr="00D1590E">
        <w:t>forecast costs were based on external delivery of vegetation management, which it considers, provides a level of satisfaction as to the efficiency of its costs.</w:t>
      </w:r>
    </w:p>
    <w:p w:rsidR="00D1590E" w:rsidRPr="00D1590E" w:rsidRDefault="00D1590E" w:rsidP="00D1590E">
      <w:r w:rsidRPr="00D1590E">
        <w:t>We have had regard to the information submitted by Essential Energy and Advisian. However, we consider the following factors are important in drawing conclusions about vegetation management as a driver of costs and its impact on Essential Energy's revealed opex in 2012–13:</w:t>
      </w:r>
    </w:p>
    <w:p w:rsidR="00D1590E" w:rsidRPr="00D1590E" w:rsidRDefault="00D1590E" w:rsidP="00D1590E">
      <w:pPr>
        <w:pStyle w:val="AERbulletlistfirststyle"/>
      </w:pPr>
      <w:r w:rsidRPr="00D1590E">
        <w:t>Essential Energy proposed a negative step change to vegetation management based on a forecast reduction in expenditure. This was due to 'strategic reform initiatives'.</w:t>
      </w:r>
      <w:r w:rsidRPr="00D1590E">
        <w:rPr>
          <w:rStyle w:val="FootnoteReference"/>
        </w:rPr>
        <w:footnoteReference w:id="510"/>
      </w:r>
    </w:p>
    <w:p w:rsidR="00D1590E" w:rsidRPr="00D1590E" w:rsidRDefault="00D1590E" w:rsidP="00D1590E">
      <w:pPr>
        <w:pStyle w:val="AERbulletlistfirststyle"/>
      </w:pPr>
      <w:r w:rsidRPr="00D1590E">
        <w:t>The strategic reform initiatives were based on analysis performed by Select Solutions. Select Solutions presented its findings in a report dated March 2013. Select Solutions' review found that Essential Energy must move to a "significantly more efficient" vegetation management model to reduce the impact of its expenditure on customer prices.</w:t>
      </w:r>
      <w:r w:rsidRPr="00D1590E">
        <w:rPr>
          <w:rStyle w:val="FootnoteReference"/>
        </w:rPr>
        <w:footnoteReference w:id="511"/>
      </w:r>
      <w:r w:rsidRPr="00D1590E">
        <w:t xml:space="preserve"> Select Solutions identified sixteen recommendations to improve efficiency, 12 of which it considered were very high priority.</w:t>
      </w:r>
      <w:r w:rsidRPr="00D1590E">
        <w:rPr>
          <w:rStyle w:val="FootnoteReference"/>
        </w:rPr>
        <w:footnoteReference w:id="512"/>
      </w:r>
      <w:r w:rsidRPr="00D1590E">
        <w:t xml:space="preserve"> These include:</w:t>
      </w:r>
    </w:p>
    <w:p w:rsidR="00D1590E" w:rsidRPr="00D1590E" w:rsidRDefault="00D1590E" w:rsidP="00D1590E">
      <w:pPr>
        <w:pStyle w:val="AERbulletlistsecondstyle"/>
      </w:pPr>
      <w:r w:rsidRPr="00D1590E">
        <w:t>introduce a more fit-for-purpose vegetation management system similar to systems used by some distributors in Victoria</w:t>
      </w:r>
    </w:p>
    <w:p w:rsidR="00D1590E" w:rsidRPr="00D1590E" w:rsidRDefault="00D1590E" w:rsidP="00D1590E">
      <w:pPr>
        <w:pStyle w:val="AERbulletlistsecondstyle"/>
      </w:pPr>
      <w:r w:rsidRPr="00D1590E">
        <w:t>increase the proportion and frequency of proactive cyclic management</w:t>
      </w:r>
    </w:p>
    <w:p w:rsidR="00D1590E" w:rsidRPr="00D1590E" w:rsidRDefault="00D1590E" w:rsidP="00D1590E">
      <w:pPr>
        <w:pStyle w:val="AERbulletlistsecondstyle"/>
      </w:pPr>
      <w:r w:rsidRPr="00D1590E">
        <w:t>demobilise existing corridor reclamation program</w:t>
      </w:r>
    </w:p>
    <w:p w:rsidR="00D1590E" w:rsidRPr="00D1590E" w:rsidRDefault="00D1590E" w:rsidP="00D1590E">
      <w:pPr>
        <w:pStyle w:val="AERbulletlistsecondstyle"/>
      </w:pPr>
      <w:r w:rsidRPr="00D1590E">
        <w:t>implement better approaches to tree removal and trimming</w:t>
      </w:r>
    </w:p>
    <w:p w:rsidR="00D1590E" w:rsidRPr="00D1590E" w:rsidRDefault="00D1590E" w:rsidP="00D1590E">
      <w:pPr>
        <w:pStyle w:val="AERbulletlistsecondstyle"/>
      </w:pPr>
      <w:r w:rsidRPr="00D1590E">
        <w:t>optimise aerial patrol use</w:t>
      </w:r>
    </w:p>
    <w:p w:rsidR="00D1590E" w:rsidRPr="00D1590E" w:rsidRDefault="00D1590E" w:rsidP="00D1590E">
      <w:pPr>
        <w:pStyle w:val="AERbulletlistsecondstyle"/>
      </w:pPr>
      <w:r w:rsidRPr="00D1590E">
        <w:t>manage stakeholders better</w:t>
      </w:r>
    </w:p>
    <w:p w:rsidR="00D1590E" w:rsidRPr="00D1590E" w:rsidRDefault="00D1590E" w:rsidP="00D1590E">
      <w:pPr>
        <w:pStyle w:val="AERbulletlistsecondstyle"/>
      </w:pPr>
      <w:r w:rsidRPr="00D1590E">
        <w:lastRenderedPageBreak/>
        <w:t>employ contractors on an agreed  rate per fixed unit of work</w:t>
      </w:r>
    </w:p>
    <w:p w:rsidR="00D1590E" w:rsidRPr="00D1590E" w:rsidRDefault="00D1590E" w:rsidP="00D1590E">
      <w:pPr>
        <w:pStyle w:val="AERbulletlistsecondstyle"/>
      </w:pPr>
      <w:r w:rsidRPr="00D1590E">
        <w:t>outsource additional scope and cut work.</w:t>
      </w:r>
    </w:p>
    <w:p w:rsidR="00D1590E" w:rsidRPr="00D1590E" w:rsidRDefault="00D1590E" w:rsidP="00D1590E">
      <w:r w:rsidRPr="00D1590E">
        <w:t>Essential Energy noted that there are recommendations from the report in the process of being implemented. It follows that they could not have been implemented in the 2012–13 base year. This year is the relevant year for determining the appropriateness of Essential Energy's revealed costs as the starting point for determining an estimate of efficient and prudent total forecast opex.</w:t>
      </w:r>
      <w:r w:rsidRPr="00D1590E">
        <w:rPr>
          <w:rStyle w:val="FootnoteReference"/>
        </w:rPr>
        <w:footnoteReference w:id="513"/>
      </w:r>
      <w:r w:rsidRPr="00D1590E">
        <w:t xml:space="preserve"> That Essential Energy is now improving its practices simply confirms they were not efficient in 2012–13. We therefore consider the Select Solutions report is not outdated and is directly relevant to our analysis.</w:t>
      </w:r>
    </w:p>
    <w:p w:rsidR="00D1590E" w:rsidRPr="00D1590E" w:rsidRDefault="00D1590E" w:rsidP="00D1590E">
      <w:r w:rsidRPr="00D1590E">
        <w:t xml:space="preserve">As a result, although Powercor's and SA Power Networks' vegetation management opex may have increased at a greater rate over the period this does not justify the increase in Essential Energy's opex. Further, as we explain in section </w:t>
      </w:r>
      <w:r w:rsidRPr="00D1590E">
        <w:fldChar w:fldCharType="begin"/>
      </w:r>
      <w:r w:rsidRPr="00D1590E">
        <w:instrText xml:space="preserve"> REF _Ref417551822 \n \h </w:instrText>
      </w:r>
      <w:r w:rsidRPr="00D1590E">
        <w:fldChar w:fldCharType="separate"/>
      </w:r>
      <w:r w:rsidR="00C57342">
        <w:t>A.6</w:t>
      </w:r>
      <w:r w:rsidRPr="00D1590E">
        <w:fldChar w:fldCharType="end"/>
      </w:r>
      <w:r w:rsidRPr="00D1590E">
        <w:t>, there are other factors driving the increases in these service providers' vegetation management expenditure over the period.</w:t>
      </w:r>
    </w:p>
    <w:p w:rsidR="00D1590E" w:rsidRPr="00D1590E" w:rsidRDefault="00D1590E" w:rsidP="00D1590E">
      <w:r w:rsidRPr="00D1590E">
        <w:t xml:space="preserve">We disagree with Essential Energy's submissions on clearance requirements and bushfire risk. However, differences in clearance requirements and bushfire risk are operating environment factors that are relevant in forming a view on the appropriate adjustment to base year opex. As a result, we consider these in section </w:t>
      </w:r>
      <w:r w:rsidRPr="00D1590E">
        <w:fldChar w:fldCharType="begin"/>
      </w:r>
      <w:r w:rsidRPr="00D1590E">
        <w:instrText xml:space="preserve"> REF _Ref417551822 \n \h </w:instrText>
      </w:r>
      <w:r w:rsidRPr="00D1590E">
        <w:fldChar w:fldCharType="separate"/>
      </w:r>
      <w:r w:rsidR="00C57342">
        <w:t>A.6</w:t>
      </w:r>
      <w:r w:rsidRPr="00D1590E">
        <w:fldChar w:fldCharType="end"/>
      </w:r>
      <w:r w:rsidRPr="00D1590E">
        <w:t xml:space="preserve"> in the context of their impact on overall opex rather than vegetation management as a category.</w:t>
      </w:r>
      <w:r w:rsidRPr="00D1590E" w:rsidDel="00245312">
        <w:t xml:space="preserve"> </w:t>
      </w:r>
    </w:p>
    <w:p w:rsidR="00D1590E" w:rsidRPr="00D1590E" w:rsidRDefault="00D1590E" w:rsidP="00D1590E">
      <w:r w:rsidRPr="00D1590E">
        <w:t>Regarding Essential Energy's other concerns identified above, we did not place significant weight on this analysis in the draft decision detailed review. Comparisons to Ergon Energy, Powercor and SA Power Networks were observations about the level of Essential Energy's expenditure compared to its peers, which provided context for the review. Similarly, observations about the level of overhead provided context. We placed most weight on the findings of the Select Solutions review, noting that Essential Energy had proposed a step down in its vegetation management opex in the forecast period (rather than in the base year).</w:t>
      </w:r>
    </w:p>
    <w:p w:rsidR="00D1590E" w:rsidRPr="00D1590E" w:rsidRDefault="00D1590E" w:rsidP="00D1590E">
      <w:r w:rsidRPr="00D1590E">
        <w:t>Therefore, we maintain our draft decision view that Essential Energy's performance on our economic benchmarking techniques is likely to be partly driven by its vegetation management opex.</w:t>
      </w:r>
    </w:p>
    <w:p w:rsidR="006139BC" w:rsidRDefault="006139BC">
      <w:pPr>
        <w:spacing w:line="240" w:lineRule="auto"/>
        <w:rPr>
          <w:rStyle w:val="Strong"/>
          <w:rFonts w:eastAsiaTheme="majorEastAsia" w:cstheme="majorBidi"/>
          <w:b w:val="0"/>
          <w:bCs w:val="0"/>
          <w:i/>
          <w:iCs/>
          <w:color w:val="51626F"/>
          <w:sz w:val="24"/>
        </w:rPr>
      </w:pPr>
      <w:r>
        <w:rPr>
          <w:rStyle w:val="Strong"/>
        </w:rPr>
        <w:br w:type="page"/>
      </w:r>
    </w:p>
    <w:p w:rsidR="00D1590E" w:rsidRPr="00D1590E" w:rsidRDefault="00D1590E" w:rsidP="00D1590E">
      <w:pPr>
        <w:pStyle w:val="HeadingBoldItalic"/>
        <w:rPr>
          <w:rStyle w:val="Strong"/>
        </w:rPr>
      </w:pPr>
      <w:r w:rsidRPr="00D1590E">
        <w:rPr>
          <w:rStyle w:val="Strong"/>
        </w:rPr>
        <w:lastRenderedPageBreak/>
        <w:t>Application of this detailed review to Ausgrid and Endeavour Energy decisions</w:t>
      </w:r>
    </w:p>
    <w:p w:rsidR="00D1590E" w:rsidRPr="00D1590E" w:rsidRDefault="00D1590E" w:rsidP="00D1590E">
      <w:r w:rsidRPr="00D1590E">
        <w:t>The NSW service providers submitted that we relied on an erroneous and inconsistent assessment of Essential Energy’s vegetation management expenditure to support our view that all the NSW service providers are inefficient.</w:t>
      </w:r>
      <w:r w:rsidRPr="00D1590E">
        <w:rPr>
          <w:rStyle w:val="FootnoteReference"/>
        </w:rPr>
        <w:footnoteReference w:id="514"/>
      </w:r>
    </w:p>
    <w:p w:rsidR="00D1590E" w:rsidRPr="00D1590E" w:rsidRDefault="00D1590E" w:rsidP="00D1590E">
      <w:r w:rsidRPr="00D1590E">
        <w:t>Our detailed review of vegetation management relates to Essential Energy only. We did not use the results of the review to support our view that all of the NSW service providers are have inefficient vegetation management practices. We stated that we decided to undertake a detailed review of Essential Energy's vegetation management because:</w:t>
      </w:r>
      <w:r w:rsidRPr="00D1590E">
        <w:rPr>
          <w:rStyle w:val="FootnoteReference"/>
        </w:rPr>
        <w:footnoteReference w:id="515"/>
      </w:r>
    </w:p>
    <w:p w:rsidR="00D1590E" w:rsidRPr="00D1590E" w:rsidRDefault="00D1590E" w:rsidP="00D1590E">
      <w:pPr>
        <w:pStyle w:val="AERbulletlistfirststyle"/>
      </w:pPr>
      <w:r w:rsidRPr="00D1590E">
        <w:t>its expenditure increased significantly over the 2009 to 2013 period; and</w:t>
      </w:r>
    </w:p>
    <w:p w:rsidR="00D1590E" w:rsidRPr="00D1590E" w:rsidRDefault="00D1590E" w:rsidP="00D1590E">
      <w:pPr>
        <w:pStyle w:val="AERbulletlistfirststyle"/>
      </w:pPr>
      <w:r w:rsidRPr="00D1590E">
        <w:t xml:space="preserve">its own regulatory proposal identified inefficiencies in its vegetation management. </w:t>
      </w:r>
    </w:p>
    <w:p w:rsidR="00D1590E" w:rsidRPr="00D1590E" w:rsidRDefault="00D1590E" w:rsidP="00D1590E">
      <w:r w:rsidRPr="00D1590E">
        <w:rPr>
          <w:rStyle w:val="AERbody"/>
        </w:rPr>
        <w:t>Although Endeavour Energy and Ausgrid appeared to have high costs compared to some service providers on average, their costs remained relatively stable over the 2009–13 period compared to Essential Energy. We therefore did not undertake a detailed review of vegetation management for these two service providers.</w:t>
      </w:r>
    </w:p>
    <w:p w:rsidR="00D1590E" w:rsidRPr="00D1590E" w:rsidRDefault="00D1590E" w:rsidP="00D1590E">
      <w:pPr>
        <w:pStyle w:val="HeadingBoldBlue"/>
      </w:pPr>
      <w:bookmarkStart w:id="295" w:name="_Toc417646296"/>
      <w:r w:rsidRPr="00D1590E">
        <w:t>Category analysis</w:t>
      </w:r>
      <w:bookmarkEnd w:id="295"/>
    </w:p>
    <w:p w:rsidR="00D1590E" w:rsidRPr="00D1590E" w:rsidRDefault="00D1590E" w:rsidP="00D1590E">
      <w:r w:rsidRPr="00D1590E">
        <w:t>In our draft decision, the category analysis metrics suggested there may be inefficiencies in the NSW service providers' opex requiring further review. We decided to review those categories in further detail. Having considered the service providers' submissions, we maintain the view that category analysis is useful as a diagnostic tool.</w:t>
      </w:r>
    </w:p>
    <w:p w:rsidR="00D1590E" w:rsidRPr="00D1590E" w:rsidRDefault="00D1590E" w:rsidP="00D1590E">
      <w:r w:rsidRPr="00D1590E">
        <w:t>Ausgrid and Essential Energy, in their revised proposals, considered that our category analysis metrics are biased and flawed. They submitted:</w:t>
      </w:r>
      <w:r w:rsidRPr="00D1590E">
        <w:rPr>
          <w:rStyle w:val="FootnoteReference"/>
        </w:rPr>
        <w:footnoteReference w:id="516"/>
      </w:r>
    </w:p>
    <w:p w:rsidR="00D1590E" w:rsidRPr="00D1590E" w:rsidRDefault="00D1590E" w:rsidP="00D1590E">
      <w:pPr>
        <w:pStyle w:val="AERbulletlistfirststyle"/>
      </w:pPr>
      <w:r w:rsidRPr="00D1590E">
        <w:t>the metrics illustrate the significant differences between the operating factors impacting each service provider rather than relative efficiency</w:t>
      </w:r>
    </w:p>
    <w:p w:rsidR="00D1590E" w:rsidRPr="00D1590E" w:rsidRDefault="00D1590E" w:rsidP="00D1590E">
      <w:pPr>
        <w:pStyle w:val="AERbulletlistfirststyle"/>
      </w:pPr>
      <w:r w:rsidRPr="00D1590E">
        <w:t>we did not consider the individual network and operating risks of each service provider or assess the underlying costs and cost drivers that support their opex proposals</w:t>
      </w:r>
    </w:p>
    <w:p w:rsidR="00D1590E" w:rsidRPr="00D1590E" w:rsidRDefault="00D1590E" w:rsidP="00D1590E">
      <w:pPr>
        <w:pStyle w:val="AERbulletlistfirststyle"/>
      </w:pPr>
      <w:r w:rsidRPr="00D1590E">
        <w:t>Essential Energy cannot be compared to AusNet/Powercor/SA Power Networks because it is so much larger than those service providers.</w:t>
      </w:r>
    </w:p>
    <w:p w:rsidR="00D1590E" w:rsidRPr="00D1590E" w:rsidRDefault="00D1590E" w:rsidP="00D1590E">
      <w:pPr>
        <w:pStyle w:val="AERbulletlistfirststyle"/>
      </w:pPr>
      <w:r w:rsidRPr="00D1590E">
        <w:t xml:space="preserve">While we acknowledge that category analysis inherently contains some of the limitations, as discussed above, we are not using category analysis in the manner </w:t>
      </w:r>
      <w:r w:rsidRPr="00D1590E">
        <w:lastRenderedPageBreak/>
        <w:t xml:space="preserve">the NSW service providers suggest. We consider that category analysis is suited to identifying areas for further review, not for determining opex forecasts. For this purpose, we do not require such precision in our metrics. </w:t>
      </w:r>
    </w:p>
    <w:p w:rsidR="00D1590E" w:rsidRPr="00D1590E" w:rsidRDefault="00D1590E" w:rsidP="00D1590E">
      <w:r w:rsidRPr="00D1590E">
        <w:t xml:space="preserve">The techniques that we do place significant weight on in determining opex forecasts, such as economic benchmarking, detailed review and operating environment factor assessment, appropriately take into account the above considerations. </w:t>
      </w:r>
    </w:p>
    <w:p w:rsidR="00D1590E" w:rsidRPr="00D1590E" w:rsidRDefault="00D1590E" w:rsidP="00D1590E">
      <w:r w:rsidRPr="00D1590E">
        <w:t>Further, in forming a view on the appropriate adjustment to base opex, we have taken into account the potential for residual data, modelling and other uncertainties.</w:t>
      </w:r>
    </w:p>
    <w:p w:rsidR="00D1590E" w:rsidRPr="00D1590E" w:rsidRDefault="00D1590E" w:rsidP="00D1590E">
      <w:r w:rsidRPr="00D1590E">
        <w:t>We comment below on some specific category analysis issues raised by the NSW service providers.</w:t>
      </w:r>
    </w:p>
    <w:p w:rsidR="00D1590E" w:rsidRPr="00D1590E" w:rsidRDefault="00D1590E" w:rsidP="00D1590E">
      <w:pPr>
        <w:pStyle w:val="HeadingBoldItalic"/>
        <w:rPr>
          <w:rStyle w:val="Strong"/>
        </w:rPr>
      </w:pPr>
      <w:r w:rsidRPr="00D1590E">
        <w:rPr>
          <w:rStyle w:val="Strong"/>
        </w:rPr>
        <w:t>Overheads</w:t>
      </w:r>
    </w:p>
    <w:p w:rsidR="00D1590E" w:rsidRPr="00D1590E" w:rsidRDefault="00D1590E" w:rsidP="00D1590E">
      <w:r w:rsidRPr="00D1590E">
        <w:t>For the reasons set out below, we consider the overhead metrics presented in our draft decision are appropriate.</w:t>
      </w:r>
    </w:p>
    <w:p w:rsidR="00D1590E" w:rsidRPr="00D1590E" w:rsidRDefault="00D1590E" w:rsidP="00D1590E">
      <w:r w:rsidRPr="00D1590E">
        <w:t>Essential Energy rejected our conclusion in the draft decision that its overheads are “very high," and considered that size, scale and geographic dispersion are drivers of overheads. Essential Energy considered that:</w:t>
      </w:r>
      <w:r w:rsidRPr="00D1590E">
        <w:rPr>
          <w:rStyle w:val="FootnoteReference"/>
        </w:rPr>
        <w:footnoteReference w:id="517"/>
      </w:r>
    </w:p>
    <w:p w:rsidR="00D1590E" w:rsidRPr="00D1590E" w:rsidRDefault="00D1590E" w:rsidP="00D1590E">
      <w:pPr>
        <w:pStyle w:val="AERbulletlistfirststyle"/>
      </w:pPr>
      <w:r w:rsidRPr="00D1590E">
        <w:t>corporate overheads need to be adjusted downward because 26% of its corporate overhead is closely related to network overhead;</w:t>
      </w:r>
    </w:p>
    <w:p w:rsidR="00D1590E" w:rsidRPr="00D1590E" w:rsidRDefault="00D1590E" w:rsidP="00D1590E">
      <w:pPr>
        <w:pStyle w:val="AERbulletlistfirststyle"/>
        <w:rPr>
          <w:rStyle w:val="Strong"/>
        </w:rPr>
      </w:pPr>
      <w:r w:rsidRPr="00D1590E">
        <w:t>its total overheads are comparable to other rural service providers on a per km basis (as we found its network overheads to be).</w:t>
      </w:r>
    </w:p>
    <w:p w:rsidR="00D1590E" w:rsidRPr="00D1590E" w:rsidRDefault="00D1590E" w:rsidP="00D1590E">
      <w:r w:rsidRPr="00D1590E">
        <w:t xml:space="preserve">First we consider the need to adjust for a part of network overheads that is present in corporate overhead is unnecessary when we also examine total overheads. </w:t>
      </w:r>
    </w:p>
    <w:p w:rsidR="00D1590E" w:rsidRPr="00D1590E" w:rsidRDefault="00D1590E" w:rsidP="00D1590E">
      <w:r w:rsidRPr="00D1590E">
        <w:t>Second, we chose to present total overheads per customer because total overheads are likely to vary with changes in the amount of work done on the network. We consider that customer numbers are a good proxy for this. We consider corporate overheads are primarily driven by customer numbers, but customer numbers also affect network overhead, therefore presenting total overhead per customer is appropriate.</w:t>
      </w:r>
    </w:p>
    <w:p w:rsidR="00D1590E" w:rsidRPr="00D1590E" w:rsidRDefault="00D1590E" w:rsidP="00D1590E">
      <w:r w:rsidRPr="00D1590E">
        <w:t>We chose to normalise network overheads costs by circuit kilometre because asset volumes are the primary driver of network overhead costs alone, rather than customer numbers. We do however; consider that customer numbers can have an impact on network overhead. For example, an expansion of a network into a new area requires additional network assets, which need to be managed; however, network expansions occur to serve additional customers.</w:t>
      </w:r>
    </w:p>
    <w:p w:rsidR="00D1590E" w:rsidRPr="00D1590E" w:rsidRDefault="00D1590E" w:rsidP="00D1590E">
      <w:r w:rsidRPr="00D1590E">
        <w:lastRenderedPageBreak/>
        <w:t xml:space="preserve">We also found that Essential Energy's labour costs per customer were very high. This finding supports the view that its total overhead costs are high, since labour costs are a large portion of total overheads. Because the NSW service providers performed poorly on labour (and implicitly, overheads) we engaged Deloitte to undertake a detailed review of these expenditures. </w:t>
      </w:r>
    </w:p>
    <w:p w:rsidR="00D1590E" w:rsidRPr="00D1590E" w:rsidRDefault="00D1590E" w:rsidP="00D1590E">
      <w:r w:rsidRPr="00D1590E">
        <w:t>The detailed review found the NSW service providers' labour and workforce management expenditure was not efficient and prudent, which supports the results from the total overhead category analysis metric.</w:t>
      </w:r>
    </w:p>
    <w:p w:rsidR="00D1590E" w:rsidRPr="00D1590E" w:rsidRDefault="00D1590E" w:rsidP="00D1590E">
      <w:pPr>
        <w:pStyle w:val="HeadingBoldItalic"/>
        <w:rPr>
          <w:rStyle w:val="Strong"/>
        </w:rPr>
      </w:pPr>
      <w:r w:rsidRPr="00D1590E">
        <w:rPr>
          <w:rStyle w:val="Strong"/>
        </w:rPr>
        <w:t>Maintenance</w:t>
      </w:r>
    </w:p>
    <w:p w:rsidR="00D1590E" w:rsidRPr="00D1590E" w:rsidRDefault="00D1590E" w:rsidP="00D1590E">
      <w:r w:rsidRPr="00D1590E">
        <w:t>For the reasons set out below, we consider the maintenance metric presented in our draft decision is appropriate.</w:t>
      </w:r>
    </w:p>
    <w:p w:rsidR="00D1590E" w:rsidRPr="00D1590E" w:rsidRDefault="00D1590E" w:rsidP="00D1590E">
      <w:r w:rsidRPr="00D1590E">
        <w:t>Ausgrid considered that customer density as a normaliser for the maintenance metric is flawed. Ausgrid submitted we have not adequately accounted for:</w:t>
      </w:r>
      <w:r w:rsidRPr="00D1590E">
        <w:rPr>
          <w:rStyle w:val="FootnoteReference"/>
        </w:rPr>
        <w:footnoteReference w:id="518"/>
      </w:r>
    </w:p>
    <w:p w:rsidR="00D1590E" w:rsidRPr="00D1590E" w:rsidRDefault="00D1590E" w:rsidP="00D1590E">
      <w:pPr>
        <w:pStyle w:val="AERbulletlistfirststyle"/>
      </w:pPr>
      <w:r w:rsidRPr="00D1590E">
        <w:t>differences between urban and rural service providers and the extent density can differ across the network;</w:t>
      </w:r>
    </w:p>
    <w:p w:rsidR="00D1590E" w:rsidRPr="00D1590E" w:rsidRDefault="00D1590E" w:rsidP="00D1590E">
      <w:pPr>
        <w:pStyle w:val="AERbulletlistfirststyle"/>
      </w:pPr>
      <w:r w:rsidRPr="00D1590E">
        <w:t>differences in assets and its maintenance intensity.</w:t>
      </w:r>
    </w:p>
    <w:p w:rsidR="00D1590E" w:rsidRPr="00D1590E" w:rsidRDefault="00D1590E" w:rsidP="00D1590E">
      <w:r w:rsidRPr="00D1590E">
        <w:t xml:space="preserve">We recognise that all service providers will have differences in assets and density, however we consider the differences in assets reflects to some extent the service providers' capital works program. The service provider has discretion over much of its capital works program, and may invest in more assets than an efficient and prudent service provider would require. These decisions will affect their maintenance costs. It does not, however, mean that service providers are not comparable on this metric. Nor do we agree that the frontier businesses are at a substantial natural advantage. We consider factors that may affect maintenance such as asset age and volumes in more detail in section </w:t>
      </w:r>
      <w:r w:rsidRPr="00D1590E">
        <w:fldChar w:fldCharType="begin"/>
      </w:r>
      <w:r w:rsidRPr="00D1590E">
        <w:instrText xml:space="preserve"> REF _Ref400702371 \r \h </w:instrText>
      </w:r>
      <w:r w:rsidRPr="00D1590E">
        <w:fldChar w:fldCharType="separate"/>
      </w:r>
      <w:r w:rsidR="00C57342">
        <w:t>A.6.9</w:t>
      </w:r>
      <w:r w:rsidRPr="00D1590E">
        <w:fldChar w:fldCharType="end"/>
      </w:r>
      <w:r w:rsidRPr="00D1590E">
        <w:t>.</w:t>
      </w:r>
    </w:p>
    <w:p w:rsidR="00D1590E" w:rsidRPr="00D1590E" w:rsidRDefault="00D1590E" w:rsidP="00D1590E">
      <w:pPr>
        <w:pStyle w:val="HeadingBoldItalic"/>
        <w:rPr>
          <w:rStyle w:val="Strong"/>
        </w:rPr>
      </w:pPr>
      <w:r w:rsidRPr="00D1590E">
        <w:rPr>
          <w:rStyle w:val="Strong"/>
        </w:rPr>
        <w:t>Vegetation management</w:t>
      </w:r>
    </w:p>
    <w:p w:rsidR="00D1590E" w:rsidRPr="00D1590E" w:rsidRDefault="00D1590E" w:rsidP="00D1590E">
      <w:r w:rsidRPr="00D1590E">
        <w:t>For the reasons set out below, we consider the vegetation management metrics presented in our draft decisions are appropriate. However, we do recognise issues with one of the metrics.</w:t>
      </w:r>
    </w:p>
    <w:p w:rsidR="00D1590E" w:rsidRPr="00D1590E" w:rsidRDefault="00D1590E" w:rsidP="00D1590E">
      <w:r w:rsidRPr="00D1590E">
        <w:t>The NSW service providers considered there are a number of issues with our vegetation management category analysis assessment. In particular:</w:t>
      </w:r>
      <w:r w:rsidRPr="00D1590E">
        <w:rPr>
          <w:rStyle w:val="FootnoteReference"/>
        </w:rPr>
        <w:footnoteReference w:id="519"/>
      </w:r>
    </w:p>
    <w:p w:rsidR="00D1590E" w:rsidRPr="00D1590E" w:rsidRDefault="00D1590E" w:rsidP="00D1590E">
      <w:pPr>
        <w:pStyle w:val="AERbulletlistfirststyle"/>
      </w:pPr>
      <w:r w:rsidRPr="00D1590E">
        <w:lastRenderedPageBreak/>
        <w:t>vegetation management does not take into account for factors such as vegetation type, tree density, rainfall, council and environment group pressures and differences in responsibility for veg management between jurisdictions;</w:t>
      </w:r>
    </w:p>
    <w:p w:rsidR="00D1590E" w:rsidRPr="00D1590E" w:rsidRDefault="00D1590E" w:rsidP="00D1590E">
      <w:pPr>
        <w:pStyle w:val="AERbulletlistfirststyle"/>
      </w:pPr>
      <w:r w:rsidRPr="00D1590E">
        <w:t>we have conceded inaccuracies in route line length and calculated our own route line length instead of using the route line length figures provided; and</w:t>
      </w:r>
    </w:p>
    <w:p w:rsidR="00D1590E" w:rsidRPr="00D1590E" w:rsidRDefault="00D1590E" w:rsidP="00D1590E">
      <w:pPr>
        <w:pStyle w:val="AERbulletlistfirststyle"/>
      </w:pPr>
      <w:r w:rsidRPr="00D1590E">
        <w:t>we use average data for 2009 to 2013 which includes a time when the Victorians were significantly underspending on veg management.</w:t>
      </w:r>
    </w:p>
    <w:p w:rsidR="00D1590E" w:rsidRPr="00D1590E" w:rsidRDefault="00D1590E" w:rsidP="00D1590E">
      <w:r w:rsidRPr="00D1590E">
        <w:t>Ernst &amp; Young, in a report provided with Ergon Energy's submission, also highlighted that the service providers have estimated route line length in alternative ways in the economic benchmarking RIN, which could call into question the comparability of the data.</w:t>
      </w:r>
      <w:r w:rsidRPr="00D1590E">
        <w:rPr>
          <w:rStyle w:val="FootnoteReference"/>
        </w:rPr>
        <w:t xml:space="preserve"> </w:t>
      </w:r>
      <w:r w:rsidRPr="00D1590E">
        <w:rPr>
          <w:rStyle w:val="FootnoteReference"/>
        </w:rPr>
        <w:footnoteReference w:id="520"/>
      </w:r>
    </w:p>
    <w:p w:rsidR="00D1590E" w:rsidRPr="00D1590E" w:rsidRDefault="00D1590E" w:rsidP="00D1590E">
      <w:pPr>
        <w:rPr>
          <w:rStyle w:val="AERbody"/>
        </w:rPr>
      </w:pPr>
      <w:r w:rsidRPr="00D1590E">
        <w:rPr>
          <w:rStyle w:val="AERbody"/>
        </w:rPr>
        <w:t xml:space="preserve">As we explain above category analysis is used to identify areas of concern for further review, not to prove inefficiency. We do not consider we need to account for all differences in the network environment (tree type, rainfall, terrain etc.) for vegetation management, because we are using category analysis as a diagnostic tool. However, we have further considered bushfire risk and differences in jurisdictional responsibilities as part of our assessment of operating environment factors (Section </w:t>
      </w:r>
      <w:r w:rsidRPr="00D1590E">
        <w:rPr>
          <w:rStyle w:val="AERbody"/>
        </w:rPr>
        <w:fldChar w:fldCharType="begin"/>
      </w:r>
      <w:r w:rsidRPr="00D1590E">
        <w:rPr>
          <w:rStyle w:val="AERbody"/>
        </w:rPr>
        <w:instrText xml:space="preserve"> REF _Ref417551822 \r \h </w:instrText>
      </w:r>
      <w:r w:rsidRPr="00D1590E">
        <w:rPr>
          <w:rStyle w:val="AERbody"/>
        </w:rPr>
      </w:r>
      <w:r w:rsidRPr="00D1590E">
        <w:rPr>
          <w:rStyle w:val="AERbody"/>
        </w:rPr>
        <w:fldChar w:fldCharType="separate"/>
      </w:r>
      <w:r w:rsidR="00C57342">
        <w:rPr>
          <w:rStyle w:val="AERbody"/>
        </w:rPr>
        <w:t>A.6</w:t>
      </w:r>
      <w:r w:rsidRPr="00D1590E">
        <w:rPr>
          <w:rStyle w:val="AERbody"/>
        </w:rPr>
        <w:fldChar w:fldCharType="end"/>
      </w:r>
      <w:r w:rsidRPr="00D1590E">
        <w:rPr>
          <w:rStyle w:val="AERbody"/>
        </w:rPr>
        <w:t xml:space="preserve">). </w:t>
      </w:r>
    </w:p>
    <w:p w:rsidR="00D1590E" w:rsidRPr="00D1590E" w:rsidRDefault="00D1590E" w:rsidP="00D1590E">
      <w:r w:rsidRPr="00D1590E">
        <w:t>We recognise there are issues with the measurement of line length in this metric, and we treat the results of that metric with caution. However, as we note above, we have used category analysis as a diagnostic tool to assist with identifying key areas for further review. While the vegetation management metric may not be perfect, we do not agree that it is so flawed it cannot be used for deciding whether to consider vegetation management expenditure and practices in further detail.</w:t>
      </w:r>
    </w:p>
    <w:p w:rsidR="00D1590E" w:rsidRPr="00D1590E" w:rsidRDefault="00D1590E" w:rsidP="00D1590E">
      <w:r w:rsidRPr="00D1590E">
        <w:t>In addition, this metric was not the only tool we have used it identify areas of opex for further review. Our other vegetation management metric showed a significant increase in Essential Energy's total vegetation management expenditure over the 2008–09 to 2012–13 period. Combined with Essential Energy's regulatory proposal recognising inefficiencies existed in its vegetation management practices, we formed the view that detailed review was necessary.</w:t>
      </w:r>
    </w:p>
    <w:p w:rsidR="00D1590E" w:rsidRPr="00D1590E" w:rsidRDefault="00D1590E" w:rsidP="00D1590E">
      <w:r w:rsidRPr="00D1590E">
        <w:t xml:space="preserve">We disagree that using an average expenditure over the 2009–13 is an issue in comparing vegetation management opex, because we do not consider the Victorian service providers significantly underspent on vegetation management prior to the Black Saturday bushfires. In our discussion of safety outcomes (Section </w:t>
      </w:r>
      <w:r w:rsidRPr="00D1590E">
        <w:rPr>
          <w:rStyle w:val="AERbody"/>
        </w:rPr>
        <w:fldChar w:fldCharType="begin"/>
      </w:r>
      <w:r w:rsidRPr="00D1590E">
        <w:rPr>
          <w:rStyle w:val="AERbody"/>
        </w:rPr>
        <w:instrText xml:space="preserve"> REF _Ref403635112 \n \h </w:instrText>
      </w:r>
      <w:r w:rsidRPr="00D1590E">
        <w:rPr>
          <w:rStyle w:val="AERbody"/>
        </w:rPr>
      </w:r>
      <w:r w:rsidRPr="00D1590E">
        <w:rPr>
          <w:rStyle w:val="AERbody"/>
        </w:rPr>
        <w:fldChar w:fldCharType="separate"/>
      </w:r>
      <w:r w:rsidR="00C57342">
        <w:rPr>
          <w:rStyle w:val="AERbody"/>
        </w:rPr>
        <w:t>A.6.6</w:t>
      </w:r>
      <w:r w:rsidRPr="00D1590E">
        <w:rPr>
          <w:rStyle w:val="AERbody"/>
        </w:rPr>
        <w:fldChar w:fldCharType="end"/>
      </w:r>
      <w:r w:rsidRPr="00D1590E">
        <w:t>), we note that prior to the bushfires, Energy Safe Victoria found AusNet Services and Powercor to be "generally compliant" with their regulatory obligations.</w:t>
      </w:r>
      <w:r w:rsidRPr="00D1590E">
        <w:rPr>
          <w:rStyle w:val="FootnoteReference"/>
        </w:rPr>
        <w:footnoteReference w:id="521"/>
      </w:r>
      <w:r w:rsidRPr="00D1590E">
        <w:t xml:space="preserve"> We consider that the increase in the Victorian service providers' vegetation management opex is a consequence of complying with stricter requirements under the Victorian Electric Line Clearance obligations (see Section </w:t>
      </w:r>
      <w:r w:rsidRPr="00D1590E">
        <w:fldChar w:fldCharType="begin"/>
      </w:r>
      <w:r w:rsidRPr="00D1590E">
        <w:instrText xml:space="preserve"> REF _Ref403635112 \n \h </w:instrText>
      </w:r>
      <w:r w:rsidRPr="00D1590E">
        <w:fldChar w:fldCharType="separate"/>
      </w:r>
      <w:r w:rsidR="00C57342">
        <w:t>A.6.6</w:t>
      </w:r>
      <w:r w:rsidRPr="00D1590E">
        <w:fldChar w:fldCharType="end"/>
      </w:r>
      <w:r w:rsidRPr="00D1590E">
        <w:t>).</w:t>
      </w:r>
    </w:p>
    <w:p w:rsidR="00D1590E" w:rsidRPr="00D1590E" w:rsidRDefault="00D1590E" w:rsidP="00D1590E">
      <w:pPr>
        <w:pStyle w:val="HeadingBoldItalic"/>
        <w:rPr>
          <w:rStyle w:val="Strong"/>
        </w:rPr>
      </w:pPr>
      <w:r w:rsidRPr="00D1590E">
        <w:rPr>
          <w:rStyle w:val="Strong"/>
        </w:rPr>
        <w:lastRenderedPageBreak/>
        <w:t>Emergency response</w:t>
      </w:r>
    </w:p>
    <w:p w:rsidR="00D1590E" w:rsidRPr="00D1590E" w:rsidRDefault="00D1590E" w:rsidP="00D1590E">
      <w:r w:rsidRPr="00D1590E">
        <w:t>Essential Energy considered that there were issues with our analysis of its emergency response opex. Essential Energy submitted that:</w:t>
      </w:r>
      <w:r w:rsidRPr="00D1590E">
        <w:rPr>
          <w:rStyle w:val="FootnoteReference"/>
        </w:rPr>
        <w:footnoteReference w:id="522"/>
      </w:r>
    </w:p>
    <w:p w:rsidR="00D1590E" w:rsidRPr="00D1590E" w:rsidRDefault="00D1590E" w:rsidP="00D1590E">
      <w:pPr>
        <w:pStyle w:val="AERbulletlistfirststyle"/>
      </w:pPr>
      <w:r w:rsidRPr="00D1590E">
        <w:t>the duration of an interruption should not be disregarded because it is a good indication as to the effort required to access and rectify the outage; and</w:t>
      </w:r>
    </w:p>
    <w:p w:rsidR="00D1590E" w:rsidRPr="00D1590E" w:rsidRDefault="00D1590E" w:rsidP="00D1590E">
      <w:pPr>
        <w:pStyle w:val="AERbulletlistfirststyle"/>
      </w:pPr>
      <w:r w:rsidRPr="00D1590E">
        <w:t>we had incorrectly measured emergency response per customer interruption rather than supply interruption, and had included major event days.</w:t>
      </w:r>
    </w:p>
    <w:p w:rsidR="00D1590E" w:rsidRPr="00D1590E" w:rsidRDefault="00D1590E" w:rsidP="00D1590E">
      <w:r w:rsidRPr="00D1590E">
        <w:t>Essential Energy then present a metric of expenditure per supply interruption, which indicates that they perform comparably to other rural service providers.</w:t>
      </w:r>
      <w:r w:rsidRPr="00D1590E">
        <w:rPr>
          <w:rStyle w:val="FootnoteReference"/>
        </w:rPr>
        <w:footnoteReference w:id="523"/>
      </w:r>
    </w:p>
    <w:p w:rsidR="00D1590E" w:rsidRPr="00D1590E" w:rsidRDefault="00D1590E" w:rsidP="00D1590E">
      <w:r w:rsidRPr="00D1590E">
        <w:t xml:space="preserve">We recognise there may be issues with this metric. However we consider that regardless of the emergency response metric shown, none of the NSW service providers performed significantly poorly on emergency response opex to warrant a detailed review of this expenditure category. </w:t>
      </w:r>
    </w:p>
    <w:p w:rsidR="00D1590E" w:rsidRPr="00D1590E" w:rsidRDefault="00D1590E" w:rsidP="00D1590E">
      <w:pPr>
        <w:pStyle w:val="HeadingBoldBlue"/>
      </w:pPr>
      <w:bookmarkStart w:id="296" w:name="_Toc417646297"/>
      <w:r w:rsidRPr="00D1590E">
        <w:t>Findings from NSW service provider's regulatory proposals</w:t>
      </w:r>
      <w:bookmarkEnd w:id="296"/>
    </w:p>
    <w:p w:rsidR="00D1590E" w:rsidRPr="00D1590E" w:rsidRDefault="00D1590E" w:rsidP="00D1590E">
      <w:r w:rsidRPr="00D1590E">
        <w:t>In our draft decision, we found evidence from the NSW service providers' regulatory proposals and submissions that indicated their historical opex are inefficient. We have considered the submissions of the service providers in their revised proposals and maintain that the material sourced is evidence of a gap in performance to the frontier service providers, as indicated by our economic benchmarking.</w:t>
      </w:r>
    </w:p>
    <w:p w:rsidR="00D1590E" w:rsidRPr="00D1590E" w:rsidRDefault="00D1590E" w:rsidP="00D1590E">
      <w:r w:rsidRPr="00D1590E">
        <w:t>The NSW service providers considered that we had misrepresented material from their regulatory proposals. The NSW service providers submitted:</w:t>
      </w:r>
      <w:r w:rsidRPr="00D1590E">
        <w:rPr>
          <w:rStyle w:val="FootnoteReference"/>
        </w:rPr>
        <w:footnoteReference w:id="524"/>
      </w:r>
    </w:p>
    <w:p w:rsidR="00D1590E" w:rsidRPr="00D1590E" w:rsidRDefault="00D1590E" w:rsidP="00D1590E">
      <w:pPr>
        <w:pStyle w:val="AERbulletlistfirststyle"/>
      </w:pPr>
      <w:r w:rsidRPr="00D1590E">
        <w:t>recognising a need for a downward revision is not an admission that past expenditure is inefficient and their forecasts were prepared in light of changing circumstances</w:t>
      </w:r>
    </w:p>
    <w:p w:rsidR="00D1590E" w:rsidRPr="00D1590E" w:rsidRDefault="00D1590E" w:rsidP="00D1590E">
      <w:pPr>
        <w:pStyle w:val="AERbulletlistfirststyle"/>
      </w:pPr>
      <w:r w:rsidRPr="00D1590E">
        <w:t>stranded costs are not evidence of inefficiency and</w:t>
      </w:r>
    </w:p>
    <w:p w:rsidR="00D1590E" w:rsidRPr="00D1590E" w:rsidRDefault="00D1590E" w:rsidP="00D1590E">
      <w:pPr>
        <w:pStyle w:val="AERbulletlistfirststyle"/>
      </w:pPr>
      <w:r w:rsidRPr="00D1590E">
        <w:t>enterprise agreements with their employees are legal obligations that cannot be rescinded.</w:t>
      </w:r>
    </w:p>
    <w:p w:rsidR="00D1590E" w:rsidRPr="00D1590E" w:rsidRDefault="00D1590E" w:rsidP="00D1590E">
      <w:pPr>
        <w:pStyle w:val="HeadingBoldItalic"/>
        <w:rPr>
          <w:rStyle w:val="Strong"/>
        </w:rPr>
      </w:pPr>
      <w:r w:rsidRPr="00D1590E">
        <w:t>D</w:t>
      </w:r>
      <w:r w:rsidRPr="00D1590E">
        <w:rPr>
          <w:rStyle w:val="Strong"/>
        </w:rPr>
        <w:t>ownward revisions as admission of past inefficiency</w:t>
      </w:r>
    </w:p>
    <w:p w:rsidR="00D1590E" w:rsidRPr="00D1590E" w:rsidRDefault="00D1590E" w:rsidP="00D1590E">
      <w:r w:rsidRPr="00D1590E">
        <w:t xml:space="preserve">Ausgrid disagreed with our view that there is evidence of inefficiency from its regulatory proposal and submissions. Specifically, we noted that the NSW service providers have </w:t>
      </w:r>
      <w:r w:rsidRPr="00D1590E">
        <w:lastRenderedPageBreak/>
        <w:t>stated they have stranded labour problems due to reductions in capex, which we considered was evidence of inefficiency in their historical opex.</w:t>
      </w:r>
      <w:r w:rsidRPr="00D1590E">
        <w:rPr>
          <w:rStyle w:val="FootnoteReference"/>
        </w:rPr>
        <w:footnoteReference w:id="525"/>
      </w:r>
      <w:r w:rsidRPr="00D1590E">
        <w:t xml:space="preserve"> </w:t>
      </w:r>
    </w:p>
    <w:p w:rsidR="00D1590E" w:rsidRPr="00D1590E" w:rsidRDefault="00D1590E" w:rsidP="00D1590E">
      <w:r w:rsidRPr="00D1590E">
        <w:t>Ausgrid considered that our view was a misrepresentation of its regulatory proposal, because one cannot forecast required expenditure without considering the anticipated operating environment and changing circumstances.</w:t>
      </w:r>
      <w:r w:rsidRPr="00D1590E">
        <w:rPr>
          <w:rStyle w:val="FootnoteReference"/>
        </w:rPr>
        <w:footnoteReference w:id="526"/>
      </w:r>
      <w:r w:rsidRPr="00D1590E">
        <w:t xml:space="preserve"> Ausgrid submitted that for the 2009–14 period, the AER approved a significant capital investment program, and resources allocated to that program are no longer required.</w:t>
      </w:r>
      <w:r w:rsidRPr="00D1590E">
        <w:rPr>
          <w:rStyle w:val="FootnoteReference"/>
        </w:rPr>
        <w:footnoteReference w:id="527"/>
      </w:r>
      <w:r w:rsidRPr="00D1590E">
        <w:t xml:space="preserve"> </w:t>
      </w:r>
    </w:p>
    <w:p w:rsidR="00D1590E" w:rsidRPr="00D1590E" w:rsidRDefault="00D1590E" w:rsidP="00D1590E">
      <w:r w:rsidRPr="00D1590E">
        <w:t>Ausgrid submitted:</w:t>
      </w:r>
      <w:r w:rsidRPr="00D1590E">
        <w:rPr>
          <w:rStyle w:val="FootnoteReference"/>
        </w:rPr>
        <w:footnoteReference w:id="528"/>
      </w:r>
    </w:p>
    <w:p w:rsidR="00D1590E" w:rsidRPr="00D1590E" w:rsidRDefault="00D1590E" w:rsidP="00D1590E">
      <w:pPr>
        <w:pStyle w:val="AERquote"/>
      </w:pPr>
      <w:r w:rsidRPr="00D1590E">
        <w:t>Our regulatory proposal appropriately recognises a need to have a lower opex requirement for the forthcoming regulatory period reflective of the underlying drivers and circumstances of the forthcoming regulatory period. These drivers are the catalyst for the need to have a lower efficient cost base, as compared to the previous period, which is only appropriate. Recognition of a need to have a lower efficient opex is recognition of the changing circumstances, environment and drivers; not a recognition that the prior period expenditure is inefficient.</w:t>
      </w:r>
    </w:p>
    <w:p w:rsidR="00D1590E" w:rsidRPr="00D1590E" w:rsidRDefault="00D1590E" w:rsidP="00D1590E">
      <w:r w:rsidRPr="00D1590E">
        <w:t>In addition, Ausgrid considered it demonstrated that base year opex is efficient having regard to the efficient opex forecast approved by us for the 2009–14 period; and having regard the incentive scheme to incentivise it to improve its efficiency.</w:t>
      </w:r>
      <w:r w:rsidRPr="00D1590E">
        <w:rPr>
          <w:rStyle w:val="FootnoteReference"/>
        </w:rPr>
        <w:footnoteReference w:id="529"/>
      </w:r>
      <w:r w:rsidRPr="00D1590E">
        <w:t xml:space="preserve"> </w:t>
      </w:r>
    </w:p>
    <w:p w:rsidR="00D1590E" w:rsidRPr="00D1590E" w:rsidRDefault="00D1590E" w:rsidP="00D1590E">
      <w:r w:rsidRPr="00D1590E">
        <w:t xml:space="preserve">We disagree with this view. We do not assume that a service providers' revealed opex is efficient because it underspent its allowance. The NER provides the service providers with an incentive framework in addition to an opex forecast. The Efficiency Benefits Sharing Scheme (EBSS) allows service providers to retain some of the efficiency gains realised beyond the revealed costs from the previous regulatory period. Therefore, the regulatory regime encourages the service providers to continuously improve their efficiency. </w:t>
      </w:r>
    </w:p>
    <w:p w:rsidR="00D1590E" w:rsidRPr="00D1590E" w:rsidRDefault="00D1590E" w:rsidP="00D1590E">
      <w:r w:rsidRPr="00D1590E">
        <w:t>We said in the Guideline that we would assess the efficiency of base year expenditures, to determine if it is appropriate for us to rely on a service provider's revealed costs for future forecasting.</w:t>
      </w:r>
      <w:r w:rsidRPr="00D1590E">
        <w:rPr>
          <w:rStyle w:val="FootnoteReference"/>
        </w:rPr>
        <w:footnoteReference w:id="530"/>
      </w:r>
      <w:r w:rsidRPr="00D1590E">
        <w:t xml:space="preserve"> All of the evidence we now have before us indicates that Ausgrid’s actual expenditure in 2012–13 is not an appropriate starting point for forecasting total opex requirements over 2014–19.</w:t>
      </w:r>
    </w:p>
    <w:p w:rsidR="00D1590E" w:rsidRPr="00D1590E" w:rsidRDefault="00D1590E" w:rsidP="00D1590E">
      <w:r w:rsidRPr="00D1590E">
        <w:t xml:space="preserve">As we explain in section </w:t>
      </w:r>
      <w:r w:rsidR="006139BC">
        <w:fldChar w:fldCharType="begin"/>
      </w:r>
      <w:r w:rsidR="006139BC">
        <w:instrText xml:space="preserve"> REF _Ref417661735 \n \h </w:instrText>
      </w:r>
      <w:r w:rsidR="006139BC">
        <w:fldChar w:fldCharType="separate"/>
      </w:r>
      <w:r w:rsidR="006139BC">
        <w:t>7.3</w:t>
      </w:r>
      <w:r w:rsidR="006139BC">
        <w:fldChar w:fldCharType="end"/>
      </w:r>
      <w:r w:rsidRPr="00D1590E">
        <w:t xml:space="preserve">, we consider the appropriateness of the service providers' revealed expenditure in the base year, to determine the starting point for an estimate of efficient and prudent opex in the forecast period. Our decision is dependent on the assessment tools we have at our disposal at the time of the decision and we take into </w:t>
      </w:r>
      <w:r w:rsidRPr="00D1590E">
        <w:lastRenderedPageBreak/>
        <w:t xml:space="preserve">account new information when new information becomes available. In 2009, on the basis of the evidence before us, and also having regard to the circumstances in which we made our decision, we determined what we considered to be an appropriate basis for forecasting total opex for the period 2009–14. </w:t>
      </w:r>
    </w:p>
    <w:p w:rsidR="00D1590E" w:rsidRPr="00D1590E" w:rsidRDefault="00D1590E" w:rsidP="00D1590E">
      <w:r w:rsidRPr="00D1590E">
        <w:t xml:space="preserve">Since our 2009–14 decision, </w:t>
      </w:r>
      <w:r w:rsidRPr="00D1590E">
        <w:rPr>
          <w:rStyle w:val="AERbody"/>
        </w:rPr>
        <w:t xml:space="preserve">we are now able to benchmark the service providers' opex using various benchmark modelling techniques.  We have also applied a range of other quantitative and qualitative techniques to test the validity and consistency of the results. </w:t>
      </w:r>
      <w:r w:rsidRPr="00D1590E">
        <w:t>All stakeholders should expect us to use new techniques and information when they become available.</w:t>
      </w:r>
      <w:r w:rsidRPr="00D1590E">
        <w:rPr>
          <w:rStyle w:val="FootnoteReference"/>
        </w:rPr>
        <w:footnoteReference w:id="531"/>
      </w:r>
      <w:r w:rsidRPr="00D1590E">
        <w:t xml:space="preserve"> </w:t>
      </w:r>
    </w:p>
    <w:p w:rsidR="00D1590E" w:rsidRPr="00D1590E" w:rsidRDefault="00D1590E" w:rsidP="00D1590E">
      <w:r w:rsidRPr="00D1590E">
        <w:t>New information from these techniques suggests that Ausgrid's and Essential Energy's revealed expenditure in their proposed base years is not an appropriate basis for forecasting opex over the 2014–19 regulatory period.</w:t>
      </w:r>
      <w:r w:rsidRPr="00D1590E">
        <w:rPr>
          <w:rStyle w:val="FootnoteReference"/>
        </w:rPr>
        <w:footnoteReference w:id="532"/>
      </w:r>
      <w:r w:rsidRPr="00D1590E">
        <w:t xml:space="preserve"> This view is supported by submissions.</w:t>
      </w:r>
      <w:r w:rsidRPr="00D1590E">
        <w:rPr>
          <w:rStyle w:val="FootnoteReference"/>
        </w:rPr>
        <w:footnoteReference w:id="533"/>
      </w:r>
      <w:r w:rsidRPr="00D1590E">
        <w:t xml:space="preserve"> For example, our benchmarking results indicate that Ausgrid spends considerably more on a standardised basis than most other businesses in the NEM to provide services required to achieve the opex objectives in a comparable manner. In assessing future forecasts we need to have regard to this new information.</w:t>
      </w:r>
    </w:p>
    <w:p w:rsidR="00D1590E" w:rsidRPr="00D1590E" w:rsidRDefault="00D1590E" w:rsidP="00D1590E">
      <w:r w:rsidRPr="00D1590E">
        <w:t>However, we have not moved away from revealed costs. Rather, we have used new techniques to ensure that we are better able to make a decision that reasonably reflects the opex criteria. Our approach represents a refinement of our longstanding approach to assessing opex.</w:t>
      </w:r>
    </w:p>
    <w:p w:rsidR="00D1590E" w:rsidRPr="00D1590E" w:rsidRDefault="00D1590E" w:rsidP="00D1590E">
      <w:pPr>
        <w:pStyle w:val="HeadingBoldItalic"/>
        <w:rPr>
          <w:rStyle w:val="Strong"/>
        </w:rPr>
      </w:pPr>
      <w:r w:rsidRPr="00D1590E">
        <w:rPr>
          <w:rStyle w:val="Strong"/>
        </w:rPr>
        <w:t>Stranded costs as evidence of inefficiency</w:t>
      </w:r>
    </w:p>
    <w:p w:rsidR="00D1590E" w:rsidRPr="00D1590E" w:rsidRDefault="00D1590E" w:rsidP="00D1590E">
      <w:r w:rsidRPr="00D1590E">
        <w:t>The NSW service providers disagreed with our view that stranded costs are clear evidence of inefficiencies.</w:t>
      </w:r>
      <w:r w:rsidRPr="00D1590E">
        <w:rPr>
          <w:rStyle w:val="FootnoteReference"/>
        </w:rPr>
        <w:footnoteReference w:id="534"/>
      </w:r>
      <w:r w:rsidRPr="00D1590E">
        <w:t xml:space="preserve"> Essential Energy considered that our statements were factual errors, relied on to conclude that its proposed operating expenditure contained material inefficiencies.</w:t>
      </w:r>
      <w:r w:rsidRPr="00D1590E">
        <w:rPr>
          <w:rStyle w:val="FootnoteReference"/>
        </w:rPr>
        <w:footnoteReference w:id="535"/>
      </w:r>
      <w:r w:rsidRPr="00D1590E">
        <w:t xml:space="preserve"> Ausgrid considered its 'stranded costs' reflect a change in the </w:t>
      </w:r>
      <w:r w:rsidRPr="00D1590E">
        <w:lastRenderedPageBreak/>
        <w:t>amount of fixed divisional and corporate overheads allocated to operating costs, as a necessary consequence of its reduced capex program. Ausgrid also noted that its transitional regulatory proposal and the initial proposal did not include expenditure on stranded unproductive labour. These submissions only included the costs of exiting excess resources.</w:t>
      </w:r>
      <w:r w:rsidRPr="00D1590E">
        <w:rPr>
          <w:rStyle w:val="FootnoteReference"/>
        </w:rPr>
        <w:footnoteReference w:id="536"/>
      </w:r>
      <w:r w:rsidRPr="00D1590E">
        <w:t xml:space="preserve"> Endeavour’s revised proposal suggested that its stranded resources primarily arose from the Blended Delivery Model, which is increasing capex outsourcing,</w:t>
      </w:r>
      <w:r w:rsidRPr="00D1590E">
        <w:rPr>
          <w:rStyle w:val="FootnoteReference"/>
        </w:rPr>
        <w:footnoteReference w:id="537"/>
      </w:r>
      <w:r w:rsidRPr="00D1590E">
        <w:t xml:space="preserve"> and stated that it does not have any stranded labour.</w:t>
      </w:r>
    </w:p>
    <w:p w:rsidR="00D1590E" w:rsidRPr="00D1590E" w:rsidRDefault="00D1590E" w:rsidP="00D1590E">
      <w:r w:rsidRPr="00D1590E">
        <w:t xml:space="preserve">As we note in Section </w:t>
      </w:r>
      <w:r w:rsidRPr="00D1590E">
        <w:fldChar w:fldCharType="begin"/>
      </w:r>
      <w:r w:rsidRPr="00D1590E">
        <w:instrText xml:space="preserve"> REF _Ref416804235 \n \h </w:instrText>
      </w:r>
      <w:r w:rsidRPr="00D1590E">
        <w:fldChar w:fldCharType="separate"/>
      </w:r>
      <w:r w:rsidR="00C57342">
        <w:t>A.5.2</w:t>
      </w:r>
      <w:r w:rsidRPr="00D1590E">
        <w:fldChar w:fldCharType="end"/>
      </w:r>
      <w:r w:rsidRPr="00D1590E">
        <w:t>, Deloitte's view is that the service providers relied too much on hiring permanent staff for their large but temporary programs in the last regulatory period. It considered that Ausgrid's resourcing decisions were not efficient because the increase in its permanent workforce far outweighed the limited outsourcing it undertook.</w:t>
      </w:r>
      <w:r w:rsidRPr="00D1590E">
        <w:rPr>
          <w:rStyle w:val="FootnoteReference"/>
        </w:rPr>
        <w:footnoteReference w:id="538"/>
      </w:r>
      <w:r w:rsidRPr="00D1590E">
        <w:t xml:space="preserve"> Because of EBA restrictions, the service providers cannot remove excess staff, which means they are stranded.</w:t>
      </w:r>
    </w:p>
    <w:p w:rsidR="00D1590E" w:rsidRPr="00D1590E" w:rsidRDefault="00D1590E" w:rsidP="00D1590E">
      <w:r w:rsidRPr="00D1590E">
        <w:t>We do not consider an objectively efficient and prudent service provider would be facing stranded labour in these circumstances because it would hire an appropriate mix of permanent and contractual staff, commensurate with its forecast work program and the relevant business risks.</w:t>
      </w:r>
    </w:p>
    <w:p w:rsidR="00D1590E" w:rsidRPr="00D1590E" w:rsidRDefault="00D1590E" w:rsidP="00D1590E">
      <w:r w:rsidRPr="00D1590E">
        <w:t>Further, Deloitte observes that the NSW service providers' revised proposal views on stranded labour appear to contradict information provided during its 2014 review.</w:t>
      </w:r>
      <w:r w:rsidRPr="00D1590E">
        <w:rPr>
          <w:rStyle w:val="FootnoteReference"/>
        </w:rPr>
        <w:footnoteReference w:id="539"/>
      </w:r>
    </w:p>
    <w:p w:rsidR="00D1590E" w:rsidRPr="00D1590E" w:rsidRDefault="00D1590E" w:rsidP="00D1590E">
      <w:pPr>
        <w:pStyle w:val="HeadingBoldItalic"/>
        <w:rPr>
          <w:rStyle w:val="Strong"/>
        </w:rPr>
      </w:pPr>
      <w:r w:rsidRPr="00D1590E">
        <w:rPr>
          <w:rStyle w:val="Strong"/>
        </w:rPr>
        <w:t>Enterprise agreements are legal obligations but not regulatory obligations</w:t>
      </w:r>
    </w:p>
    <w:p w:rsidR="00D1590E" w:rsidRPr="00D1590E" w:rsidRDefault="00D1590E" w:rsidP="00D1590E">
      <w:r w:rsidRPr="00D1590E">
        <w:t>The NSW service providers submitted that certified enterprise agreements are a regulatory obligation on all employers. They considered we cannot conclude that obligations imposed by labour regulations and certified enterprise agreements can be unilaterally and retrospectively rescinded by economic regulation, nor does the NEL enable us to do so.</w:t>
      </w:r>
      <w:r w:rsidRPr="00D1590E">
        <w:rPr>
          <w:rStyle w:val="FootnoteReference"/>
        </w:rPr>
        <w:footnoteReference w:id="540"/>
      </w:r>
      <w:r w:rsidRPr="00D1590E">
        <w:t xml:space="preserve"> We disagree with this view.</w:t>
      </w:r>
    </w:p>
    <w:p w:rsidR="00D1590E" w:rsidRPr="00D1590E" w:rsidRDefault="00D1590E" w:rsidP="00D1590E">
      <w:r w:rsidRPr="00D1590E">
        <w:t xml:space="preserve">As we discuss in section </w:t>
      </w:r>
      <w:r w:rsidRPr="00D1590E">
        <w:fldChar w:fldCharType="begin"/>
      </w:r>
      <w:r w:rsidRPr="00D1590E">
        <w:instrText xml:space="preserve"> REF _Ref415580420 \n \h </w:instrText>
      </w:r>
      <w:r w:rsidRPr="00D1590E">
        <w:fldChar w:fldCharType="separate"/>
      </w:r>
      <w:r w:rsidR="00C57342">
        <w:t>A.3</w:t>
      </w:r>
      <w:r w:rsidRPr="00D1590E">
        <w:fldChar w:fldCharType="end"/>
      </w:r>
      <w:r w:rsidRPr="00D1590E">
        <w:t>, we agree that enterprise agreements place certain legal obligations on service providers, which they must comply with. However, our view is they do not fall within the definition of 'regulatory obligation or requirement' under the NEL.</w:t>
      </w:r>
      <w:r w:rsidRPr="00D1590E">
        <w:rPr>
          <w:rStyle w:val="FootnoteReference"/>
        </w:rPr>
        <w:footnoteReference w:id="541"/>
      </w:r>
    </w:p>
    <w:p w:rsidR="00D1590E" w:rsidRPr="00D1590E" w:rsidRDefault="00D1590E" w:rsidP="00D1590E">
      <w:r w:rsidRPr="00D1590E">
        <w:lastRenderedPageBreak/>
        <w:t xml:space="preserve">Further, the service providers' interpretation is contrary to the requirement in clause 6.5.6(a) for a proposal to include the </w:t>
      </w:r>
      <w:r w:rsidRPr="00D1590E">
        <w:rPr>
          <w:rStyle w:val="AERtextitalic"/>
        </w:rPr>
        <w:t>total</w:t>
      </w:r>
      <w:r w:rsidRPr="00D1590E">
        <w:t xml:space="preserve"> forecast opex for a regulatory period. It is important to note that when we determine total forecast opex, we set a total forecast within an overall framework that is incentive based.  The assessment of the opex forecast must be seen in the context of the overall legislative framework established by the NER and NEL.</w:t>
      </w:r>
    </w:p>
    <w:p w:rsidR="00D1590E" w:rsidRPr="00D1590E" w:rsidRDefault="00D1590E" w:rsidP="00D1590E">
      <w:r w:rsidRPr="00D1590E">
        <w:t xml:space="preserve">While contractual or other obligations which do not fall within the definition are not regulatory obligations or requirements so defined, a service provider can still direct the revenue it recovers from customers (or from other sources) to comply with those obligations. The costs of compliance with obligations that are not within the definition of 'regulatory obligation or requirement' are treated like the other costs a service provider incurs. </w:t>
      </w:r>
    </w:p>
    <w:p w:rsidR="00D1590E" w:rsidRPr="00D1590E" w:rsidRDefault="00D1590E" w:rsidP="00D1590E">
      <w:r w:rsidRPr="00D1590E">
        <w:t>In this context, we take the view that the opex criteria should be understood as applying an objective test—albeit a test that applies to a particular network and must therefore incorporate certain individual circumstances of that network. The intention behind the regulatory scheme is to set an objectively determined forecast for the operating costs of the network that should be funded by consumers.</w:t>
      </w:r>
      <w:r w:rsidRPr="00D1590E">
        <w:rPr>
          <w:rStyle w:val="FootnoteReference"/>
        </w:rPr>
        <w:footnoteReference w:id="542"/>
      </w:r>
      <w:r w:rsidRPr="00D1590E">
        <w:t xml:space="preserve">  If a service provider can better this forecast in its actual spending it is rewarded with the cost savings. If it overspends the forecast it bears the costs.</w:t>
      </w:r>
      <w:r w:rsidRPr="00D1590E" w:rsidDel="008918F8">
        <w:t xml:space="preserve"> </w:t>
      </w:r>
      <w:bookmarkStart w:id="297" w:name="_Ref415580460"/>
      <w:r w:rsidRPr="00D1590E">
        <w:br w:type="page"/>
      </w:r>
    </w:p>
    <w:p w:rsidR="00D1590E" w:rsidRPr="00D1590E" w:rsidRDefault="00D1590E" w:rsidP="00D1590E">
      <w:pPr>
        <w:pStyle w:val="Heading8"/>
      </w:pPr>
      <w:bookmarkStart w:id="298" w:name="_Ref417551822"/>
      <w:bookmarkStart w:id="299" w:name="_Toc417649234"/>
      <w:bookmarkStart w:id="300" w:name="_Toc417659866"/>
      <w:bookmarkStart w:id="301" w:name="_Toc414268588"/>
      <w:bookmarkStart w:id="302" w:name="_Ref414519611"/>
      <w:bookmarkStart w:id="303" w:name="_Ref414873673"/>
      <w:bookmarkStart w:id="304" w:name="_Ref414887854"/>
      <w:bookmarkStart w:id="305" w:name="_Ref414953481"/>
      <w:bookmarkStart w:id="306" w:name="_Toc415230988"/>
      <w:bookmarkEnd w:id="266"/>
      <w:bookmarkEnd w:id="267"/>
      <w:bookmarkEnd w:id="268"/>
      <w:bookmarkEnd w:id="269"/>
      <w:bookmarkEnd w:id="270"/>
      <w:bookmarkEnd w:id="297"/>
      <w:r w:rsidRPr="00D1590E">
        <w:lastRenderedPageBreak/>
        <w:t>The net impact of operating environment factor adjustments</w:t>
      </w:r>
      <w:bookmarkEnd w:id="298"/>
      <w:bookmarkEnd w:id="299"/>
      <w:bookmarkEnd w:id="300"/>
    </w:p>
    <w:p w:rsidR="00D1590E" w:rsidRPr="00D1590E" w:rsidRDefault="00D1590E" w:rsidP="00D1590E">
      <w:bookmarkStart w:id="307" w:name="_Ref401563264"/>
      <w:r w:rsidRPr="00D1590E">
        <w:t>When undertaking a benchmarking exercise, circumstances exogenous to a service provider should generally be taken into account. By taking into account exogenous circumstances, one can determine the extent to which cost differences are exogenous or due to inefficiency.</w:t>
      </w:r>
      <w:r w:rsidRPr="00D1590E">
        <w:rPr>
          <w:rStyle w:val="FootnoteReference"/>
        </w:rPr>
        <w:footnoteReference w:id="543"/>
      </w:r>
      <w:r w:rsidRPr="00D1590E">
        <w:t xml:space="preserve"> The purpose of our assessment of operating environment factors (OEFs) is to account for these exogenous circumstances.</w:t>
      </w:r>
    </w:p>
    <w:p w:rsidR="00D1590E" w:rsidRPr="00D1590E" w:rsidRDefault="00D1590E" w:rsidP="00D1590E">
      <w:r w:rsidRPr="00D1590E">
        <w:t>In its Final Rule Determination on the Economic Regulation of Network Service Providers The AEMC stated:</w:t>
      </w:r>
    </w:p>
    <w:p w:rsidR="00D1590E" w:rsidRPr="00D1590E" w:rsidRDefault="00D1590E" w:rsidP="00D1590E">
      <w:pPr>
        <w:pStyle w:val="AERquote"/>
      </w:pPr>
      <w:r w:rsidRPr="00D1590E">
        <w:t>The final rule gives the AER discretion as to how and when it undertakes benchmarking in its decision-making. However,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w:t>
      </w:r>
      <w:r w:rsidRPr="00D1590E">
        <w:rPr>
          <w:rStyle w:val="FootnoteReference"/>
        </w:rPr>
        <w:footnoteReference w:id="544"/>
      </w:r>
    </w:p>
    <w:p w:rsidR="00D1590E" w:rsidRPr="00D1590E" w:rsidRDefault="00D1590E" w:rsidP="00D1590E">
      <w:r w:rsidRPr="00D1590E">
        <w:t>The AEMC also noted that:</w:t>
      </w:r>
    </w:p>
    <w:p w:rsidR="00D1590E" w:rsidRPr="00D1590E" w:rsidRDefault="00D1590E" w:rsidP="00D1590E">
      <w:pPr>
        <w:pStyle w:val="AERquote"/>
      </w:pPr>
      <w:r w:rsidRPr="00D1590E">
        <w:t>The intention of a benchmarking assessment is not to normalise for every possible difference in networks. Rather, benchmarking provides a high level overview taking into account certain exogenous factors. It is then used as a comparative tool to inform assessments about the relative overall efficiency of proposed expenditure.</w:t>
      </w:r>
      <w:r w:rsidRPr="00D1590E">
        <w:rPr>
          <w:rStyle w:val="FootnoteReference"/>
        </w:rPr>
        <w:t xml:space="preserve"> </w:t>
      </w:r>
      <w:r w:rsidRPr="00D1590E">
        <w:rPr>
          <w:rStyle w:val="FootnoteReference"/>
        </w:rPr>
        <w:footnoteReference w:id="545"/>
      </w:r>
    </w:p>
    <w:p w:rsidR="00D1590E" w:rsidRPr="00D1590E" w:rsidRDefault="00D1590E" w:rsidP="00D1590E">
      <w:r w:rsidRPr="00D1590E">
        <w:t>In the course of the current ACT, NSW, Queensland and SA regulatory determinations, we have considered more than 60 OEFs that we, service providers and other stakeholders have referred to. We considered each factor using our three OEF criteria of exogeneity, materiality, and duplication. We do not provide an adjustment for non-exogenous or duplicative factors. For material, exogenous and non-duplicative factors, we make an adjustment to the level of that materiality. If such a factor is immaterial, we take a different approach that nonetheless recognises that such factors may have an impact on a service provider, albeit a small one.</w:t>
      </w:r>
    </w:p>
    <w:p w:rsidR="00D1590E" w:rsidRPr="00D1590E" w:rsidRDefault="00D1590E" w:rsidP="00D1590E">
      <w:r w:rsidRPr="00D1590E">
        <w:t>In response to our draft decision, the NSW service providers submitted that we had not considered their circumstances.</w:t>
      </w:r>
      <w:r w:rsidRPr="00D1590E">
        <w:rPr>
          <w:rStyle w:val="FootnoteReference"/>
        </w:rPr>
        <w:footnoteReference w:id="546"/>
      </w:r>
      <w:r w:rsidRPr="00D1590E">
        <w:t xml:space="preserve"> </w:t>
      </w:r>
      <w:r w:rsidRPr="00D1590E">
        <w:rPr>
          <w:rStyle w:val="FootnoteReference"/>
        </w:rPr>
        <w:footnoteReference w:id="547"/>
      </w:r>
      <w:r w:rsidRPr="00D1590E">
        <w:t xml:space="preserve"> </w:t>
      </w:r>
      <w:r w:rsidRPr="00D1590E">
        <w:rPr>
          <w:rStyle w:val="FootnoteReference"/>
        </w:rPr>
        <w:footnoteReference w:id="548"/>
      </w:r>
      <w:r w:rsidRPr="00D1590E">
        <w:t>ActewAGL submitted that our assessment of its OEFs was unsubstantiated.</w:t>
      </w:r>
      <w:r w:rsidRPr="00D1590E">
        <w:rPr>
          <w:rStyle w:val="FootnoteReference"/>
        </w:rPr>
        <w:footnoteReference w:id="549"/>
      </w:r>
    </w:p>
    <w:p w:rsidR="00D1590E" w:rsidRPr="00D1590E" w:rsidRDefault="00D1590E" w:rsidP="00D1590E">
      <w:r w:rsidRPr="00D1590E">
        <w:lastRenderedPageBreak/>
        <w:t>We have considered the OEFs raised by the ACT and NSW service providers, other service providers and other stakeholders.</w:t>
      </w:r>
    </w:p>
    <w:p w:rsidR="00D1590E" w:rsidRPr="00D1590E" w:rsidRDefault="00D1590E" w:rsidP="00D1590E">
      <w:r w:rsidRPr="00D1590E">
        <w:t>We also consider that our approach to OEFs appropriately allows service providers to recoup at least efficient costs. In addition to adjusting for the material OEFs identified, we have provided an adjustment for the collective effect of immaterial OEFs that are exogenous and not accounted for elsewhere. Service providers receive positive 0.5 per cent adjustments for OEFs identified as immaterial that may disadvantage them or where there the direction of the advantage is uncertain. In future reviews, as we collect more information on OEFs, we are likely to adopt a stricter approach to the consideration of OEFs.</w:t>
      </w:r>
    </w:p>
    <w:p w:rsidR="00D1590E" w:rsidRPr="00D1590E" w:rsidRDefault="00D1590E" w:rsidP="00D1590E">
      <w:pPr>
        <w:pStyle w:val="Heading9"/>
      </w:pPr>
      <w:bookmarkStart w:id="308" w:name="_Toc417646299"/>
      <w:bookmarkStart w:id="309" w:name="_Toc417649235"/>
      <w:bookmarkStart w:id="310" w:name="_Toc417659867"/>
      <w:r w:rsidRPr="00D1590E">
        <w:t xml:space="preserve">Final </w:t>
      </w:r>
      <w:bookmarkEnd w:id="308"/>
      <w:bookmarkEnd w:id="309"/>
      <w:r w:rsidRPr="00D1590E">
        <w:t>position</w:t>
      </w:r>
      <w:bookmarkEnd w:id="310"/>
    </w:p>
    <w:p w:rsidR="00D1590E" w:rsidRPr="00D1590E" w:rsidRDefault="00D1590E" w:rsidP="00D1590E">
      <w:r w:rsidRPr="00D1590E">
        <w:t>We have provided an input margin of</w:t>
      </w:r>
      <w:r w:rsidRPr="00D1590E">
        <w:rPr>
          <w:rStyle w:val="AERbody"/>
        </w:rPr>
        <w:t xml:space="preserve"> 11.7, 12.9, and 10.7 per cent to Ausgrid, Endeavour, and Essential, to account for</w:t>
      </w:r>
      <w:r w:rsidRPr="00D1590E">
        <w:t xml:space="preserve"> differences in operating environment factors (OEFs), not accounted for in Economic Insights' SFA model.</w:t>
      </w:r>
      <w:r w:rsidRPr="00D1590E">
        <w:rPr>
          <w:rStyle w:val="FootnoteReference"/>
        </w:rPr>
        <w:footnoteReference w:id="550"/>
      </w:r>
      <w:r w:rsidRPr="00D1590E">
        <w:t xml:space="preserve"> We have come to this conclusion after assessin</w:t>
      </w:r>
      <w:r w:rsidRPr="00D1590E">
        <w:rPr>
          <w:rStyle w:val="AERbody"/>
        </w:rPr>
        <w:t xml:space="preserve">g more than 60 different </w:t>
      </w:r>
      <w:r w:rsidRPr="00D1590E">
        <w:t>OEFs that we, service providers, and other stakeholders identified in the process of this review and in response to our benchmarking report.</w:t>
      </w:r>
    </w:p>
    <w:p w:rsidR="00D1590E" w:rsidRPr="00D1590E" w:rsidRDefault="00D1590E" w:rsidP="00D1590E">
      <w:r w:rsidRPr="00D1590E">
        <w:t xml:space="preserve">We identified four OEFs that we consider require OEF adjustments. The first adjustment is to account for the effect of differences in subtransmission configurations on service providers' opex. The second accounts for differences in licence conditions across jurisdictions on opex. The third accounts for the impact of different occupational health and safety regulations on service providers' opex. The fourth relates to termite exposure. </w:t>
      </w:r>
    </w:p>
    <w:p w:rsidR="00D1590E" w:rsidRPr="00D1590E" w:rsidRDefault="00D1590E" w:rsidP="00D1590E">
      <w:r w:rsidRPr="00D1590E">
        <w:t xml:space="preserve">During the course of our investigations we also identified additional OEFs that did not meet our OEF adjustment criteria because they would not individually create material differences in opex. </w:t>
      </w:r>
    </w:p>
    <w:p w:rsidR="00D1590E" w:rsidRPr="00D1590E" w:rsidRDefault="00D1590E" w:rsidP="00D1590E">
      <w:r w:rsidRPr="00D1590E">
        <w:t>Although individually the effects of these OEFs on opex may not be material, their combined effect may be. To allow for the collective effect that these OEFs may have, we have provided an allowance of 4.7 per cent, 6.7 per cent, and 5.4 per cent to Ausgrid, Endeavour, and Essential respectively. The method we used is discussed further in our approach section.</w:t>
      </w:r>
    </w:p>
    <w:p w:rsidR="00D1590E" w:rsidRPr="00D1590E" w:rsidRDefault="00D1590E" w:rsidP="00D1590E">
      <w:r w:rsidRPr="00D1590E">
        <w:t>The table below summarises the adjustments. Details on the calculation of each adjustment can be found below in the detailed discussions for each OEF.</w:t>
      </w:r>
    </w:p>
    <w:p w:rsidR="00D1590E" w:rsidRPr="00D1590E" w:rsidRDefault="00D1590E" w:rsidP="00D1590E">
      <w:pPr>
        <w:pStyle w:val="Caption"/>
      </w:pPr>
      <w:r w:rsidRPr="00D1590E">
        <w:lastRenderedPageBreak/>
        <w:t xml:space="preserve">Table </w:t>
      </w:r>
      <w:fldSimple w:instr=" STYLEREF 7 \s ">
        <w:r w:rsidR="00C57342">
          <w:rPr>
            <w:noProof/>
          </w:rPr>
          <w:t>A</w:t>
        </w:r>
      </w:fldSimple>
      <w:r w:rsidRPr="00D1590E">
        <w:t>.</w:t>
      </w:r>
      <w:fldSimple w:instr=" SEQ ATable \* ARABIC \s 7 ">
        <w:r w:rsidR="00C57342">
          <w:rPr>
            <w:noProof/>
          </w:rPr>
          <w:t>6</w:t>
        </w:r>
      </w:fldSimple>
      <w:r w:rsidRPr="00D1590E">
        <w:tab/>
        <w:t>Summary of final decision on OEF adjustments</w:t>
      </w:r>
    </w:p>
    <w:tbl>
      <w:tblPr>
        <w:tblStyle w:val="AERtable-text1"/>
        <w:tblW w:w="5000" w:type="pct"/>
        <w:tblInd w:w="0" w:type="dxa"/>
        <w:tblLook w:val="04A0" w:firstRow="1" w:lastRow="0" w:firstColumn="1" w:lastColumn="0" w:noHBand="0" w:noVBand="1"/>
      </w:tblPr>
      <w:tblGrid>
        <w:gridCol w:w="1853"/>
        <w:gridCol w:w="972"/>
        <w:gridCol w:w="1250"/>
        <w:gridCol w:w="1095"/>
        <w:gridCol w:w="3522"/>
      </w:tblGrid>
      <w:tr w:rsidR="00D1590E" w:rsidTr="00D1590E">
        <w:trPr>
          <w:cnfStyle w:val="100000000000" w:firstRow="1" w:lastRow="0" w:firstColumn="0" w:lastColumn="0" w:oddVBand="0" w:evenVBand="0" w:oddHBand="0" w:evenHBand="0" w:firstRowFirstColumn="0" w:firstRowLastColumn="0" w:lastRowFirstColumn="0" w:lastRowLastColumn="0"/>
        </w:trPr>
        <w:tc>
          <w:tcPr>
            <w:tcW w:w="1079" w:type="pct"/>
          </w:tcPr>
          <w:p w:rsidR="00D1590E" w:rsidRPr="00D1590E" w:rsidRDefault="00D1590E" w:rsidP="00D1590E">
            <w:pPr>
              <w:pStyle w:val="AERtabletextleft"/>
            </w:pPr>
            <w:r w:rsidRPr="00D1590E">
              <w:t>Factor</w:t>
            </w:r>
          </w:p>
        </w:tc>
        <w:tc>
          <w:tcPr>
            <w:tcW w:w="549" w:type="pct"/>
          </w:tcPr>
          <w:p w:rsidR="00D1590E" w:rsidRPr="00D1590E" w:rsidRDefault="00D1590E" w:rsidP="00D1590E">
            <w:pPr>
              <w:pStyle w:val="AERtabletextleft"/>
            </w:pPr>
            <w:r w:rsidRPr="00D1590E">
              <w:t>Ausgrid</w:t>
            </w:r>
          </w:p>
        </w:tc>
        <w:tc>
          <w:tcPr>
            <w:tcW w:w="706" w:type="pct"/>
          </w:tcPr>
          <w:p w:rsidR="00D1590E" w:rsidRPr="00D1590E" w:rsidRDefault="00D1590E" w:rsidP="00D1590E">
            <w:pPr>
              <w:pStyle w:val="AERtabletextleft"/>
            </w:pPr>
            <w:r w:rsidRPr="00D1590E">
              <w:t>Endeavour</w:t>
            </w:r>
          </w:p>
        </w:tc>
        <w:tc>
          <w:tcPr>
            <w:tcW w:w="627" w:type="pct"/>
          </w:tcPr>
          <w:p w:rsidR="00D1590E" w:rsidRPr="00D1590E" w:rsidRDefault="00D1590E" w:rsidP="00D1590E">
            <w:pPr>
              <w:pStyle w:val="AERtabletextleft"/>
            </w:pPr>
            <w:r w:rsidRPr="00D1590E">
              <w:t>Essential</w:t>
            </w:r>
          </w:p>
        </w:tc>
        <w:tc>
          <w:tcPr>
            <w:tcW w:w="2039" w:type="pct"/>
          </w:tcPr>
          <w:p w:rsidR="00D1590E" w:rsidRPr="00D1590E" w:rsidRDefault="00D1590E" w:rsidP="00D1590E">
            <w:pPr>
              <w:pStyle w:val="AERtabletextleft"/>
            </w:pPr>
            <w:r w:rsidRPr="00D1590E">
              <w:t>Reasons against OEF criteria</w:t>
            </w:r>
            <w:r w:rsidRPr="00D1590E">
              <w:rPr>
                <w:rStyle w:val="FootnoteReference"/>
              </w:rPr>
              <w:footnoteReference w:id="551"/>
            </w:r>
          </w:p>
        </w:tc>
      </w:tr>
      <w:tr w:rsidR="00D1590E" w:rsidTr="00D1590E">
        <w:tc>
          <w:tcPr>
            <w:tcW w:w="1079" w:type="pct"/>
          </w:tcPr>
          <w:p w:rsidR="00D1590E" w:rsidRPr="00D1590E" w:rsidRDefault="00D1590E" w:rsidP="00D1590E">
            <w:pPr>
              <w:pStyle w:val="AERtabletextleft"/>
            </w:pPr>
            <w:r w:rsidRPr="00D1590E">
              <w:t>Subtransmission</w:t>
            </w:r>
          </w:p>
        </w:tc>
        <w:tc>
          <w:tcPr>
            <w:tcW w:w="549" w:type="pct"/>
          </w:tcPr>
          <w:p w:rsidR="00D1590E" w:rsidRPr="00D1590E" w:rsidRDefault="00D1590E" w:rsidP="00D1590E">
            <w:pPr>
              <w:pStyle w:val="AERtabletextright"/>
            </w:pPr>
            <w:r w:rsidRPr="00D1590E">
              <w:t>5.2%</w:t>
            </w:r>
          </w:p>
        </w:tc>
        <w:tc>
          <w:tcPr>
            <w:tcW w:w="706" w:type="pct"/>
          </w:tcPr>
          <w:p w:rsidR="00D1590E" w:rsidRPr="00D1590E" w:rsidRDefault="00D1590E" w:rsidP="00D1590E">
            <w:pPr>
              <w:pStyle w:val="AERtabletextright"/>
            </w:pPr>
            <w:r w:rsidRPr="00D1590E">
              <w:t>4.9%</w:t>
            </w:r>
          </w:p>
        </w:tc>
        <w:tc>
          <w:tcPr>
            <w:tcW w:w="627" w:type="pct"/>
          </w:tcPr>
          <w:p w:rsidR="00D1590E" w:rsidRPr="00D1590E" w:rsidRDefault="00D1590E" w:rsidP="00D1590E">
            <w:pPr>
              <w:pStyle w:val="AERtabletextright"/>
            </w:pPr>
            <w:r w:rsidRPr="00D1590E">
              <w:t>3.1%</w:t>
            </w:r>
          </w:p>
        </w:tc>
        <w:tc>
          <w:tcPr>
            <w:tcW w:w="2039" w:type="pct"/>
          </w:tcPr>
          <w:p w:rsidR="00D1590E" w:rsidRPr="00D1590E" w:rsidRDefault="00D1590E" w:rsidP="00D1590E">
            <w:pPr>
              <w:pStyle w:val="AERbulletlistfirststyle"/>
            </w:pPr>
            <w:r w:rsidRPr="00D1590E">
              <w:t>The boundary between distribution and transmission is not determined by service providers</w:t>
            </w:r>
          </w:p>
          <w:p w:rsidR="00D1590E" w:rsidRPr="00D1590E" w:rsidRDefault="00D1590E" w:rsidP="00D1590E">
            <w:pPr>
              <w:pStyle w:val="AERbulletlistfirststyle"/>
            </w:pPr>
            <w:r w:rsidRPr="00D1590E">
              <w:t>Data from Ausgrid's regulatory accounts suggest that subtransmission assets are up to twice as costly to operate as distribution assets.</w:t>
            </w:r>
          </w:p>
          <w:p w:rsidR="00D1590E" w:rsidRPr="00D1590E" w:rsidRDefault="00D1590E" w:rsidP="00D1590E">
            <w:pPr>
              <w:pStyle w:val="AERbulletlistfirststyle"/>
            </w:pPr>
            <w:r w:rsidRPr="00D1590E">
              <w:t xml:space="preserve">Economic Insights' SFA model does not include a variable that accounts for subtransmission assets. </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079" w:type="pct"/>
          </w:tcPr>
          <w:p w:rsidR="00D1590E" w:rsidRPr="00D1590E" w:rsidRDefault="00D1590E" w:rsidP="00D1590E">
            <w:pPr>
              <w:pStyle w:val="AERtabletextleft"/>
            </w:pPr>
            <w:r w:rsidRPr="00D1590E">
              <w:t>Licence conditions</w:t>
            </w:r>
          </w:p>
        </w:tc>
        <w:tc>
          <w:tcPr>
            <w:tcW w:w="549" w:type="pct"/>
          </w:tcPr>
          <w:p w:rsidR="00D1590E" w:rsidRPr="00D1590E" w:rsidRDefault="00D1590E" w:rsidP="00D1590E">
            <w:pPr>
              <w:pStyle w:val="AERtabletextright"/>
            </w:pPr>
            <w:r w:rsidRPr="00D1590E">
              <w:t>1.2%</w:t>
            </w:r>
          </w:p>
        </w:tc>
        <w:tc>
          <w:tcPr>
            <w:tcW w:w="706" w:type="pct"/>
          </w:tcPr>
          <w:p w:rsidR="00D1590E" w:rsidRPr="00D1590E" w:rsidRDefault="00D1590E" w:rsidP="00D1590E">
            <w:pPr>
              <w:pStyle w:val="AERtabletextright"/>
            </w:pPr>
            <w:r w:rsidRPr="00D1590E">
              <w:t>0.7%</w:t>
            </w:r>
          </w:p>
        </w:tc>
        <w:tc>
          <w:tcPr>
            <w:tcW w:w="627" w:type="pct"/>
          </w:tcPr>
          <w:p w:rsidR="00D1590E" w:rsidRPr="00D1590E" w:rsidRDefault="00D1590E" w:rsidP="00D1590E">
            <w:pPr>
              <w:pStyle w:val="AERtabletextright"/>
            </w:pPr>
            <w:r w:rsidRPr="00D1590E">
              <w:t>1.2%</w:t>
            </w:r>
          </w:p>
        </w:tc>
        <w:tc>
          <w:tcPr>
            <w:tcW w:w="2039" w:type="pct"/>
          </w:tcPr>
          <w:p w:rsidR="00D1590E" w:rsidRPr="00D1590E" w:rsidRDefault="00D1590E" w:rsidP="00D1590E">
            <w:pPr>
              <w:pStyle w:val="AERbulletlistfirststyle"/>
            </w:pPr>
            <w:r w:rsidRPr="00D1590E">
              <w:t>The network planning requirements in the NSW service providers licence conditions are not determined by service providers.</w:t>
            </w:r>
          </w:p>
          <w:p w:rsidR="00D1590E" w:rsidRPr="00D1590E" w:rsidRDefault="00D1590E" w:rsidP="00D1590E">
            <w:pPr>
              <w:pStyle w:val="AERbulletlistfirststyle"/>
            </w:pPr>
            <w:r w:rsidRPr="00D1590E">
              <w:t>Category analysis and economic benchmarking RIN data suggest that the increased transformer capacity to meet the 2005 and 2007 change in licence conditions may lead to a material increase in maintenance expenditure.</w:t>
            </w:r>
          </w:p>
          <w:p w:rsidR="00D1590E" w:rsidRPr="00D1590E" w:rsidRDefault="00D1590E" w:rsidP="00D1590E">
            <w:pPr>
              <w:pStyle w:val="AERbulletlistfirststyle"/>
            </w:pPr>
            <w:r w:rsidRPr="00D1590E">
              <w:t>Economic Insights' SFA model does not include a variable that accounts for changes in licence conditions.</w:t>
            </w:r>
          </w:p>
        </w:tc>
      </w:tr>
      <w:tr w:rsidR="00D1590E" w:rsidTr="00D1590E">
        <w:tc>
          <w:tcPr>
            <w:tcW w:w="1079" w:type="pct"/>
          </w:tcPr>
          <w:p w:rsidR="00D1590E" w:rsidRPr="00D1590E" w:rsidRDefault="00D1590E" w:rsidP="00D1590E">
            <w:pPr>
              <w:pStyle w:val="AERtabletextleft"/>
            </w:pPr>
            <w:r w:rsidRPr="00D1590E">
              <w:t>OH&amp;S regulations</w:t>
            </w:r>
          </w:p>
        </w:tc>
        <w:tc>
          <w:tcPr>
            <w:tcW w:w="549" w:type="pct"/>
          </w:tcPr>
          <w:p w:rsidR="00D1590E" w:rsidRPr="00D1590E" w:rsidRDefault="00D1590E" w:rsidP="00D1590E">
            <w:pPr>
              <w:pStyle w:val="AERtabletextright"/>
            </w:pPr>
            <w:r w:rsidRPr="00D1590E">
              <w:t>0.5%</w:t>
            </w:r>
          </w:p>
        </w:tc>
        <w:tc>
          <w:tcPr>
            <w:tcW w:w="706" w:type="pct"/>
          </w:tcPr>
          <w:p w:rsidR="00D1590E" w:rsidRPr="00D1590E" w:rsidRDefault="00D1590E" w:rsidP="00D1590E">
            <w:pPr>
              <w:pStyle w:val="AERtabletextright"/>
            </w:pPr>
            <w:r w:rsidRPr="00D1590E">
              <w:t>0.5%</w:t>
            </w:r>
          </w:p>
        </w:tc>
        <w:tc>
          <w:tcPr>
            <w:tcW w:w="627" w:type="pct"/>
          </w:tcPr>
          <w:p w:rsidR="00D1590E" w:rsidRPr="00D1590E" w:rsidRDefault="00D1590E" w:rsidP="00D1590E">
            <w:pPr>
              <w:pStyle w:val="AERtabletextright"/>
            </w:pPr>
            <w:r w:rsidRPr="00D1590E">
              <w:t>0.5%</w:t>
            </w:r>
          </w:p>
        </w:tc>
        <w:tc>
          <w:tcPr>
            <w:tcW w:w="2039" w:type="pct"/>
          </w:tcPr>
          <w:p w:rsidR="00D1590E" w:rsidRPr="00D1590E" w:rsidRDefault="00D1590E" w:rsidP="00D1590E">
            <w:pPr>
              <w:pStyle w:val="AERbulletlistfirststyle"/>
            </w:pPr>
            <w:r w:rsidRPr="00D1590E">
              <w:t>OH&amp;S regulations are not set by service providers.</w:t>
            </w:r>
          </w:p>
          <w:p w:rsidR="00D1590E" w:rsidRPr="00D1590E" w:rsidRDefault="00D1590E" w:rsidP="00D1590E">
            <w:pPr>
              <w:pStyle w:val="AERbulletlistfirststyle"/>
            </w:pPr>
            <w:r w:rsidRPr="00D1590E">
              <w:t>Data from the ABS and a PwC report commissioned by the Victorian Government suggest that differences in OH&amp;S regulations may materially affect service provider's opex.</w:t>
            </w:r>
          </w:p>
          <w:p w:rsidR="00D1590E" w:rsidRPr="00D1590E" w:rsidRDefault="00D1590E" w:rsidP="00D1590E">
            <w:pPr>
              <w:pStyle w:val="AERbulletlistfirststyle"/>
            </w:pPr>
            <w:r w:rsidRPr="00D1590E">
              <w:t>Economic Insights' SFA model does not include a variable that accounts for differences in OH&amp;S legislation.</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079" w:type="pct"/>
          </w:tcPr>
          <w:p w:rsidR="00D1590E" w:rsidRPr="00D1590E" w:rsidRDefault="00D1590E" w:rsidP="00D1590E">
            <w:pPr>
              <w:pStyle w:val="AERtabletextleft"/>
            </w:pPr>
            <w:r w:rsidRPr="00D1590E">
              <w:t>Termite Exposure</w:t>
            </w:r>
          </w:p>
        </w:tc>
        <w:tc>
          <w:tcPr>
            <w:tcW w:w="549" w:type="pct"/>
          </w:tcPr>
          <w:p w:rsidR="00D1590E" w:rsidRPr="00D1590E" w:rsidRDefault="00D1590E" w:rsidP="00D1590E">
            <w:pPr>
              <w:pStyle w:val="AERtabletextright"/>
            </w:pPr>
            <w:r w:rsidRPr="00D1590E">
              <w:t>0.0%</w:t>
            </w:r>
          </w:p>
        </w:tc>
        <w:tc>
          <w:tcPr>
            <w:tcW w:w="706" w:type="pct"/>
          </w:tcPr>
          <w:p w:rsidR="00D1590E" w:rsidRPr="00D1590E" w:rsidRDefault="00D1590E" w:rsidP="00D1590E">
            <w:pPr>
              <w:pStyle w:val="AERtabletextright"/>
            </w:pPr>
            <w:r w:rsidRPr="00D1590E">
              <w:t>0.2%</w:t>
            </w:r>
          </w:p>
        </w:tc>
        <w:tc>
          <w:tcPr>
            <w:tcW w:w="627" w:type="pct"/>
          </w:tcPr>
          <w:p w:rsidR="00D1590E" w:rsidRPr="00D1590E" w:rsidRDefault="00D1590E" w:rsidP="00D1590E">
            <w:pPr>
              <w:pStyle w:val="AERtabletextright"/>
            </w:pPr>
            <w:r w:rsidRPr="00D1590E">
              <w:t>0.6%</w:t>
            </w:r>
          </w:p>
        </w:tc>
        <w:tc>
          <w:tcPr>
            <w:tcW w:w="2039" w:type="pct"/>
          </w:tcPr>
          <w:p w:rsidR="00D1590E" w:rsidRPr="00D1590E" w:rsidRDefault="00D1590E" w:rsidP="00D1590E">
            <w:pPr>
              <w:pStyle w:val="AERbulletlistfirststyle"/>
            </w:pPr>
            <w:r w:rsidRPr="00D1590E">
              <w:t>The prevalence of termites in a geographic area is beyond service providers' control.</w:t>
            </w:r>
          </w:p>
          <w:p w:rsidR="00D1590E" w:rsidRPr="00D1590E" w:rsidRDefault="00D1590E" w:rsidP="00D1590E">
            <w:pPr>
              <w:pStyle w:val="AERbulletlistfirststyle"/>
            </w:pPr>
            <w:r w:rsidRPr="00D1590E">
              <w:t>Data on Powercor's termite management costs and data from the CSIRO on the range of termites suggest that the Essential Energy may have a material cost disadvantage due to termite exposure.</w:t>
            </w:r>
          </w:p>
          <w:p w:rsidR="00D1590E" w:rsidRPr="00D1590E" w:rsidRDefault="00D1590E" w:rsidP="00D1590E">
            <w:pPr>
              <w:pStyle w:val="AERbulletlistfirststyle"/>
            </w:pPr>
            <w:r w:rsidRPr="00D1590E">
              <w:t>Economic Insights' SFA model does not include a variable that accounts for differences in termite exposure.</w:t>
            </w:r>
          </w:p>
        </w:tc>
      </w:tr>
      <w:tr w:rsidR="00D1590E" w:rsidTr="00D1590E">
        <w:tc>
          <w:tcPr>
            <w:tcW w:w="1079" w:type="pct"/>
          </w:tcPr>
          <w:p w:rsidR="00D1590E" w:rsidRPr="00D1590E" w:rsidRDefault="00D1590E" w:rsidP="00D1590E">
            <w:pPr>
              <w:pStyle w:val="AERtabletextleft"/>
            </w:pPr>
            <w:r w:rsidRPr="00D1590E">
              <w:lastRenderedPageBreak/>
              <w:t>Immaterial factors</w:t>
            </w:r>
          </w:p>
        </w:tc>
        <w:tc>
          <w:tcPr>
            <w:tcW w:w="549" w:type="pct"/>
          </w:tcPr>
          <w:p w:rsidR="00D1590E" w:rsidRPr="00D1590E" w:rsidRDefault="00D1590E" w:rsidP="00D1590E">
            <w:pPr>
              <w:pStyle w:val="AERtabletextright"/>
            </w:pPr>
            <w:r w:rsidRPr="00D1590E">
              <w:t>4.7%</w:t>
            </w:r>
          </w:p>
        </w:tc>
        <w:tc>
          <w:tcPr>
            <w:tcW w:w="706" w:type="pct"/>
          </w:tcPr>
          <w:p w:rsidR="00D1590E" w:rsidRPr="00D1590E" w:rsidRDefault="00D1590E" w:rsidP="00D1590E">
            <w:pPr>
              <w:pStyle w:val="AERtabletextright"/>
            </w:pPr>
            <w:r w:rsidRPr="00D1590E">
              <w:t>6.7%</w:t>
            </w:r>
          </w:p>
        </w:tc>
        <w:tc>
          <w:tcPr>
            <w:tcW w:w="627" w:type="pct"/>
          </w:tcPr>
          <w:p w:rsidR="00D1590E" w:rsidRPr="00D1590E" w:rsidRDefault="00D1590E" w:rsidP="00D1590E">
            <w:pPr>
              <w:pStyle w:val="AERtabletextright"/>
            </w:pPr>
            <w:r w:rsidRPr="00D1590E">
              <w:t>5.4%</w:t>
            </w:r>
          </w:p>
        </w:tc>
        <w:tc>
          <w:tcPr>
            <w:tcW w:w="2039" w:type="pct"/>
          </w:tcPr>
          <w:p w:rsidR="00D1590E" w:rsidRPr="00D1590E" w:rsidRDefault="00D1590E" w:rsidP="00D1590E">
            <w:r w:rsidRPr="00D1590E">
              <w:t>There are various exogenous, individually immaterial factors not accounted for in Economic Insights' SFA model that may affect service providers' costs relative to the comparison firms. While individually these costs may not lead to material differences in opex, collectively they may.</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079" w:type="pct"/>
          </w:tcPr>
          <w:p w:rsidR="00D1590E" w:rsidRPr="00D1590E" w:rsidRDefault="00D1590E" w:rsidP="00D1590E">
            <w:pPr>
              <w:pStyle w:val="AERtabletextleft"/>
            </w:pPr>
            <w:r w:rsidRPr="00D1590E">
              <w:t>Total</w:t>
            </w:r>
          </w:p>
        </w:tc>
        <w:tc>
          <w:tcPr>
            <w:tcW w:w="549" w:type="pct"/>
          </w:tcPr>
          <w:p w:rsidR="00D1590E" w:rsidRPr="00D1590E" w:rsidRDefault="00D1590E" w:rsidP="00D1590E">
            <w:pPr>
              <w:pStyle w:val="AERtabletextright"/>
            </w:pPr>
            <w:r w:rsidRPr="00D1590E">
              <w:t>11.7%</w:t>
            </w:r>
          </w:p>
        </w:tc>
        <w:tc>
          <w:tcPr>
            <w:tcW w:w="706" w:type="pct"/>
          </w:tcPr>
          <w:p w:rsidR="00D1590E" w:rsidRPr="00D1590E" w:rsidRDefault="00D1590E" w:rsidP="00D1590E">
            <w:pPr>
              <w:pStyle w:val="AERtabletextright"/>
            </w:pPr>
            <w:r w:rsidRPr="00D1590E">
              <w:t>12.9%</w:t>
            </w:r>
          </w:p>
        </w:tc>
        <w:tc>
          <w:tcPr>
            <w:tcW w:w="627" w:type="pct"/>
          </w:tcPr>
          <w:p w:rsidR="00D1590E" w:rsidRPr="00D1590E" w:rsidRDefault="00D1590E" w:rsidP="00D1590E">
            <w:pPr>
              <w:pStyle w:val="AERtabletextright"/>
            </w:pPr>
            <w:r w:rsidRPr="00D1590E">
              <w:t>10.7%</w:t>
            </w:r>
          </w:p>
        </w:tc>
        <w:tc>
          <w:tcPr>
            <w:tcW w:w="2039" w:type="pct"/>
          </w:tcPr>
          <w:p w:rsidR="00D1590E" w:rsidRPr="00D1590E" w:rsidRDefault="00D1590E" w:rsidP="00D1590E"/>
        </w:tc>
      </w:tr>
    </w:tbl>
    <w:p w:rsidR="00D1590E" w:rsidRPr="00D1590E" w:rsidRDefault="00D1590E" w:rsidP="00D1590E">
      <w:pPr>
        <w:rPr>
          <w:rStyle w:val="AERtextsize8"/>
        </w:rPr>
      </w:pPr>
      <w:r w:rsidRPr="00D1590E">
        <w:rPr>
          <w:rStyle w:val="AERtextsize8"/>
        </w:rPr>
        <w:t xml:space="preserve">Source: </w:t>
      </w:r>
      <w:r w:rsidRPr="00D1590E">
        <w:rPr>
          <w:rStyle w:val="AERtextsize8"/>
        </w:rPr>
        <w:tab/>
        <w:t>AER analysis.</w:t>
      </w:r>
    </w:p>
    <w:p w:rsidR="00D1590E" w:rsidRPr="00D1590E" w:rsidRDefault="00D1590E" w:rsidP="00D1590E">
      <w:r w:rsidRPr="00D1590E">
        <w:t>We have made several key changes since our draft decision. We have included material OEF adjustments for licence conditions and termite exposure, and removed the material OEF adjustment for bushfire risk. We have made these changes in response to points raised by the NSW service providers, and their consultants.</w:t>
      </w:r>
    </w:p>
    <w:p w:rsidR="00D1590E" w:rsidRPr="00D1590E" w:rsidRDefault="00D1590E" w:rsidP="00D1590E">
      <w:pPr>
        <w:numPr>
          <w:ilvl w:val="0"/>
          <w:numId w:val="24"/>
        </w:numPr>
      </w:pPr>
      <w:r w:rsidRPr="00D1590E">
        <w:t>We have considered all of the submissions made to us on OEFs, but not all service providers have had the same opportunities to provide information on the OEFs that affect their costs yet. We have sought information on some of the OEFs raised by the ACT, NSW and Queensland service providers from the Victorian service providers, but our review has focused on the OEFs in the context of the current decisions. The Victorian service providers have not yet had the same opportunity to present us their cost disadvantages. In future reviews we expect that the Victorian service providers and other stakeholders will provide further information on the effect of OEFs. These submissions may reveal cost advantages that the NSW service providers have relative to the Victorian service providers. Cost advantages have the effect of decreasing the total adjustment made to a service provider's opex for OEFs. Therefore our current approach may favour the ACT, NSW, and Queensland service providers to the extent that not all of their cost advantages have been revealed.</w:t>
      </w:r>
    </w:p>
    <w:p w:rsidR="00D1590E" w:rsidRPr="00D1590E" w:rsidRDefault="00D1590E" w:rsidP="00D1590E">
      <w:pPr>
        <w:numPr>
          <w:ilvl w:val="0"/>
          <w:numId w:val="24"/>
        </w:numPr>
      </w:pPr>
      <w:r w:rsidRPr="00D1590E">
        <w:t>In line with the AEMC,</w:t>
      </w:r>
      <w:r w:rsidRPr="00D1590E">
        <w:rPr>
          <w:rStyle w:val="FootnoteReference"/>
        </w:rPr>
        <w:footnoteReference w:id="552"/>
      </w:r>
      <w:r w:rsidRPr="00D1590E">
        <w:t xml:space="preserve"> we have separated the analysed factors into five groups which are considered separately below:</w:t>
      </w:r>
    </w:p>
    <w:p w:rsidR="00D1590E" w:rsidRPr="00D1590E" w:rsidRDefault="00D1590E" w:rsidP="00D1590E">
      <w:pPr>
        <w:pStyle w:val="AERbulletlistfirststyle"/>
      </w:pPr>
      <w:r w:rsidRPr="00D1590E">
        <w:t>Customer factors</w:t>
      </w:r>
    </w:p>
    <w:p w:rsidR="00D1590E" w:rsidRPr="00D1590E" w:rsidRDefault="00D1590E" w:rsidP="00D1590E">
      <w:pPr>
        <w:pStyle w:val="AERbulletlistfirststyle"/>
      </w:pPr>
      <w:r w:rsidRPr="00D1590E">
        <w:t>Endogenous factors</w:t>
      </w:r>
    </w:p>
    <w:p w:rsidR="00D1590E" w:rsidRPr="00D1590E" w:rsidRDefault="00D1590E" w:rsidP="00D1590E">
      <w:pPr>
        <w:pStyle w:val="AERbulletlistfirststyle"/>
      </w:pPr>
      <w:r w:rsidRPr="00D1590E">
        <w:t>Geographic factors</w:t>
      </w:r>
    </w:p>
    <w:p w:rsidR="00D1590E" w:rsidRPr="00D1590E" w:rsidRDefault="00D1590E" w:rsidP="00D1590E">
      <w:pPr>
        <w:pStyle w:val="AERbulletlistfirststyle"/>
      </w:pPr>
      <w:r w:rsidRPr="00D1590E">
        <w:t>Jurisdictional factors</w:t>
      </w:r>
    </w:p>
    <w:p w:rsidR="00D1590E" w:rsidRPr="00D1590E" w:rsidRDefault="00D1590E" w:rsidP="00D1590E">
      <w:pPr>
        <w:pStyle w:val="AERbulletlistfirststyle"/>
      </w:pPr>
      <w:r w:rsidRPr="00D1590E">
        <w:t>Network factors.</w:t>
      </w:r>
    </w:p>
    <w:p w:rsidR="00D1590E" w:rsidRPr="00D1590E" w:rsidRDefault="00D1590E" w:rsidP="00D1590E">
      <w:pPr>
        <w:pStyle w:val="Heading9"/>
      </w:pPr>
      <w:bookmarkStart w:id="311" w:name="_Toc417646300"/>
      <w:bookmarkStart w:id="312" w:name="_Toc417649236"/>
      <w:bookmarkStart w:id="313" w:name="_Toc417659868"/>
      <w:r w:rsidRPr="00D1590E">
        <w:t xml:space="preserve">Draft </w:t>
      </w:r>
      <w:bookmarkEnd w:id="311"/>
      <w:bookmarkEnd w:id="312"/>
      <w:r w:rsidRPr="00D1590E">
        <w:t>position</w:t>
      </w:r>
      <w:bookmarkEnd w:id="313"/>
    </w:p>
    <w:p w:rsidR="00D1590E" w:rsidRPr="00D1590E" w:rsidRDefault="00D1590E" w:rsidP="00D1590E">
      <w:r w:rsidRPr="00D1590E">
        <w:t xml:space="preserve">In our draft decision we provided adjustments for OEFs. We identified three material OEFs that required OEF adjustments. The first adjustment was to account for the </w:t>
      </w:r>
      <w:r w:rsidRPr="00D1590E">
        <w:lastRenderedPageBreak/>
        <w:t xml:space="preserve">effect of differences in subtransmission configurations on service providers' opex. The second accounted for the impact of different occupational health and safety regulations on service providers' opex. The third accounted for differences in the cost of managing bushfire risk across jurisdictions on opex. We also took into account the collective impact of immaterial factors on opex. </w:t>
      </w:r>
    </w:p>
    <w:p w:rsidR="00D1590E" w:rsidRPr="00D1590E" w:rsidRDefault="00D1590E" w:rsidP="00D1590E">
      <w:r w:rsidRPr="00D1590E">
        <w:t>The table below summarises our draft decision on OEF adjustments.</w:t>
      </w:r>
    </w:p>
    <w:p w:rsidR="00D1590E" w:rsidRPr="00D1590E" w:rsidRDefault="00D1590E" w:rsidP="00D1590E">
      <w:pPr>
        <w:pStyle w:val="Caption"/>
      </w:pPr>
      <w:r w:rsidRPr="00D1590E">
        <w:t xml:space="preserve">Table </w:t>
      </w:r>
      <w:fldSimple w:instr=" STYLEREF 7 \s ">
        <w:r w:rsidR="00C57342">
          <w:rPr>
            <w:noProof/>
          </w:rPr>
          <w:t>A</w:t>
        </w:r>
      </w:fldSimple>
      <w:r w:rsidRPr="00D1590E">
        <w:t>.</w:t>
      </w:r>
      <w:fldSimple w:instr=" SEQ ATable \* ARABIC \s 7 ">
        <w:r w:rsidR="00C57342">
          <w:rPr>
            <w:noProof/>
          </w:rPr>
          <w:t>7</w:t>
        </w:r>
      </w:fldSimple>
      <w:r w:rsidRPr="00D1590E">
        <w:tab/>
        <w:t>Summary of draft decision on OEF adjustments</w:t>
      </w:r>
    </w:p>
    <w:tbl>
      <w:tblPr>
        <w:tblStyle w:val="AERtable-numbers"/>
        <w:tblW w:w="8755" w:type="dxa"/>
        <w:tblLook w:val="04A0" w:firstRow="1" w:lastRow="0" w:firstColumn="1" w:lastColumn="0" w:noHBand="0" w:noVBand="1"/>
      </w:tblPr>
      <w:tblGrid>
        <w:gridCol w:w="2943"/>
        <w:gridCol w:w="1937"/>
        <w:gridCol w:w="1937"/>
        <w:gridCol w:w="1938"/>
      </w:tblGrid>
      <w:tr w:rsidR="00D1590E" w:rsidTr="00D15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D1590E" w:rsidRPr="00D1590E" w:rsidRDefault="00D1590E" w:rsidP="00D1590E">
            <w:pPr>
              <w:pStyle w:val="AERtabletextleft"/>
            </w:pPr>
            <w:r w:rsidRPr="00D1590E">
              <w:t>Factor</w:t>
            </w:r>
          </w:p>
        </w:tc>
        <w:tc>
          <w:tcPr>
            <w:tcW w:w="1937" w:type="dxa"/>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Ausgrid</w:t>
            </w:r>
          </w:p>
        </w:tc>
        <w:tc>
          <w:tcPr>
            <w:tcW w:w="1937" w:type="dxa"/>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Endeavour</w:t>
            </w:r>
          </w:p>
        </w:tc>
        <w:tc>
          <w:tcPr>
            <w:tcW w:w="1938" w:type="dxa"/>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Essential</w:t>
            </w:r>
          </w:p>
        </w:tc>
      </w:tr>
      <w:tr w:rsidR="00D1590E" w:rsidTr="00D1590E">
        <w:tc>
          <w:tcPr>
            <w:cnfStyle w:val="001000000000" w:firstRow="0" w:lastRow="0" w:firstColumn="1" w:lastColumn="0" w:oddVBand="0" w:evenVBand="0" w:oddHBand="0" w:evenHBand="0" w:firstRowFirstColumn="0" w:firstRowLastColumn="0" w:lastRowFirstColumn="0" w:lastRowLastColumn="0"/>
            <w:tcW w:w="2943" w:type="dxa"/>
          </w:tcPr>
          <w:p w:rsidR="00D1590E" w:rsidRPr="00D1590E" w:rsidRDefault="00D1590E" w:rsidP="00D1590E">
            <w:pPr>
              <w:pStyle w:val="AERtabletextleft"/>
            </w:pPr>
            <w:r w:rsidRPr="00D1590E">
              <w:t>Subtransmission</w:t>
            </w:r>
          </w:p>
        </w:tc>
        <w:tc>
          <w:tcPr>
            <w:tcW w:w="1937"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5.5%</w:t>
            </w:r>
          </w:p>
        </w:tc>
        <w:tc>
          <w:tcPr>
            <w:tcW w:w="1937"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5.0%</w:t>
            </w:r>
          </w:p>
        </w:tc>
        <w:tc>
          <w:tcPr>
            <w:tcW w:w="1938"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2.5%</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D1590E" w:rsidRPr="00D1590E" w:rsidRDefault="00D1590E" w:rsidP="00D1590E">
            <w:pPr>
              <w:pStyle w:val="AERtabletextleft"/>
            </w:pPr>
            <w:r w:rsidRPr="00D1590E">
              <w:t>OH&amp;S regulations</w:t>
            </w:r>
          </w:p>
        </w:tc>
        <w:tc>
          <w:tcPr>
            <w:tcW w:w="1937"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937"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938"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r>
      <w:tr w:rsidR="00D1590E" w:rsidTr="00D1590E">
        <w:tc>
          <w:tcPr>
            <w:cnfStyle w:val="001000000000" w:firstRow="0" w:lastRow="0" w:firstColumn="1" w:lastColumn="0" w:oddVBand="0" w:evenVBand="0" w:oddHBand="0" w:evenHBand="0" w:firstRowFirstColumn="0" w:firstRowLastColumn="0" w:lastRowFirstColumn="0" w:lastRowLastColumn="0"/>
            <w:tcW w:w="2943" w:type="dxa"/>
          </w:tcPr>
          <w:p w:rsidR="00D1590E" w:rsidRPr="00D1590E" w:rsidRDefault="00D1590E" w:rsidP="00D1590E">
            <w:pPr>
              <w:pStyle w:val="AERtabletextleft"/>
            </w:pPr>
            <w:r w:rsidRPr="00D1590E">
              <w:t>Bushfire regulations</w:t>
            </w:r>
          </w:p>
        </w:tc>
        <w:tc>
          <w:tcPr>
            <w:tcW w:w="1937"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-2.4%</w:t>
            </w:r>
          </w:p>
        </w:tc>
        <w:tc>
          <w:tcPr>
            <w:tcW w:w="1937"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-2.4%</w:t>
            </w:r>
          </w:p>
        </w:tc>
        <w:tc>
          <w:tcPr>
            <w:tcW w:w="1938"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-2.4%</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D1590E" w:rsidRPr="00D1590E" w:rsidRDefault="00D1590E" w:rsidP="00D1590E">
            <w:pPr>
              <w:pStyle w:val="AERtabletextleft"/>
            </w:pPr>
            <w:r w:rsidRPr="00D1590E">
              <w:t>Individually immaterial factors</w:t>
            </w:r>
          </w:p>
        </w:tc>
        <w:tc>
          <w:tcPr>
            <w:tcW w:w="1937"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6.4%</w:t>
            </w:r>
          </w:p>
        </w:tc>
        <w:tc>
          <w:tcPr>
            <w:tcW w:w="1937"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6.9</w:t>
            </w:r>
          </w:p>
        </w:tc>
        <w:tc>
          <w:tcPr>
            <w:tcW w:w="1938"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7.5</w:t>
            </w:r>
          </w:p>
        </w:tc>
      </w:tr>
      <w:tr w:rsidR="00D1590E" w:rsidTr="00D1590E">
        <w:tc>
          <w:tcPr>
            <w:cnfStyle w:val="001000000000" w:firstRow="0" w:lastRow="0" w:firstColumn="1" w:lastColumn="0" w:oddVBand="0" w:evenVBand="0" w:oddHBand="0" w:evenHBand="0" w:firstRowFirstColumn="0" w:firstRowLastColumn="0" w:lastRowFirstColumn="0" w:lastRowLastColumn="0"/>
            <w:tcW w:w="2943" w:type="dxa"/>
          </w:tcPr>
          <w:p w:rsidR="00D1590E" w:rsidRPr="00D1590E" w:rsidRDefault="00D1590E" w:rsidP="00D1590E">
            <w:pPr>
              <w:pStyle w:val="AERtabletextleft"/>
            </w:pPr>
            <w:r w:rsidRPr="00D1590E">
              <w:t>Total</w:t>
            </w:r>
          </w:p>
        </w:tc>
        <w:tc>
          <w:tcPr>
            <w:tcW w:w="1937"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10%</w:t>
            </w:r>
          </w:p>
        </w:tc>
        <w:tc>
          <w:tcPr>
            <w:tcW w:w="1937"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10%</w:t>
            </w:r>
          </w:p>
        </w:tc>
        <w:tc>
          <w:tcPr>
            <w:tcW w:w="1938"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10%</w:t>
            </w:r>
          </w:p>
        </w:tc>
      </w:tr>
    </w:tbl>
    <w:p w:rsidR="00D1590E" w:rsidRPr="00D1590E" w:rsidRDefault="00D1590E" w:rsidP="00D1590E">
      <w:pPr>
        <w:rPr>
          <w:rStyle w:val="AERtextsize8"/>
        </w:rPr>
      </w:pPr>
      <w:r w:rsidRPr="00D1590E">
        <w:rPr>
          <w:rStyle w:val="AERtextsize8"/>
        </w:rPr>
        <w:t xml:space="preserve">Source: </w:t>
      </w:r>
      <w:r w:rsidRPr="00D1590E">
        <w:rPr>
          <w:rStyle w:val="AERtextsize8"/>
        </w:rPr>
        <w:tab/>
        <w:t>AER analysis.</w:t>
      </w:r>
    </w:p>
    <w:p w:rsidR="00D1590E" w:rsidRPr="00D1590E" w:rsidRDefault="00D1590E" w:rsidP="00D1590E">
      <w:pPr>
        <w:pStyle w:val="Heading9"/>
      </w:pPr>
      <w:bookmarkStart w:id="314" w:name="_Toc417646301"/>
      <w:bookmarkStart w:id="315" w:name="_Toc417649237"/>
      <w:bookmarkStart w:id="316" w:name="_Toc417659869"/>
      <w:r w:rsidRPr="00D1590E">
        <w:t>Revised proposals and submissions</w:t>
      </w:r>
      <w:bookmarkEnd w:id="314"/>
      <w:bookmarkEnd w:id="315"/>
      <w:bookmarkEnd w:id="316"/>
    </w:p>
    <w:p w:rsidR="00D1590E" w:rsidRPr="00D1590E" w:rsidRDefault="00D1590E" w:rsidP="00D1590E">
      <w:r w:rsidRPr="00D1590E">
        <w:t>In response to our draft decision on operating environment factors (OEFs) we received submissions from ActewAGL, Ausgrid, Endeavour Energy, Ergon Energy, and Essential Energy. We also received submissions from their consultants and other stakeholders. We received submissions on the majority of the OEFs examined in our draft decision. Many of these submissions raised no new substantive issues. However, we did receive further substantive submissions on a number of the OEFs examined in the draft decision. We also received submissions on several new OEFs and on our approach to OEFs.</w:t>
      </w:r>
    </w:p>
    <w:p w:rsidR="00D1590E" w:rsidRPr="00D1590E" w:rsidRDefault="00D1590E" w:rsidP="00D1590E">
      <w:r w:rsidRPr="00D1590E">
        <w:t>We received further submissions on:</w:t>
      </w:r>
    </w:p>
    <w:p w:rsidR="00D1590E" w:rsidRPr="00D1590E" w:rsidRDefault="00D1590E" w:rsidP="00D1590E">
      <w:pPr>
        <w:pStyle w:val="AERbulletlistthirdstyle"/>
      </w:pPr>
      <w:r w:rsidRPr="00D1590E">
        <w:t>Asset Age</w:t>
      </w:r>
    </w:p>
    <w:p w:rsidR="00D1590E" w:rsidRPr="00D1590E" w:rsidRDefault="00D1590E" w:rsidP="00D1590E">
      <w:pPr>
        <w:pStyle w:val="AERbulletlistthirdstyle"/>
      </w:pPr>
      <w:r w:rsidRPr="00D1590E">
        <w:t>Asset volumes</w:t>
      </w:r>
    </w:p>
    <w:p w:rsidR="00D1590E" w:rsidRPr="00D1590E" w:rsidRDefault="00D1590E" w:rsidP="00D1590E">
      <w:pPr>
        <w:pStyle w:val="AERbulletlistthirdstyle"/>
      </w:pPr>
      <w:r w:rsidRPr="00D1590E">
        <w:t>Bushfire risk</w:t>
      </w:r>
    </w:p>
    <w:p w:rsidR="00D1590E" w:rsidRPr="00D1590E" w:rsidRDefault="00D1590E" w:rsidP="00D1590E">
      <w:pPr>
        <w:pStyle w:val="AERbulletlistthirdstyle"/>
      </w:pPr>
      <w:r w:rsidRPr="00D1590E">
        <w:t>Capitalisation practices</w:t>
      </w:r>
    </w:p>
    <w:p w:rsidR="00D1590E" w:rsidRPr="00D1590E" w:rsidRDefault="00D1590E" w:rsidP="00D1590E">
      <w:pPr>
        <w:pStyle w:val="AERbulletlistthirdstyle"/>
      </w:pPr>
      <w:r w:rsidRPr="00D1590E">
        <w:t>Customer density</w:t>
      </w:r>
    </w:p>
    <w:p w:rsidR="00D1590E" w:rsidRPr="00D1590E" w:rsidRDefault="00D1590E" w:rsidP="00D1590E">
      <w:pPr>
        <w:pStyle w:val="AERbulletlistthirdstyle"/>
      </w:pPr>
      <w:r w:rsidRPr="00D1590E">
        <w:t xml:space="preserve">Environmental regulations </w:t>
      </w:r>
    </w:p>
    <w:p w:rsidR="00D1590E" w:rsidRPr="00D1590E" w:rsidRDefault="00D1590E" w:rsidP="00D1590E">
      <w:pPr>
        <w:pStyle w:val="AERbulletlistthirdstyle"/>
      </w:pPr>
      <w:r w:rsidRPr="00D1590E">
        <w:t>Humidity and rainfall</w:t>
      </w:r>
    </w:p>
    <w:p w:rsidR="00D1590E" w:rsidRPr="00D1590E" w:rsidRDefault="00D1590E" w:rsidP="00D1590E">
      <w:pPr>
        <w:pStyle w:val="AERbulletlistthirdstyle"/>
      </w:pPr>
      <w:r w:rsidRPr="00D1590E">
        <w:t>Licence conditions</w:t>
      </w:r>
    </w:p>
    <w:p w:rsidR="00D1590E" w:rsidRPr="00D1590E" w:rsidRDefault="00D1590E" w:rsidP="00D1590E">
      <w:pPr>
        <w:pStyle w:val="AERbulletlistthirdstyle"/>
      </w:pPr>
      <w:r w:rsidRPr="00D1590E">
        <w:t>Line length</w:t>
      </w:r>
    </w:p>
    <w:p w:rsidR="00D1590E" w:rsidRPr="00D1590E" w:rsidRDefault="00D1590E" w:rsidP="00D1590E">
      <w:pPr>
        <w:pStyle w:val="AERbulletlistthirdstyle"/>
      </w:pPr>
      <w:r w:rsidRPr="00D1590E">
        <w:t>Occupational Health and Safety regulations</w:t>
      </w:r>
    </w:p>
    <w:p w:rsidR="00D1590E" w:rsidRPr="00D1590E" w:rsidRDefault="00D1590E" w:rsidP="00D1590E">
      <w:pPr>
        <w:pStyle w:val="AERbulletlistthirdstyle"/>
      </w:pPr>
      <w:r w:rsidRPr="00D1590E">
        <w:lastRenderedPageBreak/>
        <w:t>Proportion of wooden poles</w:t>
      </w:r>
    </w:p>
    <w:p w:rsidR="00D1590E" w:rsidRPr="00D1590E" w:rsidRDefault="00D1590E" w:rsidP="00D1590E">
      <w:pPr>
        <w:pStyle w:val="AERbulletlistthirdstyle"/>
      </w:pPr>
      <w:r w:rsidRPr="00D1590E">
        <w:t>Subtransmission</w:t>
      </w:r>
    </w:p>
    <w:p w:rsidR="00D1590E" w:rsidRPr="00D1590E" w:rsidRDefault="00D1590E" w:rsidP="00D1590E">
      <w:r w:rsidRPr="00D1590E">
        <w:t>New OEFs that were raised included:</w:t>
      </w:r>
    </w:p>
    <w:p w:rsidR="00D1590E" w:rsidRPr="00D1590E" w:rsidRDefault="00D1590E" w:rsidP="00D1590E">
      <w:pPr>
        <w:pStyle w:val="AERbulletlistthirdstyle"/>
      </w:pPr>
      <w:r w:rsidRPr="00D1590E">
        <w:t>Activity scheduling</w:t>
      </w:r>
    </w:p>
    <w:p w:rsidR="00D1590E" w:rsidRPr="00D1590E" w:rsidRDefault="00D1590E" w:rsidP="00D1590E">
      <w:pPr>
        <w:pStyle w:val="AERbulletlistthirdstyle"/>
      </w:pPr>
      <w:r w:rsidRPr="00D1590E">
        <w:t>Advanced Metering Infrastructure</w:t>
      </w:r>
    </w:p>
    <w:p w:rsidR="00D1590E" w:rsidRPr="00D1590E" w:rsidRDefault="00D1590E" w:rsidP="00D1590E">
      <w:pPr>
        <w:pStyle w:val="AERbulletlistthirdstyle"/>
      </w:pPr>
      <w:r w:rsidRPr="00D1590E">
        <w:t>Communication networks</w:t>
      </w:r>
    </w:p>
    <w:p w:rsidR="00D1590E" w:rsidRPr="00D1590E" w:rsidRDefault="00D1590E" w:rsidP="00D1590E">
      <w:pPr>
        <w:pStyle w:val="AERbulletlistthirdstyle"/>
      </w:pPr>
      <w:r w:rsidRPr="00D1590E">
        <w:t>Contaminated land management</w:t>
      </w:r>
    </w:p>
    <w:p w:rsidR="00D1590E" w:rsidRPr="00D1590E" w:rsidRDefault="00D1590E" w:rsidP="00D1590E">
      <w:pPr>
        <w:pStyle w:val="AERbulletlistthirdstyle"/>
      </w:pPr>
      <w:r w:rsidRPr="00D1590E">
        <w:t>Critical National Infrastructure</w:t>
      </w:r>
    </w:p>
    <w:p w:rsidR="00D1590E" w:rsidRPr="00D1590E" w:rsidRDefault="00D1590E" w:rsidP="00D1590E">
      <w:pPr>
        <w:pStyle w:val="AERbulletlistthirdstyle"/>
      </w:pPr>
      <w:r w:rsidRPr="00D1590E">
        <w:t>Cultural heritage obligations</w:t>
      </w:r>
    </w:p>
    <w:p w:rsidR="00D1590E" w:rsidRPr="00D1590E" w:rsidRDefault="00D1590E" w:rsidP="00D1590E">
      <w:pPr>
        <w:pStyle w:val="AERbulletlistthirdstyle"/>
      </w:pPr>
      <w:r w:rsidRPr="00D1590E">
        <w:t>Demand management</w:t>
      </w:r>
    </w:p>
    <w:p w:rsidR="00D1590E" w:rsidRPr="00D1590E" w:rsidRDefault="00D1590E" w:rsidP="00D1590E">
      <w:pPr>
        <w:pStyle w:val="AERbulletlistthirdstyle"/>
      </w:pPr>
      <w:r w:rsidRPr="00D1590E">
        <w:t>Division of vegetation management responsibility</w:t>
      </w:r>
    </w:p>
    <w:p w:rsidR="00D1590E" w:rsidRPr="00D1590E" w:rsidRDefault="00D1590E" w:rsidP="00D1590E">
      <w:pPr>
        <w:pStyle w:val="AERbulletlistthirdstyle"/>
      </w:pPr>
      <w:r w:rsidRPr="00D1590E">
        <w:t>Environmental variability</w:t>
      </w:r>
    </w:p>
    <w:p w:rsidR="00D1590E" w:rsidRPr="00D1590E" w:rsidRDefault="00D1590E" w:rsidP="00D1590E">
      <w:pPr>
        <w:pStyle w:val="AERbulletlistthirdstyle"/>
      </w:pPr>
      <w:r w:rsidRPr="00D1590E">
        <w:t>Line sag</w:t>
      </w:r>
    </w:p>
    <w:p w:rsidR="00D1590E" w:rsidRPr="00D1590E" w:rsidRDefault="00D1590E" w:rsidP="00D1590E">
      <w:pPr>
        <w:pStyle w:val="AERbulletlistthirdstyle"/>
      </w:pPr>
      <w:r w:rsidRPr="00D1590E">
        <w:t>Network access</w:t>
      </w:r>
    </w:p>
    <w:p w:rsidR="00D1590E" w:rsidRPr="00D1590E" w:rsidRDefault="00D1590E" w:rsidP="00D1590E">
      <w:pPr>
        <w:pStyle w:val="AERbulletlistthirdstyle"/>
      </w:pPr>
      <w:r w:rsidRPr="00D1590E">
        <w:t>Non recurrent costs</w:t>
      </w:r>
    </w:p>
    <w:p w:rsidR="00D1590E" w:rsidRPr="00D1590E" w:rsidRDefault="00D1590E" w:rsidP="00D1590E">
      <w:pPr>
        <w:pStyle w:val="AERbulletlistthirdstyle"/>
      </w:pPr>
      <w:r w:rsidRPr="00D1590E">
        <w:t>Outsourcing</w:t>
      </w:r>
    </w:p>
    <w:p w:rsidR="00D1590E" w:rsidRPr="00D1590E" w:rsidRDefault="00D1590E" w:rsidP="00D1590E">
      <w:pPr>
        <w:pStyle w:val="AERbulletlistthirdstyle"/>
      </w:pPr>
      <w:r w:rsidRPr="00D1590E">
        <w:t>Past ownership</w:t>
      </w:r>
    </w:p>
    <w:p w:rsidR="00D1590E" w:rsidRPr="00D1590E" w:rsidRDefault="00D1590E" w:rsidP="00D1590E">
      <w:pPr>
        <w:pStyle w:val="AERbulletlistthirdstyle"/>
      </w:pPr>
      <w:r w:rsidRPr="00D1590E">
        <w:t>Reliability outcomes</w:t>
      </w:r>
    </w:p>
    <w:p w:rsidR="00D1590E" w:rsidRPr="00D1590E" w:rsidRDefault="00D1590E" w:rsidP="00D1590E">
      <w:pPr>
        <w:pStyle w:val="AERbulletlistthirdstyle"/>
      </w:pPr>
      <w:r w:rsidRPr="00D1590E">
        <w:t>Rising lateral mains</w:t>
      </w:r>
    </w:p>
    <w:p w:rsidR="00D1590E" w:rsidRPr="00D1590E" w:rsidRDefault="00D1590E" w:rsidP="00D1590E">
      <w:pPr>
        <w:pStyle w:val="AERbulletlistthirdstyle"/>
      </w:pPr>
      <w:r w:rsidRPr="00D1590E">
        <w:t>Safety outcomes</w:t>
      </w:r>
    </w:p>
    <w:p w:rsidR="00D1590E" w:rsidRPr="00D1590E" w:rsidRDefault="00D1590E" w:rsidP="00D1590E">
      <w:pPr>
        <w:pStyle w:val="AERbulletlistthirdstyle"/>
      </w:pPr>
      <w:r w:rsidRPr="00D1590E">
        <w:t>Solar uptake</w:t>
      </w:r>
    </w:p>
    <w:p w:rsidR="00D1590E" w:rsidRPr="00D1590E" w:rsidRDefault="00D1590E" w:rsidP="00D1590E">
      <w:pPr>
        <w:pStyle w:val="AERbulletlistthirdstyle"/>
      </w:pPr>
      <w:r w:rsidRPr="00D1590E">
        <w:t>SWER</w:t>
      </w:r>
    </w:p>
    <w:p w:rsidR="00D1590E" w:rsidRPr="00D1590E" w:rsidRDefault="00D1590E" w:rsidP="00D1590E">
      <w:pPr>
        <w:pStyle w:val="AERbulletlistthirdstyle"/>
      </w:pPr>
      <w:r w:rsidRPr="00D1590E">
        <w:t>Termite exposure</w:t>
      </w:r>
    </w:p>
    <w:p w:rsidR="00D1590E" w:rsidRPr="00D1590E" w:rsidRDefault="00D1590E" w:rsidP="00D1590E">
      <w:pPr>
        <w:pStyle w:val="AERbulletlistthirdstyle"/>
      </w:pPr>
      <w:r w:rsidRPr="00D1590E">
        <w:t>Transmission connection point charges</w:t>
      </w:r>
    </w:p>
    <w:p w:rsidR="00D1590E" w:rsidRPr="00D1590E" w:rsidRDefault="00D1590E" w:rsidP="00D1590E">
      <w:pPr>
        <w:pStyle w:val="AERbulletlistthirdstyle"/>
      </w:pPr>
      <w:r w:rsidRPr="00D1590E">
        <w:t>Unregulated services</w:t>
      </w:r>
    </w:p>
    <w:p w:rsidR="00D1590E" w:rsidRPr="00D1590E" w:rsidRDefault="00D1590E" w:rsidP="00D1590E">
      <w:r w:rsidRPr="00D1590E">
        <w:t>The following points on our approach were also raised:</w:t>
      </w:r>
    </w:p>
    <w:p w:rsidR="00D1590E" w:rsidRPr="00D1590E" w:rsidRDefault="00D1590E" w:rsidP="00D1590E">
      <w:pPr>
        <w:pStyle w:val="ListBullet4"/>
      </w:pPr>
      <w:r w:rsidRPr="00D1590E">
        <w:t>Non recurrent costs</w:t>
      </w:r>
    </w:p>
    <w:p w:rsidR="00D1590E" w:rsidRPr="00D1590E" w:rsidRDefault="00D1590E" w:rsidP="00D1590E">
      <w:pPr>
        <w:pStyle w:val="ListBullet4"/>
      </w:pPr>
      <w:r w:rsidRPr="00D1590E">
        <w:t>Treatment of endogenous factors</w:t>
      </w:r>
    </w:p>
    <w:p w:rsidR="00D1590E" w:rsidRPr="00D1590E" w:rsidRDefault="00D1590E" w:rsidP="00D1590E">
      <w:pPr>
        <w:pStyle w:val="ListBullet4"/>
      </w:pPr>
      <w:r w:rsidRPr="00D1590E">
        <w:t>Quantum of operating environment factors</w:t>
      </w:r>
    </w:p>
    <w:p w:rsidR="00D1590E" w:rsidRPr="00D1590E" w:rsidRDefault="00D1590E" w:rsidP="00D1590E">
      <w:pPr>
        <w:pStyle w:val="ListBullet4"/>
      </w:pPr>
      <w:r w:rsidRPr="00D1590E">
        <w:t>Quantum of the effect of material factors</w:t>
      </w:r>
    </w:p>
    <w:p w:rsidR="00D1590E" w:rsidRPr="00D1590E" w:rsidRDefault="00D1590E" w:rsidP="00D1590E">
      <w:pPr>
        <w:pStyle w:val="ListBullet4"/>
      </w:pPr>
      <w:r w:rsidRPr="00D1590E">
        <w:t>Quantum of the effect of immaterial factors</w:t>
      </w:r>
    </w:p>
    <w:p w:rsidR="00D1590E" w:rsidRPr="00D1590E" w:rsidRDefault="00D1590E" w:rsidP="00D1590E">
      <w:r w:rsidRPr="00D1590E">
        <w:t>No substantive issues were raised on:</w:t>
      </w:r>
    </w:p>
    <w:p w:rsidR="00D1590E" w:rsidRPr="00D1590E" w:rsidRDefault="00D1590E" w:rsidP="00D1590E">
      <w:pPr>
        <w:pStyle w:val="AERbulletlistthirdstyle"/>
      </w:pPr>
      <w:r w:rsidRPr="00D1590E">
        <w:t>Building regulations</w:t>
      </w:r>
    </w:p>
    <w:p w:rsidR="00D1590E" w:rsidRPr="00D1590E" w:rsidRDefault="00D1590E" w:rsidP="00D1590E">
      <w:pPr>
        <w:pStyle w:val="AERbulletlistthirdstyle"/>
      </w:pPr>
      <w:r w:rsidRPr="00D1590E">
        <w:lastRenderedPageBreak/>
        <w:t>Capital Contributions</w:t>
      </w:r>
    </w:p>
    <w:p w:rsidR="00D1590E" w:rsidRPr="00D1590E" w:rsidRDefault="00D1590E" w:rsidP="00D1590E">
      <w:pPr>
        <w:pStyle w:val="AERbulletlistthirdstyle"/>
      </w:pPr>
      <w:r w:rsidRPr="00D1590E">
        <w:t>Contestable services</w:t>
      </w:r>
    </w:p>
    <w:p w:rsidR="00D1590E" w:rsidRPr="00D1590E" w:rsidRDefault="00D1590E" w:rsidP="00D1590E">
      <w:pPr>
        <w:pStyle w:val="AERbulletlistthirdstyle"/>
      </w:pPr>
      <w:r w:rsidRPr="00D1590E">
        <w:t>Corrosive environments</w:t>
      </w:r>
    </w:p>
    <w:p w:rsidR="00D1590E" w:rsidRPr="00D1590E" w:rsidRDefault="00D1590E" w:rsidP="00D1590E">
      <w:pPr>
        <w:pStyle w:val="AERbulletlistthirdstyle"/>
      </w:pPr>
      <w:r w:rsidRPr="00D1590E">
        <w:t>Customer requirements</w:t>
      </w:r>
    </w:p>
    <w:p w:rsidR="00D1590E" w:rsidRPr="00D1590E" w:rsidRDefault="00D1590E" w:rsidP="00D1590E">
      <w:pPr>
        <w:pStyle w:val="AERbulletlistthirdstyle"/>
      </w:pPr>
      <w:r w:rsidRPr="00D1590E">
        <w:t>Economies of scale</w:t>
      </w:r>
    </w:p>
    <w:p w:rsidR="00D1590E" w:rsidRPr="00D1590E" w:rsidRDefault="00D1590E" w:rsidP="00D1590E">
      <w:pPr>
        <w:pStyle w:val="AERbulletlistthirdstyle"/>
      </w:pPr>
      <w:r w:rsidRPr="00D1590E">
        <w:t>Environmental regulations</w:t>
      </w:r>
    </w:p>
    <w:p w:rsidR="00D1590E" w:rsidRPr="00D1590E" w:rsidRDefault="00D1590E" w:rsidP="00D1590E">
      <w:pPr>
        <w:pStyle w:val="AERbulletlistthirdstyle"/>
      </w:pPr>
      <w:r w:rsidRPr="00D1590E">
        <w:t>Extreme weather events</w:t>
      </w:r>
    </w:p>
    <w:p w:rsidR="00D1590E" w:rsidRPr="00D1590E" w:rsidRDefault="00D1590E" w:rsidP="00D1590E">
      <w:pPr>
        <w:pStyle w:val="AERbulletlistthirdstyle"/>
      </w:pPr>
      <w:r w:rsidRPr="00D1590E">
        <w:t>Grounding conditions</w:t>
      </w:r>
    </w:p>
    <w:p w:rsidR="00D1590E" w:rsidRPr="00D1590E" w:rsidRDefault="00D1590E" w:rsidP="00D1590E">
      <w:pPr>
        <w:pStyle w:val="AERbulletlistthirdstyle"/>
      </w:pPr>
      <w:r w:rsidRPr="00D1590E">
        <w:t>Topographical conditions</w:t>
      </w:r>
    </w:p>
    <w:p w:rsidR="00D1590E" w:rsidRPr="00D1590E" w:rsidRDefault="00D1590E" w:rsidP="00D1590E">
      <w:pPr>
        <w:pStyle w:val="AERbulletlistthirdstyle"/>
      </w:pPr>
      <w:r w:rsidRPr="00D1590E">
        <w:t>Load growth</w:t>
      </w:r>
    </w:p>
    <w:p w:rsidR="00D1590E" w:rsidRPr="00D1590E" w:rsidRDefault="00D1590E" w:rsidP="00D1590E">
      <w:pPr>
        <w:pStyle w:val="AERbulletlistthirdstyle"/>
      </w:pPr>
      <w:r w:rsidRPr="00D1590E">
        <w:t>Load factor</w:t>
      </w:r>
    </w:p>
    <w:p w:rsidR="00D1590E" w:rsidRPr="00D1590E" w:rsidRDefault="00D1590E" w:rsidP="00D1590E">
      <w:pPr>
        <w:pStyle w:val="AERbulletlistthirdstyle"/>
      </w:pPr>
      <w:r w:rsidRPr="00D1590E">
        <w:t>Mix of demand to non-demand customers</w:t>
      </w:r>
    </w:p>
    <w:p w:rsidR="00D1590E" w:rsidRPr="00D1590E" w:rsidRDefault="00D1590E" w:rsidP="00D1590E">
      <w:pPr>
        <w:pStyle w:val="AERbulletlistthirdstyle"/>
      </w:pPr>
      <w:r w:rsidRPr="00D1590E">
        <w:t>Planning regulations</w:t>
      </w:r>
    </w:p>
    <w:p w:rsidR="00D1590E" w:rsidRPr="00D1590E" w:rsidRDefault="00D1590E" w:rsidP="00D1590E">
      <w:pPr>
        <w:pStyle w:val="AERbulletlistthirdstyle"/>
      </w:pPr>
      <w:r w:rsidRPr="00D1590E">
        <w:t>Population growth</w:t>
      </w:r>
    </w:p>
    <w:p w:rsidR="00D1590E" w:rsidRPr="00D1590E" w:rsidRDefault="00D1590E" w:rsidP="00D1590E">
      <w:pPr>
        <w:pStyle w:val="AERbulletlistthirdstyle"/>
      </w:pPr>
      <w:r w:rsidRPr="00D1590E">
        <w:t>Proportion of 22kV and 11kV lines</w:t>
      </w:r>
    </w:p>
    <w:p w:rsidR="00D1590E" w:rsidRPr="00D1590E" w:rsidRDefault="00D1590E" w:rsidP="00D1590E">
      <w:pPr>
        <w:pStyle w:val="AERbulletlistthirdstyle"/>
      </w:pPr>
      <w:r w:rsidRPr="00D1590E">
        <w:t>Ratio of underground to overhead lines</w:t>
      </w:r>
    </w:p>
    <w:p w:rsidR="00D1590E" w:rsidRPr="00D1590E" w:rsidRDefault="00D1590E" w:rsidP="00D1590E">
      <w:pPr>
        <w:pStyle w:val="AERbulletlistthirdstyle"/>
      </w:pPr>
      <w:r w:rsidRPr="00D1590E">
        <w:t>Risk appetite</w:t>
      </w:r>
    </w:p>
    <w:p w:rsidR="00D1590E" w:rsidRPr="00D1590E" w:rsidRDefault="00D1590E" w:rsidP="00D1590E">
      <w:pPr>
        <w:pStyle w:val="AERbulletlistthirdstyle"/>
      </w:pPr>
      <w:r w:rsidRPr="00D1590E">
        <w:t>Service classification</w:t>
      </w:r>
    </w:p>
    <w:p w:rsidR="00D1590E" w:rsidRPr="00D1590E" w:rsidRDefault="00D1590E" w:rsidP="00D1590E">
      <w:pPr>
        <w:pStyle w:val="AERbulletlistthirdstyle"/>
      </w:pPr>
      <w:r w:rsidRPr="00D1590E">
        <w:t>Shape factors</w:t>
      </w:r>
    </w:p>
    <w:p w:rsidR="00D1590E" w:rsidRPr="00D1590E" w:rsidRDefault="00D1590E" w:rsidP="00D1590E">
      <w:pPr>
        <w:pStyle w:val="AERbulletlistthirdstyle"/>
      </w:pPr>
      <w:r w:rsidRPr="00D1590E">
        <w:t>Skills required by service providers</w:t>
      </w:r>
    </w:p>
    <w:p w:rsidR="00D1590E" w:rsidRPr="00D1590E" w:rsidRDefault="00D1590E" w:rsidP="00D1590E">
      <w:pPr>
        <w:pStyle w:val="AERbulletlistthirdstyle"/>
      </w:pPr>
      <w:r w:rsidRPr="00D1590E">
        <w:t>Temperature</w:t>
      </w:r>
    </w:p>
    <w:p w:rsidR="00D1590E" w:rsidRPr="00D1590E" w:rsidRDefault="00D1590E" w:rsidP="00D1590E">
      <w:pPr>
        <w:pStyle w:val="AERbulletlistthirdstyle"/>
      </w:pPr>
      <w:r w:rsidRPr="00D1590E">
        <w:t>Topography</w:t>
      </w:r>
    </w:p>
    <w:p w:rsidR="00D1590E" w:rsidRPr="00D1590E" w:rsidRDefault="00D1590E" w:rsidP="00D1590E">
      <w:pPr>
        <w:pStyle w:val="AERbulletlistthirdstyle"/>
      </w:pPr>
      <w:r w:rsidRPr="00D1590E">
        <w:t>Traffic management requirements</w:t>
      </w:r>
    </w:p>
    <w:p w:rsidR="00D1590E" w:rsidRPr="00D1590E" w:rsidRDefault="00D1590E" w:rsidP="00D1590E">
      <w:pPr>
        <w:pStyle w:val="AERbulletlistthirdstyle"/>
      </w:pPr>
      <w:r w:rsidRPr="00D1590E">
        <w:t>Underground services</w:t>
      </w:r>
    </w:p>
    <w:p w:rsidR="00D1590E" w:rsidRPr="00D1590E" w:rsidRDefault="00D1590E" w:rsidP="00D1590E">
      <w:pPr>
        <w:pStyle w:val="AERbulletlistthirdstyle"/>
      </w:pPr>
      <w:r w:rsidRPr="00D1590E">
        <w:t>Work and operating procedures</w:t>
      </w:r>
    </w:p>
    <w:p w:rsidR="00D1590E" w:rsidRPr="00D1590E" w:rsidRDefault="00D1590E" w:rsidP="00D1590E">
      <w:pPr>
        <w:pStyle w:val="AERbulletlistthirdstyle"/>
      </w:pPr>
      <w:r w:rsidRPr="00D1590E">
        <w:t>Work conditions</w:t>
      </w:r>
    </w:p>
    <w:p w:rsidR="00D1590E" w:rsidRPr="00D1590E" w:rsidRDefault="00D1590E" w:rsidP="00D1590E">
      <w:r w:rsidRPr="00D1590E">
        <w:t xml:space="preserve">We address all of the new evidence and further submissions presented to us in the relevant sections below. We have not repeated analysis for OEFs considered in the draft decision where no new substantive issues were raised. </w:t>
      </w:r>
    </w:p>
    <w:p w:rsidR="00D1590E" w:rsidRPr="00D1590E" w:rsidRDefault="00D1590E" w:rsidP="00D1590E">
      <w:r w:rsidRPr="00D1590E">
        <w:t>Additionally, we have also considered OEFs raised by other service providers in their regulatory proposals and revised regulatory proposals. We have also considered submissions on those proposals where relevant. We have done this for consistency in our approach to OEFs and to capture the effect of relevant OEFs on the NSW service providers' opex</w:t>
      </w:r>
      <w:r w:rsidRPr="00D1590E">
        <w:br w:type="page"/>
      </w:r>
    </w:p>
    <w:p w:rsidR="00D1590E" w:rsidRPr="00D1590E" w:rsidRDefault="00D1590E" w:rsidP="00D1590E">
      <w:pPr>
        <w:pStyle w:val="Heading9"/>
      </w:pPr>
      <w:bookmarkStart w:id="317" w:name="_Toc417646302"/>
      <w:bookmarkStart w:id="318" w:name="_Toc417649238"/>
      <w:bookmarkStart w:id="319" w:name="_Toc417659870"/>
      <w:r w:rsidRPr="00D1590E">
        <w:lastRenderedPageBreak/>
        <w:t>Approach to operating environment factors</w:t>
      </w:r>
      <w:bookmarkEnd w:id="317"/>
      <w:bookmarkEnd w:id="318"/>
      <w:bookmarkEnd w:id="319"/>
    </w:p>
    <w:p w:rsidR="00D1590E" w:rsidRPr="00D1590E" w:rsidRDefault="00D1590E" w:rsidP="00D1590E">
      <w:pPr>
        <w:numPr>
          <w:ilvl w:val="0"/>
          <w:numId w:val="24"/>
        </w:numPr>
      </w:pPr>
      <w:r w:rsidRPr="00D1590E">
        <w:t>It is important to recognise that service providers do not operate under exactly the same operating environment factors (OEFs). OEFs may have a significant impact on measured efficiency through their impact on a service provider's opex. It is desirable to adjust for material OEF differences to ensure that when comparisons are made across service providers, we are comparing like with like to the greatest extent possible. By identifying the effect of OEFs on costs one can determine the extent to which cost differences are exogenous or due to inefficiency.</w:t>
      </w:r>
      <w:r w:rsidRPr="00D1590E">
        <w:rPr>
          <w:rStyle w:val="FootnoteReference"/>
        </w:rPr>
        <w:footnoteReference w:id="553"/>
      </w:r>
    </w:p>
    <w:p w:rsidR="00D1590E" w:rsidRPr="00D1590E" w:rsidRDefault="00D1590E" w:rsidP="00D1590E">
      <w:pPr>
        <w:numPr>
          <w:ilvl w:val="0"/>
          <w:numId w:val="24"/>
        </w:numPr>
      </w:pPr>
      <w:r w:rsidRPr="00D1590E">
        <w:t>Some key OEFs are directly accounted for in Economic Insights' SFA model. Where this has not been possible, we have considered the quantum of the impact of the OEF on the NSW service providers' opex relative to the comparison firms. We have then adjusted the SFA efficiency scores based on our findings on the effects of OEFs.</w:t>
      </w:r>
    </w:p>
    <w:p w:rsidR="00D1590E" w:rsidRPr="00D1590E" w:rsidRDefault="00D1590E" w:rsidP="00D1590E">
      <w:pPr>
        <w:numPr>
          <w:ilvl w:val="0"/>
          <w:numId w:val="24"/>
        </w:numPr>
      </w:pPr>
      <w:r w:rsidRPr="00D1590E">
        <w:t>We have accounted for OEFs using a two step process. In the first step we have assessed whether an adjustment for an OEF would meet our OEF criteria: exogeneity, materiality, and duplication. In the second step, we assessed OEFs that met the exogeneity and duplication criteria to estimate the collective effect that they may have on service providers' opex. The purpose of the second step is to account for the effect of OEFs that do not meet the materiality criterion individually, but which do meet the criterion when considered collectively.</w:t>
      </w:r>
    </w:p>
    <w:p w:rsidR="00D1590E" w:rsidRPr="00D1590E" w:rsidRDefault="00D1590E" w:rsidP="00D1590E">
      <w:pPr>
        <w:pStyle w:val="HeadingBoldItalic"/>
      </w:pPr>
      <w:r w:rsidRPr="00D1590E">
        <w:t>OEF assessment: Step one</w:t>
      </w:r>
    </w:p>
    <w:p w:rsidR="00D1590E" w:rsidRPr="00D1590E" w:rsidRDefault="00D1590E" w:rsidP="00D1590E">
      <w:pPr>
        <w:numPr>
          <w:ilvl w:val="0"/>
          <w:numId w:val="24"/>
        </w:numPr>
      </w:pPr>
      <w:r w:rsidRPr="00D1590E">
        <w:t xml:space="preserve">Where an OEF meets all three of our OEF adjustment criteria we have provided an OEF adjustment. Our three OEF criteria are as follows: </w:t>
      </w:r>
    </w:p>
    <w:p w:rsidR="00D1590E" w:rsidRPr="00D1590E" w:rsidRDefault="00D1590E" w:rsidP="00D1590E">
      <w:pPr>
        <w:pStyle w:val="ListNumber"/>
        <w:numPr>
          <w:ilvl w:val="1"/>
          <w:numId w:val="24"/>
        </w:numPr>
      </w:pPr>
      <w:r w:rsidRPr="00D1590E">
        <w:rPr>
          <w:rStyle w:val="Strong"/>
        </w:rPr>
        <w:t>Exogeneity:</w:t>
      </w:r>
      <w:r w:rsidRPr="00D1590E">
        <w:t xml:space="preserve"> The first criterion is that an OEF should be outside the control of service providers' management. Where the effect of an OEF is within the control of service provider's management we would not generally provide an adjustment for the OEF.</w:t>
      </w:r>
      <w:r w:rsidRPr="00D1590E">
        <w:rPr>
          <w:rStyle w:val="FootnoteReference"/>
        </w:rPr>
        <w:footnoteReference w:id="554"/>
      </w:r>
      <w:r w:rsidRPr="00D1590E">
        <w:t xml:space="preserve"> Adjusting for that OEF may mask inefficient investment or expenditure.</w:t>
      </w:r>
    </w:p>
    <w:p w:rsidR="00D1590E" w:rsidRPr="00D1590E" w:rsidRDefault="00D1590E" w:rsidP="00D1590E">
      <w:pPr>
        <w:pStyle w:val="ListNumber"/>
        <w:numPr>
          <w:ilvl w:val="1"/>
          <w:numId w:val="24"/>
        </w:numPr>
      </w:pPr>
      <w:r w:rsidRPr="00D1590E">
        <w:rPr>
          <w:rStyle w:val="Strong"/>
        </w:rPr>
        <w:t>Materiality:</w:t>
      </w:r>
      <w:r w:rsidRPr="00D1590E">
        <w:t xml:space="preserve"> The second criterion is that an OEF should create material differences in service providers' opex. Where the effect of an OEF is not material, we would generally not provide an adjustment for the factor. We do note, however, that we have provided a collective adjustment for individually immaterial factors.</w:t>
      </w:r>
      <w:r w:rsidRPr="00D1590E">
        <w:rPr>
          <w:rStyle w:val="FootnoteReference"/>
        </w:rPr>
        <w:footnoteReference w:id="555"/>
      </w:r>
      <w:r w:rsidRPr="00D1590E">
        <w:t xml:space="preserve"> </w:t>
      </w:r>
      <w:r w:rsidRPr="00D1590E">
        <w:rPr>
          <w:rStyle w:val="FootnoteReference"/>
        </w:rPr>
        <w:footnoteReference w:id="556"/>
      </w:r>
    </w:p>
    <w:p w:rsidR="00D1590E" w:rsidRPr="00D1590E" w:rsidRDefault="00D1590E" w:rsidP="00D1590E">
      <w:pPr>
        <w:pStyle w:val="ListNumber"/>
        <w:numPr>
          <w:ilvl w:val="1"/>
          <w:numId w:val="24"/>
        </w:numPr>
      </w:pPr>
      <w:r w:rsidRPr="00D1590E">
        <w:rPr>
          <w:rStyle w:val="Strong"/>
        </w:rPr>
        <w:lastRenderedPageBreak/>
        <w:t xml:space="preserve">Duplication: </w:t>
      </w:r>
      <w:r w:rsidRPr="00D1590E">
        <w:t>The third criterion is that the OEF should not have been accounted for elsewhere. Where the effect of an OEF is accounted for elsewhere, we have not provided an adjustment for that factor. To do so would be to double count the effect of the OEF.</w:t>
      </w:r>
      <w:r w:rsidRPr="00D1590E">
        <w:rPr>
          <w:rStyle w:val="FootnoteReference"/>
        </w:rPr>
        <w:t xml:space="preserve"> </w:t>
      </w:r>
      <w:r w:rsidRPr="00D1590E">
        <w:rPr>
          <w:rStyle w:val="FootnoteReference"/>
        </w:rPr>
        <w:footnoteReference w:id="557"/>
      </w:r>
      <w:r w:rsidRPr="00D1590E">
        <w:t xml:space="preserve"> </w:t>
      </w:r>
      <w:r w:rsidRPr="00D1590E">
        <w:rPr>
          <w:rStyle w:val="FootnoteReference"/>
        </w:rPr>
        <w:footnoteReference w:id="558"/>
      </w:r>
    </w:p>
    <w:p w:rsidR="00D1590E" w:rsidRPr="00D1590E" w:rsidRDefault="00D1590E" w:rsidP="00D1590E">
      <w:pPr>
        <w:pStyle w:val="ListNumber"/>
        <w:numPr>
          <w:ilvl w:val="0"/>
          <w:numId w:val="24"/>
        </w:numPr>
      </w:pPr>
      <w:r w:rsidRPr="00D1590E">
        <w:t>Given the nature of OEFs, as circumstances that differ between service providers, we have had to rely on a wide array of different information sources. For each OEF we have considered the evidence before us in making our conclusions. In some cases this has meant calculating the effect of OEFs using different types of data or methods. The calculation of OEF's below explains how we have taken this into account.</w:t>
      </w:r>
    </w:p>
    <w:p w:rsidR="00D1590E" w:rsidRPr="00D1590E" w:rsidRDefault="00D1590E" w:rsidP="00D1590E">
      <w:pPr>
        <w:pStyle w:val="HeadingBoldItalic"/>
      </w:pPr>
      <w:r w:rsidRPr="00D1590E">
        <w:t>OEF assessment: Step two</w:t>
      </w:r>
    </w:p>
    <w:p w:rsidR="00D1590E" w:rsidRPr="00D1590E" w:rsidRDefault="00D1590E" w:rsidP="00D1590E">
      <w:r w:rsidRPr="00D1590E">
        <w:t>In the second stage of our OEF assessment we have considered if each individually immaterial OEF, that meets the exogeneity and duplication criteria, will provide a cost advantage or disadvantage to the relevant service provider.</w:t>
      </w:r>
    </w:p>
    <w:p w:rsidR="00D1590E" w:rsidRPr="00D1590E" w:rsidRDefault="00D1590E" w:rsidP="00D1590E">
      <w:r w:rsidRPr="00D1590E">
        <w:t>Where an individually immaterial OEF is likely to provide a cost disadvantage we have provided a positive adjustment equal to our materiality threshold, 0.5 per cent, in our collective adjustment for immaterial factors. We have also done this where there is some doubt about if an individually immaterial OEF will provide a cost advantage or disadvantage. Alternatively, where an individually immaterial OEF is likely to provide a cost advantage we have provided an OEF adjustment of negative 0.5 per cent in our collective adjustment for individually immaterial OEFs.</w:t>
      </w:r>
    </w:p>
    <w:p w:rsidR="00D1590E" w:rsidRPr="00D1590E" w:rsidRDefault="00D1590E" w:rsidP="00D1590E">
      <w:pPr>
        <w:pStyle w:val="ListParagraph"/>
        <w:numPr>
          <w:ilvl w:val="0"/>
          <w:numId w:val="24"/>
        </w:numPr>
      </w:pPr>
      <w:r w:rsidRPr="00D1590E">
        <w:t>There is one exception to this. Where we have been able to quantify the effect of a factor that is individually immaterial we have only adjusted for the amount quantified. We consider that this provides a transparent and reasonable approach to estimating the effect of factors that individually may not be material but collectively may be.</w:t>
      </w:r>
    </w:p>
    <w:p w:rsidR="00D1590E" w:rsidRPr="00D1590E" w:rsidRDefault="00D1590E" w:rsidP="00D1590E">
      <w:pPr>
        <w:pStyle w:val="ListParagraph"/>
        <w:numPr>
          <w:ilvl w:val="0"/>
          <w:numId w:val="24"/>
        </w:numPr>
      </w:pPr>
      <w:r w:rsidRPr="00D1590E">
        <w:t xml:space="preserve">We consider that this is an appropriately conservative approach. We note that the AEMC has stated that the purpose of benchmarking is not to normalise for every possible difference between networks. However, after considering the impact of more than 60 proposed OEFs, in addition to adjusting for 4 material OEFs, we have provided an adjustment for the collective effect of 20 immaterial OEFs. We consider it is appropriate to take this additional step in our benchmarking analysis given this is the first time we have applied benchmarking and the information on OEFs available to us at this stage. We also note that we have provided positive adjustments where the </w:t>
      </w:r>
      <w:r w:rsidRPr="00D1590E">
        <w:lastRenderedPageBreak/>
        <w:t>direction of advantage for immaterial factors is unclear. This is to allow service providers to recoup at least efficient costs incurred as a result of those immaterial OEFs, consistent with the revenue and pricing principles in the NEL. In future, as our information set improves we may reconsider our approach to immaterial OEFs.</w:t>
      </w:r>
    </w:p>
    <w:p w:rsidR="00D1590E" w:rsidRPr="00D1590E" w:rsidRDefault="00D1590E" w:rsidP="00D1590E">
      <w:pPr>
        <w:pStyle w:val="ListParagraph"/>
        <w:numPr>
          <w:ilvl w:val="0"/>
          <w:numId w:val="24"/>
        </w:numPr>
      </w:pPr>
      <w:r w:rsidRPr="00D1590E">
        <w:t>The table below provides a summary of the quantification of the effect of immaterial factors.</w:t>
      </w:r>
    </w:p>
    <w:p w:rsidR="00D1590E" w:rsidRPr="00D1590E" w:rsidRDefault="00D1590E" w:rsidP="00D1590E">
      <w:pPr>
        <w:pStyle w:val="Caption"/>
      </w:pPr>
      <w:r w:rsidRPr="00D1590E">
        <w:t xml:space="preserve">Table </w:t>
      </w:r>
      <w:fldSimple w:instr=" STYLEREF 7 \s ">
        <w:r w:rsidR="00C57342">
          <w:rPr>
            <w:noProof/>
          </w:rPr>
          <w:t>A</w:t>
        </w:r>
      </w:fldSimple>
      <w:r w:rsidRPr="00D1590E">
        <w:t>.</w:t>
      </w:r>
      <w:fldSimple w:instr=" SEQ ATable \* ARABIC \s 7 ">
        <w:r w:rsidR="00C57342">
          <w:rPr>
            <w:noProof/>
          </w:rPr>
          <w:t>8</w:t>
        </w:r>
      </w:fldSimple>
      <w:r w:rsidRPr="00D1590E">
        <w:tab/>
        <w:t>Summary of individually immaterial OEF adjustments</w:t>
      </w:r>
      <w:r w:rsidRPr="00D1590E">
        <w:rPr>
          <w:rStyle w:val="FootnoteReference"/>
        </w:rPr>
        <w:footnoteReference w:id="559"/>
      </w:r>
    </w:p>
    <w:tbl>
      <w:tblPr>
        <w:tblStyle w:val="AERtable-numbers"/>
        <w:tblW w:w="8755" w:type="dxa"/>
        <w:tblLook w:val="04A0" w:firstRow="1" w:lastRow="0" w:firstColumn="1" w:lastColumn="0" w:noHBand="0" w:noVBand="1"/>
      </w:tblPr>
      <w:tblGrid>
        <w:gridCol w:w="4219"/>
        <w:gridCol w:w="1512"/>
        <w:gridCol w:w="1512"/>
        <w:gridCol w:w="1512"/>
      </w:tblGrid>
      <w:tr w:rsidR="00D1590E" w:rsidTr="00D15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Factor</w:t>
            </w:r>
          </w:p>
        </w:tc>
        <w:tc>
          <w:tcPr>
            <w:tcW w:w="1512" w:type="dxa"/>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Ausgrid</w:t>
            </w:r>
          </w:p>
        </w:tc>
        <w:tc>
          <w:tcPr>
            <w:tcW w:w="1512" w:type="dxa"/>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Endeavour</w:t>
            </w:r>
          </w:p>
        </w:tc>
        <w:tc>
          <w:tcPr>
            <w:tcW w:w="1512" w:type="dxa"/>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Essential</w:t>
            </w:r>
          </w:p>
        </w:tc>
      </w:tr>
      <w:tr w:rsidR="00D1590E" w:rsidTr="00D1590E">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Asset lives</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Building regulations</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r>
      <w:tr w:rsidR="00D1590E" w:rsidTr="00D1590E">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Bushfires</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Capitalisation practices</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r>
      <w:tr w:rsidR="00D1590E" w:rsidTr="00D1590E">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Corrosive environments</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Cultural heritage obligations</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r>
      <w:tr w:rsidR="00D1590E" w:rsidTr="00D1590E">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Environmental Regulations</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Environmental variability</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r>
      <w:tr w:rsidR="00D1590E" w:rsidTr="00D1590E">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Extreme weather events</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Grounding conditions</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r>
      <w:tr w:rsidR="00D1590E" w:rsidTr="00D1590E">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Network access</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-0.1%</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0.4%</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Planning regulations</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r>
      <w:tr w:rsidR="00D1590E" w:rsidTr="00D1590E">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Proportion of 11kV and 22kV lines</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Rainfall and humidity</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r>
      <w:tr w:rsidR="00D1590E" w:rsidTr="00D1590E">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Specialised skills</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Solar uptake</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r>
      <w:tr w:rsidR="00D1590E" w:rsidTr="00D1590E">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Topography</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0.5%</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Traffic management</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r>
      <w:tr w:rsidR="00D1590E" w:rsidTr="00D1590E">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Transformer capacity owned by customers</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-0.2%</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0.1%</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0.0%</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t xml:space="preserve">Division of vegetation management </w:t>
            </w:r>
            <w:r w:rsidRPr="00D1590E">
              <w:lastRenderedPageBreak/>
              <w:t>responsibility</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lastRenderedPageBreak/>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c>
          <w:tcPr>
            <w:tcW w:w="1512" w:type="dxa"/>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0.5%</w:t>
            </w:r>
          </w:p>
        </w:tc>
      </w:tr>
      <w:tr w:rsidR="00D1590E" w:rsidTr="00D1590E">
        <w:tc>
          <w:tcPr>
            <w:cnfStyle w:val="001000000000" w:firstRow="0" w:lastRow="0" w:firstColumn="1" w:lastColumn="0" w:oddVBand="0" w:evenVBand="0" w:oddHBand="0" w:evenHBand="0" w:firstRowFirstColumn="0" w:firstRowLastColumn="0" w:lastRowFirstColumn="0" w:lastRowLastColumn="0"/>
            <w:tcW w:w="4219" w:type="dxa"/>
          </w:tcPr>
          <w:p w:rsidR="00D1590E" w:rsidRPr="00D1590E" w:rsidRDefault="00D1590E" w:rsidP="00D1590E">
            <w:pPr>
              <w:pStyle w:val="AERtabletextleft"/>
            </w:pPr>
            <w:r w:rsidRPr="00D1590E">
              <w:lastRenderedPageBreak/>
              <w:t>Total</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4.7%</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6.7%</w:t>
            </w:r>
          </w:p>
        </w:tc>
        <w:tc>
          <w:tcPr>
            <w:tcW w:w="1512" w:type="dxa"/>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5.4%</w:t>
            </w:r>
          </w:p>
        </w:tc>
      </w:tr>
    </w:tbl>
    <w:p w:rsidR="00D1590E" w:rsidRPr="00D1590E" w:rsidRDefault="00D1590E" w:rsidP="00D1590E">
      <w:pPr>
        <w:pStyle w:val="ListParagraph"/>
        <w:numPr>
          <w:ilvl w:val="0"/>
          <w:numId w:val="24"/>
        </w:numPr>
        <w:rPr>
          <w:rStyle w:val="AERtextsize8"/>
        </w:rPr>
      </w:pPr>
      <w:r w:rsidRPr="00D1590E">
        <w:rPr>
          <w:rStyle w:val="AERtextsize8"/>
        </w:rPr>
        <w:t xml:space="preserve">Source: </w:t>
      </w:r>
      <w:r w:rsidRPr="00D1590E">
        <w:rPr>
          <w:rStyle w:val="AERtextsize8"/>
        </w:rPr>
        <w:tab/>
        <w:t>AER analysis.</w:t>
      </w:r>
    </w:p>
    <w:p w:rsidR="00D1590E" w:rsidRPr="00D1590E" w:rsidRDefault="00D1590E" w:rsidP="00D1590E">
      <w:pPr>
        <w:pStyle w:val="HeadingBoldItalic"/>
      </w:pPr>
      <w:r w:rsidRPr="00D1590E">
        <w:t>OEF assessment: comparison point</w:t>
      </w:r>
    </w:p>
    <w:p w:rsidR="00D1590E" w:rsidRPr="00D1590E" w:rsidRDefault="00D1590E" w:rsidP="00D1590E">
      <w:pPr>
        <w:pStyle w:val="ListParagraph"/>
        <w:numPr>
          <w:ilvl w:val="0"/>
          <w:numId w:val="24"/>
        </w:numPr>
      </w:pPr>
      <w:r w:rsidRPr="00D1590E">
        <w:t xml:space="preserve">To determine if an OEF provides a cost advantage, or disadvantage, to a service provider we first determine who the service provider is being compared to. For the purpose of estimating the effect of OEFs, the comparison point is the customer weighted average of the service providers that score equal to or above the benchmark comparison point. This compares the service providers being benchmarked to all service providers at or above the benchmark point. This ensures that the operating circumstances of all the comparison firms are taken into account when assessing a service provider's base year opex. This allows a better estimate of service providers' underlying efficiency than a comparison to the service provider at the benchmark comparison point. Using the single firm at the benchmark comparison point could lead to OEF adjustments that unfairly advantage or disadvantage service providers. </w:t>
      </w:r>
    </w:p>
    <w:p w:rsidR="00D1590E" w:rsidRPr="00D1590E" w:rsidRDefault="00D1590E" w:rsidP="00D1590E">
      <w:pPr>
        <w:pStyle w:val="ListParagraph"/>
        <w:numPr>
          <w:ilvl w:val="0"/>
          <w:numId w:val="24"/>
        </w:numPr>
      </w:pPr>
      <w:r w:rsidRPr="00D1590E">
        <w:t xml:space="preserve">For example, there may be a situation where there is an OEF that affects the service provider at the benchmark comparison point and other service providers above the benchmark comparison point differently. Providing an OEF based on a comparison to the service provider at the benchmark comparison point would lead to an OEF adjustment that would not reflect the broad variety of operating environments that the comparison firms operate in. This is because there are other service providers above the benchmark comparison point that may be advantaged or disadvantaged by the OEF under consideration. For this reason, as a comparison point for OEF assessment, we use the customer weighted average of all service providers that are at or above the benchmark comparison point. </w:t>
      </w:r>
    </w:p>
    <w:p w:rsidR="00D1590E" w:rsidRPr="00D1590E" w:rsidRDefault="00D1590E" w:rsidP="00D1590E">
      <w:pPr>
        <w:pStyle w:val="HeadingBoldItalic"/>
        <w:numPr>
          <w:ilvl w:val="0"/>
          <w:numId w:val="24"/>
        </w:numPr>
      </w:pPr>
      <w:r w:rsidRPr="00D1590E">
        <w:t>OEF assessment: calculation of OEFs</w:t>
      </w:r>
    </w:p>
    <w:p w:rsidR="00D1590E" w:rsidRPr="00D1590E" w:rsidRDefault="00D1590E" w:rsidP="00D1590E">
      <w:pPr>
        <w:pStyle w:val="ListParagraph"/>
        <w:numPr>
          <w:ilvl w:val="0"/>
          <w:numId w:val="24"/>
        </w:numPr>
      </w:pPr>
      <w:r w:rsidRPr="00D1590E">
        <w:t>We have had to estimate the impact of OEFs using different data sources. In some circumstances we have had access to the information required to estimate the incremental efficient cost of an OEF. In others we have only had the historical costs of the service provider being benchmarked to estimate the effect.</w:t>
      </w:r>
    </w:p>
    <w:p w:rsidR="00D1590E" w:rsidRPr="00D1590E" w:rsidRDefault="00D1590E" w:rsidP="00D1590E">
      <w:pPr>
        <w:pStyle w:val="ListParagraph"/>
        <w:numPr>
          <w:ilvl w:val="0"/>
          <w:numId w:val="24"/>
        </w:numPr>
      </w:pPr>
      <w:r w:rsidRPr="00D1590E">
        <w:t xml:space="preserve">Where the efficient incremental costs can be estimated, the relevant OEF adjustment can be made in isolation. This is because the OEF adjustment is the percentage increase on the efficient costs estimated by the SFA model. An example of this is shown in </w:t>
      </w:r>
      <w:r w:rsidRPr="00D1590E">
        <w:fldChar w:fldCharType="begin"/>
      </w:r>
      <w:r w:rsidRPr="00D1590E">
        <w:instrText xml:space="preserve"> REF _Ref417642054 \h </w:instrText>
      </w:r>
      <w:r w:rsidRPr="00D1590E">
        <w:fldChar w:fldCharType="separate"/>
      </w:r>
      <w:r w:rsidR="00C57342" w:rsidRPr="00D1590E">
        <w:t xml:space="preserve">Table </w:t>
      </w:r>
      <w:r w:rsidR="00C57342">
        <w:rPr>
          <w:noProof/>
        </w:rPr>
        <w:t>A</w:t>
      </w:r>
      <w:r w:rsidR="00C57342" w:rsidRPr="00D1590E">
        <w:t>.</w:t>
      </w:r>
      <w:r w:rsidR="00C57342">
        <w:rPr>
          <w:noProof/>
        </w:rPr>
        <w:t>9</w:t>
      </w:r>
      <w:r w:rsidRPr="00D1590E">
        <w:fldChar w:fldCharType="end"/>
      </w:r>
      <w:r w:rsidRPr="00D1590E">
        <w:t xml:space="preserve"> below. The example shows how an adjustment would be calculated, using information on efficient costs, in the case that a service provider required a 50 per cent OEF adjustment.</w:t>
      </w:r>
    </w:p>
    <w:p w:rsidR="00D1590E" w:rsidRPr="00D1590E" w:rsidRDefault="00D1590E" w:rsidP="00D1590E">
      <w:r w:rsidRPr="00D1590E">
        <w:br w:type="page"/>
      </w:r>
    </w:p>
    <w:p w:rsidR="00D1590E" w:rsidRPr="00D1590E" w:rsidRDefault="00D1590E" w:rsidP="00D1590E">
      <w:pPr>
        <w:pStyle w:val="Caption"/>
        <w:numPr>
          <w:ilvl w:val="0"/>
          <w:numId w:val="24"/>
        </w:numPr>
      </w:pPr>
      <w:bookmarkStart w:id="320" w:name="_Ref417642054"/>
      <w:r w:rsidRPr="00D1590E">
        <w:lastRenderedPageBreak/>
        <w:t xml:space="preserve">Table </w:t>
      </w:r>
      <w:fldSimple w:instr=" STYLEREF 7 \s ">
        <w:r w:rsidR="00C57342">
          <w:rPr>
            <w:noProof/>
          </w:rPr>
          <w:t>A</w:t>
        </w:r>
      </w:fldSimple>
      <w:r w:rsidRPr="00D1590E">
        <w:t>.</w:t>
      </w:r>
      <w:fldSimple w:instr=" SEQ ATable \* ARABIC \s 7 ">
        <w:r w:rsidR="00C57342">
          <w:rPr>
            <w:noProof/>
          </w:rPr>
          <w:t>9</w:t>
        </w:r>
      </w:fldSimple>
      <w:bookmarkEnd w:id="320"/>
      <w:r w:rsidRPr="00D1590E">
        <w:tab/>
        <w:t xml:space="preserve"> Worked example of impact of an OEF where efficiency of costs has been demonstrated</w:t>
      </w:r>
    </w:p>
    <w:tbl>
      <w:tblPr>
        <w:tblStyle w:val="AERtable-numbers"/>
        <w:tblW w:w="0" w:type="auto"/>
        <w:tblLook w:val="04A0" w:firstRow="1" w:lastRow="0" w:firstColumn="1" w:lastColumn="0" w:noHBand="0" w:noVBand="1"/>
      </w:tblPr>
      <w:tblGrid>
        <w:gridCol w:w="4502"/>
        <w:gridCol w:w="2095"/>
        <w:gridCol w:w="2095"/>
      </w:tblGrid>
      <w:tr w:rsidR="00D1590E" w:rsidTr="00D15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D1590E" w:rsidRPr="00D1590E" w:rsidRDefault="00D1590E" w:rsidP="00D1590E">
            <w:r w:rsidRPr="00D1590E">
              <w:t>Cost component</w:t>
            </w:r>
          </w:p>
        </w:tc>
        <w:tc>
          <w:tcPr>
            <w:tcW w:w="2095" w:type="dxa"/>
          </w:tcPr>
          <w:p w:rsidR="00D1590E" w:rsidRPr="00D1590E" w:rsidRDefault="00D1590E" w:rsidP="00D1590E">
            <w:pPr>
              <w:cnfStyle w:val="100000000000" w:firstRow="1" w:lastRow="0" w:firstColumn="0" w:lastColumn="0" w:oddVBand="0" w:evenVBand="0" w:oddHBand="0" w:evenHBand="0" w:firstRowFirstColumn="0" w:firstRowLastColumn="0" w:lastRowFirstColumn="0" w:lastRowLastColumn="0"/>
            </w:pPr>
          </w:p>
        </w:tc>
        <w:tc>
          <w:tcPr>
            <w:tcW w:w="2095" w:type="dxa"/>
          </w:tcPr>
          <w:p w:rsidR="00D1590E" w:rsidRPr="00D1590E" w:rsidRDefault="00D1590E" w:rsidP="00D1590E">
            <w:pPr>
              <w:cnfStyle w:val="100000000000" w:firstRow="1" w:lastRow="0" w:firstColumn="0" w:lastColumn="0" w:oddVBand="0" w:evenVBand="0" w:oddHBand="0" w:evenHBand="0" w:firstRowFirstColumn="0" w:firstRowLastColumn="0" w:lastRowFirstColumn="0" w:lastRowLastColumn="0"/>
            </w:pPr>
            <w:r w:rsidRPr="00D1590E">
              <w:t>$m 2013</w:t>
            </w:r>
          </w:p>
        </w:tc>
      </w:tr>
      <w:tr w:rsidR="00D1590E" w:rsidTr="00D1590E">
        <w:tc>
          <w:tcPr>
            <w:cnfStyle w:val="001000000000" w:firstRow="0" w:lastRow="0" w:firstColumn="1" w:lastColumn="0" w:oddVBand="0" w:evenVBand="0" w:oddHBand="0" w:evenHBand="0" w:firstRowFirstColumn="0" w:firstRowLastColumn="0" w:lastRowFirstColumn="0" w:lastRowLastColumn="0"/>
            <w:tcW w:w="4503" w:type="dxa"/>
          </w:tcPr>
          <w:p w:rsidR="00D1590E" w:rsidRPr="00D1590E" w:rsidRDefault="00D1590E" w:rsidP="00D1590E">
            <w:r w:rsidRPr="00D1590E">
              <w:t>Firm's costs including exogenous factor</w:t>
            </w:r>
          </w:p>
        </w:tc>
        <w:tc>
          <w:tcPr>
            <w:tcW w:w="2095" w:type="dxa"/>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t>A</w:t>
            </w:r>
          </w:p>
        </w:tc>
        <w:tc>
          <w:tcPr>
            <w:tcW w:w="2095" w:type="dxa"/>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t>$150</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D1590E" w:rsidRPr="00D1590E" w:rsidRDefault="00D1590E" w:rsidP="00D1590E">
            <w:r w:rsidRPr="00D1590E">
              <w:t>Efficient costs estimated by SFA model</w:t>
            </w:r>
          </w:p>
        </w:tc>
        <w:tc>
          <w:tcPr>
            <w:tcW w:w="2095" w:type="dxa"/>
          </w:tcPr>
          <w:p w:rsidR="00D1590E" w:rsidRPr="00D1590E" w:rsidRDefault="00D1590E" w:rsidP="00D1590E">
            <w:pPr>
              <w:cnfStyle w:val="000000010000" w:firstRow="0" w:lastRow="0" w:firstColumn="0" w:lastColumn="0" w:oddVBand="0" w:evenVBand="0" w:oddHBand="0" w:evenHBand="1" w:firstRowFirstColumn="0" w:firstRowLastColumn="0" w:lastRowFirstColumn="0" w:lastRowLastColumn="0"/>
            </w:pPr>
            <w:r w:rsidRPr="00D1590E">
              <w:t>B</w:t>
            </w:r>
          </w:p>
        </w:tc>
        <w:tc>
          <w:tcPr>
            <w:tcW w:w="2095" w:type="dxa"/>
          </w:tcPr>
          <w:p w:rsidR="00D1590E" w:rsidRPr="00D1590E" w:rsidRDefault="00D1590E" w:rsidP="00D1590E">
            <w:pPr>
              <w:cnfStyle w:val="000000010000" w:firstRow="0" w:lastRow="0" w:firstColumn="0" w:lastColumn="0" w:oddVBand="0" w:evenVBand="0" w:oddHBand="0" w:evenHBand="1" w:firstRowFirstColumn="0" w:firstRowLastColumn="0" w:lastRowFirstColumn="0" w:lastRowLastColumn="0"/>
            </w:pPr>
            <w:r w:rsidRPr="00D1590E">
              <w:t>$100</w:t>
            </w:r>
          </w:p>
        </w:tc>
      </w:tr>
      <w:tr w:rsidR="00D1590E" w:rsidTr="00D1590E">
        <w:tc>
          <w:tcPr>
            <w:cnfStyle w:val="001000000000" w:firstRow="0" w:lastRow="0" w:firstColumn="1" w:lastColumn="0" w:oddVBand="0" w:evenVBand="0" w:oddHBand="0" w:evenHBand="0" w:firstRowFirstColumn="0" w:firstRowLastColumn="0" w:lastRowFirstColumn="0" w:lastRowLastColumn="0"/>
            <w:tcW w:w="4503" w:type="dxa"/>
          </w:tcPr>
          <w:p w:rsidR="00D1590E" w:rsidRPr="00D1590E" w:rsidRDefault="00D1590E" w:rsidP="00D1590E">
            <w:r w:rsidRPr="00D1590E">
              <w:t>Cost incurred for OEF</w:t>
            </w:r>
          </w:p>
        </w:tc>
        <w:tc>
          <w:tcPr>
            <w:tcW w:w="2095" w:type="dxa"/>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t>C</w:t>
            </w:r>
          </w:p>
        </w:tc>
        <w:tc>
          <w:tcPr>
            <w:tcW w:w="2095" w:type="dxa"/>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t>$50</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D1590E" w:rsidRPr="00D1590E" w:rsidRDefault="00D1590E" w:rsidP="00D1590E">
            <w:r w:rsidRPr="00D1590E">
              <w:t>OEF adjustment</w:t>
            </w:r>
          </w:p>
        </w:tc>
        <w:tc>
          <w:tcPr>
            <w:tcW w:w="2095" w:type="dxa"/>
          </w:tcPr>
          <w:p w:rsidR="00D1590E" w:rsidRPr="00D1590E" w:rsidRDefault="00D1590E" w:rsidP="00D1590E">
            <w:pPr>
              <w:cnfStyle w:val="000000010000" w:firstRow="0" w:lastRow="0" w:firstColumn="0" w:lastColumn="0" w:oddVBand="0" w:evenVBand="0" w:oddHBand="0" w:evenHBand="1" w:firstRowFirstColumn="0" w:firstRowLastColumn="0" w:lastRowFirstColumn="0" w:lastRowLastColumn="0"/>
            </w:pPr>
            <w:r w:rsidRPr="00D1590E">
              <w:t>D=(B+C)/B-1</w:t>
            </w:r>
          </w:p>
        </w:tc>
        <w:tc>
          <w:tcPr>
            <w:tcW w:w="2095" w:type="dxa"/>
          </w:tcPr>
          <w:p w:rsidR="00D1590E" w:rsidRPr="00D1590E" w:rsidRDefault="00D1590E" w:rsidP="00D1590E">
            <w:pPr>
              <w:cnfStyle w:val="000000010000" w:firstRow="0" w:lastRow="0" w:firstColumn="0" w:lastColumn="0" w:oddVBand="0" w:evenVBand="0" w:oddHBand="0" w:evenHBand="1" w:firstRowFirstColumn="0" w:firstRowLastColumn="0" w:lastRowFirstColumn="0" w:lastRowLastColumn="0"/>
            </w:pPr>
            <w:r w:rsidRPr="00D1590E">
              <w:t>50%</w:t>
            </w:r>
          </w:p>
        </w:tc>
      </w:tr>
      <w:tr w:rsidR="00D1590E" w:rsidTr="00D1590E">
        <w:tc>
          <w:tcPr>
            <w:cnfStyle w:val="001000000000" w:firstRow="0" w:lastRow="0" w:firstColumn="1" w:lastColumn="0" w:oddVBand="0" w:evenVBand="0" w:oddHBand="0" w:evenHBand="0" w:firstRowFirstColumn="0" w:firstRowLastColumn="0" w:lastRowFirstColumn="0" w:lastRowLastColumn="0"/>
            <w:tcW w:w="4503" w:type="dxa"/>
          </w:tcPr>
          <w:p w:rsidR="00D1590E" w:rsidRPr="00D1590E" w:rsidRDefault="00D1590E" w:rsidP="00D1590E">
            <w:r w:rsidRPr="00D1590E">
              <w:t>Forecast of efficient costs including OEF</w:t>
            </w:r>
          </w:p>
        </w:tc>
        <w:tc>
          <w:tcPr>
            <w:tcW w:w="2095" w:type="dxa"/>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t>E=B*(1+D)</w:t>
            </w:r>
          </w:p>
        </w:tc>
        <w:tc>
          <w:tcPr>
            <w:tcW w:w="2095" w:type="dxa"/>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t>$150</w:t>
            </w:r>
          </w:p>
        </w:tc>
      </w:tr>
    </w:tbl>
    <w:p w:rsidR="00D1590E" w:rsidRPr="00D1590E" w:rsidRDefault="00D1590E" w:rsidP="00D1590E">
      <w:pPr>
        <w:pStyle w:val="AERtablesource"/>
        <w:numPr>
          <w:ilvl w:val="0"/>
          <w:numId w:val="24"/>
        </w:numPr>
      </w:pPr>
      <w:r w:rsidRPr="00D1590E">
        <w:t>Source: AER analysis</w:t>
      </w:r>
    </w:p>
    <w:p w:rsidR="00D1590E" w:rsidRPr="00D1590E" w:rsidRDefault="00D1590E" w:rsidP="00D1590E">
      <w:pPr>
        <w:pStyle w:val="ListParagraph"/>
        <w:numPr>
          <w:ilvl w:val="0"/>
          <w:numId w:val="24"/>
        </w:numPr>
      </w:pPr>
      <w:r w:rsidRPr="00D1590E">
        <w:t>Where we only have information on the historical share of opex an OEF represents for the service provider being benchmarked,</w:t>
      </w:r>
      <w:r w:rsidRPr="00D1590E">
        <w:rPr>
          <w:rStyle w:val="FootnoteReference"/>
        </w:rPr>
        <w:footnoteReference w:id="560"/>
      </w:r>
      <w:r w:rsidRPr="00D1590E">
        <w:t xml:space="preserve"> the OEF adjustment must be calculated with reference to the impact of other OEF adjustments. This change is made to translate the impact of the OEF on the service provider's historical costs, to the OEF adjustment to the efficient base year costs forecast by the SFA model. </w:t>
      </w:r>
    </w:p>
    <w:p w:rsidR="00D1590E" w:rsidRPr="00D1590E" w:rsidRDefault="00D1590E" w:rsidP="00D1590E">
      <w:pPr>
        <w:pStyle w:val="ListParagraph"/>
        <w:numPr>
          <w:ilvl w:val="0"/>
          <w:numId w:val="24"/>
        </w:numPr>
      </w:pPr>
      <w:r w:rsidRPr="00D1590E">
        <w:t>This is done for two reasons. Treating the historical cost as fully efficient runs the risk of overcompensating the service provider. This is because those costs may contain some inefficiency. Additionally, if the impact of OEFs on historical opex is not taken into account, the OEF may over or undercompensate the service provider; depending on the direction of the adjustment. This is because the starting point to estimate the percentage change in opex due to the OEF will be affected by OEFs.</w:t>
      </w:r>
    </w:p>
    <w:p w:rsidR="00D1590E" w:rsidRPr="00D1590E" w:rsidRDefault="00D1590E" w:rsidP="00D1590E">
      <w:pPr>
        <w:pStyle w:val="ListParagraph"/>
        <w:numPr>
          <w:ilvl w:val="0"/>
          <w:numId w:val="24"/>
        </w:numPr>
      </w:pPr>
      <w:r w:rsidRPr="00D1590E">
        <w:t>The NSW service providers are affected by two OEFs where information on the efficient costs is not available: customer owned distribution capacity and licence conditions. The calculation of the adjustment to these factors can be found in the OEF summary spreadsheet attached to this decision.</w:t>
      </w:r>
    </w:p>
    <w:p w:rsidR="00D1590E" w:rsidRPr="00D1590E" w:rsidRDefault="00D1590E" w:rsidP="00D1590E">
      <w:pPr>
        <w:pStyle w:val="ListParagraph"/>
        <w:numPr>
          <w:ilvl w:val="0"/>
          <w:numId w:val="24"/>
        </w:numPr>
      </w:pPr>
      <w:r w:rsidRPr="00D1590E">
        <w:t>In the following sections we consider the points raised by stakeholders in response to the OEF methodology used in our draft decision.</w:t>
      </w:r>
    </w:p>
    <w:p w:rsidR="00D1590E" w:rsidRPr="00D1590E" w:rsidRDefault="00D1590E" w:rsidP="00D1590E">
      <w:pPr>
        <w:pStyle w:val="HeadingBoldItalic"/>
      </w:pPr>
      <w:r w:rsidRPr="00D1590E">
        <w:t>Treatment of endogenous circumstances</w:t>
      </w:r>
    </w:p>
    <w:p w:rsidR="00D1590E" w:rsidRPr="00D1590E" w:rsidRDefault="00D1590E" w:rsidP="00D1590E">
      <w:r w:rsidRPr="00D1590E">
        <w:t xml:space="preserve">In response to our draft decision, ActewAGL submitted that controllable OEFs require OEF adjustments. ActewAGL submitted: </w:t>
      </w:r>
    </w:p>
    <w:p w:rsidR="00D1590E" w:rsidRPr="00D1590E" w:rsidRDefault="00D1590E" w:rsidP="00D1590E">
      <w:pPr>
        <w:pStyle w:val="AERquote"/>
      </w:pPr>
      <w:r w:rsidRPr="00D1590E">
        <w:t>"ActewAGL Distribution considers that to be robust and informative benchmarking should recognise and quantify the impact of […] controllable drivers of cost differences such as differences in accounting treatments and differences in work practices and operating techniques."</w:t>
      </w:r>
      <w:r w:rsidRPr="00D1590E">
        <w:rPr>
          <w:rStyle w:val="FootnoteReference"/>
        </w:rPr>
        <w:footnoteReference w:id="561"/>
      </w:r>
    </w:p>
    <w:p w:rsidR="00D1590E" w:rsidRPr="00D1590E" w:rsidRDefault="00D1590E" w:rsidP="00D1590E">
      <w:r w:rsidRPr="00D1590E">
        <w:lastRenderedPageBreak/>
        <w:t>Differences in work practices and operating techniques are endogenous. The AEMC provides guidance on what it considers to be an endogenous factor that should not be taken into account when benchmarking. It stated:</w:t>
      </w:r>
    </w:p>
    <w:p w:rsidR="00D1590E" w:rsidRPr="00D1590E" w:rsidRDefault="00D1590E" w:rsidP="00D1590E">
      <w:pPr>
        <w:pStyle w:val="AERquote"/>
      </w:pPr>
      <w:r w:rsidRPr="00D1590E">
        <w:t>"Endogenous factors not to be taken into account may include:</w:t>
      </w:r>
    </w:p>
    <w:p w:rsidR="00D1590E" w:rsidRPr="00D1590E" w:rsidRDefault="00D1590E" w:rsidP="00D1590E">
      <w:pPr>
        <w:pStyle w:val="AERquote"/>
      </w:pPr>
      <w:r w:rsidRPr="00D1590E">
        <w:t>• the nature of ownership of the NSP;</w:t>
      </w:r>
    </w:p>
    <w:p w:rsidR="00D1590E" w:rsidRPr="00D1590E" w:rsidRDefault="00D1590E" w:rsidP="00D1590E">
      <w:pPr>
        <w:pStyle w:val="AERquote"/>
      </w:pPr>
      <w:r w:rsidRPr="00D1590E">
        <w:t>• quality of management; and</w:t>
      </w:r>
    </w:p>
    <w:p w:rsidR="00D1590E" w:rsidRPr="00D1590E" w:rsidRDefault="00D1590E" w:rsidP="00D1590E">
      <w:pPr>
        <w:pStyle w:val="AERquote"/>
      </w:pPr>
      <w:r w:rsidRPr="00D1590E">
        <w:t>• financial decisions."</w:t>
      </w:r>
      <w:r w:rsidRPr="00D1590E">
        <w:rPr>
          <w:rStyle w:val="FootnoteReference"/>
        </w:rPr>
        <w:footnoteReference w:id="562"/>
      </w:r>
    </w:p>
    <w:p w:rsidR="00D1590E" w:rsidRPr="00D1590E" w:rsidRDefault="00D1590E" w:rsidP="00D1590E">
      <w:r w:rsidRPr="00D1590E">
        <w:t>Differences in opex due to work practices and operating techniques are a direct outcome of management decisions. Therefore we do not provide an OEF adjustment for them. In general we consider that any OEFs that are a result of the quality of management do not meet the exogeneity OEF criterion.</w:t>
      </w:r>
    </w:p>
    <w:p w:rsidR="00D1590E" w:rsidRPr="00D1590E" w:rsidRDefault="00D1590E" w:rsidP="00D1590E">
      <w:r w:rsidRPr="00D1590E">
        <w:t>We do note that differences in accounting practices may lead to differences in opex that are unrelated to quality of management. As a result we have taken into account the effect of capitalisation practices in our benchmarking.</w:t>
      </w:r>
    </w:p>
    <w:p w:rsidR="00D1590E" w:rsidRPr="00D1590E" w:rsidRDefault="00D1590E" w:rsidP="00D1590E">
      <w:pPr>
        <w:pStyle w:val="HeadingBoldItalic"/>
      </w:pPr>
      <w:r w:rsidRPr="00D1590E">
        <w:t>Non-recurrent costs</w:t>
      </w:r>
    </w:p>
    <w:p w:rsidR="00D1590E" w:rsidRPr="00D1590E" w:rsidRDefault="00D1590E" w:rsidP="00D1590E">
      <w:r w:rsidRPr="00D1590E">
        <w:t>In response to our draft decision, ActewAGL raised the issue of non-recurrent costs included in ActewAGL's base year. ActewAGL considers that an OEF adjustment should be made for one off costs included in its base year.</w:t>
      </w:r>
      <w:r w:rsidRPr="00D1590E">
        <w:rPr>
          <w:rStyle w:val="FootnoteReference"/>
        </w:rPr>
        <w:footnoteReference w:id="563"/>
      </w:r>
    </w:p>
    <w:p w:rsidR="00D1590E" w:rsidRPr="00D1590E" w:rsidRDefault="00D1590E" w:rsidP="00D1590E">
      <w:r w:rsidRPr="00D1590E">
        <w:t xml:space="preserve">We are not satisfied that an OEF adjustment should be made for non-recurrent costs. Providing an OEF for non-recurrent costs would treat those costs as if they were recurrent. Economic Insights' benchmarking results are used as the basis for our forecast of opex. If we adjust the benchmarking results with an OEF adjustment for non-recurrent costs, it has the effect of including those non-recurrent costs in our opex forecast. </w:t>
      </w:r>
    </w:p>
    <w:p w:rsidR="00D1590E" w:rsidRPr="00D1590E" w:rsidRDefault="00D1590E" w:rsidP="00D1590E">
      <w:r w:rsidRPr="00D1590E">
        <w:t>Additionally, an OEF adjustment for a non-recurrent cost would not meet the duplication OEF criterion. Economic Insights' SFA model takes non-recurrent costs into account. The SFA efficiency scores are based on the average performance of service providers over the period. Therefore the effects of transitory increases or decreases in relative opex efficiency are reduced. Also SFA modelling accounts for transitory variations in data using a compound stochastic variance term. This statistical technique accounts for random shocks in opex.</w:t>
      </w:r>
      <w:r w:rsidRPr="00D1590E">
        <w:rPr>
          <w:rStyle w:val="FootnoteReference"/>
        </w:rPr>
        <w:footnoteReference w:id="564"/>
      </w:r>
    </w:p>
    <w:p w:rsidR="00D1590E" w:rsidRPr="00D1590E" w:rsidRDefault="00D1590E" w:rsidP="00D1590E">
      <w:r w:rsidRPr="00D1590E">
        <w:br w:type="page"/>
      </w:r>
    </w:p>
    <w:p w:rsidR="00D1590E" w:rsidRPr="00D1590E" w:rsidRDefault="00D1590E" w:rsidP="00D1590E">
      <w:pPr>
        <w:pStyle w:val="HeadingBoldItalic"/>
      </w:pPr>
      <w:r w:rsidRPr="00D1590E">
        <w:lastRenderedPageBreak/>
        <w:t>Quantum of operating environment factors</w:t>
      </w:r>
    </w:p>
    <w:p w:rsidR="00D1590E" w:rsidRPr="00D1590E" w:rsidRDefault="00D1590E" w:rsidP="00D1590E">
      <w:r w:rsidRPr="00D1590E">
        <w:t>In response to our draft decision, Huegin and Frontier Economics submitted that we have not taken into account all relevant OEFs.</w:t>
      </w:r>
      <w:r w:rsidRPr="00D1590E">
        <w:rPr>
          <w:rStyle w:val="FootnoteReference"/>
        </w:rPr>
        <w:t xml:space="preserve"> </w:t>
      </w:r>
      <w:r w:rsidRPr="00D1590E">
        <w:rPr>
          <w:rStyle w:val="FootnoteReference"/>
        </w:rPr>
        <w:footnoteReference w:id="565"/>
      </w:r>
      <w:r w:rsidRPr="00D1590E">
        <w:t xml:space="preserve"> </w:t>
      </w:r>
      <w:r w:rsidRPr="00D1590E">
        <w:rPr>
          <w:rStyle w:val="FootnoteReference"/>
        </w:rPr>
        <w:footnoteReference w:id="566"/>
      </w:r>
      <w:r w:rsidRPr="00D1590E">
        <w:t xml:space="preserve"> Frontier considers our examination of OEFs is incomplete because it does not cover all possible differences. Huegin considers that we have not provided detailed analysis or justification for deeming variables as insignificant, and that there is not adequate data available to conduct such tests. Huegin and Frontier also submitted that the AER's quantification of OEFs was arbitrary.</w:t>
      </w:r>
      <w:r w:rsidRPr="00D1590E">
        <w:rPr>
          <w:rStyle w:val="FootnoteReference"/>
        </w:rPr>
        <w:footnoteReference w:id="567"/>
      </w:r>
      <w:r w:rsidRPr="00D1590E">
        <w:t xml:space="preserve"> </w:t>
      </w:r>
      <w:r w:rsidRPr="00D1590E">
        <w:rPr>
          <w:rStyle w:val="FootnoteReference"/>
        </w:rPr>
        <w:footnoteReference w:id="568"/>
      </w:r>
      <w:r w:rsidRPr="00D1590E">
        <w:t xml:space="preserve"> However, Frontier and Huegin did not explain what elements of our OEF adjustment they considered arbitrary and as such it is difficult to respond to their criticisms.</w:t>
      </w:r>
    </w:p>
    <w:p w:rsidR="00D1590E" w:rsidRPr="00D1590E" w:rsidRDefault="00D1590E" w:rsidP="00D1590E">
      <w:r w:rsidRPr="00D1590E">
        <w:t>We have examined more than 60 OEFs raised by service providers and other stakeholders, including those suggested by Huegin and Frontier.</w:t>
      </w:r>
    </w:p>
    <w:p w:rsidR="00D1590E" w:rsidRPr="00D1590E" w:rsidRDefault="00D1590E" w:rsidP="00D1590E">
      <w:r w:rsidRPr="00D1590E">
        <w:t>We consider that we have accounted for all material differences. We have also accounted for some immaterial differences. We agree with Frontier that it is unlikely that we have covered all possible differences between the service providers, but this is not the purpose of our OEF adjustments. The AEMC has stated that the purpose of benchmarking is not to normalise for every possible difference in networks, but to provide a high level view of efficiency taking into account certain exogenous factors.</w:t>
      </w:r>
      <w:r w:rsidRPr="00D1590E">
        <w:rPr>
          <w:rStyle w:val="FootnoteReference"/>
        </w:rPr>
        <w:t xml:space="preserve"> </w:t>
      </w:r>
      <w:r w:rsidRPr="00D1590E">
        <w:rPr>
          <w:rStyle w:val="FootnoteReference"/>
        </w:rPr>
        <w:footnoteReference w:id="569"/>
      </w:r>
      <w:r w:rsidRPr="00D1590E">
        <w:t xml:space="preserve"> Given the number of factors examined, and the incentives for service providers to identify factors that materially increase their costs, we consider it is likely that we have considered all factors that will materially affect the NSW service providers' opex. Further, we have provided a quantification of immaterial factors which is at the upper bound of what we would expect to see on the basis of the information before us. Our benchmark comparison point also includes an appropriate margin for potential modelling, data, and other uncertainties.</w:t>
      </w:r>
    </w:p>
    <w:p w:rsidR="00D1590E" w:rsidRPr="00D1590E" w:rsidRDefault="00D1590E" w:rsidP="00D1590E">
      <w:r w:rsidRPr="00D1590E">
        <w:t>Huegin did not provide any examples where we have not provided analysis or justification for deeming variables insignificant. Where quantitative data were available, we tested the materiality of the OEF using that data. Where qualitative information was provided we considered that; for example in our consideration of grounding conditions.</w:t>
      </w:r>
    </w:p>
    <w:p w:rsidR="00D1590E" w:rsidRPr="00D1590E" w:rsidRDefault="00D1590E" w:rsidP="00D1590E">
      <w:r w:rsidRPr="00D1590E">
        <w:br w:type="page"/>
      </w:r>
    </w:p>
    <w:p w:rsidR="00D1590E" w:rsidRPr="00D1590E" w:rsidRDefault="00D1590E" w:rsidP="00D1590E">
      <w:pPr>
        <w:pStyle w:val="HeadingBoldItalic"/>
      </w:pPr>
      <w:r w:rsidRPr="00D1590E">
        <w:lastRenderedPageBreak/>
        <w:t>Quantum of material operating environment factors</w:t>
      </w:r>
    </w:p>
    <w:p w:rsidR="00D1590E" w:rsidRPr="00D1590E" w:rsidRDefault="00D1590E" w:rsidP="00D1590E">
      <w:r w:rsidRPr="00D1590E">
        <w:t>In response to our draft decision Huegin submitted that our quantification of OEF adjustments, identified as material, is inaccurate and will not adequately compensate service providers. It submitted that the total dollar value of opex that our OEF adjustments provide Ausgrid is not sufficient to cover the costs that they actually incur in operating its subtransmission network.</w:t>
      </w:r>
      <w:r w:rsidRPr="00D1590E">
        <w:rPr>
          <w:rStyle w:val="FootnoteReference"/>
        </w:rPr>
        <w:t xml:space="preserve"> </w:t>
      </w:r>
      <w:r w:rsidRPr="00D1590E">
        <w:rPr>
          <w:rStyle w:val="FootnoteReference"/>
        </w:rPr>
        <w:footnoteReference w:id="570"/>
      </w:r>
    </w:p>
    <w:p w:rsidR="00D1590E" w:rsidRPr="00D1590E" w:rsidRDefault="00D1590E" w:rsidP="00D1590E">
      <w:r w:rsidRPr="00D1590E">
        <w:t>The OEF adjustment that we calculated for Ausgrid's subtransmission assets is based on two things. It is based on the costs it incurs for its subtransmission assets, relative to the costs of its other assets, and the amount of subtransmission it has relative to other service providers. Over the period 2001 to 2013, per kilometre, Ausgrid spent up to 94 per cent more on maintaining subtransmission assets above 66kV than on its other assets. We therefore assumed that subtransmission assets are therefore twice as costly to operate as distribution voltage assets. Subtransmission assets account for 5.2 per cent more of Ausgrid's lines than the customer weighted average firms. Therefore if subtransmission lines are twice as costly to operate, then Ausgrid's opex should be 5.2 per cent higher due to the extra subtransmission lines it must operate.</w:t>
      </w:r>
    </w:p>
    <w:p w:rsidR="00D1590E" w:rsidRPr="00D1590E" w:rsidRDefault="00D1590E" w:rsidP="00D1590E">
      <w:r w:rsidRPr="00D1590E">
        <w:t>Our OEF adjustments are intended to provide an allowance to service providers for the efficient costs of OEFs that impose a cost disadvantage on them relative to the comparison firms. Where material inefficiency exists it is likely that the actual opex a service provider incurs as a result of those OEFs will be greater than the opex that our adjustments provide. Ausgrid and Huegin have not provided evidence to suggest that Ausgrid's subtransmission opex is more efficient than its total opex.</w:t>
      </w:r>
    </w:p>
    <w:p w:rsidR="00D1590E" w:rsidRPr="00D1590E" w:rsidRDefault="00D1590E" w:rsidP="00D1590E">
      <w:r w:rsidRPr="00D1590E">
        <w:t>Huegin also notes that we have made adjustments to the frontier target rather than the input opex.</w:t>
      </w:r>
      <w:r w:rsidRPr="00D1590E">
        <w:rPr>
          <w:rStyle w:val="FootnoteReference"/>
        </w:rPr>
        <w:footnoteReference w:id="571"/>
      </w:r>
      <w:r w:rsidRPr="00D1590E">
        <w:t xml:space="preserve"> We have done both depending on the information available to us. However, regardless of the method we have used, our OEF adjustments provide a sufficient amount for service providers to recover the efficient costs associated with their OEFs. This is explained in our calculation of OEFs section above.</w:t>
      </w:r>
    </w:p>
    <w:p w:rsidR="00D1590E" w:rsidRPr="00D1590E" w:rsidRDefault="00D1590E" w:rsidP="00D1590E">
      <w:r w:rsidRPr="00D1590E">
        <w:t>ActewAGL submitted that our approach to OEF's is circular.</w:t>
      </w:r>
      <w:r w:rsidRPr="00D1590E">
        <w:rPr>
          <w:rStyle w:val="FootnoteReference"/>
        </w:rPr>
        <w:footnoteReference w:id="572"/>
      </w:r>
      <w:r w:rsidRPr="00D1590E">
        <w:t xml:space="preserve"> ActewAGL submitted:</w:t>
      </w:r>
    </w:p>
    <w:p w:rsidR="00D1590E" w:rsidRPr="00D1590E" w:rsidRDefault="00D1590E" w:rsidP="00D1590E">
      <w:pPr>
        <w:pStyle w:val="AERquote"/>
      </w:pPr>
      <w:r w:rsidRPr="00D1590E">
        <w:t xml:space="preserve">Constructing a substitute base year opex by applying an inefficiency factor to the OEF’s assumes before-hand that ActewAGL Distribution is inefficient. The AER’s approach is circular. The AER assumes (for the purposes of OEF adjustments) that ActewAGL Distribution is inefficient to construct a comparative benchmarked efficiency score, which is then deployed to conclude that ActewAGL Distribution is inefficient relative to other </w:t>
      </w:r>
      <w:r w:rsidR="000C4E69" w:rsidRPr="000C4E69">
        <w:t>distributors</w:t>
      </w:r>
      <w:r w:rsidRPr="00D1590E">
        <w:t>.</w:t>
      </w:r>
    </w:p>
    <w:p w:rsidR="00D1590E" w:rsidRPr="00D1590E" w:rsidRDefault="00D1590E" w:rsidP="00D1590E">
      <w:r w:rsidRPr="00D1590E">
        <w:lastRenderedPageBreak/>
        <w:t>This is not entirely correct. While a service provider's benchmark efficiency score may be lower than it would be if it were not affected by OEFs, it will be able to recoup all of its efficient costs under our approach. This is explained our calculation of OEFs section above.</w:t>
      </w:r>
    </w:p>
    <w:p w:rsidR="00D1590E" w:rsidRPr="00D1590E" w:rsidRDefault="00D1590E" w:rsidP="00D1590E">
      <w:r w:rsidRPr="00D1590E">
        <w:t>ActewAGL also submitted that the AER cannot assume that any inefficiency found in a component of opex can be found in others.</w:t>
      </w:r>
      <w:r w:rsidRPr="00D1590E">
        <w:rPr>
          <w:rStyle w:val="FootnoteReference"/>
        </w:rPr>
        <w:t xml:space="preserve"> </w:t>
      </w:r>
      <w:r w:rsidRPr="00D1590E">
        <w:rPr>
          <w:rStyle w:val="FootnoteReference"/>
        </w:rPr>
        <w:footnoteReference w:id="573"/>
      </w:r>
      <w:r w:rsidRPr="00D1590E">
        <w:t xml:space="preserve"> Our approach to OEF adjustments does not assume inefficiency found in a part of ActewAGL's opex can be found in others. Our approach to OEF adjustments applies the estimated level of total opex efficiency to OEF adjustments where there is no evidence that expenditure associated with an OEF is more or less efficient than the service provider's total opex efficiency.</w:t>
      </w:r>
    </w:p>
    <w:p w:rsidR="00D1590E" w:rsidRPr="00D1590E" w:rsidRDefault="00D1590E" w:rsidP="00D1590E">
      <w:pPr>
        <w:pStyle w:val="HeadingBoldItalic"/>
      </w:pPr>
      <w:r w:rsidRPr="00D1590E">
        <w:t>Quantum of immaterial operating environment factors</w:t>
      </w:r>
    </w:p>
    <w:p w:rsidR="00D1590E" w:rsidRPr="00D1590E" w:rsidRDefault="00D1590E" w:rsidP="00D1590E">
      <w:r w:rsidRPr="00D1590E">
        <w:t>ActewAGL, and the consumer challenge panel, have submitted that they consider our quantification of the effect of immaterial factors is arbitrary.</w:t>
      </w:r>
      <w:r w:rsidRPr="00D1590E">
        <w:rPr>
          <w:rStyle w:val="FootnoteReference"/>
        </w:rPr>
        <w:footnoteReference w:id="574"/>
      </w:r>
      <w:r w:rsidRPr="00D1590E">
        <w:t xml:space="preserve"> </w:t>
      </w:r>
      <w:r w:rsidRPr="00D1590E">
        <w:rPr>
          <w:rStyle w:val="FootnoteReference"/>
        </w:rPr>
        <w:footnoteReference w:id="575"/>
      </w:r>
    </w:p>
    <w:p w:rsidR="00D1590E" w:rsidRPr="00D1590E" w:rsidRDefault="00D1590E" w:rsidP="00D1590E">
      <w:r w:rsidRPr="00D1590E">
        <w:t>In our draft decision, we exercised our regulatory judgement and provided the NSW service providers with an adjustment for OEFs that we had found to be immaterial. We did this because the precise quantum of the immaterial factors may not be possible to estimate accurately in all cases. We decided to take an appropriately conservative approach, and provided the NSW service providers an uplift on the quantum of the identified material factors to 10 per cent.</w:t>
      </w:r>
    </w:p>
    <w:p w:rsidR="00D1590E" w:rsidRPr="00D1590E" w:rsidRDefault="00D1590E" w:rsidP="00D1590E">
      <w:r w:rsidRPr="00D1590E">
        <w:t>Having regard to the submissions made on this approach, and in the interest of regulatory consistency and transparency, we have decided to change our approach to quantifying the effect of immaterial OEFs. Our new approach to quantifying the combined impact of immaterial factors is explained in detail in the OEF approach section above.</w:t>
      </w:r>
    </w:p>
    <w:p w:rsidR="00D1590E" w:rsidRPr="00D1590E" w:rsidRDefault="00D1590E" w:rsidP="00D1590E">
      <w:pPr>
        <w:pStyle w:val="Heading9"/>
      </w:pPr>
      <w:bookmarkStart w:id="321" w:name="_Toc417646303"/>
      <w:bookmarkStart w:id="322" w:name="_Toc417649239"/>
      <w:bookmarkStart w:id="323" w:name="_Toc417659871"/>
      <w:r w:rsidRPr="00D1590E">
        <w:t>Customer factors</w:t>
      </w:r>
      <w:bookmarkEnd w:id="321"/>
      <w:bookmarkEnd w:id="322"/>
      <w:bookmarkEnd w:id="323"/>
    </w:p>
    <w:p w:rsidR="00D1590E" w:rsidRPr="00D1590E" w:rsidRDefault="00D1590E" w:rsidP="00D1590E">
      <w:pPr>
        <w:pStyle w:val="HeadingBoldBlue"/>
        <w:numPr>
          <w:ilvl w:val="0"/>
          <w:numId w:val="24"/>
        </w:numPr>
      </w:pPr>
      <w:bookmarkStart w:id="324" w:name="_Toc417646304"/>
      <w:r w:rsidRPr="00D1590E">
        <w:t>Customer Density</w:t>
      </w:r>
      <w:bookmarkEnd w:id="324"/>
    </w:p>
    <w:p w:rsidR="00D1590E" w:rsidRPr="00D1590E" w:rsidRDefault="00D1590E" w:rsidP="00D1590E">
      <w:pPr>
        <w:numPr>
          <w:ilvl w:val="0"/>
          <w:numId w:val="24"/>
        </w:numPr>
      </w:pPr>
      <w:r w:rsidRPr="00D1590E">
        <w:t xml:space="preserve">We are not satisfied that an OEF adjustment for customer density would meet the duplication OEF adjustment criterion. The effect of customer density is captured by variables in Economic Insights' SFA model. </w:t>
      </w:r>
    </w:p>
    <w:p w:rsidR="00D1590E" w:rsidRPr="00D1590E" w:rsidRDefault="00D1590E" w:rsidP="00D1590E">
      <w:pPr>
        <w:numPr>
          <w:ilvl w:val="0"/>
          <w:numId w:val="24"/>
        </w:numPr>
      </w:pPr>
      <w:r w:rsidRPr="00D1590E">
        <w:t>We adopted the same position in our draft decision.</w:t>
      </w:r>
    </w:p>
    <w:p w:rsidR="00D1590E" w:rsidRPr="00D1590E" w:rsidRDefault="00D1590E" w:rsidP="00D1590E">
      <w:pPr>
        <w:numPr>
          <w:ilvl w:val="0"/>
          <w:numId w:val="24"/>
        </w:numPr>
      </w:pPr>
      <w:r w:rsidRPr="00D1590E">
        <w:t xml:space="preserve">In response to our draft decision we received several submissions from service providers and their consultants on customer density. CEPA, Huegin, and Advisian </w:t>
      </w:r>
      <w:r w:rsidRPr="00D1590E">
        <w:lastRenderedPageBreak/>
        <w:t>submitted that linear density fails to adequately capture the cost disadvantage faced by rural networks.</w:t>
      </w:r>
      <w:r w:rsidRPr="00D1590E">
        <w:rPr>
          <w:rStyle w:val="FootnoteReference"/>
        </w:rPr>
        <w:footnoteReference w:id="576"/>
      </w:r>
      <w:r w:rsidRPr="00D1590E">
        <w:t xml:space="preserve"> </w:t>
      </w:r>
      <w:r w:rsidRPr="00D1590E">
        <w:rPr>
          <w:rStyle w:val="FootnoteReference"/>
        </w:rPr>
        <w:footnoteReference w:id="577"/>
      </w:r>
      <w:r w:rsidRPr="00D1590E">
        <w:t xml:space="preserve"> </w:t>
      </w:r>
      <w:r w:rsidRPr="00D1590E">
        <w:rPr>
          <w:rStyle w:val="FootnoteReference"/>
        </w:rPr>
        <w:footnoteReference w:id="578"/>
      </w:r>
      <w:r w:rsidRPr="00D1590E">
        <w:t xml:space="preserve"> </w:t>
      </w:r>
    </w:p>
    <w:p w:rsidR="00D1590E" w:rsidRPr="00D1590E" w:rsidRDefault="00D1590E" w:rsidP="00D1590E">
      <w:pPr>
        <w:numPr>
          <w:ilvl w:val="0"/>
          <w:numId w:val="24"/>
        </w:numPr>
      </w:pPr>
      <w:r w:rsidRPr="00D1590E">
        <w:t xml:space="preserve">CEPA considered a spatial density variable should be used because it is generally significant in its models. </w:t>
      </w:r>
    </w:p>
    <w:p w:rsidR="00D1590E" w:rsidRPr="00D1590E" w:rsidRDefault="00D1590E" w:rsidP="00D1590E">
      <w:pPr>
        <w:numPr>
          <w:ilvl w:val="0"/>
          <w:numId w:val="24"/>
        </w:numPr>
      </w:pPr>
      <w:r w:rsidRPr="00D1590E">
        <w:t>Huegin considered that linear density does not appropriately account for differences in customer density because it considers linear density does not account for:</w:t>
      </w:r>
    </w:p>
    <w:p w:rsidR="00D1590E" w:rsidRPr="00D1590E" w:rsidRDefault="00D1590E" w:rsidP="00D1590E">
      <w:pPr>
        <w:pStyle w:val="AERbulletlistfirststyle"/>
      </w:pPr>
      <w:r w:rsidRPr="00D1590E">
        <w:t>intra–network differences in density</w:t>
      </w:r>
    </w:p>
    <w:p w:rsidR="00D1590E" w:rsidRPr="00D1590E" w:rsidRDefault="00D1590E" w:rsidP="00D1590E">
      <w:pPr>
        <w:pStyle w:val="AERbulletlistfirststyle"/>
      </w:pPr>
      <w:r w:rsidRPr="00D1590E">
        <w:t>differences in meshed and radial designs and</w:t>
      </w:r>
    </w:p>
    <w:p w:rsidR="00D1590E" w:rsidRPr="00D1590E" w:rsidRDefault="00D1590E" w:rsidP="00D1590E">
      <w:pPr>
        <w:pStyle w:val="AERbulletlistfirststyle"/>
      </w:pPr>
      <w:r w:rsidRPr="00D1590E">
        <w:t>the increase in decentralised service functions required to service a larger area.</w:t>
      </w:r>
    </w:p>
    <w:p w:rsidR="00D1590E" w:rsidRPr="00D1590E" w:rsidRDefault="00D1590E" w:rsidP="00D1590E">
      <w:pPr>
        <w:numPr>
          <w:ilvl w:val="0"/>
          <w:numId w:val="24"/>
        </w:numPr>
      </w:pPr>
      <w:r w:rsidRPr="00D1590E">
        <w:t>Advisian submitted that linear density will not account for differences in customer density because:</w:t>
      </w:r>
    </w:p>
    <w:p w:rsidR="00D1590E" w:rsidRPr="00D1590E" w:rsidRDefault="00D1590E" w:rsidP="00D1590E">
      <w:pPr>
        <w:pStyle w:val="AERbulletlistfirststyle"/>
      </w:pPr>
      <w:r w:rsidRPr="00D1590E">
        <w:t>spatial and linear density are not highly correlated</w:t>
      </w:r>
    </w:p>
    <w:p w:rsidR="00D1590E" w:rsidRPr="00D1590E" w:rsidRDefault="00D1590E" w:rsidP="00D1590E">
      <w:pPr>
        <w:pStyle w:val="AERbulletlistfirststyle"/>
      </w:pPr>
      <w:r w:rsidRPr="00D1590E">
        <w:t>more decentralised service functions are required to service a larger area and</w:t>
      </w:r>
    </w:p>
    <w:p w:rsidR="00D1590E" w:rsidRPr="00D1590E" w:rsidRDefault="00D1590E" w:rsidP="00D1590E">
      <w:pPr>
        <w:pStyle w:val="AERbulletlistfirststyle"/>
      </w:pPr>
      <w:r w:rsidRPr="00D1590E">
        <w:t>a study by London Economics and PowerNex found the effect of spatial density to be significant.</w:t>
      </w:r>
    </w:p>
    <w:p w:rsidR="00D1590E" w:rsidRPr="00D1590E" w:rsidRDefault="00D1590E" w:rsidP="00D1590E">
      <w:r w:rsidRPr="00D1590E">
        <w:t xml:space="preserve">We are not satisfied that linear density is insufficient to capture the effects of customer density. This is because opex will be driven by the length of line that must be maintained rather than the area that the service provider nominally covers. Using a measure of spatial density may cover nominally servicing areas in which a service provider has no assets or customers. An example of this, provided by Economic Insights, is the Northern Territory distributor: Power and Water Corporation. </w:t>
      </w:r>
      <w:r w:rsidRPr="00D1590E">
        <w:rPr>
          <w:rStyle w:val="FootnoteReference"/>
        </w:rPr>
        <w:footnoteReference w:id="579"/>
      </w:r>
      <w:r w:rsidRPr="00D1590E">
        <w:t xml:space="preserve"> Nominally, Power and Water Corporation's service area is all of the Northern Territory.</w:t>
      </w:r>
      <w:r w:rsidRPr="00D1590E">
        <w:rPr>
          <w:rStyle w:val="FootnoteReference"/>
        </w:rPr>
        <w:footnoteReference w:id="580"/>
      </w:r>
      <w:r w:rsidRPr="00D1590E">
        <w:t xml:space="preserve"> In reality, Power and Water Corporations electricity distribution network covers Darwin and Katherine (with a transmission line between the two) on its main network with smaller networks around the Territory serviced mostly by isolated, diesel generator–based systems.</w:t>
      </w:r>
      <w:r w:rsidRPr="00D1590E">
        <w:rPr>
          <w:rStyle w:val="FootnoteReference"/>
        </w:rPr>
        <w:footnoteReference w:id="581"/>
      </w:r>
      <w:r w:rsidRPr="00D1590E">
        <w:t xml:space="preserve"> Therefore measuring customer density using Power and Water Corporations nominal service area would provide a misleading picture of the customer density of Power and Water Corporation's network. </w:t>
      </w:r>
    </w:p>
    <w:p w:rsidR="00D1590E" w:rsidRPr="00D1590E" w:rsidRDefault="00D1590E" w:rsidP="00D1590E">
      <w:r w:rsidRPr="00D1590E">
        <w:t xml:space="preserve">This also applies to the consideration of Ergon Energy, Essential Energy, and SA Power Networks. Although Ergon Energy is nominally responsible for electricity </w:t>
      </w:r>
      <w:r w:rsidRPr="00D1590E">
        <w:lastRenderedPageBreak/>
        <w:t>distribution across all of Queensland (except South East Queensland), there are large parts of western Queensland where it has no assets. Similarly, there are parts of western NSW and the great dividing ranges that are nominally part of Essential's service area, but to which Essential provides no services. There are also large parts of northern South Australia where SA Power Networks has no assets.</w:t>
      </w:r>
    </w:p>
    <w:p w:rsidR="00D1590E" w:rsidRPr="00D1590E" w:rsidRDefault="00D1590E" w:rsidP="00D1590E">
      <w:r w:rsidRPr="00D1590E">
        <w:t>We are not satisfied that differences in intra-network density will materially affect Economic Insights' SFA benchmarking results. All service providers will have variations in density within their networks. To the extent that a network has a greater number of lines per customer than other services, this will be captured in customer density at the total level. Huegin has not provided sufficient evidence to demonstrate that intra</w:t>
      </w:r>
      <w:r w:rsidRPr="00D1590E">
        <w:noBreakHyphen/>
        <w:t>network variations will materially affect costs across service providers. Huegin's measure of population dispersion multiplies the number of dwellings in each location by the distance of that location from the state capital. This metric assumes it is necessary to supply each location directly from the state capital. However, each location is not supplied directly from the state capital. Therefore, Huegin's measure is likely to overstate the effect of population dispersion, particularly for larger states. This is because larger states will have more locations far from their state capital, regardless of their density.</w:t>
      </w:r>
    </w:p>
    <w:p w:rsidR="00D1590E" w:rsidRPr="00D1590E" w:rsidRDefault="00D1590E" w:rsidP="00D1590E">
      <w:r w:rsidRPr="00D1590E">
        <w:t xml:space="preserve">We are not satisfied that the variables in Economic Insights benchmarking SFA model are insufficient to account for differences in costs between meshed and radial network designs. Lower density areas will tend to be serviced by radial hub and spoke networks. Higher density areas will tend to be serviced by meshed networks. As Economic Insights SFA model accounts for linear density we consider that it does account for differences in radial and mesh network designs. </w:t>
      </w:r>
    </w:p>
    <w:p w:rsidR="00D1590E" w:rsidRPr="00D1590E" w:rsidRDefault="00D1590E" w:rsidP="00D1590E">
      <w:r w:rsidRPr="00D1590E">
        <w:t>We are also satisfied that Economic Insights' SFA model accounts for the decentralised costs associated with operating hub and spoke distribution networks. This is because a hub and spoke distribution network will have more circuit length per customer. Economic Insights' SFA model uses circuit length as an output variable. As the circuit length variable increases so does opex. The increase in the circuit length variable will therefore compensate service providers for the additional circuit length they must operate.</w:t>
      </w:r>
    </w:p>
    <w:p w:rsidR="00D1590E" w:rsidRPr="00D1590E" w:rsidRDefault="00D1590E" w:rsidP="00D1590E">
      <w:r w:rsidRPr="00D1590E">
        <w:t xml:space="preserve">We also consider that the study by London Economics and PowerNex Associates does not provide evidence that linear density does not capture the effects of spatial density. The study finds that linear density and customer density can both be used to explain the relationship between cost and customer density. However, the study does not conclude that one measure is better than the other for measuring the relationship between cost and density. We also consider that the results from the London Economics and PowerNex Associates models are not appropriate for estimating the magnitude of the effect of customer density on costs. This is due to the model specifications used and their results. The models use one output, customer numbers, and two density measures (customer density and energy density), which we consider </w:t>
      </w:r>
      <w:r w:rsidRPr="00D1590E">
        <w:lastRenderedPageBreak/>
        <w:t>are insufficient to properly capture the output dimensions. Evidence for this is that some of the estimated coefficients have the opposite sign as would be expected (energy density) or implausible values (customer numbers).</w:t>
      </w:r>
      <w:r w:rsidRPr="00D1590E">
        <w:rPr>
          <w:rStyle w:val="FootnoteReference"/>
        </w:rPr>
        <w:footnoteReference w:id="582"/>
      </w:r>
    </w:p>
    <w:p w:rsidR="00D1590E" w:rsidRPr="00D1590E" w:rsidRDefault="00D1590E" w:rsidP="00D1590E">
      <w:r w:rsidRPr="00D1590E">
        <w:t>In response to CEPA's observation that it found spatial density to be a significant explanatory variable, we consider that one should not include variables solely on the basis they appear to have statistically significant explanatory power. Including a variable without a sound economic basis behind it has the opportunity to produce misleading results. We are not satisfied that there is a sound intuition behind including a variable for spatial density. As discussed above including a variable for spatial density has the potential to forecast an increase in opex for servicing areas where service providers have no assets.</w:t>
      </w:r>
    </w:p>
    <w:p w:rsidR="00D1590E" w:rsidRPr="00D1590E" w:rsidRDefault="00D1590E" w:rsidP="00D1590E">
      <w:pPr>
        <w:pStyle w:val="HeadingBoldBlue"/>
        <w:numPr>
          <w:ilvl w:val="0"/>
          <w:numId w:val="24"/>
        </w:numPr>
      </w:pPr>
      <w:bookmarkStart w:id="325" w:name="_Toc417646305"/>
      <w:r w:rsidRPr="00D1590E">
        <w:t>Network length</w:t>
      </w:r>
      <w:bookmarkEnd w:id="325"/>
    </w:p>
    <w:p w:rsidR="00D1590E" w:rsidRPr="00D1590E" w:rsidRDefault="00D1590E" w:rsidP="00D1590E">
      <w:pPr>
        <w:numPr>
          <w:ilvl w:val="0"/>
          <w:numId w:val="24"/>
        </w:numPr>
      </w:pPr>
      <w:r w:rsidRPr="00D1590E">
        <w:t xml:space="preserve">We are not satisfied that an OEF adjustment to account for differences in network length would meet the duplication OEF adjustment criterion. To the extent that line length has an effect on costs, Economic Insights' SFA model accounts for that effect. Economic Insights' SFA model accounts for differences in line length as it includes circuit length as an output variable. </w:t>
      </w:r>
    </w:p>
    <w:p w:rsidR="00D1590E" w:rsidRPr="00D1590E" w:rsidRDefault="00D1590E" w:rsidP="00D1590E">
      <w:r w:rsidRPr="00D1590E">
        <w:t>Network length is the length of a service provider's network. It can be measured using route line length or circuit line length. Route line length is distance between service providers' poles. Circuit line length is the length of lines in service, where a double circuit line counts as twice the length. All else equal, the longer a service providers' network length is the more costs they will incur.</w:t>
      </w:r>
    </w:p>
    <w:p w:rsidR="00D1590E" w:rsidRPr="00D1590E" w:rsidRDefault="00D1590E" w:rsidP="00D1590E">
      <w:r w:rsidRPr="00D1590E">
        <w:t>Advisian considered that the results of Economic Insight's SFA model on line length are not intuitive.</w:t>
      </w:r>
      <w:r w:rsidRPr="00D1590E">
        <w:rPr>
          <w:rStyle w:val="FootnoteReference"/>
        </w:rPr>
        <w:t xml:space="preserve"> </w:t>
      </w:r>
      <w:r w:rsidRPr="00D1590E">
        <w:rPr>
          <w:rStyle w:val="FootnoteReference"/>
        </w:rPr>
        <w:footnoteReference w:id="583"/>
      </w:r>
      <w:r w:rsidRPr="00D1590E">
        <w:t xml:space="preserve"> The example that it gives is that all else being equal the Economic Insights SFA model assumes that Ausgrid requires 60 per cent of the opex per meter that CitiPower requires and Endeavour requires 44 per cent per meter. </w:t>
      </w:r>
    </w:p>
    <w:p w:rsidR="00D1590E" w:rsidRPr="00D1590E" w:rsidRDefault="00D1590E" w:rsidP="00D1590E">
      <w:r w:rsidRPr="00D1590E">
        <w:t xml:space="preserve">Line length is not the only output produced in providing electricity distribution services. The intuition behind the model is that if line length increases without customer numbers and demand increasing, the amount that a service provider will need to spend per meter of line will decrease. This makes sense because the service provider will not have to provide extra transformer capacity or customer service for the additional line length. This demonstrates that one would not expect there to be a one to one relationship between line length and cost, all else being equal. If there were a one to one relationship between cost and line length, then electricity distribution with multiple outputs would exhibit decreasing returns to scale when considering all inputs. </w:t>
      </w:r>
    </w:p>
    <w:p w:rsidR="00D1590E" w:rsidRPr="00D1590E" w:rsidRDefault="00D1590E" w:rsidP="00D1590E">
      <w:pPr>
        <w:pStyle w:val="ListParagraph"/>
        <w:numPr>
          <w:ilvl w:val="0"/>
          <w:numId w:val="24"/>
        </w:numPr>
      </w:pPr>
      <w:r w:rsidRPr="00D1590E">
        <w:lastRenderedPageBreak/>
        <w:t>Advisian also noted that the opex a service provider will incur per km of circuit will be affected by the number of poles it has.</w:t>
      </w:r>
      <w:r w:rsidRPr="00D1590E">
        <w:rPr>
          <w:rStyle w:val="FootnoteReference"/>
        </w:rPr>
        <w:footnoteReference w:id="584"/>
      </w:r>
      <w:r w:rsidRPr="00D1590E">
        <w:rPr>
          <w:rStyle w:val="FootnoteReference"/>
        </w:rPr>
        <w:t xml:space="preserve"> </w:t>
      </w:r>
      <w:r w:rsidRPr="00D1590E">
        <w:rPr>
          <w:rStyle w:val="FootnoteReference"/>
        </w:rPr>
        <w:footnoteReference w:id="585"/>
      </w:r>
      <w:r w:rsidRPr="00D1590E">
        <w:t xml:space="preserve"> Advisian noted that urban comparison firms have fewer poles per customer than their NSW or ACT counterparts. It also noted that Essential has more poles per customer than the rural comparison firms.</w:t>
      </w:r>
      <w:r w:rsidRPr="00D1590E">
        <w:rPr>
          <w:rStyle w:val="FootnoteReference"/>
        </w:rPr>
        <w:footnoteReference w:id="586"/>
      </w:r>
      <w:r w:rsidRPr="00D1590E">
        <w:t xml:space="preserve"> This would be expected. Essential has more lines per customer than the rural comparison firms so it would typically also have more poles. Similarly, one would expect that ActewAGL, Ausgrid and Endeavour to have more poles per customer than the urban comparison firms because they have more lines per customer. We do note however, that United Energy has a similar number of poles per customer as Ausgrid and ActewAGL despite having higher customer density. This is likely due to the fact that it has a lower level of undergrounding.</w:t>
      </w:r>
    </w:p>
    <w:p w:rsidR="00D1590E" w:rsidRPr="00D1590E" w:rsidRDefault="00D1590E" w:rsidP="00D1590E">
      <w:pPr>
        <w:pStyle w:val="ListParagraph"/>
        <w:numPr>
          <w:ilvl w:val="0"/>
          <w:numId w:val="24"/>
        </w:numPr>
      </w:pPr>
      <w:r w:rsidRPr="00D1590E">
        <w:t>Economic Insights' SFA model accounts for the number of poles per customer through customer density effects and the inclusion of a variable for undergrounding. We discuss the effects of customer density in detail in our customer circumstances section. Undergrounding was discussed in our draft decision.</w:t>
      </w:r>
    </w:p>
    <w:p w:rsidR="00D1590E" w:rsidRPr="00D1590E" w:rsidRDefault="00D1590E" w:rsidP="00D1590E">
      <w:pPr>
        <w:pStyle w:val="Heading9"/>
      </w:pPr>
      <w:bookmarkStart w:id="326" w:name="_Ref403635112"/>
      <w:bookmarkStart w:id="327" w:name="_Toc417646306"/>
      <w:bookmarkStart w:id="328" w:name="_Toc417649240"/>
      <w:bookmarkStart w:id="329" w:name="_Toc417659872"/>
      <w:r w:rsidRPr="00D1590E">
        <w:t>Endogenous factors</w:t>
      </w:r>
      <w:bookmarkEnd w:id="326"/>
      <w:bookmarkEnd w:id="327"/>
      <w:bookmarkEnd w:id="328"/>
      <w:bookmarkEnd w:id="329"/>
    </w:p>
    <w:p w:rsidR="00D1590E" w:rsidRPr="00D1590E" w:rsidRDefault="00D1590E" w:rsidP="00D1590E">
      <w:pPr>
        <w:pStyle w:val="HeadingBoldBlue"/>
        <w:numPr>
          <w:ilvl w:val="0"/>
          <w:numId w:val="24"/>
        </w:numPr>
      </w:pPr>
      <w:bookmarkStart w:id="330" w:name="_Toc417646307"/>
      <w:r w:rsidRPr="00D1590E">
        <w:t>Activity scheduling</w:t>
      </w:r>
      <w:bookmarkEnd w:id="330"/>
    </w:p>
    <w:p w:rsidR="00D1590E" w:rsidRPr="00D1590E" w:rsidRDefault="00D1590E" w:rsidP="00D1590E">
      <w:r w:rsidRPr="00D1590E">
        <w:t>We are not satisfied that an OEF adjustment for differences in activity scheduling would meet the exogeneity OEF adjustment criterion. How a service provider chooses to schedule its business processes is a management decision.</w:t>
      </w:r>
    </w:p>
    <w:p w:rsidR="00D1590E" w:rsidRPr="00D1590E" w:rsidRDefault="00D1590E" w:rsidP="00D1590E">
      <w:r w:rsidRPr="00D1590E">
        <w:t>Activity scheduling is the scheduling of routine network inspection and maintenance activities.</w:t>
      </w:r>
    </w:p>
    <w:p w:rsidR="00D1590E" w:rsidRPr="00D1590E" w:rsidRDefault="00D1590E" w:rsidP="00D1590E">
      <w:r w:rsidRPr="00D1590E">
        <w:t>Ergon Energy's consultant Huegin, submitted that activity scheduling will lead to cost differences across service providers.</w:t>
      </w:r>
      <w:r w:rsidRPr="00D1590E">
        <w:rPr>
          <w:rStyle w:val="FootnoteReference"/>
        </w:rPr>
        <w:footnoteReference w:id="587"/>
      </w:r>
      <w:r w:rsidRPr="00D1590E">
        <w:t xml:space="preserve"> Huegin stated that a high degree of maintenance costs for service providers are preventative activities such as inspections. The scheduling of inspections will determine the workload, and therefore costs of those preventative activities.</w:t>
      </w:r>
    </w:p>
    <w:p w:rsidR="00D1590E" w:rsidRPr="00D1590E" w:rsidRDefault="00D1590E" w:rsidP="00D1590E">
      <w:r w:rsidRPr="00D1590E">
        <w:t xml:space="preserve">How frequently a service provider chooses to inspect its assets is a management decision. We note that some environmental conditions may lead to more frequent asset inspections or maintenance. We have considered these environmental conditions as they have been raised by stakeholders. Examples of these include asset age and humidity. </w:t>
      </w:r>
    </w:p>
    <w:p w:rsidR="006139BC" w:rsidRDefault="006139BC">
      <w:pPr>
        <w:spacing w:line="240" w:lineRule="auto"/>
        <w:rPr>
          <w:rFonts w:eastAsiaTheme="majorEastAsia" w:cstheme="majorBidi"/>
          <w:b/>
          <w:bCs/>
          <w:color w:val="70635A" w:themeColor="text2"/>
          <w:sz w:val="28"/>
        </w:rPr>
      </w:pPr>
      <w:bookmarkStart w:id="331" w:name="_Toc417646308"/>
      <w:r>
        <w:br w:type="page"/>
      </w:r>
    </w:p>
    <w:p w:rsidR="00D1590E" w:rsidRPr="00D1590E" w:rsidRDefault="00D1590E" w:rsidP="00D1590E">
      <w:pPr>
        <w:pStyle w:val="HeadingBoldBlue"/>
        <w:numPr>
          <w:ilvl w:val="0"/>
          <w:numId w:val="24"/>
        </w:numPr>
      </w:pPr>
      <w:r w:rsidRPr="00D1590E">
        <w:lastRenderedPageBreak/>
        <w:t>Capitalisation practices</w:t>
      </w:r>
      <w:bookmarkEnd w:id="331"/>
    </w:p>
    <w:p w:rsidR="00D1590E" w:rsidRPr="00D1590E" w:rsidRDefault="00D1590E" w:rsidP="00D1590E">
      <w:pPr>
        <w:numPr>
          <w:ilvl w:val="0"/>
          <w:numId w:val="24"/>
        </w:numPr>
      </w:pPr>
      <w:r w:rsidRPr="00D1590E">
        <w:t>We are not satisfied that an OEF adjustment for differences in capitalisation policy between the NSW service providers and the comparison firms would meet the materiality OEF criterion. Differences in capitalisation policy will not lead to material differences in total opex between the NSW service providers and the comparison firms.</w:t>
      </w:r>
    </w:p>
    <w:p w:rsidR="00D1590E" w:rsidRPr="00D1590E" w:rsidRDefault="00D1590E" w:rsidP="00D1590E">
      <w:pPr>
        <w:numPr>
          <w:ilvl w:val="0"/>
          <w:numId w:val="24"/>
        </w:numPr>
      </w:pPr>
      <w:r w:rsidRPr="00D1590E">
        <w:t>For clarification, capitalisation practices include both service providers decision on the relative quantity of capital and operating costs and also the policies service providers use to classify costs as assets or expenses. Using different mixes of assets and expenses to provide will affect the operating expenditure a service provider incurs. Differences in the policies service providers use to classify costs as assets or expenses will affect the opex service providers record. Both of these have the potential to affect service providers' efficiency scores in Economic Insights SFA model. However, choices on capital inputs and accounting policies are management decisions so would not satisfy the exogeneity OEF criterion. Nonetheless, because these differences may lead to differences in costs unrelated to efficiency, we have treated this OEF as if it satisfies the exogeneity OEF criterion.</w:t>
      </w:r>
    </w:p>
    <w:p w:rsidR="00D1590E" w:rsidRPr="00D1590E" w:rsidRDefault="00D1590E" w:rsidP="00D1590E">
      <w:pPr>
        <w:numPr>
          <w:ilvl w:val="0"/>
          <w:numId w:val="24"/>
        </w:numPr>
      </w:pPr>
      <w:r w:rsidRPr="00D1590E">
        <w:t>In our draft decision, we did not provide an OEF adjustment for capitalisation practices. We considered the effect of capitalisation practices on the service providers. With the exception of ActewAGL who appeared to be an outlier, we were satisfied no adjustment was necessary. This is because the NSW service providers' capex opex ratios were within a similar range of to the comparison firms' ratios. In coming to this conclusion we considered the effects that Australian accounting standards, utilisation of capital, the relative efficiency of service providers' capex and opex programs, and the position of service providers in their asset replacement cycles would have on capitalisation practices.</w:t>
      </w:r>
      <w:r w:rsidRPr="00D1590E">
        <w:rPr>
          <w:rStyle w:val="FootnoteReference"/>
        </w:rPr>
        <w:footnoteReference w:id="588"/>
      </w:r>
    </w:p>
    <w:p w:rsidR="00D1590E" w:rsidRPr="00D1590E" w:rsidRDefault="00D1590E" w:rsidP="00D1590E">
      <w:r w:rsidRPr="00D1590E">
        <w:t>Since our draft decision, ActewAGL,</w:t>
      </w:r>
      <w:r w:rsidRPr="00D1590E">
        <w:rPr>
          <w:rStyle w:val="FootnoteReference"/>
        </w:rPr>
        <w:footnoteReference w:id="589"/>
      </w:r>
      <w:r w:rsidRPr="00D1590E">
        <w:t xml:space="preserve"> Advisian,</w:t>
      </w:r>
      <w:r w:rsidRPr="00D1590E">
        <w:rPr>
          <w:rStyle w:val="FootnoteReference"/>
        </w:rPr>
        <w:footnoteReference w:id="590"/>
      </w:r>
      <w:r w:rsidRPr="00D1590E">
        <w:t xml:space="preserve"> CEPA,</w:t>
      </w:r>
      <w:r w:rsidRPr="00D1590E">
        <w:rPr>
          <w:rStyle w:val="FootnoteReference"/>
        </w:rPr>
        <w:footnoteReference w:id="591"/>
      </w:r>
      <w:r w:rsidRPr="00D1590E">
        <w:t xml:space="preserve"> the Consumer Challenge Panel,</w:t>
      </w:r>
      <w:r w:rsidRPr="00D1590E">
        <w:rPr>
          <w:rStyle w:val="FootnoteReference"/>
        </w:rPr>
        <w:footnoteReference w:id="592"/>
      </w:r>
      <w:r w:rsidRPr="00D1590E">
        <w:t xml:space="preserve"> Frontier,</w:t>
      </w:r>
      <w:r w:rsidRPr="00D1590E">
        <w:rPr>
          <w:rStyle w:val="FootnoteReference"/>
        </w:rPr>
        <w:footnoteReference w:id="593"/>
      </w:r>
      <w:r w:rsidRPr="00D1590E">
        <w:t xml:space="preserve"> SAPN,</w:t>
      </w:r>
      <w:r w:rsidRPr="00D1590E">
        <w:rPr>
          <w:rStyle w:val="FootnoteReference"/>
        </w:rPr>
        <w:footnoteReference w:id="594"/>
      </w:r>
      <w:r w:rsidRPr="00D1590E">
        <w:t xml:space="preserve"> and the NSW Service Providers</w:t>
      </w:r>
      <w:r w:rsidRPr="00D1590E">
        <w:rPr>
          <w:rStyle w:val="FootnoteReference"/>
        </w:rPr>
        <w:footnoteReference w:id="595"/>
      </w:r>
      <w:r w:rsidRPr="00D1590E">
        <w:t xml:space="preserve"> </w:t>
      </w:r>
      <w:r w:rsidRPr="00D1590E">
        <w:rPr>
          <w:rStyle w:val="FootnoteReference"/>
        </w:rPr>
        <w:footnoteReference w:id="596"/>
      </w:r>
      <w:r w:rsidRPr="00D1590E">
        <w:rPr>
          <w:rStyle w:val="FootnoteReference"/>
        </w:rPr>
        <w:footnoteReference w:id="597"/>
      </w:r>
      <w:r w:rsidRPr="00D1590E">
        <w:t xml:space="preserve"> have all raised the issue of the effect of capitalisation practices on benchmarking.</w:t>
      </w:r>
    </w:p>
    <w:p w:rsidR="00D1590E" w:rsidRPr="00D1590E" w:rsidRDefault="00D1590E" w:rsidP="00D1590E">
      <w:r w:rsidRPr="00D1590E">
        <w:t xml:space="preserve">ActewAGL CEPA, and SA Power Networks specifically noted that differences in the allocation of overheads will affect Economic Insights' benchmarking results. Advisian </w:t>
      </w:r>
      <w:r w:rsidRPr="00D1590E">
        <w:lastRenderedPageBreak/>
        <w:t>considered that the AER should adjust the comparison firms for their capitalisation practices. The Consumer Challenge Panel considers that NSW and Queensland service providers' access to low cost debt funding would make the AER's approach to capitalisation overly generous. Frontier noted that differences in accounting approaches and capital utilisation would affect Economic Insights' benchmarking results. The NSW and service providers stated that the AER had not analysed the effects of capitalisation policies.</w:t>
      </w:r>
    </w:p>
    <w:p w:rsidR="00D1590E" w:rsidRPr="00D1590E" w:rsidRDefault="00D1590E" w:rsidP="00D1590E">
      <w:r w:rsidRPr="00D1590E">
        <w:t>After considering all of these submissions, we are satisfied that our initial position remains the best approach. We agree with Frontier Economics that differences in accounting practices and capital utilisation will affect service providers' capitalisation rates. We also consider that the relative efficiency of service providers' opex and capex programs and their position in their asset replacement cycle will affect service providers' capitalisation rates. Some of these factors are related to service providers' efficiency and some are the result of other things, such as accounting decisions. As a result we will only provide a material OEF adjustment to service provider's benchmarking results where their opex as a percentage of total capital and operating expenditure (totex) is not broadly consistent with its peers'. We also note that the results of Economic Insights MTFP benchmarking are broadly consistent with the results of its parametric benchmarking. MTFP estimates productivity across both capex and opex. Similar results on opex benchmarking and MTFP indicate the opex benchmarking results are not heavily influenced by capitalisation practices.</w:t>
      </w:r>
    </w:p>
    <w:p w:rsidR="00D1590E" w:rsidRPr="00D1590E" w:rsidRDefault="00D1590E" w:rsidP="00D1590E">
      <w:r w:rsidRPr="00D1590E">
        <w:t xml:space="preserve">We are not satisfied that it is necessary to make adjustments to all of the service providers in the sample to adjust for differences in the reported allocation of overheads to opex and capex. The method in which service providers allocate direct costs between capex is also likely to affect capitalisation rates. As a result rather than focusing on indirect costs it is better to compare the ratio of total opex to total capex. This measure will take into account the allocation of overheads between opex and capex, but also other factors such as opex capex trade-offs. </w:t>
      </w:r>
    </w:p>
    <w:p w:rsidR="00D1590E" w:rsidRPr="00D1590E" w:rsidRDefault="00D1590E" w:rsidP="00D1590E">
      <w:r w:rsidRPr="00D1590E">
        <w:fldChar w:fldCharType="begin"/>
      </w:r>
      <w:r w:rsidRPr="00D1590E">
        <w:instrText xml:space="preserve"> REF _Ref417642694 \h </w:instrText>
      </w:r>
      <w:r w:rsidRPr="00D1590E">
        <w:fldChar w:fldCharType="separate"/>
      </w:r>
      <w:r w:rsidR="00C57342" w:rsidRPr="00D1590E">
        <w:t xml:space="preserve">Figure </w:t>
      </w:r>
      <w:r w:rsidR="00C57342">
        <w:rPr>
          <w:noProof/>
        </w:rPr>
        <w:t>A</w:t>
      </w:r>
      <w:r w:rsidR="00C57342" w:rsidRPr="00D1590E">
        <w:t>.</w:t>
      </w:r>
      <w:r w:rsidR="00C57342">
        <w:rPr>
          <w:noProof/>
        </w:rPr>
        <w:t>11</w:t>
      </w:r>
      <w:r w:rsidRPr="00D1590E">
        <w:fldChar w:fldCharType="end"/>
      </w:r>
      <w:r w:rsidRPr="00D1590E">
        <w:t xml:space="preserve"> below shows that opex made up between 30 to 45 per cent of totex for most NEM service providers in the benchmarking period, with the NSW service providers expensing less of their costs than the comparison firms. </w:t>
      </w:r>
    </w:p>
    <w:p w:rsidR="00D1590E" w:rsidRPr="00D1590E" w:rsidRDefault="00D1590E" w:rsidP="00D1590E">
      <w:pPr>
        <w:pStyle w:val="Caption"/>
      </w:pPr>
      <w:bookmarkStart w:id="332" w:name="_Ref417642694"/>
      <w:r w:rsidRPr="00D1590E">
        <w:lastRenderedPageBreak/>
        <w:t xml:space="preserve">Figure </w:t>
      </w:r>
      <w:fldSimple w:instr=" STYLEREF 7 \s ">
        <w:r w:rsidR="00C57342">
          <w:rPr>
            <w:noProof/>
          </w:rPr>
          <w:t>A</w:t>
        </w:r>
      </w:fldSimple>
      <w:r w:rsidRPr="00D1590E">
        <w:t>.</w:t>
      </w:r>
      <w:fldSimple w:instr=" SEQ AFigure \* ARABIC \s 7 ">
        <w:r w:rsidR="00C57342">
          <w:rPr>
            <w:noProof/>
          </w:rPr>
          <w:t>11</w:t>
        </w:r>
      </w:fldSimple>
      <w:bookmarkEnd w:id="332"/>
      <w:r w:rsidRPr="00D1590E">
        <w:tab/>
      </w:r>
      <w:r w:rsidRPr="00D1590E">
        <w:tab/>
        <w:t>Average opex as a percentage of totex, 2006 to 2013</w:t>
      </w:r>
    </w:p>
    <w:p w:rsidR="00D1590E" w:rsidRPr="00D1590E" w:rsidRDefault="00D1590E" w:rsidP="00D1590E">
      <w:pPr>
        <w:numPr>
          <w:ilvl w:val="0"/>
          <w:numId w:val="24"/>
        </w:numPr>
      </w:pPr>
      <w:r w:rsidRPr="00D1590E">
        <w:rPr>
          <w:noProof/>
          <w:lang w:eastAsia="en-AU"/>
        </w:rPr>
        <w:drawing>
          <wp:inline distT="0" distB="0" distL="0" distR="0" wp14:anchorId="5B1245AB" wp14:editId="67079EBD">
            <wp:extent cx="5324866" cy="3110948"/>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4833" cy="3110929"/>
                    </a:xfrm>
                    <a:prstGeom prst="rect">
                      <a:avLst/>
                    </a:prstGeom>
                    <a:noFill/>
                    <a:ln>
                      <a:noFill/>
                    </a:ln>
                  </pic:spPr>
                </pic:pic>
              </a:graphicData>
            </a:graphic>
          </wp:inline>
        </w:drawing>
      </w:r>
    </w:p>
    <w:p w:rsidR="00D1590E" w:rsidRPr="00D1590E" w:rsidRDefault="00D1590E" w:rsidP="00D1590E">
      <w:pPr>
        <w:pStyle w:val="AERtablesource"/>
      </w:pPr>
      <w:r w:rsidRPr="00D1590E">
        <w:t xml:space="preserve">Source: </w:t>
      </w:r>
      <w:r w:rsidRPr="00D1590E">
        <w:tab/>
        <w:t>Economic benchmarking RIN</w:t>
      </w:r>
    </w:p>
    <w:p w:rsidR="00D1590E" w:rsidRPr="00D1590E" w:rsidRDefault="00D1590E" w:rsidP="00D1590E">
      <w:r w:rsidRPr="00D1590E">
        <w:fldChar w:fldCharType="begin"/>
      </w:r>
      <w:r w:rsidRPr="00D1590E">
        <w:instrText xml:space="preserve"> REF _Ref417642488 \h </w:instrText>
      </w:r>
      <w:r w:rsidRPr="00D1590E">
        <w:fldChar w:fldCharType="separate"/>
      </w:r>
      <w:r w:rsidR="00C57342" w:rsidRPr="00D1590E">
        <w:t xml:space="preserve">Figure </w:t>
      </w:r>
      <w:r w:rsidR="00C57342">
        <w:rPr>
          <w:noProof/>
        </w:rPr>
        <w:t>A</w:t>
      </w:r>
      <w:r w:rsidR="00C57342" w:rsidRPr="00D1590E">
        <w:t>.</w:t>
      </w:r>
      <w:r w:rsidR="00C57342">
        <w:rPr>
          <w:noProof/>
        </w:rPr>
        <w:t>12</w:t>
      </w:r>
      <w:r w:rsidRPr="00D1590E">
        <w:fldChar w:fldCharType="end"/>
      </w:r>
      <w:r w:rsidRPr="00D1590E">
        <w:t xml:space="preserve"> below shows opex as a percentage of totex in the forecast period for the ACT, NSW, and Queensland service providers. </w:t>
      </w:r>
      <w:r w:rsidRPr="00D1590E">
        <w:fldChar w:fldCharType="begin"/>
      </w:r>
      <w:r w:rsidRPr="00D1590E">
        <w:instrText xml:space="preserve"> REF _Ref417642488 \h </w:instrText>
      </w:r>
      <w:r w:rsidRPr="00D1590E">
        <w:fldChar w:fldCharType="separate"/>
      </w:r>
      <w:r w:rsidR="00C57342" w:rsidRPr="00D1590E">
        <w:t xml:space="preserve">Figure </w:t>
      </w:r>
      <w:r w:rsidR="00C57342">
        <w:rPr>
          <w:noProof/>
        </w:rPr>
        <w:t>A</w:t>
      </w:r>
      <w:r w:rsidR="00C57342" w:rsidRPr="00D1590E">
        <w:t>.</w:t>
      </w:r>
      <w:r w:rsidR="00C57342">
        <w:rPr>
          <w:noProof/>
        </w:rPr>
        <w:t>12</w:t>
      </w:r>
      <w:r w:rsidRPr="00D1590E">
        <w:fldChar w:fldCharType="end"/>
      </w:r>
      <w:r w:rsidRPr="00D1590E">
        <w:t xml:space="preserve"> also shows opex as a percentage of totex for all other service providers during the benchmarking period. We note that the forecast of Endeavour's opex as a percentage of totex (43.3 per cent) is similar to the customer weighted average for the comparison firms (42.5 per cent). Opex as a percentage of totex for Ausgrid (38.6 per cent) and Essential (40.2 per cent) is slightly lower than the customer weighted average for the comparison firms.</w:t>
      </w:r>
    </w:p>
    <w:p w:rsidR="00D1590E" w:rsidRPr="00D1590E" w:rsidRDefault="00D1590E" w:rsidP="00D1590E">
      <w:pPr>
        <w:pStyle w:val="Caption"/>
      </w:pPr>
      <w:bookmarkStart w:id="333" w:name="_Ref417642488"/>
      <w:r w:rsidRPr="00D1590E">
        <w:lastRenderedPageBreak/>
        <w:t xml:space="preserve">Figure </w:t>
      </w:r>
      <w:fldSimple w:instr=" STYLEREF 7 \s ">
        <w:r w:rsidR="00C57342">
          <w:rPr>
            <w:noProof/>
          </w:rPr>
          <w:t>A</w:t>
        </w:r>
      </w:fldSimple>
      <w:r w:rsidRPr="00D1590E">
        <w:t>.</w:t>
      </w:r>
      <w:fldSimple w:instr=" SEQ AFigure \* ARABIC \s 7 ">
        <w:r w:rsidR="00C57342">
          <w:rPr>
            <w:noProof/>
          </w:rPr>
          <w:t>12</w:t>
        </w:r>
      </w:fldSimple>
      <w:bookmarkEnd w:id="333"/>
      <w:r w:rsidRPr="00D1590E">
        <w:tab/>
      </w:r>
      <w:r w:rsidRPr="00D1590E">
        <w:tab/>
        <w:t>Forecast opex as a percentage of totex for ACT, NSW and Queensland service providers (2014-19 and 2015-20), and average actual opex as a percentage of totex for other service providers (2006 to 2013).</w:t>
      </w:r>
    </w:p>
    <w:p w:rsidR="00D1590E" w:rsidRPr="00D1590E" w:rsidRDefault="00D1590E" w:rsidP="00D1590E">
      <w:r w:rsidRPr="00D1590E">
        <w:rPr>
          <w:noProof/>
          <w:lang w:eastAsia="en-AU"/>
        </w:rPr>
        <w:drawing>
          <wp:inline distT="0" distB="0" distL="0" distR="0" wp14:anchorId="2A61AEE6" wp14:editId="007F7929">
            <wp:extent cx="5382895" cy="307178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895" cy="3071788"/>
                    </a:xfrm>
                    <a:prstGeom prst="rect">
                      <a:avLst/>
                    </a:prstGeom>
                    <a:noFill/>
                    <a:ln>
                      <a:noFill/>
                    </a:ln>
                  </pic:spPr>
                </pic:pic>
              </a:graphicData>
            </a:graphic>
          </wp:inline>
        </w:drawing>
      </w:r>
    </w:p>
    <w:p w:rsidR="00D1590E" w:rsidRPr="00D1590E" w:rsidRDefault="00D1590E" w:rsidP="00D1590E">
      <w:pPr>
        <w:pStyle w:val="AERtablesource"/>
      </w:pPr>
      <w:r w:rsidRPr="00D1590E">
        <w:t xml:space="preserve">Source: </w:t>
      </w:r>
      <w:r w:rsidRPr="00D1590E">
        <w:tab/>
        <w:t>Economic Benchmarking RIN responses 2006 to 2013; AER Analysis</w:t>
      </w:r>
    </w:p>
    <w:p w:rsidR="00D1590E" w:rsidRPr="00D1590E" w:rsidRDefault="00D1590E" w:rsidP="00D1590E">
      <w:pPr>
        <w:pStyle w:val="AERtablesource"/>
      </w:pPr>
      <w:r w:rsidRPr="00D1590E">
        <w:t xml:space="preserve">Note: </w:t>
      </w:r>
      <w:r w:rsidRPr="00D1590E">
        <w:tab/>
        <w:t>Opex as a percentage of totex is based on standard control services costs for the forecast expenditures. It is based on network services for the historical expenditures. This is because we do not forecasts capex for network services. We forecast capex for standard control services only.</w:t>
      </w:r>
    </w:p>
    <w:p w:rsidR="00D1590E" w:rsidRPr="00D1590E" w:rsidRDefault="00D1590E" w:rsidP="00D1590E">
      <w:r w:rsidRPr="00D1590E">
        <w:fldChar w:fldCharType="begin"/>
      </w:r>
      <w:r w:rsidRPr="00D1590E">
        <w:instrText xml:space="preserve"> REF _Ref417642694 \h </w:instrText>
      </w:r>
      <w:r w:rsidRPr="00D1590E">
        <w:fldChar w:fldCharType="separate"/>
      </w:r>
      <w:r w:rsidR="00C57342" w:rsidRPr="00D1590E">
        <w:t xml:space="preserve">Figure </w:t>
      </w:r>
      <w:r w:rsidR="00C57342">
        <w:rPr>
          <w:noProof/>
        </w:rPr>
        <w:t>A</w:t>
      </w:r>
      <w:r w:rsidR="00C57342" w:rsidRPr="00D1590E">
        <w:t>.</w:t>
      </w:r>
      <w:r w:rsidR="00C57342">
        <w:rPr>
          <w:noProof/>
        </w:rPr>
        <w:t>11</w:t>
      </w:r>
      <w:r w:rsidRPr="00D1590E">
        <w:fldChar w:fldCharType="end"/>
      </w:r>
      <w:r w:rsidRPr="00D1590E">
        <w:t xml:space="preserve"> and </w:t>
      </w:r>
      <w:r w:rsidRPr="00D1590E">
        <w:fldChar w:fldCharType="begin"/>
      </w:r>
      <w:r w:rsidRPr="00D1590E">
        <w:instrText xml:space="preserve"> REF _Ref417642488 \h </w:instrText>
      </w:r>
      <w:r w:rsidRPr="00D1590E">
        <w:fldChar w:fldCharType="separate"/>
      </w:r>
      <w:r w:rsidR="00C57342" w:rsidRPr="00D1590E">
        <w:t xml:space="preserve">Figure </w:t>
      </w:r>
      <w:r w:rsidR="00C57342">
        <w:rPr>
          <w:noProof/>
        </w:rPr>
        <w:t>A</w:t>
      </w:r>
      <w:r w:rsidR="00C57342" w:rsidRPr="00D1590E">
        <w:t>.</w:t>
      </w:r>
      <w:r w:rsidR="00C57342">
        <w:rPr>
          <w:noProof/>
        </w:rPr>
        <w:t>12</w:t>
      </w:r>
      <w:r w:rsidRPr="00D1590E">
        <w:fldChar w:fldCharType="end"/>
      </w:r>
      <w:r w:rsidRPr="00D1590E">
        <w:t xml:space="preserve"> show that in the benchmarking period and the forecast period the NSW service providers have similar opex to capex ratios as the customer weighted average of the comparison firms. As a result we consider that differences in capitalisation practices are not likely to lead to material differences in opex between the NSW service providers and the comparison firms.</w:t>
      </w:r>
    </w:p>
    <w:p w:rsidR="00D1590E" w:rsidRPr="00D1590E" w:rsidRDefault="00D1590E" w:rsidP="00D1590E">
      <w:r w:rsidRPr="00D1590E">
        <w:t>Although we consider that differences in capitalisation practices will not to lead to material differences in opex between the NSW service providers and the comparison firms, we have included it in our adjustment for immaterial factors. Economic Insights' SFA model does not include a variable that directly accounts for differences capitalisation practices. Also as discussed above, differences in capitalisation practices may lead to differences in opex that are not related to efficiency and are not accounted for in Economic Insights' SFA model.</w:t>
      </w:r>
    </w:p>
    <w:p w:rsidR="00D1590E" w:rsidRPr="00D1590E" w:rsidRDefault="00D1590E" w:rsidP="00D1590E">
      <w:r w:rsidRPr="00D1590E">
        <w:t xml:space="preserve">Ausgrid and Essential are likely to have a cost advantage as they tend to expense fewer costs than the comparison firms </w:t>
      </w:r>
      <w:r w:rsidRPr="00D1590E">
        <w:fldChar w:fldCharType="begin"/>
      </w:r>
      <w:r w:rsidRPr="00D1590E">
        <w:instrText xml:space="preserve"> REF _Ref417642694 \h </w:instrText>
      </w:r>
      <w:r w:rsidRPr="00D1590E">
        <w:fldChar w:fldCharType="separate"/>
      </w:r>
      <w:r w:rsidR="00C57342" w:rsidRPr="00D1590E">
        <w:t xml:space="preserve">Figure </w:t>
      </w:r>
      <w:r w:rsidR="00C57342">
        <w:rPr>
          <w:noProof/>
        </w:rPr>
        <w:t>A</w:t>
      </w:r>
      <w:r w:rsidR="00C57342" w:rsidRPr="00D1590E">
        <w:t>.</w:t>
      </w:r>
      <w:r w:rsidR="00C57342">
        <w:rPr>
          <w:noProof/>
        </w:rPr>
        <w:t>11</w:t>
      </w:r>
      <w:r w:rsidRPr="00D1590E">
        <w:fldChar w:fldCharType="end"/>
      </w:r>
      <w:r w:rsidRPr="00D1590E">
        <w:t xml:space="preserve"> and </w:t>
      </w:r>
      <w:r w:rsidRPr="00D1590E">
        <w:fldChar w:fldCharType="begin"/>
      </w:r>
      <w:r w:rsidRPr="00D1590E">
        <w:instrText xml:space="preserve"> REF _Ref417642488 \h </w:instrText>
      </w:r>
      <w:r w:rsidRPr="00D1590E">
        <w:fldChar w:fldCharType="separate"/>
      </w:r>
      <w:r w:rsidR="00C57342" w:rsidRPr="00D1590E">
        <w:t xml:space="preserve">Figure </w:t>
      </w:r>
      <w:r w:rsidR="00C57342">
        <w:rPr>
          <w:noProof/>
        </w:rPr>
        <w:t>A</w:t>
      </w:r>
      <w:r w:rsidR="00C57342" w:rsidRPr="00D1590E">
        <w:t>.</w:t>
      </w:r>
      <w:r w:rsidR="00C57342">
        <w:rPr>
          <w:noProof/>
        </w:rPr>
        <w:t>12</w:t>
      </w:r>
      <w:r w:rsidRPr="00D1590E">
        <w:fldChar w:fldCharType="end"/>
      </w:r>
      <w:r w:rsidRPr="00D1590E">
        <w:t xml:space="preserve"> above show classify less of their costs as opex than the comparison firms. As a result, capitalisation practices contribute negative 0.5 per cent to the adjustment for immaterial OEFs for Ausgrid and Essential. Conversely, we have provided a positive 0.5 per cent adjustment for Endeavour. This is because although </w:t>
      </w:r>
      <w:r w:rsidRPr="00D1590E">
        <w:fldChar w:fldCharType="begin"/>
      </w:r>
      <w:r w:rsidRPr="00D1590E">
        <w:instrText xml:space="preserve"> REF _Ref417642694 \h </w:instrText>
      </w:r>
      <w:r w:rsidRPr="00D1590E">
        <w:fldChar w:fldCharType="separate"/>
      </w:r>
      <w:r w:rsidR="00C57342" w:rsidRPr="00D1590E">
        <w:t xml:space="preserve">Figure </w:t>
      </w:r>
      <w:r w:rsidR="00C57342">
        <w:rPr>
          <w:noProof/>
        </w:rPr>
        <w:t>A</w:t>
      </w:r>
      <w:r w:rsidR="00C57342" w:rsidRPr="00D1590E">
        <w:t>.</w:t>
      </w:r>
      <w:r w:rsidR="00C57342">
        <w:rPr>
          <w:noProof/>
        </w:rPr>
        <w:t>11</w:t>
      </w:r>
      <w:r w:rsidRPr="00D1590E">
        <w:fldChar w:fldCharType="end"/>
      </w:r>
      <w:r w:rsidRPr="00D1590E">
        <w:t xml:space="preserve"> shows that in the past it expensed less of its costs than the comparison firms, </w:t>
      </w:r>
      <w:r w:rsidRPr="00D1590E">
        <w:fldChar w:fldCharType="begin"/>
      </w:r>
      <w:r w:rsidRPr="00D1590E">
        <w:instrText xml:space="preserve"> REF _Ref417642488 \h </w:instrText>
      </w:r>
      <w:r w:rsidRPr="00D1590E">
        <w:fldChar w:fldCharType="separate"/>
      </w:r>
      <w:r w:rsidR="00C57342" w:rsidRPr="00D1590E">
        <w:t xml:space="preserve">Figure </w:t>
      </w:r>
      <w:r w:rsidR="00C57342">
        <w:rPr>
          <w:noProof/>
        </w:rPr>
        <w:t>A</w:t>
      </w:r>
      <w:r w:rsidR="00C57342" w:rsidRPr="00D1590E">
        <w:t>.</w:t>
      </w:r>
      <w:r w:rsidR="00C57342">
        <w:rPr>
          <w:noProof/>
        </w:rPr>
        <w:t>12</w:t>
      </w:r>
      <w:r w:rsidRPr="00D1590E">
        <w:fldChar w:fldCharType="end"/>
      </w:r>
      <w:r w:rsidRPr="00D1590E">
        <w:t xml:space="preserve"> shows that in the </w:t>
      </w:r>
      <w:r w:rsidRPr="00D1590E">
        <w:lastRenderedPageBreak/>
        <w:t>future it will expense more of its costs. As a result we consider that Endeavour's capitalisation practices may provide it a slight cost disadvantage on opex benchmarking.</w:t>
      </w:r>
    </w:p>
    <w:p w:rsidR="00D1590E" w:rsidRPr="00D1590E" w:rsidRDefault="00D1590E" w:rsidP="00D1590E">
      <w:pPr>
        <w:pStyle w:val="HeadingBoldBlue"/>
      </w:pPr>
      <w:bookmarkStart w:id="334" w:name="_Toc417646309"/>
      <w:r w:rsidRPr="00D1590E">
        <w:t>Communication networks</w:t>
      </w:r>
      <w:bookmarkEnd w:id="334"/>
    </w:p>
    <w:p w:rsidR="00D1590E" w:rsidRPr="00D1590E" w:rsidRDefault="00D1590E" w:rsidP="00D1590E">
      <w:pPr>
        <w:rPr>
          <w:rStyle w:val="AERbody"/>
        </w:rPr>
      </w:pPr>
      <w:r w:rsidRPr="00D1590E">
        <w:rPr>
          <w:rStyle w:val="AERbody"/>
        </w:rPr>
        <w:t>We are not satisfied that an OEF for the availability of commercially available communication networks would meet our materiality or duplication OEF adjustment criteria. To the extent that service providers in low customer density areas may have to use alternative solutions where there is no mobile telephone coverage, this will be correlated with customer density. Also, three of the five comparison firms also face similar challenges in providing network services.</w:t>
      </w:r>
    </w:p>
    <w:p w:rsidR="00D1590E" w:rsidRPr="00D1590E" w:rsidRDefault="00D1590E" w:rsidP="00D1590E">
      <w:pPr>
        <w:rPr>
          <w:rStyle w:val="AERbody"/>
        </w:rPr>
      </w:pPr>
      <w:r w:rsidRPr="00D1590E">
        <w:rPr>
          <w:rStyle w:val="AERbody"/>
        </w:rPr>
        <w:t>In support of Essential Energy's revised proposal, Essential Energy's COO, Mr. Humphreys, submitted that Essential Energy is unique in terms of the need to provide a two way radio network across 95 per cent of NSW.</w:t>
      </w:r>
      <w:r w:rsidRPr="00D1590E">
        <w:rPr>
          <w:rStyle w:val="FootnoteReference"/>
        </w:rPr>
        <w:footnoteReference w:id="598"/>
      </w:r>
      <w:r w:rsidRPr="00D1590E">
        <w:rPr>
          <w:rStyle w:val="AERbody"/>
        </w:rPr>
        <w:t xml:space="preserve"> Mr Humphreys also submitted that there is no commercial service available that provides state wide coverage with required reliability at an economic cost.</w:t>
      </w:r>
    </w:p>
    <w:p w:rsidR="00D1590E" w:rsidRPr="00D1590E" w:rsidRDefault="00D1590E" w:rsidP="00D1590E">
      <w:pPr>
        <w:rPr>
          <w:rStyle w:val="AERbody"/>
        </w:rPr>
      </w:pPr>
      <w:r w:rsidRPr="00D1590E">
        <w:rPr>
          <w:rStyle w:val="AERbody"/>
        </w:rPr>
        <w:t>The need for two way communication in areas where there are limited commercial alternatives will be correlated with customer density. This is because the fewer customers there are in a service area, the less likely it is to be covered by a commercial communications network. As Economic Insights' SFA model accounts for customer density, as discussed above, we are not satisfied that it does not appropriately account for the availability of commercial communications networks.</w:t>
      </w:r>
    </w:p>
    <w:p w:rsidR="00D1590E" w:rsidRPr="00D1590E" w:rsidRDefault="00D1590E" w:rsidP="00D1590E">
      <w:pPr>
        <w:rPr>
          <w:rStyle w:val="AERbody"/>
        </w:rPr>
      </w:pPr>
      <w:r w:rsidRPr="00D1590E">
        <w:rPr>
          <w:rStyle w:val="AERbody"/>
        </w:rPr>
        <w:t>Also an adjustment for differences in communication networks is not likely to meet the materiality OEF adjustment criterion. The necessity to provide an extensive two way communication system between control room and field staff, where there are limited commercial options, is not unique to Essential Energy. Other rural service providers, including the comparison firms AusNet Services, Powercor, and SA Power Networks face similar challenges providing a reliable communication system. There are areas in all three of those service providers' network areas that do not have mobile telephone coverage.</w:t>
      </w:r>
      <w:r w:rsidRPr="00D1590E">
        <w:rPr>
          <w:rStyle w:val="FootnoteReference"/>
        </w:rPr>
        <w:footnoteReference w:id="599"/>
      </w:r>
    </w:p>
    <w:p w:rsidR="00D1590E" w:rsidRPr="00D1590E" w:rsidRDefault="00D1590E" w:rsidP="00D1590E">
      <w:pPr>
        <w:pStyle w:val="HeadingBoldBlue"/>
      </w:pPr>
      <w:bookmarkStart w:id="335" w:name="_Toc417646310"/>
      <w:r w:rsidRPr="00D1590E">
        <w:t>Contaminated land management</w:t>
      </w:r>
      <w:bookmarkEnd w:id="335"/>
    </w:p>
    <w:p w:rsidR="00D1590E" w:rsidRPr="00D1590E" w:rsidRDefault="00D1590E" w:rsidP="00D1590E">
      <w:r w:rsidRPr="00D1590E">
        <w:t>We are not satisfied that an OEF adjustment for contaminated land management would meet the exogeneity or materiality OEF criteria. To the extent that electricity distribution assets have the potential to contaminate land, all service providers must manage this risk. The cost consequences of not managing this risk prudently in the past should not be visited on consumers.</w:t>
      </w:r>
    </w:p>
    <w:p w:rsidR="00D1590E" w:rsidRPr="00D1590E" w:rsidRDefault="00D1590E" w:rsidP="00D1590E">
      <w:r w:rsidRPr="00D1590E">
        <w:lastRenderedPageBreak/>
        <w:t>We are not satisfied that an OEF adjustment for contaminated land management would meet the materiality OEF adjustment criterion. All NEM service providers have obligations to prevent land contamination due to the operations of their networks. Where environmental regulations were not as stringent in the past due to a lack of knowledge industry wide, this is a problem that would have affected all service providers. Therefore if this were the case, all service providers would face similar problems with contaminated land.</w:t>
      </w:r>
    </w:p>
    <w:p w:rsidR="00D1590E" w:rsidRPr="00D1590E" w:rsidRDefault="00D1590E" w:rsidP="00D1590E">
      <w:r w:rsidRPr="00D1590E">
        <w:t xml:space="preserve">We consider that an OEF adjustment for contaminated land management would not satisfy the exogeneity OEF criterion. A prudent service provider would take appropriate action to minimise the risk of land contamination associated with its activities. </w:t>
      </w:r>
    </w:p>
    <w:p w:rsidR="00D1590E" w:rsidRPr="00D1590E" w:rsidRDefault="00D1590E" w:rsidP="00D1590E">
      <w:r w:rsidRPr="00D1590E">
        <w:t>There may be some circumstances in which environmental regulations are different across jurisdictions. In this case a prudent service provider operating under the less stringent regulations would take action to appropriately manage its environmental risk being mindful of obligations in other jurisdictions. If a service provider did not undertake sufficient risk mitigation, where best industry practice is to manage that risk, that is a reflection of the quality of that service provider's management. The costs of such mismanagement should not be visited on consumers.</w:t>
      </w:r>
    </w:p>
    <w:p w:rsidR="00D1590E" w:rsidRPr="00D1590E" w:rsidRDefault="00D1590E" w:rsidP="00D1590E">
      <w:r w:rsidRPr="00D1590E">
        <w:t>In the case that a service provider acquired assets with land contamination from another service provider, in a competitive market, the cost of that remediation will be factored into the price of the acquisition. That is the firm responsible for the contamination will have paid for the future remediation costs by receiving a lower payment for the contaminated assets. As a result end users would not need to pay for contaminated land remediation.</w:t>
      </w:r>
    </w:p>
    <w:p w:rsidR="00D1590E" w:rsidRPr="00D1590E" w:rsidRDefault="00D1590E" w:rsidP="00D1590E">
      <w:pPr>
        <w:pStyle w:val="HeadingBoldBlue"/>
      </w:pPr>
      <w:bookmarkStart w:id="336" w:name="_Toc417646311"/>
      <w:r w:rsidRPr="00D1590E">
        <w:t>Outsourcing</w:t>
      </w:r>
      <w:bookmarkEnd w:id="336"/>
    </w:p>
    <w:p w:rsidR="00D1590E" w:rsidRPr="00D1590E" w:rsidRDefault="00D1590E" w:rsidP="00D1590E">
      <w:pPr>
        <w:numPr>
          <w:ilvl w:val="0"/>
          <w:numId w:val="24"/>
        </w:numPr>
      </w:pPr>
      <w:r w:rsidRPr="00D1590E">
        <w:t>We are not satisfied that an OEF adjustment for differences outsourcing practices between the NSW service providers and the comparison firms would meet the exogeneity OEF adjustment criterion. Service providers choose to what extent they outsource.</w:t>
      </w:r>
    </w:p>
    <w:p w:rsidR="00D1590E" w:rsidRPr="00D1590E" w:rsidRDefault="00D1590E" w:rsidP="00D1590E">
      <w:pPr>
        <w:numPr>
          <w:ilvl w:val="0"/>
          <w:numId w:val="24"/>
        </w:numPr>
      </w:pPr>
      <w:r w:rsidRPr="00D1590E">
        <w:t>In response to our 2014 draft decision for ActewAGL, Advisian raised opportunities for outsourcing as an OEF that might lead to material differences in opex.</w:t>
      </w:r>
      <w:r w:rsidRPr="00D1590E">
        <w:rPr>
          <w:rStyle w:val="FootnoteReference"/>
        </w:rPr>
        <w:footnoteReference w:id="600"/>
      </w:r>
      <w:r w:rsidRPr="00D1590E">
        <w:t xml:space="preserve"> Advisian noted that the small size of the ACT and the small number of network service providers in its area prevents ActewAGL from utilising contractors in a similar manner to the comparison firms. Advisian considered that the smaller amount of available work prevents contractors from achieving efficiencies that are available in denser areas serviced by a greater number of service providers. </w:t>
      </w:r>
    </w:p>
    <w:p w:rsidR="00D1590E" w:rsidRPr="00D1590E" w:rsidRDefault="00D1590E" w:rsidP="00D1590E">
      <w:pPr>
        <w:numPr>
          <w:ilvl w:val="0"/>
          <w:numId w:val="24"/>
        </w:numPr>
      </w:pPr>
      <w:r w:rsidRPr="00D1590E">
        <w:t xml:space="preserve">We consider that the scale of the NSW service providers would allow them to support a mature and efficient contracting market. All of the NSW service providers have more customers than any of the comparison firms. As a result we consider that the NSW </w:t>
      </w:r>
      <w:r w:rsidRPr="00D1590E">
        <w:lastRenderedPageBreak/>
        <w:t>service providers have the opportunity to outsource. The extent to which they do or do not is a management decision. We discuss outsourcing in more detail in our detailed review of the NSW service providers' labour practices.</w:t>
      </w:r>
    </w:p>
    <w:p w:rsidR="00D1590E" w:rsidRPr="00D1590E" w:rsidRDefault="00D1590E" w:rsidP="00D1590E">
      <w:pPr>
        <w:numPr>
          <w:ilvl w:val="0"/>
          <w:numId w:val="24"/>
        </w:numPr>
      </w:pPr>
      <w:r w:rsidRPr="00D1590E">
        <w:t>Advisian also notes that service providers must retain sufficient in house capacity to act as an informed purchaser when interacting with contractors.</w:t>
      </w:r>
      <w:r w:rsidRPr="00D1590E">
        <w:rPr>
          <w:rStyle w:val="FootnoteReference"/>
        </w:rPr>
        <w:t xml:space="preserve"> </w:t>
      </w:r>
      <w:r w:rsidRPr="00D1590E">
        <w:rPr>
          <w:rStyle w:val="FootnoteReference"/>
        </w:rPr>
        <w:footnoteReference w:id="601"/>
      </w:r>
      <w:r w:rsidRPr="00D1590E">
        <w:t xml:space="preserve"> We do not consider that this would limit the NSW service providers' ability to assess contractors' bids. The amount of expertise that would need to be maintained is minimal in terms of overall employees. It would be sufficient to maintain one or two experienced staff to assess tenders.</w:t>
      </w:r>
    </w:p>
    <w:p w:rsidR="00D1590E" w:rsidRPr="00D1590E" w:rsidRDefault="00D1590E" w:rsidP="00D1590E">
      <w:pPr>
        <w:pStyle w:val="HeadingBoldBlue"/>
      </w:pPr>
      <w:bookmarkStart w:id="337" w:name="_Toc417646312"/>
      <w:r w:rsidRPr="00D1590E">
        <w:t>Reliability outcomes</w:t>
      </w:r>
      <w:bookmarkEnd w:id="337"/>
    </w:p>
    <w:p w:rsidR="00D1590E" w:rsidRPr="00D1590E" w:rsidRDefault="00D1590E" w:rsidP="00D1590E">
      <w:r w:rsidRPr="00D1590E">
        <w:t>We are satisfied that an OEF adjustment for reliability outcomes is not necessary. It raises the first and third operating environment criterion. We are not satisfied that an OEF adjustment for reliability outcomes would meet the duplication and exogeneity OEF adjustment criteria. Reliability is appropriately captured by Economic Insights' Cobb Douglas SFA model. Further, reliability outcomes are to some extent within management control.</w:t>
      </w:r>
    </w:p>
    <w:p w:rsidR="00D1590E" w:rsidRPr="00D1590E" w:rsidRDefault="00D1590E" w:rsidP="00D1590E">
      <w:r w:rsidRPr="00D1590E">
        <w:t>In response to our draft decision the service providers and their consultants submitted that the benchmarking we used to estimate base year opex did not incorporate reliability.</w:t>
      </w:r>
      <w:r w:rsidRPr="00D1590E">
        <w:rPr>
          <w:rStyle w:val="FootnoteReference"/>
        </w:rPr>
        <w:footnoteReference w:id="602"/>
      </w:r>
      <w:r w:rsidRPr="00D1590E">
        <w:t xml:space="preserve"> PEG and Advisian also had some detailed comments regarding the incorporation of reliability into our benchmarking.</w:t>
      </w:r>
      <w:r w:rsidRPr="00D1590E">
        <w:rPr>
          <w:rStyle w:val="FootnoteReference"/>
        </w:rPr>
        <w:footnoteReference w:id="603"/>
      </w:r>
      <w:r w:rsidRPr="00D1590E">
        <w:t xml:space="preserve"> We address these concerns below. In this section we also outline why we consider our estimate of base opex is sufficient for the NSW service providers are able to meet their minimum reliability standards.</w:t>
      </w:r>
    </w:p>
    <w:p w:rsidR="00D1590E" w:rsidRPr="00D1590E" w:rsidRDefault="00D1590E" w:rsidP="00D1590E">
      <w:pPr>
        <w:pStyle w:val="HeadingBoldItalic"/>
      </w:pPr>
      <w:r w:rsidRPr="00D1590E">
        <w:t xml:space="preserve">Consideration of reliability in setting our base year opex </w:t>
      </w:r>
    </w:p>
    <w:p w:rsidR="00D1590E" w:rsidRPr="00D1590E" w:rsidRDefault="00D1590E" w:rsidP="00D1590E">
      <w:pPr>
        <w:pStyle w:val="ListParagraph"/>
        <w:numPr>
          <w:ilvl w:val="0"/>
          <w:numId w:val="24"/>
        </w:numPr>
      </w:pPr>
      <w:r w:rsidRPr="00D1590E">
        <w:t>In our draft decision we considered the reliability of the NSW service providers as it was incorporated as an output in Economic Insights' MPFP benchmarking. The consistency between our opex MPFP benchmarking and our Cobb Douglas SFA model indicated that the Cobb Douglas SFA efficiency scores reasonably reflected the efficient, prudent opex costs of the NSW service providers meeting their relevant reliability obligations.</w:t>
      </w:r>
    </w:p>
    <w:p w:rsidR="00D1590E" w:rsidRPr="00D1590E" w:rsidRDefault="00D1590E" w:rsidP="00D1590E">
      <w:r w:rsidRPr="00D1590E">
        <w:t xml:space="preserve">Economic Insights' MTFP and opex MPFP benchmarking indicated that the NSW networks could provide their current levels of reliability at much lower cost. The MTFP and opex MPFP benchmarking included the number of customer minutes off supply as </w:t>
      </w:r>
      <w:r w:rsidRPr="00D1590E">
        <w:lastRenderedPageBreak/>
        <w:t xml:space="preserve">a negative output. Hence, poor reliability would be reflected in poor MTFP and opex MPFP performance. </w:t>
      </w:r>
    </w:p>
    <w:p w:rsidR="00D1590E" w:rsidRPr="00D1590E" w:rsidRDefault="00D1590E" w:rsidP="00D1590E">
      <w:r w:rsidRPr="00D1590E">
        <w:fldChar w:fldCharType="begin"/>
      </w:r>
      <w:r w:rsidRPr="00D1590E">
        <w:instrText xml:space="preserve"> REF _Ref417642762 \h </w:instrText>
      </w:r>
      <w:r w:rsidRPr="00D1590E">
        <w:fldChar w:fldCharType="separate"/>
      </w:r>
      <w:r w:rsidR="00C57342" w:rsidRPr="00D1590E">
        <w:t xml:space="preserve">Figure </w:t>
      </w:r>
      <w:r w:rsidR="00C57342">
        <w:rPr>
          <w:noProof/>
        </w:rPr>
        <w:t>A</w:t>
      </w:r>
      <w:r w:rsidR="00C57342" w:rsidRPr="00D1590E">
        <w:t>.</w:t>
      </w:r>
      <w:r w:rsidR="00C57342">
        <w:rPr>
          <w:noProof/>
        </w:rPr>
        <w:t>13</w:t>
      </w:r>
      <w:r w:rsidRPr="00D1590E">
        <w:fldChar w:fldCharType="end"/>
      </w:r>
      <w:r w:rsidRPr="00D1590E">
        <w:t xml:space="preserve"> shows Economic Insights' opex MPFP, SFA and LSE scores for each of the service providers. This figure indicates that, measured under all our different economic benchmarking techniques, the NSW service providers could provide their services at lower cost. </w:t>
      </w:r>
    </w:p>
    <w:p w:rsidR="00D1590E" w:rsidRPr="00D1590E" w:rsidRDefault="00D1590E" w:rsidP="00D1590E">
      <w:pPr>
        <w:pStyle w:val="Caption"/>
      </w:pPr>
      <w:bookmarkStart w:id="338" w:name="_Ref417642762"/>
      <w:r w:rsidRPr="00D1590E">
        <w:t xml:space="preserve">Figure </w:t>
      </w:r>
      <w:fldSimple w:instr=" STYLEREF 7 \s ">
        <w:r w:rsidR="00C57342">
          <w:rPr>
            <w:noProof/>
          </w:rPr>
          <w:t>A</w:t>
        </w:r>
      </w:fldSimple>
      <w:r w:rsidRPr="00D1590E">
        <w:t>.</w:t>
      </w:r>
      <w:fldSimple w:instr=" SEQ AFigure \* ARABIC \s 7 ">
        <w:r w:rsidR="00C57342">
          <w:rPr>
            <w:noProof/>
          </w:rPr>
          <w:t>13</w:t>
        </w:r>
      </w:fldSimple>
      <w:bookmarkEnd w:id="338"/>
      <w:r w:rsidRPr="00D1590E">
        <w:tab/>
        <w:t>DNSP average opex efficiency scores, 2006-13</w:t>
      </w:r>
    </w:p>
    <w:p w:rsidR="00D1590E" w:rsidRPr="00D1590E" w:rsidRDefault="00D1590E" w:rsidP="00D1590E">
      <w:pPr>
        <w:pStyle w:val="Caption"/>
      </w:pPr>
      <w:r w:rsidRPr="00D1590E">
        <w:rPr>
          <w:noProof/>
          <w:lang w:eastAsia="en-AU"/>
        </w:rPr>
        <w:drawing>
          <wp:inline distT="0" distB="0" distL="0" distR="0" wp14:anchorId="3557D7F0" wp14:editId="0603D4F4">
            <wp:extent cx="5105400" cy="3105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3105150"/>
                    </a:xfrm>
                    <a:prstGeom prst="rect">
                      <a:avLst/>
                    </a:prstGeom>
                    <a:noFill/>
                    <a:ln>
                      <a:noFill/>
                    </a:ln>
                  </pic:spPr>
                </pic:pic>
              </a:graphicData>
            </a:graphic>
          </wp:inline>
        </w:drawing>
      </w:r>
    </w:p>
    <w:p w:rsidR="00D1590E" w:rsidRPr="00D1590E" w:rsidRDefault="00D1590E" w:rsidP="00D1590E">
      <w:r w:rsidRPr="00D1590E">
        <w:t xml:space="preserve">Importantly, the opex MPFP scores are closely aligned with the efficiency scores of our Cobb Douglas SFA model. This is demonstrated by the two sets of efficiency scores being highly correlated with a correlation coefficient of 0.95. This means that to the extent that reliability performance is different across service providers, its impact on opex efficiency is not significant. Therefore, we consider the Cobb Douglas SFA model reasonably reflects the efficient and prudent costs of providing efficient services, taking into account reliability performance. </w:t>
      </w:r>
    </w:p>
    <w:p w:rsidR="00D1590E" w:rsidRPr="00D1590E" w:rsidRDefault="00D1590E" w:rsidP="00D1590E">
      <w:r w:rsidRPr="00D1590E">
        <w:t xml:space="preserve">While there is not perfect correlation between the opex MPFP scores and the Cobb Douglas efficiency scores, the scores are very close for AusGrid and Endeavour. We also note that as Essential performs slightly worse under the opex MPFP benchmarking, so the adoption of the Cobb Douglas SFA model is to its advantage. </w:t>
      </w:r>
    </w:p>
    <w:p w:rsidR="00D1590E" w:rsidRPr="00D1590E" w:rsidRDefault="00D1590E" w:rsidP="00D1590E">
      <w:r w:rsidRPr="00D1590E">
        <w:t xml:space="preserve">To cross-check that the results of our Cobb Douglas SFA model and our opex MPFP model appropriately factor in reliability performance, we have further looked at the reliability performance of the NSPs and developed some reliability partial performance indicators (PPIs). </w:t>
      </w:r>
    </w:p>
    <w:p w:rsidR="00D1590E" w:rsidRPr="00D1590E" w:rsidRDefault="00D1590E" w:rsidP="00D1590E">
      <w:r w:rsidRPr="00D1590E">
        <w:fldChar w:fldCharType="begin"/>
      </w:r>
      <w:r w:rsidRPr="00D1590E">
        <w:instrText xml:space="preserve"> REF _Ref417642779 \h </w:instrText>
      </w:r>
      <w:r w:rsidRPr="00D1590E">
        <w:fldChar w:fldCharType="separate"/>
      </w:r>
      <w:r w:rsidR="00C57342" w:rsidRPr="00D1590E">
        <w:t xml:space="preserve">Figure </w:t>
      </w:r>
      <w:r w:rsidR="00C57342">
        <w:rPr>
          <w:noProof/>
        </w:rPr>
        <w:t>A</w:t>
      </w:r>
      <w:r w:rsidR="00C57342" w:rsidRPr="00D1590E">
        <w:t>.</w:t>
      </w:r>
      <w:r w:rsidR="00C57342">
        <w:rPr>
          <w:noProof/>
        </w:rPr>
        <w:t>14</w:t>
      </w:r>
      <w:r w:rsidRPr="00D1590E">
        <w:fldChar w:fldCharType="end"/>
      </w:r>
      <w:r w:rsidRPr="00D1590E">
        <w:t xml:space="preserve"> shows the relationship between the number of interruptions per customer (SAIFI) and customer density.</w:t>
      </w:r>
    </w:p>
    <w:p w:rsidR="00D1590E" w:rsidRPr="00D1590E" w:rsidRDefault="00D1590E" w:rsidP="00D1590E">
      <w:r w:rsidRPr="00D1590E">
        <w:lastRenderedPageBreak/>
        <w:fldChar w:fldCharType="begin"/>
      </w:r>
      <w:r w:rsidRPr="00D1590E">
        <w:instrText xml:space="preserve"> REF _Ref417642797 \h </w:instrText>
      </w:r>
      <w:r w:rsidRPr="00D1590E">
        <w:fldChar w:fldCharType="separate"/>
      </w:r>
      <w:r w:rsidR="00C57342" w:rsidRPr="00D1590E">
        <w:t xml:space="preserve">Figure </w:t>
      </w:r>
      <w:r w:rsidR="00C57342">
        <w:rPr>
          <w:noProof/>
        </w:rPr>
        <w:t>A</w:t>
      </w:r>
      <w:r w:rsidR="00C57342" w:rsidRPr="00D1590E">
        <w:t>.</w:t>
      </w:r>
      <w:r w:rsidR="00C57342">
        <w:rPr>
          <w:noProof/>
        </w:rPr>
        <w:t>15</w:t>
      </w:r>
      <w:r w:rsidRPr="00D1590E">
        <w:fldChar w:fldCharType="end"/>
      </w:r>
      <w:r w:rsidRPr="00D1590E">
        <w:t xml:space="preserve"> shows the relationship between the average minutes off supply per customer (SAIDI) and customer density.</w:t>
      </w:r>
    </w:p>
    <w:p w:rsidR="00D1590E" w:rsidRPr="00D1590E" w:rsidRDefault="00D1590E" w:rsidP="00D1590E">
      <w:pPr>
        <w:pStyle w:val="Caption"/>
      </w:pPr>
      <w:bookmarkStart w:id="339" w:name="_Ref417642779"/>
      <w:r w:rsidRPr="00D1590E">
        <w:t xml:space="preserve">Figure </w:t>
      </w:r>
      <w:fldSimple w:instr=" STYLEREF 7 \s ">
        <w:r w:rsidR="00C57342">
          <w:rPr>
            <w:noProof/>
          </w:rPr>
          <w:t>A</w:t>
        </w:r>
      </w:fldSimple>
      <w:r w:rsidRPr="00D1590E">
        <w:t>.</w:t>
      </w:r>
      <w:fldSimple w:instr=" SEQ AFigure \* ARABIC \s 7 ">
        <w:r w:rsidR="00C57342">
          <w:rPr>
            <w:noProof/>
          </w:rPr>
          <w:t>14</w:t>
        </w:r>
      </w:fldSimple>
      <w:bookmarkEnd w:id="339"/>
      <w:r w:rsidRPr="00D1590E">
        <w:tab/>
      </w:r>
      <w:r w:rsidRPr="00D1590E">
        <w:tab/>
        <w:t>SAIFI against customer density</w:t>
      </w:r>
    </w:p>
    <w:p w:rsidR="00D1590E" w:rsidRPr="00D1590E" w:rsidRDefault="00D1590E" w:rsidP="00D1590E">
      <w:r w:rsidRPr="00D1590E">
        <w:rPr>
          <w:noProof/>
          <w:lang w:eastAsia="en-AU"/>
        </w:rPr>
        <w:drawing>
          <wp:inline distT="0" distB="0" distL="0" distR="0" wp14:anchorId="5C0D4D8C" wp14:editId="0564DF33">
            <wp:extent cx="4772025" cy="3255010"/>
            <wp:effectExtent l="0" t="0" r="952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2025" cy="3255010"/>
                    </a:xfrm>
                    <a:prstGeom prst="rect">
                      <a:avLst/>
                    </a:prstGeom>
                    <a:noFill/>
                    <a:ln>
                      <a:noFill/>
                    </a:ln>
                  </pic:spPr>
                </pic:pic>
              </a:graphicData>
            </a:graphic>
          </wp:inline>
        </w:drawing>
      </w:r>
    </w:p>
    <w:p w:rsidR="00D1590E" w:rsidRPr="00D1590E" w:rsidRDefault="00D1590E" w:rsidP="00D1590E">
      <w:pPr>
        <w:pStyle w:val="Caption"/>
      </w:pPr>
      <w:bookmarkStart w:id="340" w:name="_Ref417642797"/>
      <w:r w:rsidRPr="00D1590E">
        <w:t xml:space="preserve">Figure </w:t>
      </w:r>
      <w:fldSimple w:instr=" STYLEREF 7 \s ">
        <w:r w:rsidR="00C57342">
          <w:rPr>
            <w:noProof/>
          </w:rPr>
          <w:t>A</w:t>
        </w:r>
      </w:fldSimple>
      <w:r w:rsidRPr="00D1590E">
        <w:t>.</w:t>
      </w:r>
      <w:fldSimple w:instr=" SEQ AFigure \* ARABIC \s 7 ">
        <w:r w:rsidR="00C57342">
          <w:rPr>
            <w:noProof/>
          </w:rPr>
          <w:t>15</w:t>
        </w:r>
      </w:fldSimple>
      <w:bookmarkEnd w:id="340"/>
      <w:r w:rsidRPr="00D1590E">
        <w:tab/>
        <w:t>SAIDI against customer density</w:t>
      </w:r>
    </w:p>
    <w:p w:rsidR="00D1590E" w:rsidRPr="00D1590E" w:rsidRDefault="00D1590E" w:rsidP="00D1590E">
      <w:r w:rsidRPr="00D1590E">
        <w:rPr>
          <w:noProof/>
          <w:lang w:eastAsia="en-AU"/>
        </w:rPr>
        <w:drawing>
          <wp:inline distT="0" distB="0" distL="0" distR="0" wp14:anchorId="09D34F8B" wp14:editId="0A9F3AD3">
            <wp:extent cx="4761865" cy="3249295"/>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1865" cy="3249295"/>
                    </a:xfrm>
                    <a:prstGeom prst="rect">
                      <a:avLst/>
                    </a:prstGeom>
                    <a:noFill/>
                    <a:ln>
                      <a:noFill/>
                    </a:ln>
                  </pic:spPr>
                </pic:pic>
              </a:graphicData>
            </a:graphic>
          </wp:inline>
        </w:drawing>
      </w:r>
    </w:p>
    <w:p w:rsidR="00D1590E" w:rsidRPr="00D1590E" w:rsidRDefault="00D1590E" w:rsidP="00D1590E">
      <w:r w:rsidRPr="00D1590E">
        <w:t xml:space="preserve">As shown in these figures there is an inverse relationship between customer density and reliability. This is expected to be the case as less dense networks will have more exposed lines per customer. Holding everything else constant, the more exposed lines </w:t>
      </w:r>
      <w:r w:rsidRPr="00D1590E">
        <w:lastRenderedPageBreak/>
        <w:t xml:space="preserve">within a network, the greater the chance for incidences that will adversely affect reliability.  </w:t>
      </w:r>
    </w:p>
    <w:p w:rsidR="00D1590E" w:rsidRPr="00D1590E" w:rsidRDefault="00D1590E" w:rsidP="00D1590E">
      <w:r w:rsidRPr="00D1590E">
        <w:t xml:space="preserve">Most networks have a level of reliability that is close to their expected level given their customer density, as reflected by the reliability scores being close to the trend line. This indicates that the reliability performance of the benchmark service providers is not materially different from that of the NSW service providers.  </w:t>
      </w:r>
    </w:p>
    <w:p w:rsidR="00D1590E" w:rsidRPr="00D1590E" w:rsidRDefault="00D1590E" w:rsidP="00D1590E">
      <w:pPr>
        <w:pStyle w:val="HeadingBoldItalic"/>
      </w:pPr>
      <w:r w:rsidRPr="00D1590E">
        <w:t>Detailed criticisms</w:t>
      </w:r>
    </w:p>
    <w:p w:rsidR="00D1590E" w:rsidRPr="00D1590E" w:rsidRDefault="00D1590E" w:rsidP="00D1590E">
      <w:r w:rsidRPr="00D1590E">
        <w:t>In response to our draft determination the consultants of the NSW and ACT service providers, Advisian and PEG raised some detailed concerns regarding the incorporation of reliability into our benchmarking analysis. We address these concerns below.</w:t>
      </w:r>
    </w:p>
    <w:p w:rsidR="00D1590E" w:rsidRPr="00D1590E" w:rsidRDefault="00D1590E" w:rsidP="00D1590E">
      <w:pPr>
        <w:pStyle w:val="HeadingItalic"/>
      </w:pPr>
      <w:r w:rsidRPr="00D1590E">
        <w:t>Advisian</w:t>
      </w:r>
    </w:p>
    <w:p w:rsidR="00D1590E" w:rsidRPr="00D1590E" w:rsidRDefault="00D1590E" w:rsidP="00D1590E">
      <w:r w:rsidRPr="00D1590E">
        <w:t>On the issue of reliability, Advisian submitted:</w:t>
      </w:r>
    </w:p>
    <w:p w:rsidR="00D1590E" w:rsidRPr="00D1590E" w:rsidRDefault="00D1590E" w:rsidP="00D1590E">
      <w:pPr>
        <w:pStyle w:val="AERquote"/>
      </w:pPr>
      <w:r w:rsidRPr="00D1590E">
        <w:t>1) "The “ceteris paribus” assumption of constant reliability implicit in the benchmark model does not hold, and some adjustment is necessary to reflect changes in reliability, an issue not dealt with at all in the preferred SFA model.</w:t>
      </w:r>
    </w:p>
    <w:p w:rsidR="00D1590E" w:rsidRPr="00D1590E" w:rsidRDefault="00D1590E" w:rsidP="00D1590E">
      <w:pPr>
        <w:pStyle w:val="AERquote"/>
      </w:pPr>
      <w:r w:rsidRPr="00D1590E">
        <w:t>2) Economic Insights' reliance on analysis period averages for its benchmarking models means that the effect of declining reliability performance on opex over the analysis period is not captured in its models (which by implication assumes that opex is driven by absolute SAIDI). In practice the relationship between opex and reliability is driven by a combination of the absolute level that has historically been achieved, the specific network environment and the change in SAIDI over the analysis period.</w:t>
      </w:r>
    </w:p>
    <w:p w:rsidR="00D1590E" w:rsidRPr="00D1590E" w:rsidRDefault="00D1590E" w:rsidP="00D1590E">
      <w:pPr>
        <w:pStyle w:val="AERquote"/>
      </w:pPr>
      <w:r w:rsidRPr="00D1590E">
        <w:t>3) The trade-off between SAIFI and CAIDI to achieve a SAIDI target highlights that reliability can be achieved by a combination of Opex and Capex programs. No attempt has been made in the AER’s benchmarking to “normalise” the approaches taken by DNSPs in this regard. This gives rise to the potential for what otherwise may be a sensible and efficient Opex / Capex trade off being judged as an Opex efficiency / inefficiency."</w:t>
      </w:r>
      <w:r w:rsidRPr="00D1590E">
        <w:rPr>
          <w:rStyle w:val="FootnoteReference"/>
        </w:rPr>
        <w:footnoteReference w:id="604"/>
      </w:r>
    </w:p>
    <w:p w:rsidR="00D1590E" w:rsidRPr="00D1590E" w:rsidRDefault="00D1590E" w:rsidP="00D1590E">
      <w:pPr>
        <w:pStyle w:val="BodyText"/>
      </w:pPr>
      <w:r w:rsidRPr="00D1590E">
        <w:t>We address these points below.</w:t>
      </w:r>
    </w:p>
    <w:p w:rsidR="00D1590E" w:rsidRPr="00D1590E" w:rsidRDefault="00D1590E" w:rsidP="00D1590E">
      <w:r w:rsidRPr="00D1590E">
        <w:t xml:space="preserve">Advisian submitted that the frontier networks have exhibited decreasing reliability performance. It considered that the assumption of constant reliability in the AER's modelling does not hold and that the AER's benchmarking should be adjusted to reflect this. </w:t>
      </w:r>
    </w:p>
    <w:p w:rsidR="00D1590E" w:rsidRPr="00D1590E" w:rsidRDefault="00D1590E" w:rsidP="00D1590E">
      <w:r w:rsidRPr="00D1590E">
        <w:t xml:space="preserve">We do not consider that the frontier networks have exhibited decreasing reliability performance. On both SAIDI and SAIFI measures the performance of the frontier </w:t>
      </w:r>
      <w:r w:rsidRPr="00D1590E">
        <w:lastRenderedPageBreak/>
        <w:t xml:space="preserve">networks have improved. </w:t>
      </w:r>
      <w:r w:rsidRPr="00D1590E">
        <w:fldChar w:fldCharType="begin"/>
      </w:r>
      <w:r w:rsidRPr="00D1590E">
        <w:instrText xml:space="preserve"> REF _Ref417642834 \h </w:instrText>
      </w:r>
      <w:r w:rsidRPr="00D1590E">
        <w:fldChar w:fldCharType="separate"/>
      </w:r>
      <w:r w:rsidR="00C57342" w:rsidRPr="00D1590E">
        <w:t xml:space="preserve">Figure </w:t>
      </w:r>
      <w:r w:rsidR="00C57342">
        <w:rPr>
          <w:noProof/>
        </w:rPr>
        <w:t>A</w:t>
      </w:r>
      <w:r w:rsidR="00C57342" w:rsidRPr="00D1590E">
        <w:t>.</w:t>
      </w:r>
      <w:r w:rsidR="00C57342">
        <w:rPr>
          <w:noProof/>
        </w:rPr>
        <w:t>16</w:t>
      </w:r>
      <w:r w:rsidRPr="00D1590E">
        <w:fldChar w:fldCharType="end"/>
      </w:r>
      <w:r w:rsidRPr="00D1590E">
        <w:t xml:space="preserve"> shows the weighted average SAIDI of the frontier networks over the benchmarking period.</w:t>
      </w:r>
      <w:r w:rsidRPr="00D1590E">
        <w:rPr>
          <w:rStyle w:val="FootnoteReference"/>
        </w:rPr>
        <w:footnoteReference w:id="605"/>
      </w:r>
      <w:r w:rsidRPr="00D1590E">
        <w:t xml:space="preserve"> This shows that the SAIDI of the frontier networks has improved over the benchmarking period.</w:t>
      </w:r>
    </w:p>
    <w:p w:rsidR="00D1590E" w:rsidRPr="00D1590E" w:rsidRDefault="00D1590E" w:rsidP="00D1590E">
      <w:pPr>
        <w:pStyle w:val="Caption"/>
      </w:pPr>
      <w:bookmarkStart w:id="341" w:name="_Ref417642834"/>
      <w:r w:rsidRPr="00D1590E">
        <w:t xml:space="preserve">Figure </w:t>
      </w:r>
      <w:fldSimple w:instr=" STYLEREF 7 \s ">
        <w:r w:rsidR="00C57342">
          <w:rPr>
            <w:noProof/>
          </w:rPr>
          <w:t>A</w:t>
        </w:r>
      </w:fldSimple>
      <w:r w:rsidRPr="00D1590E">
        <w:t>.</w:t>
      </w:r>
      <w:fldSimple w:instr=" SEQ AFigure \* ARABIC \s 7 ">
        <w:r w:rsidR="00C57342">
          <w:rPr>
            <w:noProof/>
          </w:rPr>
          <w:t>16</w:t>
        </w:r>
      </w:fldSimple>
      <w:bookmarkEnd w:id="341"/>
      <w:r w:rsidRPr="00D1590E">
        <w:tab/>
        <w:t>SAIDI of frontier networks against long term average</w:t>
      </w:r>
    </w:p>
    <w:p w:rsidR="00D1590E" w:rsidRPr="00D1590E" w:rsidRDefault="00D1590E" w:rsidP="00D1590E">
      <w:r w:rsidRPr="00D1590E">
        <w:rPr>
          <w:noProof/>
          <w:lang w:eastAsia="en-AU"/>
        </w:rPr>
        <w:drawing>
          <wp:anchor distT="0" distB="0" distL="114300" distR="114300" simplePos="0" relativeHeight="251664384" behindDoc="0" locked="0" layoutInCell="1" allowOverlap="1" wp14:anchorId="19A07464" wp14:editId="3B9DDB99">
            <wp:simplePos x="0" y="0"/>
            <wp:positionH relativeFrom="column">
              <wp:posOffset>152400</wp:posOffset>
            </wp:positionH>
            <wp:positionV relativeFrom="paragraph">
              <wp:posOffset>152400</wp:posOffset>
            </wp:positionV>
            <wp:extent cx="4540885" cy="2737485"/>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0885"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90E" w:rsidRPr="00D1590E" w:rsidRDefault="00D1590E" w:rsidP="00D1590E">
      <w:pPr>
        <w:pStyle w:val="Source"/>
      </w:pPr>
      <w:r w:rsidRPr="00D1590E">
        <w:t>Note: SAIDI is calculated excluding excluded outages and MED days consistent with Advisian's approach.</w:t>
      </w:r>
    </w:p>
    <w:p w:rsidR="00D1590E" w:rsidRDefault="00D1590E" w:rsidP="00D1590E">
      <w:r w:rsidRPr="00D1590E">
        <w:rPr>
          <w:rStyle w:val="Strong"/>
        </w:rPr>
        <w:fldChar w:fldCharType="begin"/>
      </w:r>
      <w:r w:rsidRPr="00D1590E">
        <w:rPr>
          <w:rStyle w:val="Strong"/>
        </w:rPr>
        <w:instrText xml:space="preserve"> REF _Ref417642857 \h </w:instrText>
      </w:r>
      <w:r w:rsidRPr="00D1590E">
        <w:rPr>
          <w:rStyle w:val="Strong"/>
        </w:rPr>
      </w:r>
      <w:r w:rsidRPr="00D1590E">
        <w:rPr>
          <w:rStyle w:val="Strong"/>
        </w:rPr>
        <w:fldChar w:fldCharType="separate"/>
      </w:r>
      <w:r w:rsidR="00C57342" w:rsidRPr="00D1590E">
        <w:t xml:space="preserve">Figure </w:t>
      </w:r>
      <w:r w:rsidR="00C57342">
        <w:rPr>
          <w:noProof/>
        </w:rPr>
        <w:t>A</w:t>
      </w:r>
      <w:r w:rsidR="00C57342" w:rsidRPr="00D1590E">
        <w:t>.</w:t>
      </w:r>
      <w:r w:rsidR="00C57342">
        <w:rPr>
          <w:noProof/>
        </w:rPr>
        <w:t>17</w:t>
      </w:r>
      <w:r w:rsidRPr="00D1590E">
        <w:rPr>
          <w:rStyle w:val="Strong"/>
        </w:rPr>
        <w:fldChar w:fldCharType="end"/>
      </w:r>
      <w:r w:rsidRPr="00D1590E">
        <w:rPr>
          <w:rStyle w:val="Strong"/>
        </w:rPr>
        <w:t xml:space="preserve"> </w:t>
      </w:r>
      <w:r w:rsidRPr="00D1590E">
        <w:t xml:space="preserve">presents the SAIFI performance of the frontier networks. Again under this analysis SAIFI of the frontier networks has improved over the benchmarking period. </w:t>
      </w:r>
      <w:r w:rsidRPr="00D1590E">
        <w:fldChar w:fldCharType="begin"/>
      </w:r>
      <w:r w:rsidRPr="00D1590E">
        <w:instrText xml:space="preserve"> REF _Ref417642834 \h </w:instrText>
      </w:r>
      <w:r w:rsidRPr="00D1590E">
        <w:fldChar w:fldCharType="separate"/>
      </w:r>
      <w:r w:rsidR="00C57342" w:rsidRPr="00D1590E">
        <w:t xml:space="preserve">Figure </w:t>
      </w:r>
      <w:r w:rsidR="00C57342">
        <w:rPr>
          <w:noProof/>
        </w:rPr>
        <w:t>A</w:t>
      </w:r>
      <w:r w:rsidR="00C57342" w:rsidRPr="00D1590E">
        <w:t>.</w:t>
      </w:r>
      <w:r w:rsidR="00C57342">
        <w:rPr>
          <w:noProof/>
        </w:rPr>
        <w:t>16</w:t>
      </w:r>
      <w:r w:rsidRPr="00D1590E">
        <w:fldChar w:fldCharType="end"/>
      </w:r>
      <w:r w:rsidRPr="00D1590E">
        <w:t xml:space="preserve"> and </w:t>
      </w:r>
      <w:r w:rsidRPr="00D1590E">
        <w:fldChar w:fldCharType="begin"/>
      </w:r>
      <w:r w:rsidRPr="00D1590E">
        <w:instrText xml:space="preserve"> REF _Ref417642857 \h </w:instrText>
      </w:r>
      <w:r w:rsidRPr="00D1590E">
        <w:fldChar w:fldCharType="separate"/>
      </w:r>
      <w:r w:rsidR="00C57342" w:rsidRPr="00D1590E">
        <w:t xml:space="preserve">Figure </w:t>
      </w:r>
      <w:r w:rsidR="00C57342">
        <w:rPr>
          <w:noProof/>
        </w:rPr>
        <w:t>A</w:t>
      </w:r>
      <w:r w:rsidR="00C57342" w:rsidRPr="00D1590E">
        <w:t>.</w:t>
      </w:r>
      <w:r w:rsidR="00C57342">
        <w:rPr>
          <w:noProof/>
        </w:rPr>
        <w:t>17</w:t>
      </w:r>
      <w:r w:rsidRPr="00D1590E">
        <w:fldChar w:fldCharType="end"/>
      </w:r>
      <w:r w:rsidRPr="00D1590E">
        <w:t xml:space="preserve"> show that SAIFI has been improving at a faster rate than SAIDI for the frontier networks. This means that CAIDI of the frontier networks will appear to deteriorate over time.</w:t>
      </w:r>
    </w:p>
    <w:p w:rsidR="006139BC" w:rsidRDefault="006139BC">
      <w:pPr>
        <w:spacing w:line="240" w:lineRule="auto"/>
      </w:pPr>
      <w:r>
        <w:br w:type="page"/>
      </w:r>
    </w:p>
    <w:p w:rsidR="00D1590E" w:rsidRPr="00D1590E" w:rsidRDefault="00D1590E" w:rsidP="00D1590E">
      <w:pPr>
        <w:pStyle w:val="Caption"/>
      </w:pPr>
      <w:bookmarkStart w:id="342" w:name="_Ref417642857"/>
      <w:r w:rsidRPr="00D1590E">
        <w:lastRenderedPageBreak/>
        <w:t xml:space="preserve">Figure </w:t>
      </w:r>
      <w:fldSimple w:instr=" STYLEREF 7 \s ">
        <w:r w:rsidR="00C57342">
          <w:rPr>
            <w:noProof/>
          </w:rPr>
          <w:t>A</w:t>
        </w:r>
      </w:fldSimple>
      <w:r w:rsidRPr="00D1590E">
        <w:t>.</w:t>
      </w:r>
      <w:fldSimple w:instr=" SEQ AFigure \* ARABIC \s 7 ">
        <w:r w:rsidR="00C57342">
          <w:rPr>
            <w:noProof/>
          </w:rPr>
          <w:t>17</w:t>
        </w:r>
      </w:fldSimple>
      <w:bookmarkEnd w:id="342"/>
      <w:r w:rsidRPr="00D1590E">
        <w:tab/>
        <w:t>SAIFI of frontier networks against long term average</w:t>
      </w:r>
    </w:p>
    <w:p w:rsidR="00D1590E" w:rsidRPr="00D1590E" w:rsidRDefault="00D1590E" w:rsidP="00D1590E">
      <w:r w:rsidRPr="00D1590E">
        <w:rPr>
          <w:noProof/>
          <w:lang w:eastAsia="en-AU"/>
        </w:rPr>
        <w:drawing>
          <wp:anchor distT="0" distB="0" distL="114300" distR="114300" simplePos="0" relativeHeight="251663360" behindDoc="0" locked="0" layoutInCell="1" allowOverlap="1" wp14:anchorId="31FE4A0F" wp14:editId="036BF440">
            <wp:simplePos x="0" y="0"/>
            <wp:positionH relativeFrom="column">
              <wp:posOffset>152400</wp:posOffset>
            </wp:positionH>
            <wp:positionV relativeFrom="paragraph">
              <wp:posOffset>152400</wp:posOffset>
            </wp:positionV>
            <wp:extent cx="5063490" cy="2737485"/>
            <wp:effectExtent l="0" t="0" r="381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3490"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90E" w:rsidRPr="00D1590E" w:rsidRDefault="00D1590E" w:rsidP="00D1590E">
      <w:pPr>
        <w:pStyle w:val="Source"/>
      </w:pPr>
      <w:r w:rsidRPr="00D1590E">
        <w:t>Note: SAIDI is calculated excluding excluded outages and MED days consistent with Advisian's approach.</w:t>
      </w:r>
    </w:p>
    <w:p w:rsidR="00D1590E" w:rsidRPr="00D1590E" w:rsidRDefault="00D1590E" w:rsidP="00D1590E">
      <w:r w:rsidRPr="00D1590E">
        <w:t>Advisian stated that CAIDI for the frontier networks has declined across the benchmarking period. We agree that this is the case, but consider that this is not a concern. CAIDI represents the average time required to restore service.</w:t>
      </w:r>
      <w:r w:rsidRPr="00D1590E">
        <w:rPr>
          <w:rStyle w:val="FootnoteReference"/>
        </w:rPr>
        <w:t xml:space="preserve"> </w:t>
      </w:r>
      <w:r w:rsidRPr="00D1590E">
        <w:rPr>
          <w:rStyle w:val="FootnoteReference"/>
        </w:rPr>
        <w:footnoteReference w:id="606"/>
      </w:r>
      <w:r w:rsidRPr="00D1590E">
        <w:t xml:space="preserve"> CAIDI is not a measure of the detriment of outages to consumers. The IEEE calculate SAIDI in the following manner:</w:t>
      </w:r>
      <w:r w:rsidRPr="00D1590E">
        <w:rPr>
          <w:rStyle w:val="FootnoteReference"/>
        </w:rPr>
        <w:footnoteReference w:id="607"/>
      </w:r>
    </w:p>
    <w:p w:rsidR="00D1590E" w:rsidRPr="00D1590E" w:rsidRDefault="00D1590E" w:rsidP="00D1590E">
      <m:oMathPara>
        <m:oMath>
          <m:r>
            <w:rPr>
              <w:rFonts w:ascii="Cambria Math" w:hAnsi="Cambria Math"/>
            </w:rPr>
            <m:t xml:space="preserve">CAIDI= </m:t>
          </m:r>
          <m:f>
            <m:fPr>
              <m:ctrlPr>
                <w:rPr>
                  <w:rFonts w:ascii="Cambria Math" w:hAnsi="Cambria Math"/>
                </w:rPr>
              </m:ctrlPr>
            </m:fPr>
            <m:num>
              <m:r>
                <w:rPr>
                  <w:rFonts w:ascii="Cambria Math" w:hAnsi="Cambria Math"/>
                </w:rPr>
                <m:t>SAIDI</m:t>
              </m:r>
            </m:num>
            <m:den>
              <m:r>
                <w:rPr>
                  <w:rFonts w:ascii="Cambria Math" w:hAnsi="Cambria Math"/>
                </w:rPr>
                <m:t>SAIFI</m:t>
              </m:r>
            </m:den>
          </m:f>
        </m:oMath>
      </m:oMathPara>
    </w:p>
    <w:p w:rsidR="00D1590E" w:rsidRPr="00D1590E" w:rsidRDefault="00D1590E" w:rsidP="00D1590E">
      <w:r w:rsidRPr="00D1590E">
        <w:t>Under this calculation CAIDI will deteriorate if SAIFI improves at a faster rate than SAIDI. This is the case for the frontier networks. However, under this scenario customers experience fewer interruptions and fewer minutes off supply and are hence better off.</w:t>
      </w:r>
    </w:p>
    <w:p w:rsidR="00D1590E" w:rsidRPr="00D1590E" w:rsidRDefault="00D1590E" w:rsidP="00D1590E">
      <w:r w:rsidRPr="00D1590E">
        <w:t>Advisian submitted that Economic Insights' reliance on analysis period averages for its benchmarking models means that the effect of declining reliability performance on opex over the analysis period is not captured in its modelling.</w:t>
      </w:r>
      <w:r w:rsidRPr="00D1590E">
        <w:rPr>
          <w:rStyle w:val="FootnoteReference"/>
        </w:rPr>
        <w:footnoteReference w:id="608"/>
      </w:r>
      <w:r w:rsidRPr="00D1590E">
        <w:t xml:space="preserve"> As noted above, this statement appears to be incorrect as reliability performance for the frontier networks as measured by SAIDI and SAIFI has improved over the period according to our measures. Advisian also submitted that that the trade-off between SAIFI and CAIDI to achieve a SAIDI target highlights that reliability can be achieved by a combination of </w:t>
      </w:r>
      <w:r w:rsidRPr="00D1590E">
        <w:lastRenderedPageBreak/>
        <w:t>Opex and Capex programs.</w:t>
      </w:r>
      <w:r w:rsidRPr="00D1590E">
        <w:rPr>
          <w:rStyle w:val="FootnoteReference"/>
        </w:rPr>
        <w:footnoteReference w:id="609"/>
      </w:r>
      <w:r w:rsidRPr="00D1590E">
        <w:t xml:space="preserve"> Advisian submitted that no attempt has been made in the AER’s benchmarking to “normalise” the approaches taken by </w:t>
      </w:r>
      <w:r w:rsidR="000C4E69">
        <w:t>distributors</w:t>
      </w:r>
      <w:r w:rsidRPr="00D1590E">
        <w:t xml:space="preserve"> in this regard. As we point out in our consideration of capitalisation policies above the NSW networks have spent more on capex over the benchmarking period than the frontier networks. This should put these networks at an advantage under our benchmarking analysis. This is because the additional expenditure on capex should reduce outages and improve their opex performance under our benchmarking. </w:t>
      </w:r>
    </w:p>
    <w:p w:rsidR="00D1590E" w:rsidRPr="00D1590E" w:rsidRDefault="00D1590E" w:rsidP="00D1590E">
      <w:r w:rsidRPr="00D1590E">
        <w:t>Further, we note that the frontier networks have significantly increased their opex on maintenance and vegetation management.</w:t>
      </w:r>
      <w:r w:rsidRPr="00D1590E">
        <w:rPr>
          <w:rStyle w:val="FootnoteReference"/>
        </w:rPr>
        <w:footnoteReference w:id="610"/>
      </w:r>
      <w:r w:rsidRPr="00D1590E">
        <w:t xml:space="preserve"> This additional opex should reduce outages caused by vegetation and asset failure. However increasing opex will disadvantage the frontier networks under our benchmarking of opex. This is because, as Advisian states, these networks could have instead undertaken capital programs to reduce outages. Therefore, we do not consider that normalisation of the results to account for the trade-off between SAIFI and CAIDI is necessary.</w:t>
      </w:r>
    </w:p>
    <w:p w:rsidR="00D1590E" w:rsidRPr="00D1590E" w:rsidRDefault="00D1590E" w:rsidP="00D1590E">
      <w:pPr>
        <w:pStyle w:val="HeadingItalic"/>
      </w:pPr>
      <w:r w:rsidRPr="00D1590E">
        <w:t>Pacific Economic Group Research</w:t>
      </w:r>
    </w:p>
    <w:p w:rsidR="00D1590E" w:rsidRPr="00D1590E" w:rsidRDefault="00D1590E" w:rsidP="00D1590E">
      <w:r w:rsidRPr="00D1590E">
        <w:t>PEGR questioned the way in which reliability was included in the scale index:</w:t>
      </w:r>
    </w:p>
    <w:p w:rsidR="00D1590E" w:rsidRPr="00D1590E" w:rsidRDefault="00D1590E" w:rsidP="00D1590E">
      <w:pPr>
        <w:pStyle w:val="AERquote"/>
      </w:pPr>
      <w:r w:rsidRPr="00D1590E">
        <w:t>The impact of reliability on opex is a complicated empirical issue. Good reliability may require higher opex, but it also depends on weather, forestation, system undergrounding, AMI, and system reinforcements. EI’s approach to reliability unfairly favors urban utilities in Victoria and ACT since these utilities enjoy favorable reliability operating conditions.</w:t>
      </w:r>
      <w:r w:rsidRPr="00D1590E">
        <w:rPr>
          <w:rStyle w:val="FootnoteReference"/>
        </w:rPr>
        <w:footnoteReference w:id="611"/>
      </w:r>
    </w:p>
    <w:p w:rsidR="00D1590E" w:rsidRPr="00D1590E" w:rsidRDefault="00D1590E" w:rsidP="00D1590E">
      <w:r w:rsidRPr="00D1590E">
        <w:t xml:space="preserve">In response to this comment Economic Insights notes that PEGR does not provide an explanation how the Victorian and ACT service providers differ from the NSW urban service providers which face broadly similar ‘reliability operating conditions’. Rather, Economic Insights notes that it is likely that the Victorian and ACT </w:t>
      </w:r>
      <w:r w:rsidR="000C4E69">
        <w:t>distributors</w:t>
      </w:r>
      <w:r w:rsidRPr="00D1590E">
        <w:t xml:space="preserve"> have focussed more on improving their reliability.</w:t>
      </w:r>
      <w:r w:rsidRPr="00D1590E">
        <w:rPr>
          <w:rStyle w:val="FootnoteReference"/>
        </w:rPr>
        <w:footnoteReference w:id="612"/>
      </w:r>
    </w:p>
    <w:p w:rsidR="00D1590E" w:rsidRPr="00D1590E" w:rsidRDefault="00D1590E" w:rsidP="00D1590E">
      <w:pPr>
        <w:pStyle w:val="HeadingBoldItalic"/>
      </w:pPr>
      <w:r w:rsidRPr="00D1590E">
        <w:t>Management control of reliability</w:t>
      </w:r>
    </w:p>
    <w:p w:rsidR="00D1590E" w:rsidRPr="00D1590E" w:rsidRDefault="00D1590E" w:rsidP="00D1590E">
      <w:pPr>
        <w:rPr>
          <w:rStyle w:val="AERbody"/>
        </w:rPr>
      </w:pPr>
      <w:r w:rsidRPr="00D1590E">
        <w:rPr>
          <w:rStyle w:val="AERbody"/>
        </w:rPr>
        <w:t>We consider that there are a number of actions that management can undertake in order to control the level of reliability within their networks. This includes spending more on vegetation management and maintenance. Advisian also notes actions that management can take to manage reliability.</w:t>
      </w:r>
      <w:r w:rsidRPr="00D1590E">
        <w:rPr>
          <w:rStyle w:val="FootnoteReference"/>
        </w:rPr>
        <w:footnoteReference w:id="613"/>
      </w:r>
      <w:r w:rsidRPr="00D1590E">
        <w:rPr>
          <w:rStyle w:val="AERbody"/>
        </w:rPr>
        <w:t xml:space="preserve"> Though outages are often caused by exogenous circumstances, reliability outcomes are not fully exogenous to management control. </w:t>
      </w:r>
    </w:p>
    <w:p w:rsidR="00D1590E" w:rsidRPr="00D1590E" w:rsidRDefault="00D1590E" w:rsidP="00D1590E">
      <w:pPr>
        <w:rPr>
          <w:rStyle w:val="AERbody"/>
        </w:rPr>
      </w:pPr>
      <w:r w:rsidRPr="00D1590E">
        <w:rPr>
          <w:rStyle w:val="AERbody"/>
        </w:rPr>
        <w:lastRenderedPageBreak/>
        <w:t xml:space="preserve">Further, in our benchmarking we apply the Institute of Electrical and Electronics Engineers standard to exclude the effects of major events that are caused by to extreme weather or other events. Consequently reliability outcomes that we have included in our benchmarking reflect business as usual circumstances. Thus the reliability in our benchmarking relates to events that are within management control. </w:t>
      </w:r>
    </w:p>
    <w:p w:rsidR="00D1590E" w:rsidRPr="006139BC" w:rsidRDefault="00D1590E" w:rsidP="00D1590E">
      <w:pPr>
        <w:pStyle w:val="HeadingBoldItalic"/>
      </w:pPr>
      <w:r w:rsidRPr="006139BC">
        <w:t>Meeting reliability standards</w:t>
      </w:r>
    </w:p>
    <w:p w:rsidR="00D1590E" w:rsidRPr="00D1590E" w:rsidRDefault="00D1590E" w:rsidP="00D1590E">
      <w:r w:rsidRPr="00D1590E">
        <w:t>Under the NER we must set opex at the level consistent with the operating expenditure criteria. This includes the prudent, efficient opex to meet reliability standards.</w:t>
      </w:r>
      <w:r w:rsidRPr="00D1590E">
        <w:rPr>
          <w:rStyle w:val="FootnoteReference"/>
        </w:rPr>
        <w:footnoteReference w:id="614"/>
      </w:r>
      <w:r w:rsidRPr="00D1590E">
        <w:t xml:space="preserve"> </w:t>
      </w:r>
    </w:p>
    <w:p w:rsidR="00D1590E" w:rsidRPr="00D1590E" w:rsidRDefault="00D1590E" w:rsidP="00D1590E">
      <w:r w:rsidRPr="00D1590E">
        <w:t xml:space="preserve">We consider that our estimate of base opex reasonably reflects the efficient and prudent costs for meeting reliability standards. Based on our benchmarking analysis, as outlined above, we consider that that the NSW service providers can deliver their current levels of reliability at lower cost. Our base year opex is sufficient for the NSW service providers to maintain their reliability at their current levels as the base year opex allowance is based upon their reliability over the benchmarking period.  </w:t>
      </w:r>
    </w:p>
    <w:p w:rsidR="00D1590E" w:rsidRPr="00D1590E" w:rsidRDefault="00D1590E" w:rsidP="00D1590E">
      <w:r w:rsidRPr="00D1590E">
        <w:t xml:space="preserve">If the current level of reliability was worse than the minimum reliability standards then the opex allowance might not reflect the costs of meeting these standards. However, the NSW service providers have been outperforming their minimum reliability standards. </w:t>
      </w:r>
    </w:p>
    <w:p w:rsidR="00D1590E" w:rsidRPr="00D1590E" w:rsidRDefault="00D1590E" w:rsidP="00D1590E">
      <w:r w:rsidRPr="00D1590E">
        <w:fldChar w:fldCharType="begin"/>
      </w:r>
      <w:r w:rsidRPr="00D1590E">
        <w:instrText xml:space="preserve"> REF _Ref417643644 \h </w:instrText>
      </w:r>
      <w:r w:rsidRPr="00D1590E">
        <w:fldChar w:fldCharType="separate"/>
      </w:r>
      <w:r w:rsidR="00C57342" w:rsidRPr="00D1590E">
        <w:t xml:space="preserve">Figure </w:t>
      </w:r>
      <w:r w:rsidR="00C57342">
        <w:rPr>
          <w:noProof/>
        </w:rPr>
        <w:t>A</w:t>
      </w:r>
      <w:r w:rsidR="00C57342" w:rsidRPr="00D1590E">
        <w:t>.</w:t>
      </w:r>
      <w:r w:rsidR="00C57342">
        <w:rPr>
          <w:noProof/>
        </w:rPr>
        <w:t>18</w:t>
      </w:r>
      <w:r w:rsidRPr="00D1590E">
        <w:fldChar w:fldCharType="end"/>
      </w:r>
      <w:r w:rsidRPr="00D1590E">
        <w:t xml:space="preserve"> and </w:t>
      </w:r>
      <w:r w:rsidRPr="00D1590E">
        <w:fldChar w:fldCharType="begin"/>
      </w:r>
      <w:r w:rsidRPr="00D1590E">
        <w:instrText xml:space="preserve"> REF _Ref417643658 \h </w:instrText>
      </w:r>
      <w:r w:rsidRPr="00D1590E">
        <w:fldChar w:fldCharType="separate"/>
      </w:r>
      <w:r w:rsidR="00C57342" w:rsidRPr="00D1590E">
        <w:t xml:space="preserve">Figure </w:t>
      </w:r>
      <w:r w:rsidR="00C57342">
        <w:rPr>
          <w:noProof/>
        </w:rPr>
        <w:t>A</w:t>
      </w:r>
      <w:r w:rsidR="00C57342" w:rsidRPr="00D1590E">
        <w:t>.</w:t>
      </w:r>
      <w:r w:rsidR="00C57342">
        <w:rPr>
          <w:noProof/>
        </w:rPr>
        <w:t>19</w:t>
      </w:r>
      <w:r w:rsidRPr="00D1590E">
        <w:fldChar w:fldCharType="end"/>
      </w:r>
      <w:r w:rsidRPr="00D1590E">
        <w:t xml:space="preserve"> show that Essential and Endeavour have outperformed their reliability targets in every instance over the last five years.</w:t>
      </w:r>
    </w:p>
    <w:p w:rsidR="00D1590E" w:rsidRPr="00D1590E" w:rsidRDefault="00D1590E" w:rsidP="00D1590E">
      <w:r w:rsidRPr="00D1590E">
        <w:fldChar w:fldCharType="begin"/>
      </w:r>
      <w:r w:rsidRPr="00D1590E">
        <w:instrText xml:space="preserve"> REF _Ref417643679 \h </w:instrText>
      </w:r>
      <w:r w:rsidRPr="00D1590E">
        <w:fldChar w:fldCharType="separate"/>
      </w:r>
      <w:r w:rsidR="00C57342" w:rsidRPr="00D1590E">
        <w:t xml:space="preserve">Figure </w:t>
      </w:r>
      <w:r w:rsidR="00C57342">
        <w:rPr>
          <w:noProof/>
        </w:rPr>
        <w:t>A</w:t>
      </w:r>
      <w:r w:rsidR="00C57342" w:rsidRPr="00D1590E">
        <w:t>.</w:t>
      </w:r>
      <w:r w:rsidR="00C57342">
        <w:rPr>
          <w:noProof/>
        </w:rPr>
        <w:t>20</w:t>
      </w:r>
      <w:r w:rsidRPr="00D1590E">
        <w:fldChar w:fldCharType="end"/>
      </w:r>
      <w:r w:rsidRPr="00D1590E">
        <w:t xml:space="preserve"> shows Ausgrid's performance against its reliability standards. This figure indicates that Ausgrid has been meeting the standards in almost every instance over the last five years. </w:t>
      </w:r>
    </w:p>
    <w:p w:rsidR="00D1590E" w:rsidRPr="00D1590E" w:rsidRDefault="00D1590E" w:rsidP="00D1590E">
      <w:r w:rsidRPr="00D1590E">
        <w:t>As such, we are comfortable that our substitute base opex reflects the efficient, prudent costs of meeting the reliability standards. Given this we do not consider that the NSW service providers require and adjustment to meet their minimum reliability standards.</w:t>
      </w:r>
    </w:p>
    <w:p w:rsidR="00D1590E" w:rsidRPr="00D1590E" w:rsidRDefault="00D1590E" w:rsidP="00D1590E">
      <w:pPr>
        <w:pStyle w:val="Caption"/>
      </w:pPr>
      <w:bookmarkStart w:id="343" w:name="_Ref417643644"/>
      <w:r w:rsidRPr="00D1590E">
        <w:lastRenderedPageBreak/>
        <w:t xml:space="preserve">Figure </w:t>
      </w:r>
      <w:fldSimple w:instr=" STYLEREF 7 \s ">
        <w:r w:rsidR="00C57342">
          <w:rPr>
            <w:noProof/>
          </w:rPr>
          <w:t>A</w:t>
        </w:r>
      </w:fldSimple>
      <w:r w:rsidRPr="00D1590E">
        <w:t>.</w:t>
      </w:r>
      <w:fldSimple w:instr=" SEQ AFigure \* ARABIC \s 7 ">
        <w:r w:rsidR="00C57342">
          <w:rPr>
            <w:noProof/>
          </w:rPr>
          <w:t>18</w:t>
        </w:r>
      </w:fldSimple>
      <w:bookmarkEnd w:id="343"/>
      <w:r w:rsidRPr="00D1590E">
        <w:tab/>
        <w:t>Essential Energy's performance against its current reliability standards</w:t>
      </w:r>
    </w:p>
    <w:tbl>
      <w:tblPr>
        <w:tblStyle w:val="TableGrid"/>
        <w:tblW w:w="0" w:type="auto"/>
        <w:tblLook w:val="0480" w:firstRow="0" w:lastRow="0" w:firstColumn="1" w:lastColumn="0" w:noHBand="0" w:noVBand="1"/>
      </w:tblPr>
      <w:tblGrid>
        <w:gridCol w:w="4346"/>
        <w:gridCol w:w="4346"/>
      </w:tblGrid>
      <w:tr w:rsidR="00D1590E" w:rsidTr="00D1590E">
        <w:tc>
          <w:tcPr>
            <w:cnfStyle w:val="001000000000" w:firstRow="0" w:lastRow="0" w:firstColumn="1" w:lastColumn="0" w:oddVBand="0" w:evenVBand="0" w:oddHBand="0" w:evenHBand="0" w:firstRowFirstColumn="0" w:firstRowLastColumn="0" w:lastRowFirstColumn="0" w:lastRowLastColumn="0"/>
            <w:tcW w:w="4621" w:type="dxa"/>
          </w:tcPr>
          <w:p w:rsidR="00D1590E" w:rsidRPr="00D1590E" w:rsidRDefault="00D1590E" w:rsidP="00D1590E">
            <w:r w:rsidRPr="00D1590E">
              <w:rPr>
                <w:noProof/>
                <w:lang w:eastAsia="en-AU"/>
              </w:rPr>
              <w:drawing>
                <wp:anchor distT="0" distB="0" distL="114300" distR="114300" simplePos="0" relativeHeight="251665408" behindDoc="0" locked="0" layoutInCell="1" allowOverlap="1" wp14:anchorId="5F85E3B6" wp14:editId="2E7D9A41">
                  <wp:simplePos x="0" y="0"/>
                  <wp:positionH relativeFrom="column">
                    <wp:posOffset>0</wp:posOffset>
                  </wp:positionH>
                  <wp:positionV relativeFrom="paragraph">
                    <wp:posOffset>0</wp:posOffset>
                  </wp:positionV>
                  <wp:extent cx="2879725" cy="179578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rPr>
                <w:noProof/>
                <w:lang w:eastAsia="en-AU"/>
              </w:rPr>
              <w:drawing>
                <wp:anchor distT="0" distB="0" distL="114300" distR="114300" simplePos="0" relativeHeight="251666432" behindDoc="0" locked="0" layoutInCell="1" allowOverlap="1" wp14:anchorId="239380FD" wp14:editId="6CC8276D">
                  <wp:simplePos x="0" y="0"/>
                  <wp:positionH relativeFrom="column">
                    <wp:posOffset>0</wp:posOffset>
                  </wp:positionH>
                  <wp:positionV relativeFrom="paragraph">
                    <wp:posOffset>0</wp:posOffset>
                  </wp:positionV>
                  <wp:extent cx="2879725" cy="179578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590E" w:rsidTr="00D1590E">
        <w:tc>
          <w:tcPr>
            <w:cnfStyle w:val="001000000000" w:firstRow="0" w:lastRow="0" w:firstColumn="1" w:lastColumn="0" w:oddVBand="0" w:evenVBand="0" w:oddHBand="0" w:evenHBand="0" w:firstRowFirstColumn="0" w:firstRowLastColumn="0" w:lastRowFirstColumn="0" w:lastRowLastColumn="0"/>
            <w:tcW w:w="4621" w:type="dxa"/>
          </w:tcPr>
          <w:p w:rsidR="00D1590E" w:rsidRPr="00D1590E" w:rsidRDefault="00D1590E" w:rsidP="00D1590E">
            <w:r w:rsidRPr="00D1590E">
              <w:rPr>
                <w:noProof/>
                <w:lang w:eastAsia="en-AU"/>
              </w:rPr>
              <w:drawing>
                <wp:anchor distT="0" distB="0" distL="114300" distR="114300" simplePos="0" relativeHeight="251667456" behindDoc="0" locked="0" layoutInCell="1" allowOverlap="1" wp14:anchorId="559D5F4E" wp14:editId="115E23F5">
                  <wp:simplePos x="0" y="0"/>
                  <wp:positionH relativeFrom="column">
                    <wp:posOffset>0</wp:posOffset>
                  </wp:positionH>
                  <wp:positionV relativeFrom="paragraph">
                    <wp:posOffset>0</wp:posOffset>
                  </wp:positionV>
                  <wp:extent cx="2879725" cy="179578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rPr>
                <w:noProof/>
                <w:lang w:eastAsia="en-AU"/>
              </w:rPr>
              <w:drawing>
                <wp:anchor distT="0" distB="0" distL="114300" distR="114300" simplePos="0" relativeHeight="251670528" behindDoc="0" locked="0" layoutInCell="1" allowOverlap="1" wp14:anchorId="639621B4" wp14:editId="1197DCF8">
                  <wp:simplePos x="0" y="0"/>
                  <wp:positionH relativeFrom="column">
                    <wp:posOffset>0</wp:posOffset>
                  </wp:positionH>
                  <wp:positionV relativeFrom="paragraph">
                    <wp:posOffset>0</wp:posOffset>
                  </wp:positionV>
                  <wp:extent cx="2879725" cy="179578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590E" w:rsidTr="00D1590E">
        <w:tc>
          <w:tcPr>
            <w:cnfStyle w:val="001000000000" w:firstRow="0" w:lastRow="0" w:firstColumn="1" w:lastColumn="0" w:oddVBand="0" w:evenVBand="0" w:oddHBand="0" w:evenHBand="0" w:firstRowFirstColumn="0" w:firstRowLastColumn="0" w:lastRowFirstColumn="0" w:lastRowLastColumn="0"/>
            <w:tcW w:w="4621" w:type="dxa"/>
          </w:tcPr>
          <w:p w:rsidR="00D1590E" w:rsidRPr="00D1590E" w:rsidRDefault="00D1590E" w:rsidP="00D1590E">
            <w:r w:rsidRPr="00D1590E">
              <w:rPr>
                <w:noProof/>
                <w:lang w:eastAsia="en-AU"/>
              </w:rPr>
              <w:drawing>
                <wp:anchor distT="0" distB="0" distL="114300" distR="114300" simplePos="0" relativeHeight="251668480" behindDoc="0" locked="0" layoutInCell="1" allowOverlap="1" wp14:anchorId="0A04E320" wp14:editId="7889EB9C">
                  <wp:simplePos x="0" y="0"/>
                  <wp:positionH relativeFrom="column">
                    <wp:posOffset>0</wp:posOffset>
                  </wp:positionH>
                  <wp:positionV relativeFrom="paragraph">
                    <wp:posOffset>0</wp:posOffset>
                  </wp:positionV>
                  <wp:extent cx="2879725" cy="179578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rPr>
                <w:noProof/>
                <w:lang w:eastAsia="en-AU"/>
              </w:rPr>
              <w:drawing>
                <wp:anchor distT="0" distB="0" distL="114300" distR="114300" simplePos="0" relativeHeight="251669504" behindDoc="0" locked="0" layoutInCell="1" allowOverlap="1" wp14:anchorId="5E20A739" wp14:editId="25BC1099">
                  <wp:simplePos x="0" y="0"/>
                  <wp:positionH relativeFrom="column">
                    <wp:posOffset>0</wp:posOffset>
                  </wp:positionH>
                  <wp:positionV relativeFrom="paragraph">
                    <wp:posOffset>0</wp:posOffset>
                  </wp:positionV>
                  <wp:extent cx="2879725" cy="179578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1590E" w:rsidRPr="00D1590E" w:rsidRDefault="00D1590E" w:rsidP="00D1590E">
      <w:pPr>
        <w:pStyle w:val="AERtablesource"/>
      </w:pPr>
      <w:bookmarkStart w:id="344" w:name="_Ref412463473"/>
      <w:r w:rsidRPr="00D1590E">
        <w:t>Source: AER analysis</w:t>
      </w:r>
    </w:p>
    <w:p w:rsidR="00D1590E" w:rsidRPr="00D1590E" w:rsidRDefault="00D1590E" w:rsidP="00D1590E">
      <w:pPr>
        <w:pStyle w:val="Caption"/>
      </w:pPr>
      <w:bookmarkStart w:id="345" w:name="_Ref417643658"/>
      <w:bookmarkEnd w:id="344"/>
      <w:r w:rsidRPr="00D1590E">
        <w:lastRenderedPageBreak/>
        <w:t xml:space="preserve">Figure </w:t>
      </w:r>
      <w:fldSimple w:instr=" STYLEREF 7 \s ">
        <w:r w:rsidR="00C57342">
          <w:rPr>
            <w:noProof/>
          </w:rPr>
          <w:t>A</w:t>
        </w:r>
      </w:fldSimple>
      <w:r w:rsidRPr="00D1590E">
        <w:t>.</w:t>
      </w:r>
      <w:fldSimple w:instr=" SEQ AFigure \* ARABIC \s 7 ">
        <w:r w:rsidR="00C57342">
          <w:rPr>
            <w:noProof/>
          </w:rPr>
          <w:t>19</w:t>
        </w:r>
      </w:fldSimple>
      <w:bookmarkEnd w:id="345"/>
      <w:r w:rsidRPr="00D1590E">
        <w:tab/>
        <w:t>Endeavour Energy's performance against its current reliability standards</w:t>
      </w:r>
    </w:p>
    <w:tbl>
      <w:tblPr>
        <w:tblStyle w:val="TableGrid"/>
        <w:tblW w:w="0" w:type="auto"/>
        <w:tblLook w:val="0480" w:firstRow="0" w:lastRow="0" w:firstColumn="1" w:lastColumn="0" w:noHBand="0" w:noVBand="1"/>
      </w:tblPr>
      <w:tblGrid>
        <w:gridCol w:w="4346"/>
        <w:gridCol w:w="4346"/>
      </w:tblGrid>
      <w:tr w:rsidR="00D1590E" w:rsidTr="00D1590E">
        <w:tc>
          <w:tcPr>
            <w:cnfStyle w:val="001000000000" w:firstRow="0" w:lastRow="0" w:firstColumn="1" w:lastColumn="0" w:oddVBand="0" w:evenVBand="0" w:oddHBand="0" w:evenHBand="0" w:firstRowFirstColumn="0" w:firstRowLastColumn="0" w:lastRowFirstColumn="0" w:lastRowLastColumn="0"/>
            <w:tcW w:w="4346" w:type="dxa"/>
          </w:tcPr>
          <w:p w:rsidR="00D1590E" w:rsidRPr="00D1590E" w:rsidRDefault="00D1590E" w:rsidP="00D1590E">
            <w:r w:rsidRPr="00D1590E">
              <w:rPr>
                <w:noProof/>
                <w:lang w:eastAsia="en-AU"/>
              </w:rPr>
              <w:drawing>
                <wp:anchor distT="0" distB="0" distL="114300" distR="114300" simplePos="0" relativeHeight="251673600" behindDoc="0" locked="0" layoutInCell="1" allowOverlap="1" wp14:anchorId="3AD57DB9" wp14:editId="2B44E844">
                  <wp:simplePos x="0" y="0"/>
                  <wp:positionH relativeFrom="column">
                    <wp:posOffset>0</wp:posOffset>
                  </wp:positionH>
                  <wp:positionV relativeFrom="paragraph">
                    <wp:posOffset>0</wp:posOffset>
                  </wp:positionV>
                  <wp:extent cx="2878455" cy="179578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7" w:type="dxa"/>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rPr>
                <w:noProof/>
                <w:lang w:eastAsia="en-AU"/>
              </w:rPr>
              <w:drawing>
                <wp:anchor distT="0" distB="0" distL="114300" distR="114300" simplePos="0" relativeHeight="251674624" behindDoc="0" locked="0" layoutInCell="1" allowOverlap="1" wp14:anchorId="0D8F4C2D" wp14:editId="4D6A1B29">
                  <wp:simplePos x="0" y="0"/>
                  <wp:positionH relativeFrom="column">
                    <wp:posOffset>0</wp:posOffset>
                  </wp:positionH>
                  <wp:positionV relativeFrom="paragraph">
                    <wp:posOffset>0</wp:posOffset>
                  </wp:positionV>
                  <wp:extent cx="2879725" cy="179578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590E" w:rsidTr="00D1590E">
        <w:tc>
          <w:tcPr>
            <w:cnfStyle w:val="001000000000" w:firstRow="0" w:lastRow="0" w:firstColumn="1" w:lastColumn="0" w:oddVBand="0" w:evenVBand="0" w:oddHBand="0" w:evenHBand="0" w:firstRowFirstColumn="0" w:firstRowLastColumn="0" w:lastRowFirstColumn="0" w:lastRowLastColumn="0"/>
            <w:tcW w:w="4346" w:type="dxa"/>
          </w:tcPr>
          <w:p w:rsidR="00D1590E" w:rsidRPr="00D1590E" w:rsidRDefault="00D1590E" w:rsidP="00D1590E">
            <w:r w:rsidRPr="00D1590E">
              <w:rPr>
                <w:noProof/>
                <w:lang w:eastAsia="en-AU"/>
              </w:rPr>
              <w:drawing>
                <wp:anchor distT="0" distB="0" distL="114300" distR="114300" simplePos="0" relativeHeight="251671552" behindDoc="0" locked="0" layoutInCell="1" allowOverlap="1" wp14:anchorId="7AA0D24D" wp14:editId="06B0CF15">
                  <wp:simplePos x="0" y="0"/>
                  <wp:positionH relativeFrom="column">
                    <wp:posOffset>0</wp:posOffset>
                  </wp:positionH>
                  <wp:positionV relativeFrom="paragraph">
                    <wp:posOffset>0</wp:posOffset>
                  </wp:positionV>
                  <wp:extent cx="2879725" cy="179578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7" w:type="dxa"/>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rPr>
                <w:noProof/>
                <w:lang w:eastAsia="en-AU"/>
              </w:rPr>
              <w:drawing>
                <wp:anchor distT="0" distB="0" distL="114300" distR="114300" simplePos="0" relativeHeight="251672576" behindDoc="0" locked="0" layoutInCell="1" allowOverlap="1" wp14:anchorId="48051CE3" wp14:editId="07321C84">
                  <wp:simplePos x="0" y="0"/>
                  <wp:positionH relativeFrom="column">
                    <wp:posOffset>0</wp:posOffset>
                  </wp:positionH>
                  <wp:positionV relativeFrom="paragraph">
                    <wp:posOffset>0</wp:posOffset>
                  </wp:positionV>
                  <wp:extent cx="2879725" cy="179578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1590E" w:rsidRPr="00D1590E" w:rsidRDefault="00D1590E" w:rsidP="00D1590E">
      <w:pPr>
        <w:pStyle w:val="AERtablesource"/>
      </w:pPr>
      <w:bookmarkStart w:id="346" w:name="_Ref412461876"/>
      <w:r w:rsidRPr="00D1590E">
        <w:t>Source: AER analysis</w:t>
      </w:r>
    </w:p>
    <w:p w:rsidR="00D1590E" w:rsidRPr="00D1590E" w:rsidRDefault="00D1590E" w:rsidP="00D1590E">
      <w:pPr>
        <w:pStyle w:val="Caption"/>
      </w:pPr>
      <w:bookmarkStart w:id="347" w:name="_Ref417643679"/>
      <w:bookmarkEnd w:id="346"/>
      <w:r w:rsidRPr="00D1590E">
        <w:t xml:space="preserve">Figure </w:t>
      </w:r>
      <w:fldSimple w:instr=" STYLEREF 7 \s ">
        <w:r w:rsidR="00C57342">
          <w:rPr>
            <w:noProof/>
          </w:rPr>
          <w:t>A</w:t>
        </w:r>
      </w:fldSimple>
      <w:r w:rsidRPr="00D1590E">
        <w:t>.</w:t>
      </w:r>
      <w:fldSimple w:instr=" SEQ AFigure \* ARABIC \s 7 ">
        <w:r w:rsidR="00C57342">
          <w:rPr>
            <w:noProof/>
          </w:rPr>
          <w:t>20</w:t>
        </w:r>
      </w:fldSimple>
      <w:bookmarkEnd w:id="347"/>
      <w:r w:rsidRPr="00D1590E">
        <w:tab/>
        <w:t>Ausgrid's performance against its current reliability standards</w:t>
      </w:r>
    </w:p>
    <w:tbl>
      <w:tblPr>
        <w:tblStyle w:val="TableGrid"/>
        <w:tblW w:w="0" w:type="auto"/>
        <w:tblLook w:val="0480" w:firstRow="0" w:lastRow="0" w:firstColumn="1" w:lastColumn="0" w:noHBand="0" w:noVBand="1"/>
      </w:tblPr>
      <w:tblGrid>
        <w:gridCol w:w="4346"/>
        <w:gridCol w:w="4346"/>
      </w:tblGrid>
      <w:tr w:rsidR="00D1590E" w:rsidRPr="00244FD1" w:rsidTr="00D1590E">
        <w:tc>
          <w:tcPr>
            <w:cnfStyle w:val="001000000000" w:firstRow="0" w:lastRow="0" w:firstColumn="1" w:lastColumn="0" w:oddVBand="0" w:evenVBand="0" w:oddHBand="0" w:evenHBand="0" w:firstRowFirstColumn="0" w:firstRowLastColumn="0" w:lastRowFirstColumn="0" w:lastRowLastColumn="0"/>
            <w:tcW w:w="0" w:type="auto"/>
          </w:tcPr>
          <w:p w:rsidR="00D1590E" w:rsidRPr="00D1590E" w:rsidRDefault="00D1590E" w:rsidP="00D1590E">
            <w:r w:rsidRPr="00D1590E">
              <w:rPr>
                <w:noProof/>
                <w:lang w:eastAsia="en-AU"/>
              </w:rPr>
              <w:drawing>
                <wp:anchor distT="0" distB="0" distL="114300" distR="114300" simplePos="0" relativeHeight="251675648" behindDoc="0" locked="0" layoutInCell="1" allowOverlap="1" wp14:anchorId="287CA495" wp14:editId="50C2BD8C">
                  <wp:simplePos x="0" y="0"/>
                  <wp:positionH relativeFrom="column">
                    <wp:posOffset>0</wp:posOffset>
                  </wp:positionH>
                  <wp:positionV relativeFrom="paragraph">
                    <wp:posOffset>0</wp:posOffset>
                  </wp:positionV>
                  <wp:extent cx="2878455" cy="179578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t xml:space="preserve"> </w:t>
            </w:r>
            <w:r w:rsidRPr="00D1590E">
              <w:rPr>
                <w:noProof/>
                <w:lang w:eastAsia="en-AU"/>
              </w:rPr>
              <w:drawing>
                <wp:anchor distT="0" distB="0" distL="114300" distR="114300" simplePos="0" relativeHeight="251676672" behindDoc="0" locked="0" layoutInCell="1" allowOverlap="1" wp14:anchorId="59EE8065" wp14:editId="2DC0890B">
                  <wp:simplePos x="0" y="0"/>
                  <wp:positionH relativeFrom="column">
                    <wp:posOffset>0</wp:posOffset>
                  </wp:positionH>
                  <wp:positionV relativeFrom="paragraph">
                    <wp:posOffset>0</wp:posOffset>
                  </wp:positionV>
                  <wp:extent cx="2879725" cy="179578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590E" w:rsidRPr="00244FD1" w:rsidTr="00D1590E">
        <w:tc>
          <w:tcPr>
            <w:cnfStyle w:val="001000000000" w:firstRow="0" w:lastRow="0" w:firstColumn="1" w:lastColumn="0" w:oddVBand="0" w:evenVBand="0" w:oddHBand="0" w:evenHBand="0" w:firstRowFirstColumn="0" w:firstRowLastColumn="0" w:lastRowFirstColumn="0" w:lastRowLastColumn="0"/>
            <w:tcW w:w="0" w:type="auto"/>
          </w:tcPr>
          <w:p w:rsidR="00D1590E" w:rsidRPr="00D1590E" w:rsidRDefault="00D1590E" w:rsidP="00D1590E">
            <w:r w:rsidRPr="00D1590E">
              <w:rPr>
                <w:noProof/>
                <w:lang w:eastAsia="en-AU"/>
              </w:rPr>
              <w:lastRenderedPageBreak/>
              <w:drawing>
                <wp:anchor distT="0" distB="0" distL="114300" distR="114300" simplePos="0" relativeHeight="251677696" behindDoc="0" locked="0" layoutInCell="1" allowOverlap="1" wp14:anchorId="4E56497B" wp14:editId="5F4DCF65">
                  <wp:simplePos x="0" y="0"/>
                  <wp:positionH relativeFrom="column">
                    <wp:posOffset>0</wp:posOffset>
                  </wp:positionH>
                  <wp:positionV relativeFrom="paragraph">
                    <wp:posOffset>0</wp:posOffset>
                  </wp:positionV>
                  <wp:extent cx="2878455" cy="179578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rPr>
                <w:noProof/>
                <w:lang w:eastAsia="en-AU"/>
              </w:rPr>
              <w:drawing>
                <wp:anchor distT="0" distB="0" distL="114300" distR="114300" simplePos="0" relativeHeight="251678720" behindDoc="0" locked="0" layoutInCell="1" allowOverlap="1" wp14:anchorId="471A3C1E" wp14:editId="5481305A">
                  <wp:simplePos x="0" y="0"/>
                  <wp:positionH relativeFrom="column">
                    <wp:posOffset>0</wp:posOffset>
                  </wp:positionH>
                  <wp:positionV relativeFrom="paragraph">
                    <wp:posOffset>0</wp:posOffset>
                  </wp:positionV>
                  <wp:extent cx="2879725" cy="179578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590E" w:rsidRPr="00244FD1" w:rsidTr="00D1590E">
        <w:tc>
          <w:tcPr>
            <w:cnfStyle w:val="001000000000" w:firstRow="0" w:lastRow="0" w:firstColumn="1" w:lastColumn="0" w:oddVBand="0" w:evenVBand="0" w:oddHBand="0" w:evenHBand="0" w:firstRowFirstColumn="0" w:firstRowLastColumn="0" w:lastRowFirstColumn="0" w:lastRowLastColumn="0"/>
            <w:tcW w:w="0" w:type="auto"/>
          </w:tcPr>
          <w:p w:rsidR="00D1590E" w:rsidRPr="00D1590E" w:rsidRDefault="00D1590E" w:rsidP="00D1590E">
            <w:r w:rsidRPr="00D1590E">
              <w:rPr>
                <w:noProof/>
                <w:lang w:eastAsia="en-AU"/>
              </w:rPr>
              <w:drawing>
                <wp:anchor distT="0" distB="0" distL="114300" distR="114300" simplePos="0" relativeHeight="251679744" behindDoc="0" locked="0" layoutInCell="1" allowOverlap="1" wp14:anchorId="7B28C448" wp14:editId="65FF0B52">
                  <wp:simplePos x="0" y="0"/>
                  <wp:positionH relativeFrom="column">
                    <wp:posOffset>0</wp:posOffset>
                  </wp:positionH>
                  <wp:positionV relativeFrom="paragraph">
                    <wp:posOffset>0</wp:posOffset>
                  </wp:positionV>
                  <wp:extent cx="2879725" cy="179578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rPr>
                <w:noProof/>
                <w:lang w:eastAsia="en-AU"/>
              </w:rPr>
              <w:drawing>
                <wp:anchor distT="0" distB="0" distL="114300" distR="114300" simplePos="0" relativeHeight="251680768" behindDoc="0" locked="0" layoutInCell="1" allowOverlap="1" wp14:anchorId="04622AB9" wp14:editId="450DBE31">
                  <wp:simplePos x="0" y="0"/>
                  <wp:positionH relativeFrom="column">
                    <wp:posOffset>0</wp:posOffset>
                  </wp:positionH>
                  <wp:positionV relativeFrom="paragraph">
                    <wp:posOffset>0</wp:posOffset>
                  </wp:positionV>
                  <wp:extent cx="2878455" cy="179578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590E" w:rsidRPr="00244FD1" w:rsidTr="00D1590E">
        <w:tc>
          <w:tcPr>
            <w:cnfStyle w:val="001000000000" w:firstRow="0" w:lastRow="0" w:firstColumn="1" w:lastColumn="0" w:oddVBand="0" w:evenVBand="0" w:oddHBand="0" w:evenHBand="0" w:firstRowFirstColumn="0" w:firstRowLastColumn="0" w:lastRowFirstColumn="0" w:lastRowLastColumn="0"/>
            <w:tcW w:w="0" w:type="auto"/>
          </w:tcPr>
          <w:p w:rsidR="00D1590E" w:rsidRPr="00D1590E" w:rsidRDefault="00D1590E" w:rsidP="00D1590E">
            <w:r w:rsidRPr="00D1590E">
              <w:rPr>
                <w:noProof/>
                <w:lang w:eastAsia="en-AU"/>
              </w:rPr>
              <w:drawing>
                <wp:anchor distT="0" distB="0" distL="114300" distR="114300" simplePos="0" relativeHeight="251681792" behindDoc="0" locked="0" layoutInCell="1" allowOverlap="1" wp14:anchorId="3B46467A" wp14:editId="120A86A6">
                  <wp:simplePos x="0" y="0"/>
                  <wp:positionH relativeFrom="column">
                    <wp:posOffset>0</wp:posOffset>
                  </wp:positionH>
                  <wp:positionV relativeFrom="paragraph">
                    <wp:posOffset>0</wp:posOffset>
                  </wp:positionV>
                  <wp:extent cx="2879725" cy="179578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rPr>
                <w:noProof/>
                <w:lang w:eastAsia="en-AU"/>
              </w:rPr>
              <w:drawing>
                <wp:anchor distT="0" distB="0" distL="114300" distR="114300" simplePos="0" relativeHeight="251682816" behindDoc="0" locked="0" layoutInCell="1" allowOverlap="1" wp14:anchorId="38DC36FE" wp14:editId="733679F3">
                  <wp:simplePos x="0" y="0"/>
                  <wp:positionH relativeFrom="column">
                    <wp:posOffset>0</wp:posOffset>
                  </wp:positionH>
                  <wp:positionV relativeFrom="paragraph">
                    <wp:posOffset>0</wp:posOffset>
                  </wp:positionV>
                  <wp:extent cx="2879725" cy="179578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1590E" w:rsidRPr="00D1590E" w:rsidRDefault="00D1590E" w:rsidP="00D1590E">
      <w:pPr>
        <w:pStyle w:val="HeadingBoldBlue"/>
      </w:pPr>
      <w:bookmarkStart w:id="348" w:name="_Toc417646313"/>
      <w:r w:rsidRPr="00D1590E">
        <w:t>Safety outcomes</w:t>
      </w:r>
      <w:bookmarkEnd w:id="348"/>
    </w:p>
    <w:p w:rsidR="00D1590E" w:rsidRPr="00D1590E" w:rsidRDefault="00D1590E" w:rsidP="00D1590E">
      <w:pPr>
        <w:pStyle w:val="ListParagraph"/>
        <w:numPr>
          <w:ilvl w:val="0"/>
          <w:numId w:val="24"/>
        </w:numPr>
      </w:pPr>
      <w:r w:rsidRPr="00D1590E">
        <w:t xml:space="preserve">We are not satisfied that an OEF adjustment for service providers' safety outcomes would meet the duplication OEF adjustment criterion. Safety outcomes are implicitly accounted for in the SFA benchmarking model as the comparison firms all operate safe networks. </w:t>
      </w:r>
    </w:p>
    <w:p w:rsidR="00D1590E" w:rsidRPr="00D1590E" w:rsidRDefault="00D1590E" w:rsidP="00D1590E">
      <w:pPr>
        <w:pStyle w:val="ListParagraph"/>
        <w:numPr>
          <w:ilvl w:val="0"/>
          <w:numId w:val="24"/>
        </w:numPr>
      </w:pPr>
      <w:r w:rsidRPr="00D1590E">
        <w:t>In response to our draft decision, the NSW service providers stated that:</w:t>
      </w:r>
    </w:p>
    <w:p w:rsidR="00D1590E" w:rsidRPr="00D1590E" w:rsidRDefault="00D1590E" w:rsidP="00D1590E">
      <w:pPr>
        <w:pStyle w:val="AERquote"/>
      </w:pPr>
      <w:r w:rsidRPr="00D1590E">
        <w:lastRenderedPageBreak/>
        <w:t>It is … our view that the AER draft decision does not provide sufficient revenues to maintain the safety of the system consistent with achievement of the NEO.</w:t>
      </w:r>
      <w:r w:rsidRPr="00D1590E">
        <w:rPr>
          <w:rStyle w:val="FootnoteReference"/>
        </w:rPr>
        <w:t xml:space="preserve"> </w:t>
      </w:r>
      <w:r w:rsidRPr="00D1590E">
        <w:rPr>
          <w:rStyle w:val="FootnoteReference"/>
        </w:rPr>
        <w:footnoteReference w:id="615"/>
      </w:r>
      <w:r w:rsidRPr="00D1590E">
        <w:t xml:space="preserve"> </w:t>
      </w:r>
      <w:r w:rsidRPr="00D1590E">
        <w:rPr>
          <w:rStyle w:val="FootnoteReference"/>
        </w:rPr>
        <w:footnoteReference w:id="616"/>
      </w:r>
      <w:r w:rsidRPr="00D1590E">
        <w:t xml:space="preserve"> </w:t>
      </w:r>
      <w:r w:rsidRPr="00D1590E">
        <w:rPr>
          <w:rStyle w:val="FootnoteReference"/>
        </w:rPr>
        <w:footnoteReference w:id="617"/>
      </w:r>
      <w:r w:rsidRPr="00D1590E">
        <w:t xml:space="preserve"> </w:t>
      </w:r>
    </w:p>
    <w:p w:rsidR="00D1590E" w:rsidRPr="00D1590E" w:rsidRDefault="00D1590E" w:rsidP="00D1590E">
      <w:pPr>
        <w:pStyle w:val="ListParagraph"/>
        <w:numPr>
          <w:ilvl w:val="0"/>
          <w:numId w:val="24"/>
        </w:numPr>
      </w:pPr>
      <w:r w:rsidRPr="00D1590E">
        <w:t>In response to our statement, that peers in other states are able to provide safe reliable services at lower overall levels of opex, they submitted:</w:t>
      </w:r>
    </w:p>
    <w:p w:rsidR="00D1590E" w:rsidRPr="00D1590E" w:rsidRDefault="00D1590E" w:rsidP="00D1590E">
      <w:pPr>
        <w:pStyle w:val="AERquote"/>
      </w:pPr>
      <w:r w:rsidRPr="00D1590E">
        <w:t>"We disagree with this statement and draw the attention of the AER to recent critical electrical network failure events in other states which have had, or had the potential to, impact the lives and wellbeing of the public."</w:t>
      </w:r>
      <w:r w:rsidRPr="00D1590E">
        <w:rPr>
          <w:rStyle w:val="FootnoteReference"/>
        </w:rPr>
        <w:t xml:space="preserve"> </w:t>
      </w:r>
      <w:r w:rsidRPr="00D1590E">
        <w:rPr>
          <w:rStyle w:val="FootnoteReference"/>
        </w:rPr>
        <w:footnoteReference w:id="618"/>
      </w:r>
      <w:r w:rsidRPr="00D1590E">
        <w:t xml:space="preserve"> </w:t>
      </w:r>
      <w:r w:rsidRPr="00D1590E">
        <w:rPr>
          <w:rStyle w:val="FootnoteReference"/>
        </w:rPr>
        <w:footnoteReference w:id="619"/>
      </w:r>
      <w:r w:rsidRPr="00D1590E">
        <w:t xml:space="preserve"> </w:t>
      </w:r>
      <w:r w:rsidRPr="00D1590E">
        <w:rPr>
          <w:rStyle w:val="FootnoteReference"/>
        </w:rPr>
        <w:footnoteReference w:id="620"/>
      </w:r>
    </w:p>
    <w:p w:rsidR="00D1590E" w:rsidRPr="00D1590E" w:rsidRDefault="00D1590E" w:rsidP="00D1590E">
      <w:pPr>
        <w:pStyle w:val="ListParagraph"/>
        <w:numPr>
          <w:ilvl w:val="0"/>
          <w:numId w:val="24"/>
        </w:numPr>
      </w:pPr>
      <w:r w:rsidRPr="00D1590E">
        <w:t>The critical network failures to which they refer are bushfires in Victoria and Western Australia.</w:t>
      </w:r>
      <w:r w:rsidRPr="00D1590E">
        <w:rPr>
          <w:rStyle w:val="FootnoteReference"/>
        </w:rPr>
        <w:t xml:space="preserve"> </w:t>
      </w:r>
      <w:r w:rsidRPr="00D1590E">
        <w:rPr>
          <w:rStyle w:val="FootnoteReference"/>
        </w:rPr>
        <w:footnoteReference w:id="621"/>
      </w:r>
      <w:r w:rsidRPr="00D1590E">
        <w:t xml:space="preserve"> </w:t>
      </w:r>
      <w:r w:rsidRPr="00D1590E">
        <w:rPr>
          <w:rStyle w:val="FootnoteReference"/>
        </w:rPr>
        <w:footnoteReference w:id="622"/>
      </w:r>
      <w:r w:rsidRPr="00D1590E">
        <w:t xml:space="preserve"> </w:t>
      </w:r>
      <w:r w:rsidRPr="00D1590E">
        <w:rPr>
          <w:rStyle w:val="FootnoteReference"/>
        </w:rPr>
        <w:footnoteReference w:id="623"/>
      </w:r>
    </w:p>
    <w:p w:rsidR="00D1590E" w:rsidRPr="00D1590E" w:rsidRDefault="00D1590E" w:rsidP="00D1590E">
      <w:pPr>
        <w:pStyle w:val="ListParagraph"/>
        <w:numPr>
          <w:ilvl w:val="0"/>
          <w:numId w:val="24"/>
        </w:numPr>
      </w:pPr>
      <w:r w:rsidRPr="00D1590E">
        <w:t>They also quote the Victorian Bushfires Royal Commission (VBRC) which stated:</w:t>
      </w:r>
    </w:p>
    <w:p w:rsidR="00D1590E" w:rsidRPr="00D1590E" w:rsidRDefault="00D1590E" w:rsidP="00D1590E">
      <w:pPr>
        <w:pStyle w:val="AERquote"/>
      </w:pPr>
      <w:r w:rsidRPr="00D1590E">
        <w:t>"Distribution businesses’ capacity to respond to an ageing network is, however, constrained by the electricity industry’s economic regulatory regime."</w:t>
      </w:r>
      <w:r w:rsidRPr="00D1590E">
        <w:rPr>
          <w:rStyle w:val="FootnoteReference"/>
        </w:rPr>
        <w:t xml:space="preserve"> </w:t>
      </w:r>
      <w:r w:rsidRPr="00D1590E">
        <w:rPr>
          <w:rStyle w:val="FootnoteReference"/>
        </w:rPr>
        <w:footnoteReference w:id="624"/>
      </w:r>
      <w:r w:rsidRPr="00D1590E">
        <w:t xml:space="preserve"> </w:t>
      </w:r>
      <w:r w:rsidRPr="00D1590E">
        <w:rPr>
          <w:rStyle w:val="FootnoteReference"/>
        </w:rPr>
        <w:footnoteReference w:id="625"/>
      </w:r>
      <w:r w:rsidRPr="00D1590E">
        <w:t xml:space="preserve"> </w:t>
      </w:r>
      <w:r w:rsidRPr="00D1590E">
        <w:rPr>
          <w:rStyle w:val="FootnoteReference"/>
        </w:rPr>
        <w:footnoteReference w:id="626"/>
      </w:r>
    </w:p>
    <w:p w:rsidR="00D1590E" w:rsidRPr="00D1590E" w:rsidRDefault="00D1590E" w:rsidP="00D1590E">
      <w:pPr>
        <w:pStyle w:val="ListParagraph"/>
        <w:numPr>
          <w:ilvl w:val="0"/>
          <w:numId w:val="24"/>
        </w:numPr>
      </w:pPr>
      <w:r w:rsidRPr="00D1590E">
        <w:t>The NSW service providers list their safety obligations and describe how their asset management systems allow them to discharge their regulatory obligations at lowest cost.</w:t>
      </w:r>
      <w:r w:rsidRPr="00D1590E">
        <w:rPr>
          <w:rStyle w:val="FootnoteReference"/>
        </w:rPr>
        <w:t xml:space="preserve"> </w:t>
      </w:r>
      <w:r w:rsidRPr="00D1590E">
        <w:rPr>
          <w:rStyle w:val="FootnoteReference"/>
        </w:rPr>
        <w:footnoteReference w:id="627"/>
      </w:r>
      <w:r w:rsidRPr="00D1590E">
        <w:t xml:space="preserve"> </w:t>
      </w:r>
      <w:r w:rsidRPr="00D1590E">
        <w:rPr>
          <w:rStyle w:val="FootnoteReference"/>
        </w:rPr>
        <w:footnoteReference w:id="628"/>
      </w:r>
      <w:r w:rsidRPr="00D1590E">
        <w:t xml:space="preserve"> </w:t>
      </w:r>
      <w:r w:rsidRPr="00D1590E">
        <w:rPr>
          <w:rStyle w:val="FootnoteReference"/>
        </w:rPr>
        <w:footnoteReference w:id="629"/>
      </w:r>
      <w:r w:rsidRPr="00D1590E">
        <w:t xml:space="preserve"> They consider that if they were to operate at a lower cost it would lead to an increase in safety risks for their workers and members of the public. They commissioned R2A and Jacobs to analyse the effects of the decrease in opex on safety outcomes. R2A</w:t>
      </w:r>
      <w:r w:rsidRPr="00D1590E">
        <w:rPr>
          <w:rStyle w:val="FootnoteReference"/>
        </w:rPr>
        <w:footnoteReference w:id="630"/>
      </w:r>
      <w:r w:rsidRPr="00D1590E">
        <w:t xml:space="preserve"> and Jacobs</w:t>
      </w:r>
      <w:r w:rsidRPr="00D1590E">
        <w:rPr>
          <w:rStyle w:val="FootnoteReference"/>
        </w:rPr>
        <w:footnoteReference w:id="631"/>
      </w:r>
      <w:r w:rsidRPr="00D1590E">
        <w:t xml:space="preserve"> found that the number of safety incidents would increase. The NSW service providers also noted backlogs in maintenance tasks and increases in asset fires identified by Energy Safe Victoria (ESV). ActewAGL made similar statements and provided a report by AECOM which was based on a similar premise to the R2A report commissioned by the NSW service providers.</w:t>
      </w:r>
      <w:r w:rsidRPr="00D1590E">
        <w:rPr>
          <w:rStyle w:val="FootnoteReference"/>
        </w:rPr>
        <w:footnoteReference w:id="632"/>
      </w:r>
      <w:r w:rsidRPr="00D1590E">
        <w:t xml:space="preserve"> Ausgrid, Endeavour, and Essential also submitted statements from their Chief Operating </w:t>
      </w:r>
      <w:r w:rsidRPr="00D1590E">
        <w:lastRenderedPageBreak/>
        <w:t>Officers (COOs) that presented their opinions on the safety and reliability outcomes of our draft decision on opex.</w:t>
      </w:r>
      <w:r w:rsidRPr="00D1590E">
        <w:rPr>
          <w:rStyle w:val="FootnoteReference"/>
        </w:rPr>
        <w:t xml:space="preserve"> </w:t>
      </w:r>
      <w:r w:rsidRPr="00D1590E">
        <w:rPr>
          <w:rStyle w:val="FootnoteReference"/>
        </w:rPr>
        <w:footnoteReference w:id="633"/>
      </w:r>
      <w:r w:rsidRPr="00D1590E">
        <w:t xml:space="preserve"> </w:t>
      </w:r>
      <w:r w:rsidRPr="00D1590E">
        <w:rPr>
          <w:rStyle w:val="FootnoteReference"/>
        </w:rPr>
        <w:footnoteReference w:id="634"/>
      </w:r>
      <w:r w:rsidRPr="00D1590E">
        <w:t xml:space="preserve"> </w:t>
      </w:r>
      <w:r w:rsidRPr="00D1590E">
        <w:rPr>
          <w:rStyle w:val="FootnoteReference"/>
        </w:rPr>
        <w:footnoteReference w:id="635"/>
      </w:r>
    </w:p>
    <w:p w:rsidR="00D1590E" w:rsidRPr="00D1590E" w:rsidRDefault="00D1590E" w:rsidP="00D1590E">
      <w:pPr>
        <w:pStyle w:val="ListParagraph"/>
        <w:numPr>
          <w:ilvl w:val="0"/>
          <w:numId w:val="24"/>
        </w:numPr>
      </w:pPr>
      <w:r w:rsidRPr="00D1590E">
        <w:t>We are not satisfied that an OEF adjustment for safety outcomes would meet the duplication OEF adjustment criterion. All of Economic Insights' models implicitly account for safety. This is because the comparison firms operate safe networks.</w:t>
      </w:r>
    </w:p>
    <w:p w:rsidR="00D1590E" w:rsidRPr="00D1590E" w:rsidRDefault="00D1590E" w:rsidP="00D1590E">
      <w:pPr>
        <w:pStyle w:val="ListParagraph"/>
        <w:numPr>
          <w:ilvl w:val="0"/>
          <w:numId w:val="24"/>
        </w:numPr>
      </w:pPr>
      <w:r w:rsidRPr="00D1590E">
        <w:t xml:space="preserve">The Victorian service providers operate safe networks. Just as the NSW service providers are required to submit Safety Management Systems to the NSW Department of Resources and Energy, the Victorian service providers are required under Part 10 of the </w:t>
      </w:r>
      <w:r w:rsidRPr="00D1590E">
        <w:rPr>
          <w:rStyle w:val="AERtextitalic"/>
        </w:rPr>
        <w:t>Electricity Safety Act 1998</w:t>
      </w:r>
      <w:r w:rsidRPr="00D1590E">
        <w:t xml:space="preserve"> to submit Electricity Safety Management Schemes to ESV. In addition to this they are also required to submit Bushfire Mitigation Plans and Electric Line Clearance Management Plans.</w:t>
      </w:r>
      <w:r w:rsidRPr="00D1590E">
        <w:rPr>
          <w:rStyle w:val="FootnoteReference"/>
        </w:rPr>
        <w:t xml:space="preserve"> </w:t>
      </w:r>
      <w:r w:rsidRPr="00D1590E">
        <w:rPr>
          <w:rStyle w:val="FootnoteReference"/>
        </w:rPr>
        <w:footnoteReference w:id="636"/>
      </w:r>
      <w:r w:rsidRPr="00D1590E">
        <w:t xml:space="preserve"> The NSW service providers have claimed that the effect of the Black Saturday bushfires is evidence that the Victorian service providers do not operate safe networks. However, prior to the Black Saturday bushfires ESV found AusNet Services and Powercor, the two service providers subject of class actions after Black Saturday, were “generally compliant” with their regulatory obligations.</w:t>
      </w:r>
      <w:r w:rsidRPr="00D1590E">
        <w:rPr>
          <w:rStyle w:val="FootnoteReference"/>
        </w:rPr>
        <w:t xml:space="preserve"> </w:t>
      </w:r>
      <w:r w:rsidRPr="00D1590E">
        <w:rPr>
          <w:rStyle w:val="FootnoteReference"/>
        </w:rPr>
        <w:footnoteReference w:id="637"/>
      </w:r>
      <w:r w:rsidRPr="00D1590E">
        <w:t xml:space="preserve"> We also note that the fact that Endeavour Energy is currently facing a class action relating to the 2013 Blue Mountains bushfires does not necessarily mean that Endeavour Energy operates an unsafe network. We discuss bushfire risk and regulations in more detail in Geographic factors below.</w:t>
      </w:r>
    </w:p>
    <w:p w:rsidR="00D1590E" w:rsidRPr="00D1590E" w:rsidRDefault="00D1590E" w:rsidP="00D1590E">
      <w:pPr>
        <w:pStyle w:val="ListParagraph"/>
        <w:numPr>
          <w:ilvl w:val="0"/>
          <w:numId w:val="24"/>
        </w:numPr>
      </w:pPr>
      <w:r w:rsidRPr="00D1590E">
        <w:t xml:space="preserve">The comments by VBRC raised by the NSW service providers relate to asset replacement rather than opex. We determine forecasts for total capital and operating expenditure not asset replacement programs. Nonetheless our capex forecast, which is determined in part by reference to our repex model, takes into account the specific circumstances of service providers, including the rate at which their assets fail. We also note that the VBRC made its comment prior to our last determination for the Victorian service providers. In the AER's following determination the AER acknowledged that: </w:t>
      </w:r>
    </w:p>
    <w:p w:rsidR="00D1590E" w:rsidRPr="00D1590E" w:rsidRDefault="00D1590E" w:rsidP="00D1590E">
      <w:pPr>
        <w:pStyle w:val="AERquote"/>
      </w:pPr>
      <w:r w:rsidRPr="00D1590E">
        <w:t>"there have been changes to the safety regime that applies to the Victorian DNSPs. … This has led to a reassessment of replacement expenditure for a number of the DNSPs, which the AER has undertaken in consultation with Energy Safe Victoria (ESV), and a substantial increase in the allowance."</w:t>
      </w:r>
      <w:r w:rsidRPr="00D1590E">
        <w:rPr>
          <w:rStyle w:val="FootnoteReference"/>
        </w:rPr>
        <w:footnoteReference w:id="638"/>
      </w:r>
    </w:p>
    <w:p w:rsidR="00D1590E" w:rsidRPr="00D1590E" w:rsidRDefault="00D1590E" w:rsidP="00D1590E">
      <w:pPr>
        <w:pStyle w:val="ListParagraph"/>
        <w:numPr>
          <w:ilvl w:val="0"/>
          <w:numId w:val="24"/>
        </w:numPr>
      </w:pPr>
      <w:r w:rsidRPr="00D1590E">
        <w:t>The NSW service providers, and R2A,</w:t>
      </w:r>
      <w:r w:rsidRPr="00D1590E">
        <w:rPr>
          <w:rStyle w:val="FootnoteReference"/>
        </w:rPr>
        <w:t xml:space="preserve"> </w:t>
      </w:r>
      <w:r w:rsidRPr="00D1590E">
        <w:rPr>
          <w:rStyle w:val="FootnoteReference"/>
        </w:rPr>
        <w:footnoteReference w:id="639"/>
      </w:r>
      <w:r w:rsidRPr="00D1590E">
        <w:t xml:space="preserve"> have also noted that ESV has stated that there has been an increase in the number of asset failures over the 2011 to 2013 </w:t>
      </w:r>
      <w:r w:rsidRPr="00D1590E">
        <w:lastRenderedPageBreak/>
        <w:t>period. This is true, but ESV also noted that given the works done by the Victorian service providers it would have expected that the number of asset failures would decrease.</w:t>
      </w:r>
      <w:r w:rsidRPr="00D1590E">
        <w:rPr>
          <w:rStyle w:val="FootnoteReference"/>
        </w:rPr>
        <w:t xml:space="preserve"> </w:t>
      </w:r>
      <w:r w:rsidRPr="00D1590E">
        <w:rPr>
          <w:rStyle w:val="FootnoteReference"/>
        </w:rPr>
        <w:footnoteReference w:id="640"/>
      </w:r>
      <w:r w:rsidRPr="00D1590E">
        <w:t xml:space="preserve"> ESV therefore considers that the increase in failures may have been due to unfavourable weather conditions and the increasing average age of assets in Victoria.</w:t>
      </w:r>
      <w:r w:rsidRPr="00D1590E">
        <w:rPr>
          <w:rStyle w:val="FootnoteReference"/>
        </w:rPr>
        <w:t xml:space="preserve"> </w:t>
      </w:r>
      <w:r w:rsidRPr="00D1590E">
        <w:rPr>
          <w:rStyle w:val="FootnoteReference"/>
        </w:rPr>
        <w:footnoteReference w:id="641"/>
      </w:r>
      <w:r w:rsidRPr="00D1590E">
        <w:t xml:space="preserve"> </w:t>
      </w:r>
      <w:r w:rsidRPr="00D1590E">
        <w:rPr>
          <w:rStyle w:val="FootnoteReference"/>
        </w:rPr>
        <w:footnoteReference w:id="642"/>
      </w:r>
      <w:r w:rsidRPr="00D1590E">
        <w:t xml:space="preserve"> </w:t>
      </w:r>
    </w:p>
    <w:p w:rsidR="00D1590E" w:rsidRPr="00D1590E" w:rsidRDefault="00D1590E" w:rsidP="00D1590E">
      <w:pPr>
        <w:pStyle w:val="ListParagraph"/>
        <w:numPr>
          <w:ilvl w:val="0"/>
          <w:numId w:val="24"/>
        </w:numPr>
      </w:pPr>
      <w:r w:rsidRPr="00D1590E">
        <w:t>ESV noted that in 2012 overall management of the Victorian Networks was good.</w:t>
      </w:r>
      <w:r w:rsidRPr="00D1590E">
        <w:rPr>
          <w:rStyle w:val="FootnoteReference"/>
        </w:rPr>
        <w:t xml:space="preserve"> </w:t>
      </w:r>
      <w:r w:rsidRPr="00D1590E">
        <w:rPr>
          <w:rStyle w:val="FootnoteReference"/>
        </w:rPr>
        <w:footnoteReference w:id="643"/>
      </w:r>
      <w:r w:rsidRPr="00D1590E">
        <w:t xml:space="preserve"> ESV noted that in 2011 the performance of the Victorian Networks, with regard to asset failure, was consistent with the performance of networks elsewhere in Australia and that in other areas they performed adequately.</w:t>
      </w:r>
      <w:r w:rsidRPr="00D1590E">
        <w:rPr>
          <w:rStyle w:val="FootnoteReference"/>
        </w:rPr>
        <w:t xml:space="preserve"> </w:t>
      </w:r>
      <w:r w:rsidRPr="00D1590E">
        <w:rPr>
          <w:rStyle w:val="FootnoteReference"/>
        </w:rPr>
        <w:footnoteReference w:id="644"/>
      </w:r>
      <w:r w:rsidRPr="00D1590E">
        <w:t xml:space="preserve"> ESV found in 2010 that overall there was a good standard of inspection and timely repair by the industry although some service providers performed better than others.</w:t>
      </w:r>
      <w:r w:rsidRPr="00D1590E">
        <w:rPr>
          <w:rStyle w:val="FootnoteReference"/>
        </w:rPr>
        <w:t xml:space="preserve"> </w:t>
      </w:r>
      <w:r w:rsidRPr="00D1590E">
        <w:rPr>
          <w:rStyle w:val="FootnoteReference"/>
        </w:rPr>
        <w:footnoteReference w:id="645"/>
      </w:r>
      <w:r w:rsidRPr="00D1590E">
        <w:t xml:space="preserve"> More recently, in 2014 ESV noted:</w:t>
      </w:r>
    </w:p>
    <w:p w:rsidR="00D1590E" w:rsidRPr="00D1590E" w:rsidRDefault="00D1590E" w:rsidP="00D1590E">
      <w:pPr>
        <w:pStyle w:val="AERbulletlistfirststyle"/>
      </w:pPr>
      <w:r w:rsidRPr="00D1590E">
        <w:t>The Victorian service providers have comprehensive Electricity Safety Management Systems, many supplemented by other management systems and certification such as PAS 55, ISO 9001, ISO 14001, AS4801 and OHSAS 18001</w:t>
      </w:r>
      <w:r w:rsidRPr="00D1590E">
        <w:rPr>
          <w:rStyle w:val="FootnoteReference"/>
        </w:rPr>
        <w:footnoteReference w:id="646"/>
      </w:r>
    </w:p>
    <w:p w:rsidR="00D1590E" w:rsidRPr="00D1590E" w:rsidRDefault="00D1590E" w:rsidP="00D1590E">
      <w:pPr>
        <w:pStyle w:val="AERbulletlistfirststyle"/>
      </w:pPr>
      <w:r w:rsidRPr="00D1590E">
        <w:t>Asset maintenance in Victoria, in accordance with bushfire mitigation plans, was adequate for the 2013-2014 bushfire season, with no areas of non-compliance observed</w:t>
      </w:r>
      <w:r w:rsidRPr="00D1590E">
        <w:rPr>
          <w:rStyle w:val="FootnoteReference"/>
        </w:rPr>
        <w:t xml:space="preserve"> </w:t>
      </w:r>
      <w:r w:rsidRPr="00D1590E">
        <w:rPr>
          <w:rStyle w:val="FootnoteReference"/>
        </w:rPr>
        <w:footnoteReference w:id="647"/>
      </w:r>
      <w:r w:rsidRPr="00D1590E">
        <w:t xml:space="preserve"> </w:t>
      </w:r>
    </w:p>
    <w:p w:rsidR="00D1590E" w:rsidRPr="00D1590E" w:rsidRDefault="00D1590E" w:rsidP="00D1590E">
      <w:pPr>
        <w:pStyle w:val="AERbulletlistfirststyle"/>
      </w:pPr>
      <w:r w:rsidRPr="00D1590E">
        <w:t>In general, the Victorian service providers' Electric Line Clearance Management Plans were clear, well presented and that there was a strong connection between safety plans and activities in the field</w:t>
      </w:r>
      <w:r w:rsidRPr="00D1590E">
        <w:rPr>
          <w:rStyle w:val="FootnoteReference"/>
        </w:rPr>
        <w:footnoteReference w:id="648"/>
      </w:r>
    </w:p>
    <w:p w:rsidR="00D1590E" w:rsidRPr="00D1590E" w:rsidRDefault="00D1590E" w:rsidP="00D1590E">
      <w:pPr>
        <w:pStyle w:val="AERbulletlistfirststyle"/>
      </w:pPr>
      <w:r w:rsidRPr="00D1590E">
        <w:t>Despite the extensive effort put into condition assessment and asset replacement, failure rates in Victoria had increased. While some service providers, notably United Energy, were behind schedule in their asset replacement programs all would be able to complete their five year programs by 2015</w:t>
      </w:r>
      <w:r w:rsidRPr="00D1590E">
        <w:rPr>
          <w:rStyle w:val="FootnoteReference"/>
        </w:rPr>
        <w:footnoteReference w:id="649"/>
      </w:r>
    </w:p>
    <w:p w:rsidR="00D1590E" w:rsidRPr="00D1590E" w:rsidRDefault="00D1590E" w:rsidP="00D1590E">
      <w:pPr>
        <w:pStyle w:val="AERbulletlistfirststyle"/>
      </w:pPr>
      <w:r w:rsidRPr="00D1590E">
        <w:t>The number of fire starts in Victoria was above the F factor set by the AER, partly due the increasing age of assets and partly due to adverse weather conditions.</w:t>
      </w:r>
      <w:r w:rsidRPr="00D1590E">
        <w:rPr>
          <w:rStyle w:val="FootnoteReference"/>
        </w:rPr>
        <w:t xml:space="preserve"> </w:t>
      </w:r>
      <w:r w:rsidRPr="00D1590E">
        <w:rPr>
          <w:rStyle w:val="FootnoteReference"/>
        </w:rPr>
        <w:footnoteReference w:id="650"/>
      </w:r>
    </w:p>
    <w:p w:rsidR="00D1590E" w:rsidRPr="00D1590E" w:rsidRDefault="00D1590E" w:rsidP="00D1590E">
      <w:pPr>
        <w:pStyle w:val="AERbulletlistfirststyle"/>
      </w:pPr>
      <w:r w:rsidRPr="00D1590E">
        <w:t>All of the Victorian service providers were on schedule to meet the electric line clearance requirements as agreed upon with ESV. Although CitiPower and Powercor were granted 12 months extensions from the original timeframes.</w:t>
      </w:r>
      <w:r w:rsidRPr="00D1590E">
        <w:rPr>
          <w:rStyle w:val="FootnoteReference"/>
        </w:rPr>
        <w:footnoteReference w:id="651"/>
      </w:r>
    </w:p>
    <w:p w:rsidR="00D1590E" w:rsidRPr="00D1590E" w:rsidRDefault="00D1590E" w:rsidP="00D1590E">
      <w:pPr>
        <w:pStyle w:val="AERbulletlistfirststyle"/>
      </w:pPr>
      <w:r w:rsidRPr="00D1590E">
        <w:lastRenderedPageBreak/>
        <w:t>The Victorian service providers go to considerable lengths to prevent unauthorised access and ensure that assets are secure</w:t>
      </w:r>
      <w:r w:rsidRPr="00D1590E">
        <w:rPr>
          <w:rStyle w:val="FootnoteReference"/>
        </w:rPr>
        <w:footnoteReference w:id="652"/>
      </w:r>
    </w:p>
    <w:p w:rsidR="00D1590E" w:rsidRPr="00D1590E" w:rsidRDefault="00D1590E" w:rsidP="00D1590E">
      <w:pPr>
        <w:pStyle w:val="AERbulletlistfirststyle"/>
      </w:pPr>
      <w:r w:rsidRPr="00D1590E">
        <w:t>The underlying trend for serious injuries from electrical causes to the public and Victorian service providers workers was similar to previous years</w:t>
      </w:r>
      <w:r w:rsidRPr="00D1590E">
        <w:rPr>
          <w:rStyle w:val="FootnoteReference"/>
        </w:rPr>
        <w:footnoteReference w:id="653"/>
      </w:r>
    </w:p>
    <w:p w:rsidR="00D1590E" w:rsidRPr="00D1590E" w:rsidRDefault="00D1590E" w:rsidP="00D1590E">
      <w:pPr>
        <w:pStyle w:val="AERbulletlistfirststyle"/>
      </w:pPr>
      <w:r w:rsidRPr="00D1590E">
        <w:t>There were some opportunities for improvement and areas requiring attention in the Victorian service provider's work practices</w:t>
      </w:r>
      <w:r w:rsidRPr="00D1590E">
        <w:rPr>
          <w:rStyle w:val="FootnoteReference"/>
        </w:rPr>
        <w:footnoteReference w:id="654"/>
      </w:r>
    </w:p>
    <w:p w:rsidR="00D1590E" w:rsidRPr="00D1590E" w:rsidRDefault="00D1590E" w:rsidP="00D1590E">
      <w:pPr>
        <w:pStyle w:val="AERbulletlistfirststyle"/>
      </w:pPr>
      <w:r w:rsidRPr="00D1590E">
        <w:t>We note that ESV highlighted issues relating to fire starts, asset failures, and work practices. ESV notes that the increase in fire starts in 2013 may be due to adverse weather conditions and aging assets. The replacement rate of assets relates to repex, not opex, as discussed above. On concerns about work practices, we note that service providers in Victorian tend to have higher levels of workplace safety than other areas of the NEM. This is discussed below.</w:t>
      </w:r>
    </w:p>
    <w:p w:rsidR="00D1590E" w:rsidRPr="00D1590E" w:rsidRDefault="00D1590E" w:rsidP="00D1590E">
      <w:pPr>
        <w:pStyle w:val="ListParagraph"/>
        <w:numPr>
          <w:ilvl w:val="0"/>
          <w:numId w:val="24"/>
        </w:numPr>
      </w:pPr>
      <w:r w:rsidRPr="00D1590E">
        <w:t xml:space="preserve">Other measures of network safety also suggest that the comparison firms perform similarly or better than the NSW service providers. These measures include LTIFR, vegetation contacts with assets, and reliability for customers on life support devices. </w:t>
      </w:r>
    </w:p>
    <w:p w:rsidR="00D1590E" w:rsidRPr="00D1590E" w:rsidRDefault="00D1590E" w:rsidP="00D1590E">
      <w:pPr>
        <w:pStyle w:val="ListParagraph"/>
        <w:numPr>
          <w:ilvl w:val="0"/>
          <w:numId w:val="24"/>
        </w:numPr>
      </w:pPr>
      <w:r w:rsidRPr="00D1590E">
        <w:t>On Lost Time Injury Frequency Rate (LTIFR) the comparison firms generally tend to outperform the ACT, NSW, and QLD service providers.</w:t>
      </w:r>
      <w:r w:rsidRPr="00D1590E">
        <w:rPr>
          <w:rStyle w:val="FootnoteReference"/>
        </w:rPr>
        <w:t xml:space="preserve"> </w:t>
      </w:r>
      <w:r w:rsidRPr="00D1590E">
        <w:t>LTIFR measures the number of injuries suffered in the workplace that lead to one or more shifts being missed for every million hours worked. The LTIFR for the NEM service providers over the 2009 to 2013 period is shown below.</w:t>
      </w:r>
    </w:p>
    <w:p w:rsidR="00D1590E" w:rsidRPr="00D1590E" w:rsidRDefault="00D1590E" w:rsidP="00D1590E">
      <w:pPr>
        <w:pStyle w:val="Caption"/>
      </w:pPr>
      <w:r w:rsidRPr="00D1590E">
        <w:lastRenderedPageBreak/>
        <w:t xml:space="preserve">Figure </w:t>
      </w:r>
      <w:fldSimple w:instr=" STYLEREF 7 \s ">
        <w:r w:rsidR="00C57342">
          <w:rPr>
            <w:noProof/>
          </w:rPr>
          <w:t>A</w:t>
        </w:r>
      </w:fldSimple>
      <w:r w:rsidRPr="00D1590E">
        <w:t>.</w:t>
      </w:r>
      <w:fldSimple w:instr=" SEQ AFigure \* ARABIC \s 7 ">
        <w:r w:rsidR="00C57342">
          <w:rPr>
            <w:noProof/>
          </w:rPr>
          <w:t>21</w:t>
        </w:r>
      </w:fldSimple>
      <w:r w:rsidRPr="00D1590E">
        <w:tab/>
      </w:r>
      <w:r w:rsidRPr="00D1590E">
        <w:tab/>
        <w:t>LTIFR for NEM service providers (2009 to 2013)</w:t>
      </w:r>
    </w:p>
    <w:p w:rsidR="00D1590E" w:rsidRPr="00D1590E" w:rsidRDefault="00D1590E" w:rsidP="00D1590E">
      <w:pPr>
        <w:pStyle w:val="Caption"/>
      </w:pPr>
      <w:r w:rsidRPr="00D1590E">
        <w:rPr>
          <w:noProof/>
          <w:lang w:eastAsia="en-AU"/>
        </w:rPr>
        <w:drawing>
          <wp:inline distT="0" distB="0" distL="0" distR="0" wp14:anchorId="0BF14AA7" wp14:editId="42C9A762">
            <wp:extent cx="5382895" cy="2949254"/>
            <wp:effectExtent l="0" t="0" r="825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82895" cy="2949254"/>
                    </a:xfrm>
                    <a:prstGeom prst="rect">
                      <a:avLst/>
                    </a:prstGeom>
                    <a:noFill/>
                    <a:ln>
                      <a:noFill/>
                    </a:ln>
                  </pic:spPr>
                </pic:pic>
              </a:graphicData>
            </a:graphic>
          </wp:inline>
        </w:drawing>
      </w:r>
    </w:p>
    <w:p w:rsidR="00D1590E" w:rsidRPr="00D1590E" w:rsidRDefault="00D1590E" w:rsidP="00D1590E">
      <w:pPr>
        <w:pStyle w:val="Source"/>
      </w:pPr>
      <w:r w:rsidRPr="00D1590E">
        <w:t xml:space="preserve">Source: </w:t>
      </w:r>
      <w:r w:rsidRPr="00D1590E">
        <w:tab/>
        <w:t>ActewAGL,</w:t>
      </w:r>
      <w:r w:rsidRPr="00D1590E">
        <w:rPr>
          <w:rStyle w:val="FootnoteReference"/>
        </w:rPr>
        <w:footnoteReference w:id="655"/>
      </w:r>
      <w:r w:rsidRPr="00D1590E">
        <w:t xml:space="preserve"> Ausgrid,</w:t>
      </w:r>
      <w:r w:rsidRPr="00D1590E">
        <w:rPr>
          <w:rStyle w:val="FootnoteReference"/>
        </w:rPr>
        <w:footnoteReference w:id="656"/>
      </w:r>
      <w:r w:rsidRPr="00D1590E">
        <w:t xml:space="preserve"> AusNet Services,</w:t>
      </w:r>
      <w:r w:rsidRPr="00D1590E">
        <w:rPr>
          <w:rStyle w:val="FootnoteReference"/>
        </w:rPr>
        <w:footnoteReference w:id="657"/>
      </w:r>
      <w:r w:rsidRPr="00D1590E">
        <w:t xml:space="preserve"> CitiPower,</w:t>
      </w:r>
      <w:r w:rsidRPr="00D1590E">
        <w:rPr>
          <w:rStyle w:val="FootnoteReference"/>
        </w:rPr>
        <w:footnoteReference w:id="658"/>
      </w:r>
      <w:r w:rsidRPr="00D1590E">
        <w:t xml:space="preserve"> Endeavour Energy,</w:t>
      </w:r>
      <w:r w:rsidRPr="00D1590E">
        <w:rPr>
          <w:rStyle w:val="FootnoteReference"/>
        </w:rPr>
        <w:footnoteReference w:id="659"/>
      </w:r>
      <w:r w:rsidRPr="00D1590E">
        <w:t xml:space="preserve"> Energex,</w:t>
      </w:r>
      <w:r w:rsidRPr="00D1590E">
        <w:rPr>
          <w:rStyle w:val="FootnoteReference"/>
        </w:rPr>
        <w:footnoteReference w:id="660"/>
      </w:r>
      <w:r w:rsidRPr="00D1590E">
        <w:t xml:space="preserve"> Ergon Energy,</w:t>
      </w:r>
      <w:r w:rsidRPr="00D1590E">
        <w:rPr>
          <w:rStyle w:val="FootnoteReference"/>
        </w:rPr>
        <w:footnoteReference w:id="661"/>
      </w:r>
      <w:r w:rsidRPr="00D1590E">
        <w:t xml:space="preserve"> Essential Energy,</w:t>
      </w:r>
      <w:r w:rsidRPr="00D1590E">
        <w:rPr>
          <w:rStyle w:val="FootnoteReference"/>
        </w:rPr>
        <w:footnoteReference w:id="662"/>
      </w:r>
      <w:r w:rsidRPr="00D1590E">
        <w:t xml:space="preserve"> Powercor,</w:t>
      </w:r>
      <w:r w:rsidRPr="00D1590E">
        <w:rPr>
          <w:rStyle w:val="FootnoteReference"/>
        </w:rPr>
        <w:t xml:space="preserve"> </w:t>
      </w:r>
      <w:r w:rsidRPr="00D1590E">
        <w:rPr>
          <w:rStyle w:val="FootnoteReference"/>
        </w:rPr>
        <w:footnoteReference w:id="663"/>
      </w:r>
      <w:r w:rsidRPr="00D1590E">
        <w:t xml:space="preserve"> SAPN,</w:t>
      </w:r>
      <w:r w:rsidRPr="00D1590E">
        <w:rPr>
          <w:rStyle w:val="FootnoteReference"/>
        </w:rPr>
        <w:footnoteReference w:id="664"/>
      </w:r>
      <w:r w:rsidRPr="00D1590E">
        <w:t xml:space="preserve"> TasNetworks,</w:t>
      </w:r>
      <w:r w:rsidRPr="00D1590E">
        <w:rPr>
          <w:rStyle w:val="FootnoteReference"/>
        </w:rPr>
        <w:footnoteReference w:id="665"/>
      </w:r>
      <w:r w:rsidRPr="00D1590E">
        <w:t xml:space="preserve"> United Energy.</w:t>
      </w:r>
      <w:r w:rsidRPr="00D1590E">
        <w:rPr>
          <w:rStyle w:val="FootnoteReference"/>
        </w:rPr>
        <w:footnoteReference w:id="666"/>
      </w:r>
    </w:p>
    <w:p w:rsidR="00D1590E" w:rsidRPr="00D1590E" w:rsidRDefault="00D1590E" w:rsidP="00D1590E">
      <w:pPr>
        <w:pStyle w:val="Source"/>
      </w:pPr>
      <w:r w:rsidRPr="00D1590E">
        <w:t xml:space="preserve">Notes: </w:t>
      </w:r>
      <w:r w:rsidRPr="00D1590E">
        <w:tab/>
        <w:t>ActewAGL changed its reporting systems in 2011 therefore its datum only covers the period July 2011 to December 2013. TasNetwork's datum does not include contractors prior to 2012. Endeavour, Essential and SAPN data do not included contractors. AusNet's Datum relates to its gas, distribution and transmission business segments. Jemena is not displayed because it claimed confidentiality over its datum.</w:t>
      </w:r>
    </w:p>
    <w:p w:rsidR="00D1590E" w:rsidRPr="00D1590E" w:rsidRDefault="00D1590E" w:rsidP="00D1590E">
      <w:pPr>
        <w:pStyle w:val="ListParagraph"/>
        <w:numPr>
          <w:ilvl w:val="0"/>
          <w:numId w:val="24"/>
        </w:numPr>
      </w:pPr>
      <w:r w:rsidRPr="00D1590E">
        <w:t xml:space="preserve">On vegetation contacts causing fires per 1000km of overhead route line length, the comparison firms tended to have similar performance to the NSW and QLD </w:t>
      </w:r>
      <w:r w:rsidR="000C4E69">
        <w:t>distributors</w:t>
      </w:r>
      <w:r w:rsidRPr="00D1590E">
        <w:t>, with ActewAGL having a higher number of defects.</w:t>
      </w:r>
      <w:r w:rsidRPr="00D1590E">
        <w:rPr>
          <w:rStyle w:val="FootnoteReference"/>
        </w:rPr>
        <w:t xml:space="preserve"> </w:t>
      </w:r>
      <w:r w:rsidRPr="00D1590E">
        <w:rPr>
          <w:rStyle w:val="FootnoteReference"/>
        </w:rPr>
        <w:footnoteReference w:id="667"/>
      </w:r>
      <w:r w:rsidRPr="00D1590E">
        <w:t xml:space="preserve"> </w:t>
      </w:r>
      <w:r w:rsidRPr="00D1590E">
        <w:rPr>
          <w:rStyle w:val="FootnoteReference"/>
        </w:rPr>
        <w:footnoteReference w:id="668"/>
      </w:r>
      <w:r w:rsidRPr="00D1590E">
        <w:t xml:space="preserve"> </w:t>
      </w:r>
      <w:r w:rsidRPr="00D1590E">
        <w:rPr>
          <w:rStyle w:val="FootnoteReference"/>
        </w:rPr>
        <w:footnoteReference w:id="669"/>
      </w:r>
      <w:r w:rsidRPr="00D1590E">
        <w:t xml:space="preserve"> </w:t>
      </w:r>
      <w:r w:rsidRPr="00D1590E">
        <w:rPr>
          <w:rStyle w:val="FootnoteReference"/>
        </w:rPr>
        <w:footnoteReference w:id="670"/>
      </w:r>
    </w:p>
    <w:p w:rsidR="00D1590E" w:rsidRPr="00D1590E" w:rsidRDefault="00D1590E" w:rsidP="00D1590E">
      <w:pPr>
        <w:pStyle w:val="ListParagraph"/>
        <w:numPr>
          <w:ilvl w:val="0"/>
          <w:numId w:val="24"/>
        </w:numPr>
      </w:pPr>
      <w:r w:rsidRPr="00D1590E">
        <w:t xml:space="preserve">In the absence of other available data we have considered the measures available to us. One such measure relates to incidents in which businesses report (under the Retail </w:t>
      </w:r>
      <w:r w:rsidRPr="00D1590E">
        <w:lastRenderedPageBreak/>
        <w:t xml:space="preserve">Law Compliance procedures and guidelines) breaches, or potential breaches, of the life support provisions in the Retail Law and Rules. These provisions set out the manner and timing by which businesses provide registered life support customers with notice of a planned interruption and prohibit disconnection of premises with registered life support needs. We acknowledge that this is an incomplete measure as data are only available for the ACT, NSW, SA and Tasmanian service providers and rely on reports from businesses. However, based on the information available, there is no evidence that the comparison firms perform worse on this measure. </w:t>
      </w:r>
    </w:p>
    <w:p w:rsidR="00D1590E" w:rsidRPr="00D1590E" w:rsidRDefault="00D1590E" w:rsidP="00D1590E">
      <w:pPr>
        <w:pStyle w:val="ListParagraph"/>
        <w:numPr>
          <w:ilvl w:val="0"/>
          <w:numId w:val="24"/>
        </w:numPr>
      </w:pPr>
      <w:r w:rsidRPr="00D1590E">
        <w:t>Since the AER assumed enforcement responsibilities in South Australia it has not issued any infringement notices in relation to (alleged) breaches of the life support provisions by SA Power networks. However, Essential Energy, Endeavour Energy, and Ausgrid - have paid penalties totalling $140 000 following the issue of infringement notices by the Australian Energy Regulator in relation to 7 incidents in which customers known to require life support equipment lost electricity supply unexpectedly.</w:t>
      </w:r>
      <w:r w:rsidRPr="00D1590E">
        <w:rPr>
          <w:rStyle w:val="FootnoteReference"/>
        </w:rPr>
        <w:t xml:space="preserve"> </w:t>
      </w:r>
      <w:r w:rsidRPr="00D1590E">
        <w:rPr>
          <w:rStyle w:val="FootnoteReference"/>
        </w:rPr>
        <w:footnoteReference w:id="671"/>
      </w:r>
      <w:r w:rsidRPr="00D1590E">
        <w:rPr>
          <w:rStyle w:val="FootnoteReference"/>
        </w:rPr>
        <w:footnoteReference w:id="672"/>
      </w:r>
      <w:r w:rsidRPr="00D1590E">
        <w:t xml:space="preserve"> The AER assumed responsibility for retail regulation under the NECF in South Australia on 1 February 2013 and 1 July 2013 in NSW. While South Australia has a smaller population than NSW, SA Power Networks has a similar number of customers (851766) to Endeavour Energy (940028) and Essential Energy (854231).</w:t>
      </w:r>
    </w:p>
    <w:p w:rsidR="00D1590E" w:rsidRPr="00D1590E" w:rsidRDefault="00D1590E" w:rsidP="00D1590E">
      <w:r w:rsidRPr="00D1590E">
        <w:t>The findings of the Jacobs and R2A reports are based on the assumption that the NSW service providers will reduce their work programs in response to our draft decision.</w:t>
      </w:r>
      <w:r w:rsidRPr="00D1590E">
        <w:rPr>
          <w:rStyle w:val="FootnoteReference"/>
        </w:rPr>
        <w:footnoteReference w:id="673"/>
      </w:r>
      <w:r w:rsidRPr="00D1590E">
        <w:t xml:space="preserve"> </w:t>
      </w:r>
      <w:r w:rsidRPr="00D1590E">
        <w:rPr>
          <w:rStyle w:val="FootnoteReference"/>
        </w:rPr>
        <w:footnoteReference w:id="674"/>
      </w:r>
      <w:r w:rsidRPr="00D1590E">
        <w:t xml:space="preserve"> The COO statements are also based on this premise.</w:t>
      </w:r>
      <w:r w:rsidRPr="00D1590E">
        <w:rPr>
          <w:rStyle w:val="FootnoteReference"/>
        </w:rPr>
        <w:t xml:space="preserve"> </w:t>
      </w:r>
      <w:r w:rsidRPr="00D1590E">
        <w:rPr>
          <w:rStyle w:val="FootnoteReference"/>
        </w:rPr>
        <w:footnoteReference w:id="675"/>
      </w:r>
      <w:r w:rsidRPr="00D1590E">
        <w:t xml:space="preserve"> </w:t>
      </w:r>
      <w:r w:rsidRPr="00D1590E">
        <w:rPr>
          <w:rStyle w:val="FootnoteReference"/>
        </w:rPr>
        <w:footnoteReference w:id="676"/>
      </w:r>
      <w:r w:rsidRPr="00D1590E">
        <w:t xml:space="preserve"> </w:t>
      </w:r>
      <w:r w:rsidRPr="00D1590E">
        <w:rPr>
          <w:rStyle w:val="FootnoteReference"/>
        </w:rPr>
        <w:footnoteReference w:id="677"/>
      </w:r>
      <w:r w:rsidRPr="00D1590E">
        <w:t xml:space="preserve"> R2A and Mr Armstrong assume no efficiencies will be found, while Jacobs, assume that the NSW service providers will be able to find some opex efficiencies, Mr Howard and Mr Humphreys do not make clear what level of efficiencies they consider Endeavour and Essential could find. </w:t>
      </w:r>
    </w:p>
    <w:p w:rsidR="00D1590E" w:rsidRPr="00D1590E" w:rsidRDefault="00D1590E" w:rsidP="00D1590E">
      <w:r w:rsidRPr="00D1590E">
        <w:t>Our draft decision was not made on the assumption that the NSW service providers would reduce their work programs. It was made on the basis that the comparison firms can provide a safe service for less opex than the NSW service providers. The NSW service providers have not provided sufficient evidence to show that they are not be capable of finding similar efficiencies or that the comparison firms operate unsafe networks.</w:t>
      </w:r>
    </w:p>
    <w:p w:rsidR="00D1590E" w:rsidRPr="00D1590E" w:rsidRDefault="00D1590E" w:rsidP="00D1590E">
      <w:r w:rsidRPr="00D1590E">
        <w:lastRenderedPageBreak/>
        <w:t>The Jacobs and R2A reports also did not provide sufficient evidence to suggest that the comparison firms' opex is at a level that prevents them from providing services at an acceptable level of safety.</w:t>
      </w:r>
      <w:r w:rsidRPr="00D1590E">
        <w:rPr>
          <w:rStyle w:val="FootnoteReference"/>
        </w:rPr>
        <w:footnoteReference w:id="678"/>
      </w:r>
      <w:r w:rsidRPr="00D1590E">
        <w:t xml:space="preserve"> </w:t>
      </w:r>
      <w:r w:rsidRPr="00D1590E">
        <w:rPr>
          <w:rStyle w:val="FootnoteReference"/>
        </w:rPr>
        <w:footnoteReference w:id="679"/>
      </w:r>
      <w:r w:rsidRPr="00D1590E">
        <w:t xml:space="preserve"> </w:t>
      </w:r>
    </w:p>
    <w:p w:rsidR="00D1590E" w:rsidRPr="00D1590E" w:rsidRDefault="00D1590E" w:rsidP="00D1590E">
      <w:r w:rsidRPr="00D1590E">
        <w:t>The R2A report raised the issue of recent increases in asset failure in Victoria already discussed above. R2A also submitted that the proposed changes would lead to Ausgrid's asset inspection cycles to increase to eight years from five years.</w:t>
      </w:r>
      <w:r w:rsidRPr="00D1590E">
        <w:rPr>
          <w:rStyle w:val="FootnoteReference"/>
        </w:rPr>
        <w:t xml:space="preserve"> </w:t>
      </w:r>
      <w:r w:rsidRPr="00D1590E">
        <w:rPr>
          <w:rStyle w:val="FootnoteReference"/>
        </w:rPr>
        <w:footnoteReference w:id="680"/>
      </w:r>
      <w:r w:rsidRPr="00D1590E">
        <w:t xml:space="preserve"> However, the Victorian service providers, which make up the majority of the comparison firms, are required to inspect their assets every three years in Hazardous Bushfire Risk Areas and every five years in all other areas.</w:t>
      </w:r>
      <w:r w:rsidRPr="00D1590E">
        <w:rPr>
          <w:rStyle w:val="FootnoteReference"/>
        </w:rPr>
        <w:t xml:space="preserve"> </w:t>
      </w:r>
      <w:r w:rsidRPr="00D1590E">
        <w:rPr>
          <w:rStyle w:val="FootnoteReference"/>
        </w:rPr>
        <w:footnoteReference w:id="681"/>
      </w:r>
    </w:p>
    <w:p w:rsidR="00D1590E" w:rsidRPr="00D1590E" w:rsidRDefault="00D1590E" w:rsidP="00D1590E">
      <w:r w:rsidRPr="00D1590E">
        <w:t xml:space="preserve">Jacobs submitted that we have not robustly substantiated a position on whether the asset age profiles of the comparison firms are appropriate for benchmarking the NSW </w:t>
      </w:r>
      <w:r w:rsidR="000C4E69">
        <w:t>distributors</w:t>
      </w:r>
      <w:r w:rsidRPr="00D1590E">
        <w:t>.</w:t>
      </w:r>
      <w:r w:rsidRPr="00D1590E">
        <w:rPr>
          <w:rStyle w:val="FootnoteReference"/>
        </w:rPr>
        <w:t xml:space="preserve"> </w:t>
      </w:r>
      <w:r w:rsidRPr="00D1590E">
        <w:rPr>
          <w:rStyle w:val="FootnoteReference"/>
        </w:rPr>
        <w:footnoteReference w:id="682"/>
      </w:r>
      <w:r w:rsidRPr="00D1590E">
        <w:t xml:space="preserve"> However, it provided no analysis of our WARL measure to support the claim and even noted that Endeavour Energy itself uses a WARL model to forecast its repex costs.</w:t>
      </w:r>
      <w:r w:rsidRPr="00D1590E">
        <w:rPr>
          <w:rStyle w:val="FootnoteReference"/>
        </w:rPr>
        <w:t xml:space="preserve"> </w:t>
      </w:r>
      <w:r w:rsidRPr="00D1590E">
        <w:rPr>
          <w:rStyle w:val="FootnoteReference"/>
        </w:rPr>
        <w:footnoteReference w:id="683"/>
      </w:r>
      <w:r w:rsidRPr="00D1590E">
        <w:t xml:space="preserve"> Jacobs also considered that we have overlooked the FMECA/RCM models used by the NSW service providers.</w:t>
      </w:r>
      <w:r w:rsidRPr="00D1590E">
        <w:rPr>
          <w:rStyle w:val="FootnoteReference"/>
        </w:rPr>
        <w:t xml:space="preserve"> </w:t>
      </w:r>
      <w:r w:rsidRPr="00D1590E">
        <w:rPr>
          <w:rStyle w:val="FootnoteReference"/>
        </w:rPr>
        <w:footnoteReference w:id="684"/>
      </w:r>
      <w:r w:rsidRPr="00D1590E">
        <w:t xml:space="preserve"> The comparison firms also use similar condition based service optimisation models</w:t>
      </w:r>
      <w:r w:rsidRPr="00D1590E">
        <w:rPr>
          <w:rStyle w:val="FootnoteReference"/>
        </w:rPr>
        <w:footnoteReference w:id="685"/>
      </w:r>
      <w:r w:rsidRPr="00D1590E">
        <w:t xml:space="preserve"> </w:t>
      </w:r>
      <w:r w:rsidRPr="00D1590E">
        <w:rPr>
          <w:rStyle w:val="FootnoteReference"/>
        </w:rPr>
        <w:footnoteReference w:id="686"/>
      </w:r>
      <w:r w:rsidRPr="00D1590E">
        <w:rPr>
          <w:rStyle w:val="FootnoteReference"/>
        </w:rPr>
        <w:footnoteReference w:id="687"/>
      </w:r>
      <w:r w:rsidRPr="00D1590E">
        <w:rPr>
          <w:rStyle w:val="FootnoteReference"/>
        </w:rPr>
        <w:footnoteReference w:id="688"/>
      </w:r>
      <w:r w:rsidRPr="00D1590E">
        <w:t xml:space="preserve"> but provide services at a lower cost.</w:t>
      </w:r>
    </w:p>
    <w:p w:rsidR="00D1590E" w:rsidRPr="00D1590E" w:rsidRDefault="00D1590E" w:rsidP="00D1590E">
      <w:pPr>
        <w:pStyle w:val="ListParagraph"/>
        <w:numPr>
          <w:ilvl w:val="0"/>
          <w:numId w:val="24"/>
        </w:numPr>
      </w:pPr>
      <w:r w:rsidRPr="00D1590E">
        <w:t>Jacobs has also stated that it considers we have not adequately substantiated a position on the proportion of expenditure reductions which are expected to be absorbed through an increase in risk profile.</w:t>
      </w:r>
      <w:r w:rsidRPr="00D1590E">
        <w:rPr>
          <w:rStyle w:val="FootnoteReference"/>
        </w:rPr>
        <w:t xml:space="preserve"> </w:t>
      </w:r>
      <w:r w:rsidRPr="00D1590E">
        <w:rPr>
          <w:rStyle w:val="FootnoteReference"/>
        </w:rPr>
        <w:footnoteReference w:id="689"/>
      </w:r>
      <w:r w:rsidRPr="00D1590E">
        <w:rPr>
          <w:rStyle w:val="FootnoteReference"/>
        </w:rPr>
        <w:t xml:space="preserve"> </w:t>
      </w:r>
      <w:r w:rsidRPr="00D1590E">
        <w:t xml:space="preserve"> We expect all opex reductions to be made through finding opex efficiencies with no negative impact on safety outcomes. Where the NSW service providers are unable to provide a prudent level of safety with the level of opex that reflects the opex criteria, we would expect their shareholders to bear the cost.</w:t>
      </w:r>
    </w:p>
    <w:p w:rsidR="00D1590E" w:rsidRPr="00D1590E" w:rsidRDefault="00D1590E" w:rsidP="00D1590E">
      <w:pPr>
        <w:pStyle w:val="ListParagraph"/>
        <w:numPr>
          <w:ilvl w:val="0"/>
          <w:numId w:val="24"/>
        </w:numPr>
      </w:pPr>
      <w:r w:rsidRPr="00D1590E">
        <w:t>The COO statements do not offer evidence to suggest that the comparison firms' opex is at a level that prevents them from providing services at an acceptable level of safety.</w:t>
      </w:r>
    </w:p>
    <w:p w:rsidR="00D1590E" w:rsidRPr="00D1590E" w:rsidRDefault="00D1590E" w:rsidP="00D1590E">
      <w:pPr>
        <w:pStyle w:val="ListParagraph"/>
        <w:numPr>
          <w:ilvl w:val="0"/>
          <w:numId w:val="24"/>
        </w:numPr>
      </w:pPr>
      <w:bookmarkStart w:id="349" w:name="_Ref400698395"/>
      <w:r w:rsidRPr="00D1590E">
        <w:lastRenderedPageBreak/>
        <w:t>Based on the above evidence, we consider that the comparison firms operate safe networks at lower levels of opex, such that no OEF adjustment is necessary to account for safety.</w:t>
      </w:r>
    </w:p>
    <w:p w:rsidR="00D1590E" w:rsidRPr="00D1590E" w:rsidRDefault="00D1590E" w:rsidP="00D1590E">
      <w:pPr>
        <w:pStyle w:val="HeadingBoldBlue"/>
        <w:numPr>
          <w:ilvl w:val="0"/>
          <w:numId w:val="24"/>
        </w:numPr>
      </w:pPr>
      <w:bookmarkStart w:id="350" w:name="_Toc417646314"/>
      <w:r w:rsidRPr="00D1590E">
        <w:t>Unregulated Services</w:t>
      </w:r>
      <w:bookmarkEnd w:id="350"/>
    </w:p>
    <w:p w:rsidR="00D1590E" w:rsidRPr="00D1590E" w:rsidRDefault="00D1590E" w:rsidP="00D1590E">
      <w:r w:rsidRPr="00D1590E">
        <w:t>We are not satisfied that an OEF adjustment for differences in the unregulated services that service providers engage in would meet the exogeneity OEF adjustment criterion. The extent to which a service provider engages in unregulated activities is under management's control.</w:t>
      </w:r>
    </w:p>
    <w:p w:rsidR="00D1590E" w:rsidRPr="00D1590E" w:rsidRDefault="00D1590E" w:rsidP="00D1590E">
      <w:r w:rsidRPr="00D1590E">
        <w:t>In response to our 2014 draft decision for ActewAGL, Advisian submitted that ActewAGL will have a cost disadvantage relative to the comparison firms because of differences in the provision of unregulated activities.</w:t>
      </w:r>
      <w:r w:rsidRPr="00D1590E">
        <w:rPr>
          <w:rStyle w:val="FootnoteReference"/>
        </w:rPr>
        <w:footnoteReference w:id="690"/>
      </w:r>
      <w:r w:rsidRPr="00D1590E">
        <w:t xml:space="preserve"> Advisian submitted that the volume or appetite for pursing unregulated revenue is fundamentally an internal matter for service providers', and therefore an OEF adjustment for the scale of unregulated activities is inappropriate.</w:t>
      </w:r>
      <w:r w:rsidRPr="00D1590E">
        <w:rPr>
          <w:rStyle w:val="FootnoteReference"/>
        </w:rPr>
        <w:t xml:space="preserve"> </w:t>
      </w:r>
      <w:r w:rsidRPr="00D1590E">
        <w:rPr>
          <w:rStyle w:val="FootnoteReference"/>
        </w:rPr>
        <w:footnoteReference w:id="691"/>
      </w:r>
      <w:r w:rsidRPr="00D1590E">
        <w:t xml:space="preserve"> However, Advisian submitted that ActewAGL is prevented from providing unregulated services because of its geographically isolated position. </w:t>
      </w:r>
    </w:p>
    <w:p w:rsidR="00D1590E" w:rsidRPr="00D1590E" w:rsidRDefault="00D1590E" w:rsidP="00D1590E">
      <w:pPr>
        <w:numPr>
          <w:ilvl w:val="0"/>
          <w:numId w:val="24"/>
        </w:numPr>
      </w:pPr>
      <w:r w:rsidRPr="00D1590E">
        <w:t>We are satisfied that there are opportunities for the NSW service providers to provide unregulated services. This is because they have large markets available to them. All of the NSW service providers have more customers than any of the comparison firms. As a result we consider that the NSW service providers have the opportunity to provide unregulated services. The extent to which they do provide unregulated services is a management decision.</w:t>
      </w:r>
    </w:p>
    <w:p w:rsidR="00D1590E" w:rsidRPr="00D1590E" w:rsidRDefault="00D1590E" w:rsidP="00D1590E">
      <w:pPr>
        <w:pStyle w:val="Heading9"/>
      </w:pPr>
      <w:bookmarkStart w:id="351" w:name="_Toc417646315"/>
      <w:bookmarkStart w:id="352" w:name="_Toc417649241"/>
      <w:bookmarkStart w:id="353" w:name="_Toc417659873"/>
      <w:r w:rsidRPr="00D1590E">
        <w:t>Geographic factors</w:t>
      </w:r>
      <w:bookmarkEnd w:id="349"/>
      <w:bookmarkEnd w:id="351"/>
      <w:bookmarkEnd w:id="352"/>
      <w:bookmarkEnd w:id="353"/>
    </w:p>
    <w:p w:rsidR="00D1590E" w:rsidRPr="00D1590E" w:rsidRDefault="00D1590E" w:rsidP="00D1590E">
      <w:pPr>
        <w:pStyle w:val="HeadingBoldBlue"/>
        <w:numPr>
          <w:ilvl w:val="0"/>
          <w:numId w:val="24"/>
        </w:numPr>
      </w:pPr>
      <w:bookmarkStart w:id="354" w:name="_Toc417646316"/>
      <w:r w:rsidRPr="00D1590E">
        <w:t>Bushfire risk</w:t>
      </w:r>
      <w:bookmarkEnd w:id="354"/>
    </w:p>
    <w:p w:rsidR="00D1590E" w:rsidRPr="00D1590E" w:rsidRDefault="00D1590E" w:rsidP="00D1590E">
      <w:pPr>
        <w:numPr>
          <w:ilvl w:val="0"/>
          <w:numId w:val="24"/>
        </w:numPr>
      </w:pPr>
      <w:r w:rsidRPr="00D1590E">
        <w:t xml:space="preserve">We are not satisfied that an OEF adjustment for differences in bushfire risk between the NSW service providers and the comparison firms would meet the materiality OEF adjustment criterion. Differences in bushfire risk between the NSW service providers and the comparison firms will not lead to material differences in opex.  </w:t>
      </w:r>
    </w:p>
    <w:p w:rsidR="00D1590E" w:rsidRPr="00D1590E" w:rsidRDefault="00D1590E" w:rsidP="00D1590E">
      <w:pPr>
        <w:numPr>
          <w:ilvl w:val="0"/>
          <w:numId w:val="24"/>
        </w:numPr>
      </w:pPr>
      <w:r w:rsidRPr="00D1590E">
        <w:t>In our draft decision, we provided a negative OEF adjustment for bushfire risk. This was for three reasons. Although service providers can take action to manage their bushfire risk, the natural environment and regulations with which they must comply are beyond their control. In the aftermath of the Black Saturday bushfires additional requirements were placed on the Victorian service providers which has led to an increase in the opex they require. Also, bushfire risk is not accounted for in Economic Insights' SFA model.</w:t>
      </w:r>
    </w:p>
    <w:p w:rsidR="00D1590E" w:rsidRPr="00D1590E" w:rsidRDefault="00D1590E" w:rsidP="00D1590E">
      <w:pPr>
        <w:numPr>
          <w:ilvl w:val="0"/>
          <w:numId w:val="24"/>
        </w:numPr>
      </w:pPr>
      <w:r w:rsidRPr="00D1590E">
        <w:lastRenderedPageBreak/>
        <w:t>In response to our draft decision we received submissions from Essential Energy</w:t>
      </w:r>
      <w:r w:rsidRPr="00D1590E">
        <w:rPr>
          <w:rStyle w:val="FootnoteReference"/>
        </w:rPr>
        <w:footnoteReference w:id="692"/>
      </w:r>
      <w:r w:rsidRPr="00D1590E">
        <w:t xml:space="preserve"> and Ergon Energy</w:t>
      </w:r>
      <w:r w:rsidRPr="00D1590E">
        <w:rPr>
          <w:rStyle w:val="FootnoteReference"/>
        </w:rPr>
        <w:footnoteReference w:id="693"/>
      </w:r>
      <w:r w:rsidRPr="00D1590E">
        <w:t xml:space="preserve"> on the effect of differences in bushfire regulations and bushfire risk on opex.</w:t>
      </w:r>
    </w:p>
    <w:p w:rsidR="00D1590E" w:rsidRPr="00D1590E" w:rsidRDefault="00D1590E" w:rsidP="00D1590E">
      <w:pPr>
        <w:numPr>
          <w:ilvl w:val="0"/>
          <w:numId w:val="24"/>
        </w:numPr>
      </w:pPr>
      <w:r w:rsidRPr="00D1590E">
        <w:t>Essential Energy submitted that the vegetation management standard, an important driver of bushfire mitigation costs, in NSW is similar to the Victorian standard but more onerous than the Queensland standard.</w:t>
      </w:r>
      <w:r w:rsidRPr="00D1590E">
        <w:rPr>
          <w:rStyle w:val="FootnoteReference"/>
        </w:rPr>
        <w:t xml:space="preserve"> </w:t>
      </w:r>
      <w:r w:rsidRPr="00D1590E">
        <w:rPr>
          <w:rStyle w:val="FootnoteReference"/>
        </w:rPr>
        <w:footnoteReference w:id="694"/>
      </w:r>
      <w:r w:rsidRPr="00D1590E">
        <w:t xml:space="preserve"> Essential Energy also submitted that although it was not directly governed by the resulting Victorian legislation, it would be negligent for it to ignore the findings of Victorian Bushfires Royal Commission (VBRC).</w:t>
      </w:r>
      <w:r w:rsidRPr="00D1590E">
        <w:rPr>
          <w:rStyle w:val="FootnoteReference"/>
        </w:rPr>
        <w:footnoteReference w:id="695"/>
      </w:r>
      <w:r w:rsidRPr="00D1590E">
        <w:t xml:space="preserve"> Essential also submitted bushfire mapping to show that it operated in some areas of high bushfire risk.</w:t>
      </w:r>
      <w:r w:rsidRPr="00D1590E">
        <w:rPr>
          <w:rStyle w:val="FootnoteReference"/>
        </w:rPr>
        <w:t xml:space="preserve"> </w:t>
      </w:r>
      <w:r w:rsidRPr="00D1590E">
        <w:rPr>
          <w:rStyle w:val="FootnoteReference"/>
        </w:rPr>
        <w:footnoteReference w:id="696"/>
      </w:r>
    </w:p>
    <w:p w:rsidR="00D1590E" w:rsidRPr="00D1590E" w:rsidRDefault="00D1590E" w:rsidP="00D1590E">
      <w:pPr>
        <w:numPr>
          <w:ilvl w:val="0"/>
          <w:numId w:val="24"/>
        </w:numPr>
      </w:pPr>
      <w:r w:rsidRPr="00D1590E">
        <w:t>Ergon Energy submitted that the AER should consider if the additional bushfire risk mitigation measures put in place were to increase the prudency of the Victorian service providers' expenditures. It also noted that because regulations exist in the context of broader obligations it is difficult to quantify the cost impact of changes in obligations.</w:t>
      </w:r>
      <w:r w:rsidRPr="00D1590E">
        <w:rPr>
          <w:rStyle w:val="FootnoteReference"/>
        </w:rPr>
        <w:footnoteReference w:id="697"/>
      </w:r>
    </w:p>
    <w:p w:rsidR="00D1590E" w:rsidRPr="00D1590E" w:rsidRDefault="00D1590E" w:rsidP="00D1590E">
      <w:pPr>
        <w:numPr>
          <w:ilvl w:val="0"/>
          <w:numId w:val="24"/>
        </w:numPr>
      </w:pPr>
      <w:r w:rsidRPr="00D1590E">
        <w:t>Essential, Endeavour, and Ausgrid all raised the safety implications of bushfire risk in their revised regulatory proposals.</w:t>
      </w:r>
      <w:r w:rsidRPr="00D1590E">
        <w:rPr>
          <w:rStyle w:val="FootnoteReference"/>
        </w:rPr>
        <w:footnoteReference w:id="698"/>
      </w:r>
      <w:r w:rsidRPr="00D1590E">
        <w:t xml:space="preserve"> </w:t>
      </w:r>
      <w:r w:rsidRPr="00D1590E">
        <w:rPr>
          <w:rStyle w:val="FootnoteReference"/>
        </w:rPr>
        <w:footnoteReference w:id="699"/>
      </w:r>
      <w:r w:rsidRPr="00D1590E">
        <w:t xml:space="preserve"> </w:t>
      </w:r>
      <w:r w:rsidRPr="00D1590E">
        <w:rPr>
          <w:rStyle w:val="FootnoteReference"/>
        </w:rPr>
        <w:footnoteReference w:id="700"/>
      </w:r>
      <w:r w:rsidRPr="00D1590E">
        <w:t xml:space="preserve"> The safety outcomes for the comparison firms and the NSW service providers are considered under safety outcomes in the endogenous factors section above. We consider the effect of bushfire risk and regulations on opex below.</w:t>
      </w:r>
    </w:p>
    <w:p w:rsidR="00D1590E" w:rsidRPr="00D1590E" w:rsidRDefault="00D1590E" w:rsidP="00D1590E">
      <w:pPr>
        <w:pStyle w:val="HeadingBoldItalic"/>
      </w:pPr>
      <w:r w:rsidRPr="00D1590E">
        <w:t>Environmental risk</w:t>
      </w:r>
    </w:p>
    <w:p w:rsidR="00D1590E" w:rsidRPr="00D1590E" w:rsidRDefault="00D1590E" w:rsidP="00D1590E">
      <w:pPr>
        <w:numPr>
          <w:ilvl w:val="0"/>
          <w:numId w:val="24"/>
        </w:numPr>
      </w:pPr>
      <w:r w:rsidRPr="00D1590E">
        <w:t xml:space="preserve">We are still satisfied that the Victorian service providers face a higher level of bushfire risk than the NSW service providers. This is based on the evidence presented in our draft decision, data from the Bureau of Transport Economics, mapping provided by Essential Energy, and statements made by Essential Energy on the bushfire risk faced by Victorian service providers. </w:t>
      </w:r>
    </w:p>
    <w:p w:rsidR="00D1590E" w:rsidRPr="00D1590E" w:rsidRDefault="00D1590E" w:rsidP="00D1590E">
      <w:r w:rsidRPr="00D1590E">
        <w:t>Data collected by the Bureau of Transport Economics shows that on average over the period 1967 to 1999 bushfires caused more economic losses in Victoria than in NSW.</w:t>
      </w:r>
    </w:p>
    <w:p w:rsidR="00D1590E" w:rsidRPr="00D1590E" w:rsidRDefault="00D1590E" w:rsidP="00D1590E">
      <w:pPr>
        <w:pStyle w:val="Caption"/>
      </w:pPr>
      <w:r w:rsidRPr="00D1590E">
        <w:lastRenderedPageBreak/>
        <w:t xml:space="preserve">Table </w:t>
      </w:r>
      <w:fldSimple w:instr=" STYLEREF 7 \s ">
        <w:r w:rsidR="00C57342">
          <w:rPr>
            <w:noProof/>
          </w:rPr>
          <w:t>A</w:t>
        </w:r>
      </w:fldSimple>
      <w:r w:rsidRPr="00D1590E">
        <w:t>.</w:t>
      </w:r>
      <w:fldSimple w:instr=" SEQ ATable \* ARABIC \s 7 ">
        <w:r w:rsidR="00C57342">
          <w:rPr>
            <w:noProof/>
          </w:rPr>
          <w:t>10</w:t>
        </w:r>
      </w:fldSimple>
      <w:r w:rsidRPr="00D1590E">
        <w:tab/>
        <w:t>Past cost of bushfires 1967-1999</w:t>
      </w:r>
    </w:p>
    <w:tbl>
      <w:tblPr>
        <w:tblStyle w:val="AERtable-numbers"/>
        <w:tblW w:w="5591" w:type="pct"/>
        <w:tblLayout w:type="fixed"/>
        <w:tblLook w:val="04A0" w:firstRow="1" w:lastRow="0" w:firstColumn="1" w:lastColumn="0" w:noHBand="0" w:noVBand="1"/>
      </w:tblPr>
      <w:tblGrid>
        <w:gridCol w:w="2524"/>
        <w:gridCol w:w="1133"/>
        <w:gridCol w:w="1129"/>
        <w:gridCol w:w="1415"/>
        <w:gridCol w:w="1176"/>
        <w:gridCol w:w="1176"/>
        <w:gridCol w:w="1166"/>
      </w:tblGrid>
      <w:tr w:rsidR="00D1590E" w:rsidRPr="0029153F" w:rsidTr="00D1590E">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D1590E" w:rsidRPr="00D1590E" w:rsidRDefault="00D1590E" w:rsidP="00D1590E">
            <w:pPr>
              <w:pStyle w:val="AERtabletextleft"/>
            </w:pPr>
            <w:r w:rsidRPr="00D1590E">
              <w:t xml:space="preserve"> </w:t>
            </w:r>
          </w:p>
        </w:tc>
        <w:tc>
          <w:tcPr>
            <w:tcW w:w="583" w:type="pct"/>
            <w:noWrap/>
            <w:vAlign w:val="top"/>
            <w:hideMark/>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ACT</w:t>
            </w:r>
          </w:p>
        </w:tc>
        <w:tc>
          <w:tcPr>
            <w:tcW w:w="581" w:type="pct"/>
            <w:noWrap/>
            <w:vAlign w:val="top"/>
            <w:hideMark/>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New South Wales</w:t>
            </w:r>
          </w:p>
        </w:tc>
        <w:tc>
          <w:tcPr>
            <w:tcW w:w="728" w:type="pct"/>
            <w:noWrap/>
            <w:vAlign w:val="top"/>
            <w:hideMark/>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Queensland</w:t>
            </w:r>
          </w:p>
        </w:tc>
        <w:tc>
          <w:tcPr>
            <w:tcW w:w="605" w:type="pct"/>
            <w:noWrap/>
            <w:vAlign w:val="top"/>
            <w:hideMark/>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South Australia</w:t>
            </w:r>
          </w:p>
        </w:tc>
        <w:tc>
          <w:tcPr>
            <w:tcW w:w="605" w:type="pct"/>
            <w:noWrap/>
            <w:vAlign w:val="top"/>
            <w:hideMark/>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Tasmania</w:t>
            </w:r>
          </w:p>
        </w:tc>
        <w:tc>
          <w:tcPr>
            <w:tcW w:w="601" w:type="pct"/>
            <w:noWrap/>
            <w:vAlign w:val="top"/>
            <w:hideMark/>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Victoria</w:t>
            </w:r>
          </w:p>
        </w:tc>
      </w:tr>
      <w:tr w:rsidR="00D1590E" w:rsidRPr="0029153F" w:rsidTr="00D1590E">
        <w:trPr>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D1590E" w:rsidRPr="00D1590E" w:rsidRDefault="00D1590E" w:rsidP="00D1590E">
            <w:pPr>
              <w:pStyle w:val="AERtabletextleft"/>
            </w:pPr>
            <w:r w:rsidRPr="00D1590E">
              <w:t>GSP 2012/13 ($m 2013)</w:t>
            </w:r>
          </w:p>
        </w:tc>
        <w:tc>
          <w:tcPr>
            <w:tcW w:w="583"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35 088</w:t>
            </w:r>
          </w:p>
        </w:tc>
        <w:tc>
          <w:tcPr>
            <w:tcW w:w="581"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476 434</w:t>
            </w:r>
          </w:p>
        </w:tc>
        <w:tc>
          <w:tcPr>
            <w:tcW w:w="728"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290 158</w:t>
            </w:r>
          </w:p>
        </w:tc>
        <w:tc>
          <w:tcPr>
            <w:tcW w:w="605"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95 123</w:t>
            </w:r>
          </w:p>
        </w:tc>
        <w:tc>
          <w:tcPr>
            <w:tcW w:w="605"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24 360</w:t>
            </w:r>
          </w:p>
        </w:tc>
        <w:tc>
          <w:tcPr>
            <w:tcW w:w="601"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337 493</w:t>
            </w:r>
          </w:p>
        </w:tc>
      </w:tr>
      <w:tr w:rsidR="00D1590E" w:rsidRPr="0029153F" w:rsidTr="00D1590E">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D1590E" w:rsidRPr="00D1590E" w:rsidRDefault="00D1590E" w:rsidP="00D1590E">
            <w:pPr>
              <w:pStyle w:val="AERtabletextleft"/>
            </w:pPr>
            <w:r w:rsidRPr="00D1590E">
              <w:t>Average cost of bushfires 1967-1999 ($m 2013)</w:t>
            </w:r>
          </w:p>
        </w:tc>
        <w:tc>
          <w:tcPr>
            <w:tcW w:w="583" w:type="pct"/>
            <w:noWrap/>
            <w:vAlign w:val="top"/>
            <w:hideMark/>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10.9</w:t>
            </w:r>
            <w:r w:rsidRPr="00D1590E">
              <w:rPr>
                <w:rStyle w:val="FootnoteReference"/>
              </w:rPr>
              <w:footnoteReference w:id="701"/>
            </w:r>
          </w:p>
        </w:tc>
        <w:tc>
          <w:tcPr>
            <w:tcW w:w="581" w:type="pct"/>
            <w:noWrap/>
            <w:vAlign w:val="top"/>
            <w:hideMark/>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16.8</w:t>
            </w:r>
          </w:p>
        </w:tc>
        <w:tc>
          <w:tcPr>
            <w:tcW w:w="728" w:type="pct"/>
            <w:noWrap/>
            <w:vAlign w:val="top"/>
            <w:hideMark/>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0.4</w:t>
            </w:r>
          </w:p>
        </w:tc>
        <w:tc>
          <w:tcPr>
            <w:tcW w:w="605" w:type="pct"/>
            <w:noWrap/>
            <w:vAlign w:val="top"/>
            <w:hideMark/>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11.9</w:t>
            </w:r>
          </w:p>
        </w:tc>
        <w:tc>
          <w:tcPr>
            <w:tcW w:w="605" w:type="pct"/>
            <w:noWrap/>
            <w:vAlign w:val="top"/>
            <w:hideMark/>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11.2</w:t>
            </w:r>
          </w:p>
        </w:tc>
        <w:tc>
          <w:tcPr>
            <w:tcW w:w="601" w:type="pct"/>
            <w:noWrap/>
            <w:vAlign w:val="top"/>
            <w:hideMark/>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32.4</w:t>
            </w:r>
          </w:p>
        </w:tc>
      </w:tr>
      <w:tr w:rsidR="00D1590E" w:rsidRPr="0029153F" w:rsidTr="00D1590E">
        <w:trPr>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D1590E" w:rsidRPr="00D1590E" w:rsidRDefault="00D1590E" w:rsidP="00D1590E">
            <w:pPr>
              <w:pStyle w:val="AERtabletextleft"/>
            </w:pPr>
            <w:r w:rsidRPr="00D1590E">
              <w:t>% of GSP</w:t>
            </w:r>
          </w:p>
        </w:tc>
        <w:tc>
          <w:tcPr>
            <w:tcW w:w="583"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0.03%</w:t>
            </w:r>
          </w:p>
        </w:tc>
        <w:tc>
          <w:tcPr>
            <w:tcW w:w="581"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0.00%</w:t>
            </w:r>
          </w:p>
        </w:tc>
        <w:tc>
          <w:tcPr>
            <w:tcW w:w="728"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0.00%</w:t>
            </w:r>
          </w:p>
        </w:tc>
        <w:tc>
          <w:tcPr>
            <w:tcW w:w="605"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0.01%</w:t>
            </w:r>
          </w:p>
        </w:tc>
        <w:tc>
          <w:tcPr>
            <w:tcW w:w="605"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0.05%</w:t>
            </w:r>
          </w:p>
        </w:tc>
        <w:tc>
          <w:tcPr>
            <w:tcW w:w="601" w:type="pct"/>
            <w:noWrap/>
            <w:vAlign w:val="top"/>
            <w:hideMark/>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0.01%</w:t>
            </w:r>
          </w:p>
        </w:tc>
      </w:tr>
    </w:tbl>
    <w:p w:rsidR="00D1590E" w:rsidRPr="00D1590E" w:rsidRDefault="00D1590E" w:rsidP="00D1590E">
      <w:pPr>
        <w:pStyle w:val="AERtablesource"/>
        <w:numPr>
          <w:ilvl w:val="0"/>
          <w:numId w:val="24"/>
        </w:numPr>
      </w:pPr>
      <w:r w:rsidRPr="00D1590E">
        <w:t>Source: BTE</w:t>
      </w:r>
      <w:r w:rsidRPr="00D1590E">
        <w:rPr>
          <w:rStyle w:val="FootnoteReference"/>
        </w:rPr>
        <w:footnoteReference w:id="702"/>
      </w:r>
      <w:r w:rsidRPr="00D1590E">
        <w:t xml:space="preserve"> and ABS</w:t>
      </w:r>
      <w:r w:rsidRPr="00D1590E">
        <w:rPr>
          <w:rStyle w:val="FootnoteReference"/>
        </w:rPr>
        <w:footnoteReference w:id="703"/>
      </w:r>
      <w:r w:rsidRPr="00D1590E">
        <w:t xml:space="preserve"> </w:t>
      </w:r>
      <w:r w:rsidRPr="00D1590E">
        <w:rPr>
          <w:rStyle w:val="FootnoteReference"/>
        </w:rPr>
        <w:footnoteReference w:id="704"/>
      </w:r>
      <w:r w:rsidRPr="00D1590E">
        <w:t xml:space="preserve"> </w:t>
      </w:r>
      <w:r w:rsidRPr="00D1590E">
        <w:rPr>
          <w:rStyle w:val="FootnoteReference"/>
        </w:rPr>
        <w:footnoteReference w:id="705"/>
      </w:r>
    </w:p>
    <w:p w:rsidR="00D1590E" w:rsidRPr="00D1590E" w:rsidRDefault="00D1590E" w:rsidP="00D1590E">
      <w:r w:rsidRPr="00D1590E">
        <w:t xml:space="preserve">In its revised proposal Essential Energy provided two bushfire risk maps. Both maps show that most of Victoria is at high risk due to bushfires. These two maps are shown in </w:t>
      </w:r>
      <w:r w:rsidRPr="00D1590E">
        <w:fldChar w:fldCharType="begin"/>
      </w:r>
      <w:r w:rsidRPr="00D1590E">
        <w:instrText xml:space="preserve"> REF _Ref417643722 \h </w:instrText>
      </w:r>
      <w:r w:rsidRPr="00D1590E">
        <w:fldChar w:fldCharType="separate"/>
      </w:r>
      <w:r w:rsidR="00C57342" w:rsidRPr="00D1590E">
        <w:t xml:space="preserve">Figure </w:t>
      </w:r>
      <w:r w:rsidR="00C57342">
        <w:rPr>
          <w:noProof/>
        </w:rPr>
        <w:t>A</w:t>
      </w:r>
      <w:r w:rsidR="00C57342" w:rsidRPr="00D1590E">
        <w:t>.</w:t>
      </w:r>
      <w:r w:rsidR="00C57342">
        <w:rPr>
          <w:noProof/>
        </w:rPr>
        <w:t>22</w:t>
      </w:r>
      <w:r w:rsidRPr="00D1590E">
        <w:fldChar w:fldCharType="end"/>
      </w:r>
      <w:r w:rsidRPr="00D1590E">
        <w:t xml:space="preserve"> and </w:t>
      </w:r>
      <w:r w:rsidRPr="00D1590E">
        <w:fldChar w:fldCharType="begin"/>
      </w:r>
      <w:r w:rsidRPr="00D1590E">
        <w:instrText xml:space="preserve"> REF _Ref417643736 \h </w:instrText>
      </w:r>
      <w:r w:rsidRPr="00D1590E">
        <w:fldChar w:fldCharType="separate"/>
      </w:r>
      <w:r w:rsidR="00C57342" w:rsidRPr="00D1590E">
        <w:t xml:space="preserve">Figure </w:t>
      </w:r>
      <w:r w:rsidR="00C57342">
        <w:rPr>
          <w:noProof/>
        </w:rPr>
        <w:t>A</w:t>
      </w:r>
      <w:r w:rsidR="00C57342" w:rsidRPr="00D1590E">
        <w:t>.</w:t>
      </w:r>
      <w:r w:rsidR="00C57342">
        <w:rPr>
          <w:noProof/>
        </w:rPr>
        <w:t>23</w:t>
      </w:r>
      <w:r w:rsidRPr="00D1590E">
        <w:fldChar w:fldCharType="end"/>
      </w:r>
      <w:r w:rsidRPr="00D1590E">
        <w:t>.</w:t>
      </w:r>
    </w:p>
    <w:p w:rsidR="00D1590E" w:rsidRPr="00D1590E" w:rsidRDefault="00D1590E" w:rsidP="00D1590E">
      <w:pPr>
        <w:pStyle w:val="Caption"/>
      </w:pPr>
      <w:bookmarkStart w:id="355" w:name="_Ref417643722"/>
      <w:r w:rsidRPr="00D1590E">
        <w:t xml:space="preserve">Figure </w:t>
      </w:r>
      <w:fldSimple w:instr=" STYLEREF 7 \s ">
        <w:r w:rsidR="00C57342">
          <w:rPr>
            <w:noProof/>
          </w:rPr>
          <w:t>A</w:t>
        </w:r>
      </w:fldSimple>
      <w:r w:rsidRPr="00D1590E">
        <w:t>.</w:t>
      </w:r>
      <w:fldSimple w:instr=" SEQ AFigure \* ARABIC \s 7 ">
        <w:r w:rsidR="00C57342">
          <w:rPr>
            <w:noProof/>
          </w:rPr>
          <w:t>22</w:t>
        </w:r>
      </w:fldSimple>
      <w:bookmarkEnd w:id="355"/>
      <w:r w:rsidRPr="00D1590E">
        <w:tab/>
        <w:t>Map of potential fire intensity</w:t>
      </w:r>
    </w:p>
    <w:p w:rsidR="00D1590E" w:rsidRPr="00D1590E" w:rsidRDefault="00D1590E" w:rsidP="00D1590E">
      <w:r w:rsidRPr="00D1590E">
        <w:rPr>
          <w:noProof/>
          <w:lang w:eastAsia="en-AU"/>
        </w:rPr>
        <w:drawing>
          <wp:inline distT="0" distB="0" distL="0" distR="0" wp14:anchorId="4D2735B7" wp14:editId="74448285">
            <wp:extent cx="4051257" cy="3476847"/>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60845" cy="3485076"/>
                    </a:xfrm>
                    <a:prstGeom prst="rect">
                      <a:avLst/>
                    </a:prstGeom>
                  </pic:spPr>
                </pic:pic>
              </a:graphicData>
            </a:graphic>
          </wp:inline>
        </w:drawing>
      </w:r>
    </w:p>
    <w:p w:rsidR="00D1590E" w:rsidRPr="00D1590E" w:rsidRDefault="00D1590E" w:rsidP="00D1590E">
      <w:pPr>
        <w:pStyle w:val="Source"/>
      </w:pPr>
      <w:r w:rsidRPr="00D1590E">
        <w:t>Source: Dr Kevin Tolhurst</w:t>
      </w:r>
      <w:r w:rsidRPr="00D1590E">
        <w:rPr>
          <w:rStyle w:val="FootnoteReference"/>
        </w:rPr>
        <w:footnoteReference w:id="706"/>
      </w:r>
    </w:p>
    <w:p w:rsidR="00D1590E" w:rsidRPr="00D1590E" w:rsidRDefault="00D1590E" w:rsidP="00D1590E">
      <w:pPr>
        <w:pStyle w:val="Caption"/>
      </w:pPr>
      <w:bookmarkStart w:id="356" w:name="_Ref417643736"/>
      <w:r w:rsidRPr="00D1590E">
        <w:lastRenderedPageBreak/>
        <w:t xml:space="preserve">Figure </w:t>
      </w:r>
      <w:fldSimple w:instr=" STYLEREF 7 \s ">
        <w:r w:rsidR="00C57342">
          <w:rPr>
            <w:noProof/>
          </w:rPr>
          <w:t>A</w:t>
        </w:r>
      </w:fldSimple>
      <w:r w:rsidRPr="00D1590E">
        <w:t>.</w:t>
      </w:r>
      <w:fldSimple w:instr=" SEQ AFigure \* ARABIC \s 7 ">
        <w:r w:rsidR="00C57342">
          <w:rPr>
            <w:noProof/>
          </w:rPr>
          <w:t>23</w:t>
        </w:r>
      </w:fldSimple>
      <w:bookmarkEnd w:id="356"/>
      <w:r w:rsidRPr="00D1590E">
        <w:tab/>
        <w:t>Map of bushfire potential zones in Australia</w:t>
      </w:r>
    </w:p>
    <w:p w:rsidR="00D1590E" w:rsidRPr="00D1590E" w:rsidRDefault="00D1590E" w:rsidP="00D1590E">
      <w:r w:rsidRPr="00D1590E">
        <w:rPr>
          <w:noProof/>
          <w:lang w:eastAsia="en-AU"/>
        </w:rPr>
        <w:drawing>
          <wp:inline distT="0" distB="0" distL="0" distR="0" wp14:anchorId="03502EBE" wp14:editId="361DDD41">
            <wp:extent cx="3511305" cy="2945219"/>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19629" cy="2952201"/>
                    </a:xfrm>
                    <a:prstGeom prst="rect">
                      <a:avLst/>
                    </a:prstGeom>
                  </pic:spPr>
                </pic:pic>
              </a:graphicData>
            </a:graphic>
          </wp:inline>
        </w:drawing>
      </w:r>
    </w:p>
    <w:p w:rsidR="00D1590E" w:rsidRPr="00D1590E" w:rsidRDefault="00D1590E" w:rsidP="00D1590E">
      <w:pPr>
        <w:pStyle w:val="Source"/>
      </w:pPr>
      <w:r w:rsidRPr="00D1590E">
        <w:t xml:space="preserve">Source: Johnson, R. W., Blong R. J. and Ryan C.J. </w:t>
      </w:r>
      <w:r w:rsidRPr="00D1590E">
        <w:rPr>
          <w:rStyle w:val="FootnoteReference"/>
        </w:rPr>
        <w:footnoteReference w:id="707"/>
      </w:r>
    </w:p>
    <w:p w:rsidR="00D1590E" w:rsidRPr="00D1590E" w:rsidRDefault="00D1590E" w:rsidP="00D1590E">
      <w:r w:rsidRPr="00D1590E">
        <w:t>Additionally Essential Energy has stated:</w:t>
      </w:r>
    </w:p>
    <w:p w:rsidR="00D1590E" w:rsidRPr="00D1590E" w:rsidRDefault="00D1590E" w:rsidP="00D1590E">
      <w:pPr>
        <w:pStyle w:val="AERquote"/>
      </w:pPr>
      <w:r w:rsidRPr="00D1590E">
        <w:t>" South-eastern Australia contains large areas of relatively high bushfire risk with historically, the likelihood and consequence of catastrophic fires being more prominent in Victoria in comparison to other states."</w:t>
      </w:r>
      <w:r w:rsidRPr="00D1590E">
        <w:rPr>
          <w:rStyle w:val="FootnoteReference"/>
        </w:rPr>
        <w:footnoteReference w:id="708"/>
      </w:r>
    </w:p>
    <w:p w:rsidR="00D1590E" w:rsidRPr="00D1590E" w:rsidRDefault="00D1590E" w:rsidP="00D1590E">
      <w:pPr>
        <w:pStyle w:val="HeadingBoldItalic"/>
      </w:pPr>
      <w:r w:rsidRPr="00D1590E">
        <w:t>Bushfire related regulatory requirements</w:t>
      </w:r>
    </w:p>
    <w:p w:rsidR="00D1590E" w:rsidRPr="00D1590E" w:rsidRDefault="00D1590E" w:rsidP="00D1590E">
      <w:r w:rsidRPr="00D1590E">
        <w:t>Another indicator of bushfire risk is the bushfire related regulations that apply to a service provider. The regulations that a service provider must comply with are a direct imposition on a service provider's costs. The regulations related to mitigating bushfire risk were more stringent in Victoria than in NSW during the benchmarking period. There were increased regulatory obligations placed on the Victorian service providers after the Black Saturday bushfires which occurred in 2009. Also, during the benchmarking period, vegetation management regulations were stricter for Victorian service providers than for the NSW service providers.</w:t>
      </w:r>
    </w:p>
    <w:p w:rsidR="00D1590E" w:rsidRPr="00D1590E" w:rsidRDefault="00D1590E" w:rsidP="00D1590E">
      <w:r w:rsidRPr="00D1590E">
        <w:t xml:space="preserve">In the aftermath of the Black Saturday bushfires many changes were recommended to the operation and management of the Victorian distribution systems. These obligations do not exist in NSW and include: </w:t>
      </w:r>
    </w:p>
    <w:p w:rsidR="00D1590E" w:rsidRPr="00D1590E" w:rsidRDefault="00D1590E" w:rsidP="00D1590E">
      <w:pPr>
        <w:pStyle w:val="AERbulletlistfirststyle"/>
      </w:pPr>
      <w:r w:rsidRPr="00D1590E">
        <w:lastRenderedPageBreak/>
        <w:t>Changes to the Electric Line Clearance Regulations leading to a forecast step change in opex of $205 million ($2010) over the 2011 to 2015 period</w:t>
      </w:r>
      <w:r w:rsidRPr="00D1590E">
        <w:rPr>
          <w:rStyle w:val="FootnoteReference"/>
        </w:rPr>
        <w:footnoteReference w:id="709"/>
      </w:r>
      <w:r w:rsidRPr="00D1590E">
        <w:t xml:space="preserve"> </w:t>
      </w:r>
      <w:r w:rsidRPr="00D1590E">
        <w:rPr>
          <w:rStyle w:val="FootnoteReference"/>
        </w:rPr>
        <w:footnoteReference w:id="710"/>
      </w:r>
    </w:p>
    <w:p w:rsidR="00D1590E" w:rsidRPr="00D1590E" w:rsidRDefault="00D1590E" w:rsidP="00D1590E">
      <w:pPr>
        <w:pStyle w:val="AERbulletlistfirststyle"/>
      </w:pPr>
      <w:r w:rsidRPr="00D1590E">
        <w:t>Audit programs for line spreaders</w:t>
      </w:r>
      <w:r w:rsidRPr="00D1590E">
        <w:rPr>
          <w:rStyle w:val="FootnoteReference"/>
        </w:rPr>
        <w:footnoteReference w:id="711"/>
      </w:r>
    </w:p>
    <w:p w:rsidR="00D1590E" w:rsidRPr="00D1590E" w:rsidRDefault="00D1590E" w:rsidP="00D1590E">
      <w:pPr>
        <w:pStyle w:val="AERbulletlistfirststyle"/>
      </w:pPr>
      <w:r w:rsidRPr="00D1590E">
        <w:t>Audit programs for vibration dampeners</w:t>
      </w:r>
      <w:r w:rsidRPr="00D1590E">
        <w:rPr>
          <w:rStyle w:val="FootnoteReference"/>
        </w:rPr>
        <w:footnoteReference w:id="712"/>
      </w:r>
    </w:p>
    <w:p w:rsidR="00D1590E" w:rsidRPr="00D1590E" w:rsidRDefault="00D1590E" w:rsidP="00D1590E">
      <w:pPr>
        <w:pStyle w:val="AERbulletlistfirststyle"/>
      </w:pPr>
      <w:r w:rsidRPr="00D1590E">
        <w:t>Increased asset inspection frequencies,</w:t>
      </w:r>
      <w:r w:rsidRPr="00D1590E">
        <w:rPr>
          <w:rStyle w:val="FootnoteReference"/>
        </w:rPr>
        <w:footnoteReference w:id="713"/>
      </w:r>
      <w:r w:rsidRPr="00D1590E">
        <w:t xml:space="preserve"> and</w:t>
      </w:r>
    </w:p>
    <w:p w:rsidR="00D1590E" w:rsidRPr="00D1590E" w:rsidRDefault="00D1590E" w:rsidP="00D1590E">
      <w:pPr>
        <w:pStyle w:val="AERbulletlistfirststyle"/>
      </w:pPr>
      <w:r w:rsidRPr="00D1590E">
        <w:t>Audits of asset inspectors.</w:t>
      </w:r>
      <w:r w:rsidRPr="00D1590E">
        <w:rPr>
          <w:rStyle w:val="FootnoteReference"/>
        </w:rPr>
        <w:footnoteReference w:id="714"/>
      </w:r>
      <w:r w:rsidRPr="00D1590E">
        <w:t xml:space="preserve"> </w:t>
      </w:r>
    </w:p>
    <w:p w:rsidR="00D1590E" w:rsidRPr="00D1590E" w:rsidRDefault="00D1590E" w:rsidP="00D1590E">
      <w:r w:rsidRPr="00D1590E">
        <w:t>The largest part of these step changes in opex were related to changes in the Victorian Electric Line Clearance obligations. The Victorian regulations set out clearance distances that must be observed, except where otherwise approved by the Victorian safety regulator, Energy Safe Victoria (ESV). On the other hand the NSW regulations allow the NSW service providers some discretion on the clearances they observe.</w:t>
      </w:r>
    </w:p>
    <w:p w:rsidR="00D1590E" w:rsidRPr="00D1590E" w:rsidRDefault="00D1590E" w:rsidP="00D1590E">
      <w:r w:rsidRPr="00D1590E">
        <w:t xml:space="preserve">The Victorian </w:t>
      </w:r>
      <w:r w:rsidRPr="00D1590E">
        <w:rPr>
          <w:rStyle w:val="AERtextitalic"/>
        </w:rPr>
        <w:t xml:space="preserve">Electricity Safety (Electric Line Clearance) Regulations 2010 </w:t>
      </w:r>
      <w:r w:rsidRPr="00D1590E">
        <w:t xml:space="preserve">and </w:t>
      </w:r>
      <w:r w:rsidRPr="00D1590E">
        <w:rPr>
          <w:rStyle w:val="AERtextitalic"/>
        </w:rPr>
        <w:t>2005,</w:t>
      </w:r>
      <w:r w:rsidRPr="00D1590E">
        <w:t xml:space="preserve"> prescribe (among other things) minimum clearance spaces for power lines that become progressively stricter in areas of higher bushfire risk.</w:t>
      </w:r>
      <w:r w:rsidRPr="00D1590E">
        <w:rPr>
          <w:rStyle w:val="FootnoteReference"/>
        </w:rPr>
        <w:footnoteReference w:id="715"/>
      </w:r>
      <w:r w:rsidRPr="00D1590E">
        <w:t xml:space="preserve"> Under the </w:t>
      </w:r>
      <w:r w:rsidRPr="00D1590E">
        <w:rPr>
          <w:rStyle w:val="AERtextitalic"/>
        </w:rPr>
        <w:t xml:space="preserve">Electricity Safety (Electric Line Clearance) Regulations </w:t>
      </w:r>
      <w:r w:rsidRPr="00D1590E">
        <w:t>the Victorian service providers are able to ask for exemptions from the regulations, where they can demonstrate to ESV that appropriate risk mitigation is in place, under regulation 10. Many of these exemptions were removed after the Black Saturday bushfires and have led to an increase in costs for the Victorian service providers.</w:t>
      </w:r>
      <w:r w:rsidRPr="00D1590E">
        <w:rPr>
          <w:rStyle w:val="FootnoteReference"/>
        </w:rPr>
        <w:footnoteReference w:id="716"/>
      </w:r>
      <w:r w:rsidRPr="00D1590E">
        <w:t xml:space="preserve"> </w:t>
      </w:r>
      <w:r w:rsidRPr="00D1590E">
        <w:rPr>
          <w:rStyle w:val="FootnoteReference"/>
        </w:rPr>
        <w:footnoteReference w:id="717"/>
      </w:r>
      <w:r w:rsidRPr="00D1590E">
        <w:t xml:space="preserve"> </w:t>
      </w:r>
      <w:r w:rsidRPr="00D1590E">
        <w:rPr>
          <w:rStyle w:val="FootnoteReference"/>
        </w:rPr>
        <w:footnoteReference w:id="718"/>
      </w:r>
      <w:r w:rsidRPr="00D1590E">
        <w:t xml:space="preserve"> </w:t>
      </w:r>
      <w:r w:rsidRPr="00D1590E">
        <w:rPr>
          <w:rStyle w:val="FootnoteReference"/>
        </w:rPr>
        <w:footnoteReference w:id="719"/>
      </w:r>
      <w:r w:rsidRPr="00D1590E">
        <w:t xml:space="preserve"> We do note that the Victorian service providers have been provided with some temporary exemptions while they transition to compliance with the new requirements.</w:t>
      </w:r>
      <w:r w:rsidRPr="00D1590E">
        <w:rPr>
          <w:rStyle w:val="FootnoteReference"/>
        </w:rPr>
        <w:footnoteReference w:id="720"/>
      </w:r>
    </w:p>
    <w:p w:rsidR="00D1590E" w:rsidRPr="00D1590E" w:rsidRDefault="00D1590E" w:rsidP="00D1590E">
      <w:r w:rsidRPr="00D1590E">
        <w:t xml:space="preserve">The NSW </w:t>
      </w:r>
      <w:r w:rsidRPr="00D1590E">
        <w:rPr>
          <w:rStyle w:val="AERtextitalic"/>
        </w:rPr>
        <w:t>Electricity Supply (Safety and Network Management) Regulation 2014, 2008 and 2002</w:t>
      </w:r>
      <w:r w:rsidRPr="00D1590E">
        <w:t xml:space="preserve"> set out the statutory objectives for the NSW service providers relating to vegetation clearance and bushfire risk. The regulations require the NSW service </w:t>
      </w:r>
      <w:r w:rsidRPr="00D1590E">
        <w:lastRenderedPageBreak/>
        <w:t>providers to prepare a safety management system. Part of this plan relates to vegetation management. The NSW regulations however do not mandate minimum vegetation clearance distances.</w:t>
      </w:r>
      <w:r w:rsidRPr="00D1590E">
        <w:rPr>
          <w:rStyle w:val="FootnoteReference"/>
        </w:rPr>
        <w:footnoteReference w:id="721"/>
      </w:r>
      <w:r w:rsidRPr="00D1590E">
        <w:t xml:space="preserve"> </w:t>
      </w:r>
      <w:r w:rsidRPr="00D1590E">
        <w:rPr>
          <w:rStyle w:val="FootnoteReference"/>
        </w:rPr>
        <w:footnoteReference w:id="722"/>
      </w:r>
      <w:r w:rsidRPr="00D1590E">
        <w:t xml:space="preserve"> </w:t>
      </w:r>
      <w:r w:rsidRPr="00D1590E">
        <w:rPr>
          <w:rStyle w:val="FootnoteReference"/>
        </w:rPr>
        <w:footnoteReference w:id="723"/>
      </w:r>
      <w:r w:rsidRPr="00D1590E">
        <w:t>The practices in the NSW service providers' vegetation management plans, contained in the safety management systems, refer to ISSC3: Guideline for managing vegetation near powerlines. ISSC3 provides guidance on vegetation clearance distances. While compliance with the safety management system is mandatory, organisations or individuals may choose to depart from the recommendations of the guideline provided that the necessary duty of care is exercised and regulatory requirements are fulfilled.</w:t>
      </w:r>
      <w:r w:rsidRPr="00D1590E">
        <w:rPr>
          <w:rStyle w:val="FootnoteReference"/>
        </w:rPr>
        <w:footnoteReference w:id="724"/>
      </w:r>
      <w:r w:rsidRPr="00D1590E">
        <w:t xml:space="preserve"> </w:t>
      </w:r>
    </w:p>
    <w:p w:rsidR="00D1590E" w:rsidRPr="00D1590E" w:rsidRDefault="00D1590E" w:rsidP="00D1590E">
      <w:r w:rsidRPr="00D1590E">
        <w:t xml:space="preserve">Also under the NSW </w:t>
      </w:r>
      <w:r w:rsidRPr="00D1590E">
        <w:rPr>
          <w:rStyle w:val="AERtextitalic"/>
        </w:rPr>
        <w:t xml:space="preserve">Electricity Supply (Safety and Network Management) Regulation 2014, </w:t>
      </w:r>
      <w:r w:rsidRPr="00D1590E">
        <w:t>the Director-general of the Department of Water and Energy directed the NSW service providers to incorporate the Code of Practice - Electricity Transmission and Distribution Asset Management 2009 into their safety management systems.</w:t>
      </w:r>
      <w:r w:rsidRPr="00D1590E">
        <w:rPr>
          <w:rStyle w:val="FootnoteReference"/>
        </w:rPr>
        <w:footnoteReference w:id="725"/>
      </w:r>
      <w:r w:rsidRPr="00D1590E">
        <w:t xml:space="preserve"> Although the code lists ISSC3 as a standard relevant to the code, the NSW service providers are able to depart from the code if they provide justification in their licence compliance annual report.</w:t>
      </w:r>
      <w:r w:rsidRPr="00D1590E">
        <w:rPr>
          <w:rStyle w:val="FootnoteReference"/>
        </w:rPr>
        <w:footnoteReference w:id="726"/>
      </w:r>
    </w:p>
    <w:p w:rsidR="00D1590E" w:rsidRPr="00D1590E" w:rsidRDefault="00D1590E" w:rsidP="00D1590E">
      <w:r w:rsidRPr="00D1590E">
        <w:t xml:space="preserve">Given the requirements set out in </w:t>
      </w:r>
      <w:r w:rsidRPr="00D1590E">
        <w:rPr>
          <w:rStyle w:val="AERtextitalic"/>
        </w:rPr>
        <w:t>Electricity Supply (Safety and Network Management) Regulation 2014</w:t>
      </w:r>
      <w:r w:rsidRPr="00D1590E">
        <w:t xml:space="preserve"> mentioned above, the NSW service providers are able to unilaterally change their vegetation standards. Although the Victorian service providers can negotiate their standards with ESV, they are not able to change their standards unilaterally.</w:t>
      </w:r>
    </w:p>
    <w:p w:rsidR="00D1590E" w:rsidRPr="00D1590E" w:rsidRDefault="00D1590E" w:rsidP="00D1590E">
      <w:r w:rsidRPr="00D1590E">
        <w:t>ISSC3 also appears to be less restrictive in the practices it recommends than the Victorian regulations. In general, for distribution voltages, the clearances set out in the Victorian regulations are larger than those in the NSW guideline: in particular for short low voltage lines. The below tables provide a comparison of the clearances in ISSC3 and the Electric Line Clearance Regulations 2005. Comparison has been made between ISSC3 and the 2005 Electric Line Clearance Regulations. The 2010 Electric Line Clearance Regulations require larger clearances.</w:t>
      </w:r>
    </w:p>
    <w:p w:rsidR="00D1590E" w:rsidRPr="00D1590E" w:rsidRDefault="00D1590E" w:rsidP="00D1590E">
      <w:r w:rsidRPr="00D1590E">
        <w:br w:type="page"/>
      </w:r>
    </w:p>
    <w:p w:rsidR="00D1590E" w:rsidRPr="00D1590E" w:rsidRDefault="00D1590E" w:rsidP="00D1590E">
      <w:pPr>
        <w:pStyle w:val="Caption"/>
      </w:pPr>
      <w:r w:rsidRPr="00D1590E">
        <w:lastRenderedPageBreak/>
        <w:t xml:space="preserve">Table </w:t>
      </w:r>
      <w:fldSimple w:instr=" STYLEREF 7 \s ">
        <w:r w:rsidR="00C57342">
          <w:rPr>
            <w:noProof/>
          </w:rPr>
          <w:t>A</w:t>
        </w:r>
      </w:fldSimple>
      <w:r w:rsidRPr="00D1590E">
        <w:t>.</w:t>
      </w:r>
      <w:fldSimple w:instr=" SEQ ATable \* ARABIC \s 7 ">
        <w:r w:rsidR="00C57342">
          <w:rPr>
            <w:noProof/>
          </w:rPr>
          <w:t>11</w:t>
        </w:r>
      </w:fldSimple>
      <w:r w:rsidRPr="00D1590E">
        <w:tab/>
        <w:t>Comparison of clearances for insulated cables in all areas</w:t>
      </w:r>
    </w:p>
    <w:tbl>
      <w:tblPr>
        <w:tblStyle w:val="AERTable-Text"/>
        <w:tblW w:w="0" w:type="auto"/>
        <w:tblLook w:val="04A0" w:firstRow="1" w:lastRow="0" w:firstColumn="1" w:lastColumn="0" w:noHBand="0" w:noVBand="1"/>
      </w:tblPr>
      <w:tblGrid>
        <w:gridCol w:w="1696"/>
        <w:gridCol w:w="1744"/>
        <w:gridCol w:w="1744"/>
        <w:gridCol w:w="1744"/>
        <w:gridCol w:w="1764"/>
      </w:tblGrid>
      <w:tr w:rsidR="00D1590E" w:rsidTr="00D1590E">
        <w:trPr>
          <w:cnfStyle w:val="100000000000" w:firstRow="1" w:lastRow="0" w:firstColumn="0" w:lastColumn="0" w:oddVBand="0" w:evenVBand="0" w:oddHBand="0" w:evenHBand="0" w:firstRowFirstColumn="0" w:firstRowLastColumn="0" w:lastRowFirstColumn="0" w:lastRowLastColumn="0"/>
        </w:trPr>
        <w:tc>
          <w:tcPr>
            <w:tcW w:w="1848" w:type="dxa"/>
          </w:tcPr>
          <w:p w:rsidR="00D1590E" w:rsidRPr="00D1590E" w:rsidRDefault="00D1590E" w:rsidP="00D1590E"/>
        </w:tc>
        <w:tc>
          <w:tcPr>
            <w:tcW w:w="1848" w:type="dxa"/>
          </w:tcPr>
          <w:p w:rsidR="00D1590E" w:rsidRPr="00D1590E" w:rsidRDefault="00D1590E" w:rsidP="00D1590E">
            <w:r w:rsidRPr="00D1590E">
              <w:t>Near the pole</w:t>
            </w:r>
          </w:p>
        </w:tc>
        <w:tc>
          <w:tcPr>
            <w:tcW w:w="1848" w:type="dxa"/>
          </w:tcPr>
          <w:p w:rsidR="00D1590E" w:rsidRPr="00D1590E" w:rsidRDefault="00D1590E" w:rsidP="00D1590E">
            <w:r w:rsidRPr="00D1590E">
              <w:t>Spans up to 40 meters</w:t>
            </w:r>
          </w:p>
        </w:tc>
        <w:tc>
          <w:tcPr>
            <w:tcW w:w="1849" w:type="dxa"/>
          </w:tcPr>
          <w:p w:rsidR="00D1590E" w:rsidRPr="00D1590E" w:rsidRDefault="00D1590E" w:rsidP="00D1590E">
            <w:r w:rsidRPr="00D1590E">
              <w:t>Spans above 40 meters but less than 70 meters</w:t>
            </w:r>
          </w:p>
        </w:tc>
        <w:tc>
          <w:tcPr>
            <w:tcW w:w="1849" w:type="dxa"/>
          </w:tcPr>
          <w:p w:rsidR="00D1590E" w:rsidRPr="00D1590E" w:rsidRDefault="00D1590E" w:rsidP="00D1590E">
            <w:r w:rsidRPr="00D1590E">
              <w:t>Spans exceeding 70 meters</w:t>
            </w:r>
          </w:p>
        </w:tc>
      </w:tr>
      <w:tr w:rsidR="00D1590E" w:rsidTr="00D1590E">
        <w:tc>
          <w:tcPr>
            <w:tcW w:w="1848" w:type="dxa"/>
          </w:tcPr>
          <w:p w:rsidR="00D1590E" w:rsidRPr="00D1590E" w:rsidRDefault="00D1590E" w:rsidP="00D1590E">
            <w:r w:rsidRPr="00D1590E">
              <w:t>Aerial bundled cable</w:t>
            </w:r>
          </w:p>
        </w:tc>
        <w:tc>
          <w:tcPr>
            <w:tcW w:w="1848" w:type="dxa"/>
          </w:tcPr>
          <w:p w:rsidR="00D1590E" w:rsidRPr="00D1590E" w:rsidRDefault="00D1590E" w:rsidP="00D1590E">
            <w:r w:rsidRPr="00D1590E">
              <w:t>NSW requirement larger</w:t>
            </w:r>
          </w:p>
        </w:tc>
        <w:tc>
          <w:tcPr>
            <w:tcW w:w="1848" w:type="dxa"/>
          </w:tcPr>
          <w:p w:rsidR="00D1590E" w:rsidRPr="00D1590E" w:rsidRDefault="00D1590E" w:rsidP="00D1590E">
            <w:r w:rsidRPr="00D1590E">
              <w:t>NSW requirement larger</w:t>
            </w:r>
          </w:p>
        </w:tc>
        <w:tc>
          <w:tcPr>
            <w:tcW w:w="1849" w:type="dxa"/>
          </w:tcPr>
          <w:p w:rsidR="00D1590E" w:rsidRPr="00D1590E" w:rsidRDefault="00D1590E" w:rsidP="00D1590E">
            <w:r w:rsidRPr="00D1590E">
              <w:t>Victorian requirement larger</w:t>
            </w:r>
          </w:p>
        </w:tc>
        <w:tc>
          <w:tcPr>
            <w:tcW w:w="1849" w:type="dxa"/>
          </w:tcPr>
          <w:p w:rsidR="00D1590E" w:rsidRPr="00D1590E" w:rsidRDefault="00D1590E" w:rsidP="00D1590E">
            <w:r w:rsidRPr="00D1590E">
              <w:t>NSW requirement larger</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848" w:type="dxa"/>
          </w:tcPr>
          <w:p w:rsidR="00D1590E" w:rsidRPr="00D1590E" w:rsidRDefault="00D1590E" w:rsidP="00D1590E">
            <w:r w:rsidRPr="00D1590E">
              <w:t>Insulated cable</w:t>
            </w:r>
          </w:p>
        </w:tc>
        <w:tc>
          <w:tcPr>
            <w:tcW w:w="1848" w:type="dxa"/>
          </w:tcPr>
          <w:p w:rsidR="00D1590E" w:rsidRPr="00D1590E" w:rsidRDefault="00D1590E" w:rsidP="00D1590E">
            <w:r w:rsidRPr="00D1590E">
              <w:t>Victorian requirement larger</w:t>
            </w:r>
          </w:p>
        </w:tc>
        <w:tc>
          <w:tcPr>
            <w:tcW w:w="1848" w:type="dxa"/>
          </w:tcPr>
          <w:p w:rsidR="00D1590E" w:rsidRPr="00D1590E" w:rsidRDefault="00D1590E" w:rsidP="00D1590E">
            <w:r w:rsidRPr="00D1590E">
              <w:t>Victorian requirement larger</w:t>
            </w:r>
          </w:p>
        </w:tc>
        <w:tc>
          <w:tcPr>
            <w:tcW w:w="1849" w:type="dxa"/>
          </w:tcPr>
          <w:p w:rsidR="00D1590E" w:rsidRPr="00D1590E" w:rsidRDefault="00D1590E" w:rsidP="00D1590E">
            <w:r w:rsidRPr="00D1590E">
              <w:t>Victorian requirement larger</w:t>
            </w:r>
          </w:p>
        </w:tc>
        <w:tc>
          <w:tcPr>
            <w:tcW w:w="1849" w:type="dxa"/>
          </w:tcPr>
          <w:p w:rsidR="00D1590E" w:rsidRPr="00D1590E" w:rsidRDefault="00D1590E" w:rsidP="00D1590E">
            <w:r w:rsidRPr="00D1590E">
              <w:t>Victorian requirement larger</w:t>
            </w:r>
          </w:p>
        </w:tc>
      </w:tr>
    </w:tbl>
    <w:p w:rsidR="00D1590E" w:rsidRPr="00D1590E" w:rsidRDefault="00D1590E" w:rsidP="00D1590E">
      <w:pPr>
        <w:pStyle w:val="Source"/>
      </w:pPr>
      <w:r w:rsidRPr="00D1590E">
        <w:t>Source: ISSC3</w:t>
      </w:r>
      <w:r w:rsidRPr="00D1590E">
        <w:rPr>
          <w:rStyle w:val="FootnoteReference"/>
        </w:rPr>
        <w:footnoteReference w:id="727"/>
      </w:r>
      <w:r w:rsidRPr="00D1590E">
        <w:t xml:space="preserve"> and Electric Line Clearance Regulations 2005</w:t>
      </w:r>
      <w:r w:rsidRPr="00D1590E">
        <w:rPr>
          <w:rStyle w:val="FootnoteReference"/>
        </w:rPr>
        <w:footnoteReference w:id="728"/>
      </w:r>
    </w:p>
    <w:p w:rsidR="00D1590E" w:rsidRPr="00D1590E" w:rsidRDefault="00D1590E" w:rsidP="00D1590E">
      <w:pPr>
        <w:pStyle w:val="Caption"/>
      </w:pPr>
      <w:r w:rsidRPr="00D1590E">
        <w:t xml:space="preserve">Table </w:t>
      </w:r>
      <w:fldSimple w:instr=" STYLEREF 7 \s ">
        <w:r w:rsidR="00C57342">
          <w:rPr>
            <w:noProof/>
          </w:rPr>
          <w:t>A</w:t>
        </w:r>
      </w:fldSimple>
      <w:r w:rsidRPr="00D1590E">
        <w:t>.</w:t>
      </w:r>
      <w:fldSimple w:instr=" SEQ ATable \* ARABIC \s 7 ">
        <w:r w:rsidR="00C57342">
          <w:rPr>
            <w:noProof/>
          </w:rPr>
          <w:t>12</w:t>
        </w:r>
      </w:fldSimple>
      <w:r w:rsidRPr="00D1590E">
        <w:tab/>
        <w:t>Comparison of clearances in low bushfire risk areas</w:t>
      </w:r>
    </w:p>
    <w:tbl>
      <w:tblPr>
        <w:tblStyle w:val="AERTable-Text"/>
        <w:tblW w:w="0" w:type="auto"/>
        <w:tblLook w:val="04A0" w:firstRow="1" w:lastRow="0" w:firstColumn="1" w:lastColumn="0" w:noHBand="0" w:noVBand="1"/>
      </w:tblPr>
      <w:tblGrid>
        <w:gridCol w:w="2162"/>
        <w:gridCol w:w="2176"/>
        <w:gridCol w:w="2177"/>
        <w:gridCol w:w="2177"/>
      </w:tblGrid>
      <w:tr w:rsidR="00D1590E" w:rsidTr="00D1590E">
        <w:trPr>
          <w:cnfStyle w:val="100000000000" w:firstRow="1" w:lastRow="0" w:firstColumn="0" w:lastColumn="0" w:oddVBand="0" w:evenVBand="0" w:oddHBand="0" w:evenHBand="0" w:firstRowFirstColumn="0" w:firstRowLastColumn="0" w:lastRowFirstColumn="0" w:lastRowLastColumn="0"/>
        </w:trPr>
        <w:tc>
          <w:tcPr>
            <w:tcW w:w="2163" w:type="dxa"/>
          </w:tcPr>
          <w:p w:rsidR="00D1590E" w:rsidRPr="00D1590E" w:rsidRDefault="00D1590E" w:rsidP="00D1590E"/>
        </w:tc>
        <w:tc>
          <w:tcPr>
            <w:tcW w:w="2176" w:type="dxa"/>
          </w:tcPr>
          <w:p w:rsidR="00D1590E" w:rsidRPr="00D1590E" w:rsidRDefault="00D1590E" w:rsidP="00D1590E">
            <w:r w:rsidRPr="00D1590E">
              <w:t>Near the pole</w:t>
            </w:r>
          </w:p>
        </w:tc>
        <w:tc>
          <w:tcPr>
            <w:tcW w:w="2177" w:type="dxa"/>
          </w:tcPr>
          <w:p w:rsidR="00D1590E" w:rsidRPr="00D1590E" w:rsidRDefault="00D1590E" w:rsidP="00D1590E">
            <w:r w:rsidRPr="00D1590E">
              <w:t>Spans up to and including 40 meters</w:t>
            </w:r>
          </w:p>
        </w:tc>
        <w:tc>
          <w:tcPr>
            <w:tcW w:w="2177" w:type="dxa"/>
          </w:tcPr>
          <w:p w:rsidR="00D1590E" w:rsidRPr="00D1590E" w:rsidRDefault="00D1590E" w:rsidP="00D1590E">
            <w:r w:rsidRPr="00D1590E">
              <w:t>Spans greater than 40 meters</w:t>
            </w:r>
          </w:p>
        </w:tc>
      </w:tr>
      <w:tr w:rsidR="00D1590E" w:rsidTr="00D1590E">
        <w:tc>
          <w:tcPr>
            <w:tcW w:w="2163" w:type="dxa"/>
          </w:tcPr>
          <w:p w:rsidR="00D1590E" w:rsidRPr="00D1590E" w:rsidRDefault="00D1590E" w:rsidP="00D1590E">
            <w:r w:rsidRPr="00D1590E">
              <w:t>Bare and Covered Low voltage</w:t>
            </w:r>
          </w:p>
        </w:tc>
        <w:tc>
          <w:tcPr>
            <w:tcW w:w="2176" w:type="dxa"/>
          </w:tcPr>
          <w:p w:rsidR="00D1590E" w:rsidRPr="00D1590E" w:rsidRDefault="00D1590E" w:rsidP="00D1590E">
            <w:r w:rsidRPr="00D1590E">
              <w:t>Victorian requirement larger</w:t>
            </w:r>
          </w:p>
        </w:tc>
        <w:tc>
          <w:tcPr>
            <w:tcW w:w="2177" w:type="dxa"/>
          </w:tcPr>
          <w:p w:rsidR="00D1590E" w:rsidRPr="00D1590E" w:rsidRDefault="00D1590E" w:rsidP="00D1590E">
            <w:r w:rsidRPr="00D1590E">
              <w:t>Victorian requirement larger</w:t>
            </w:r>
          </w:p>
        </w:tc>
        <w:tc>
          <w:tcPr>
            <w:tcW w:w="2177" w:type="dxa"/>
          </w:tcPr>
          <w:p w:rsidR="00D1590E" w:rsidRPr="00D1590E" w:rsidRDefault="00D1590E" w:rsidP="00D1590E">
            <w:r w:rsidRPr="00D1590E">
              <w:t>NSW requirement larger</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2163" w:type="dxa"/>
          </w:tcPr>
          <w:p w:rsidR="00D1590E" w:rsidRPr="00D1590E" w:rsidRDefault="00D1590E" w:rsidP="00D1590E">
            <w:r w:rsidRPr="00D1590E">
              <w:t>High voltage distribution</w:t>
            </w:r>
          </w:p>
        </w:tc>
        <w:tc>
          <w:tcPr>
            <w:tcW w:w="2176" w:type="dxa"/>
          </w:tcPr>
          <w:p w:rsidR="00D1590E" w:rsidRPr="00D1590E" w:rsidRDefault="00D1590E" w:rsidP="00D1590E">
            <w:r w:rsidRPr="00D1590E">
              <w:t>Victorian requirement larger</w:t>
            </w:r>
          </w:p>
        </w:tc>
        <w:tc>
          <w:tcPr>
            <w:tcW w:w="2177" w:type="dxa"/>
          </w:tcPr>
          <w:p w:rsidR="00D1590E" w:rsidRPr="00D1590E" w:rsidRDefault="00D1590E" w:rsidP="00D1590E">
            <w:r w:rsidRPr="00D1590E">
              <w:t>Same</w:t>
            </w:r>
          </w:p>
        </w:tc>
        <w:tc>
          <w:tcPr>
            <w:tcW w:w="2177" w:type="dxa"/>
          </w:tcPr>
          <w:p w:rsidR="00D1590E" w:rsidRPr="00D1590E" w:rsidRDefault="00D1590E" w:rsidP="00D1590E">
            <w:r w:rsidRPr="00D1590E">
              <w:t>NSW requirement larger</w:t>
            </w:r>
          </w:p>
        </w:tc>
      </w:tr>
      <w:tr w:rsidR="00D1590E" w:rsidTr="00D1590E">
        <w:tc>
          <w:tcPr>
            <w:tcW w:w="2163" w:type="dxa"/>
          </w:tcPr>
          <w:p w:rsidR="00D1590E" w:rsidRPr="00D1590E" w:rsidRDefault="00D1590E" w:rsidP="00D1590E">
            <w:r w:rsidRPr="00D1590E">
              <w:t>66kV</w:t>
            </w:r>
          </w:p>
        </w:tc>
        <w:tc>
          <w:tcPr>
            <w:tcW w:w="2176" w:type="dxa"/>
          </w:tcPr>
          <w:p w:rsidR="00D1590E" w:rsidRPr="00D1590E" w:rsidRDefault="00D1590E" w:rsidP="00D1590E">
            <w:r w:rsidRPr="00D1590E">
              <w:t>Victorian requirement larger</w:t>
            </w:r>
          </w:p>
        </w:tc>
        <w:tc>
          <w:tcPr>
            <w:tcW w:w="2177" w:type="dxa"/>
          </w:tcPr>
          <w:p w:rsidR="00D1590E" w:rsidRPr="00D1590E" w:rsidRDefault="00D1590E" w:rsidP="00D1590E">
            <w:r w:rsidRPr="00D1590E">
              <w:t>Victorian requirement larger</w:t>
            </w:r>
          </w:p>
        </w:tc>
        <w:tc>
          <w:tcPr>
            <w:tcW w:w="2177" w:type="dxa"/>
          </w:tcPr>
          <w:p w:rsidR="00D1590E" w:rsidRPr="00D1590E" w:rsidRDefault="00D1590E" w:rsidP="00D1590E">
            <w:r w:rsidRPr="00D1590E">
              <w:t>NSW requirement larger</w:t>
            </w:r>
          </w:p>
        </w:tc>
      </w:tr>
    </w:tbl>
    <w:p w:rsidR="00D1590E" w:rsidRPr="00D1590E" w:rsidRDefault="00D1590E" w:rsidP="00D1590E">
      <w:pPr>
        <w:pStyle w:val="Source"/>
      </w:pPr>
      <w:r w:rsidRPr="00D1590E">
        <w:t>Source: ISSC3</w:t>
      </w:r>
      <w:r w:rsidRPr="00D1590E">
        <w:rPr>
          <w:rStyle w:val="FootnoteReference"/>
        </w:rPr>
        <w:footnoteReference w:id="729"/>
      </w:r>
      <w:r w:rsidRPr="00D1590E">
        <w:t xml:space="preserve"> and Electric Line Clearance Regulations 2005</w:t>
      </w:r>
      <w:r w:rsidRPr="00D1590E">
        <w:rPr>
          <w:rStyle w:val="FootnoteReference"/>
        </w:rPr>
        <w:footnoteReference w:id="730"/>
      </w:r>
    </w:p>
    <w:p w:rsidR="00D1590E" w:rsidRPr="00D1590E" w:rsidRDefault="00D1590E" w:rsidP="00D1590E">
      <w:r w:rsidRPr="00D1590E">
        <w:br w:type="page"/>
      </w:r>
    </w:p>
    <w:p w:rsidR="00D1590E" w:rsidRPr="00D1590E" w:rsidRDefault="00D1590E" w:rsidP="00D1590E">
      <w:pPr>
        <w:pStyle w:val="Caption"/>
      </w:pPr>
      <w:r w:rsidRPr="00D1590E">
        <w:lastRenderedPageBreak/>
        <w:t xml:space="preserve">Table </w:t>
      </w:r>
      <w:fldSimple w:instr=" STYLEREF 7 \s ">
        <w:r w:rsidR="00C57342">
          <w:rPr>
            <w:noProof/>
          </w:rPr>
          <w:t>A</w:t>
        </w:r>
      </w:fldSimple>
      <w:r w:rsidRPr="00D1590E">
        <w:t>.</w:t>
      </w:r>
      <w:fldSimple w:instr=" SEQ ATable \* ARABIC \s 7 ">
        <w:r w:rsidR="00C57342">
          <w:rPr>
            <w:noProof/>
          </w:rPr>
          <w:t>13</w:t>
        </w:r>
      </w:fldSimple>
      <w:r w:rsidRPr="00D1590E">
        <w:tab/>
        <w:t>Comparison of clearances in high bushfire risk areas</w:t>
      </w:r>
    </w:p>
    <w:tbl>
      <w:tblPr>
        <w:tblStyle w:val="AERTable-Text"/>
        <w:tblW w:w="0" w:type="auto"/>
        <w:tblLook w:val="04A0" w:firstRow="1" w:lastRow="0" w:firstColumn="1" w:lastColumn="0" w:noHBand="0" w:noVBand="1"/>
      </w:tblPr>
      <w:tblGrid>
        <w:gridCol w:w="1403"/>
        <w:gridCol w:w="1441"/>
        <w:gridCol w:w="1441"/>
        <w:gridCol w:w="1441"/>
        <w:gridCol w:w="1483"/>
        <w:gridCol w:w="1483"/>
      </w:tblGrid>
      <w:tr w:rsidR="00D1590E" w:rsidTr="00D1590E">
        <w:trPr>
          <w:cnfStyle w:val="100000000000" w:firstRow="1" w:lastRow="0" w:firstColumn="0" w:lastColumn="0" w:oddVBand="0" w:evenVBand="0" w:oddHBand="0" w:evenHBand="0" w:firstRowFirstColumn="0" w:firstRowLastColumn="0" w:lastRowFirstColumn="0" w:lastRowLastColumn="0"/>
        </w:trPr>
        <w:tc>
          <w:tcPr>
            <w:tcW w:w="1404" w:type="dxa"/>
          </w:tcPr>
          <w:p w:rsidR="00D1590E" w:rsidRPr="00D1590E" w:rsidRDefault="00D1590E" w:rsidP="00D1590E"/>
        </w:tc>
        <w:tc>
          <w:tcPr>
            <w:tcW w:w="1441" w:type="dxa"/>
          </w:tcPr>
          <w:p w:rsidR="00D1590E" w:rsidRPr="00D1590E" w:rsidRDefault="00D1590E" w:rsidP="00D1590E">
            <w:r w:rsidRPr="00D1590E">
              <w:t>Near the pole and spans up to 30m</w:t>
            </w:r>
          </w:p>
        </w:tc>
        <w:tc>
          <w:tcPr>
            <w:tcW w:w="1441" w:type="dxa"/>
          </w:tcPr>
          <w:p w:rsidR="00D1590E" w:rsidRPr="00D1590E" w:rsidRDefault="00D1590E" w:rsidP="00D1590E">
            <w:r w:rsidRPr="00D1590E">
              <w:t>Spans above 30m and up to 45m</w:t>
            </w:r>
          </w:p>
        </w:tc>
        <w:tc>
          <w:tcPr>
            <w:tcW w:w="1441" w:type="dxa"/>
          </w:tcPr>
          <w:p w:rsidR="00D1590E" w:rsidRPr="00D1590E" w:rsidRDefault="00D1590E" w:rsidP="00D1590E">
            <w:r w:rsidRPr="00D1590E">
              <w:t>Spans above 45m up to 70m</w:t>
            </w:r>
          </w:p>
        </w:tc>
        <w:tc>
          <w:tcPr>
            <w:tcW w:w="1483" w:type="dxa"/>
          </w:tcPr>
          <w:p w:rsidR="00D1590E" w:rsidRPr="00D1590E" w:rsidRDefault="00D1590E" w:rsidP="00D1590E">
            <w:r w:rsidRPr="00D1590E">
              <w:t>Spans exceeding 70m up to 350 metres</w:t>
            </w:r>
          </w:p>
        </w:tc>
        <w:tc>
          <w:tcPr>
            <w:tcW w:w="1483" w:type="dxa"/>
          </w:tcPr>
          <w:p w:rsidR="00D1590E" w:rsidRPr="00D1590E" w:rsidRDefault="00D1590E" w:rsidP="00D1590E">
            <w:r w:rsidRPr="00D1590E">
              <w:t>Spans exceeding 350 metres</w:t>
            </w:r>
          </w:p>
        </w:tc>
      </w:tr>
      <w:tr w:rsidR="00D1590E" w:rsidTr="00D1590E">
        <w:tc>
          <w:tcPr>
            <w:tcW w:w="1404" w:type="dxa"/>
          </w:tcPr>
          <w:p w:rsidR="00D1590E" w:rsidRPr="00D1590E" w:rsidRDefault="00D1590E" w:rsidP="00D1590E">
            <w:r w:rsidRPr="00D1590E">
              <w:t>Bare and low covered low voltage</w:t>
            </w:r>
          </w:p>
        </w:tc>
        <w:tc>
          <w:tcPr>
            <w:tcW w:w="1441" w:type="dxa"/>
          </w:tcPr>
          <w:p w:rsidR="00D1590E" w:rsidRPr="00D1590E" w:rsidRDefault="00D1590E" w:rsidP="00D1590E">
            <w:r w:rsidRPr="00D1590E">
              <w:t>Victorian requirement larger</w:t>
            </w:r>
          </w:p>
        </w:tc>
        <w:tc>
          <w:tcPr>
            <w:tcW w:w="1441" w:type="dxa"/>
          </w:tcPr>
          <w:p w:rsidR="00D1590E" w:rsidRPr="00D1590E" w:rsidRDefault="00D1590E" w:rsidP="00D1590E">
            <w:r w:rsidRPr="00D1590E">
              <w:t>Victorian requirement larger</w:t>
            </w:r>
          </w:p>
        </w:tc>
        <w:tc>
          <w:tcPr>
            <w:tcW w:w="1441" w:type="dxa"/>
          </w:tcPr>
          <w:p w:rsidR="00D1590E" w:rsidRPr="00D1590E" w:rsidRDefault="00D1590E" w:rsidP="00D1590E">
            <w:r w:rsidRPr="00D1590E">
              <w:t>Victorian requirement larger</w:t>
            </w:r>
          </w:p>
        </w:tc>
        <w:tc>
          <w:tcPr>
            <w:tcW w:w="1483" w:type="dxa"/>
          </w:tcPr>
          <w:p w:rsidR="00D1590E" w:rsidRPr="00D1590E" w:rsidRDefault="00D1590E" w:rsidP="00D1590E">
            <w:r w:rsidRPr="00D1590E">
              <w:t>NSW requirement larger</w:t>
            </w:r>
          </w:p>
        </w:tc>
        <w:tc>
          <w:tcPr>
            <w:tcW w:w="1483" w:type="dxa"/>
          </w:tcPr>
          <w:p w:rsidR="00D1590E" w:rsidRPr="00D1590E" w:rsidRDefault="00D1590E" w:rsidP="00D1590E">
            <w:r w:rsidRPr="00D1590E">
              <w:t>NSW requirement larger</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404" w:type="dxa"/>
          </w:tcPr>
          <w:p w:rsidR="00D1590E" w:rsidRPr="00D1590E" w:rsidRDefault="00D1590E" w:rsidP="00D1590E">
            <w:r w:rsidRPr="00D1590E">
              <w:t>High voltage distribution</w:t>
            </w:r>
          </w:p>
        </w:tc>
        <w:tc>
          <w:tcPr>
            <w:tcW w:w="1441" w:type="dxa"/>
          </w:tcPr>
          <w:p w:rsidR="00D1590E" w:rsidRPr="00D1590E" w:rsidRDefault="00D1590E" w:rsidP="00D1590E">
            <w:r w:rsidRPr="00D1590E">
              <w:t>Victorian requirement larger</w:t>
            </w:r>
          </w:p>
        </w:tc>
        <w:tc>
          <w:tcPr>
            <w:tcW w:w="1441" w:type="dxa"/>
          </w:tcPr>
          <w:p w:rsidR="00D1590E" w:rsidRPr="00D1590E" w:rsidRDefault="00D1590E" w:rsidP="00D1590E">
            <w:r w:rsidRPr="00D1590E">
              <w:t>Same</w:t>
            </w:r>
          </w:p>
        </w:tc>
        <w:tc>
          <w:tcPr>
            <w:tcW w:w="1441" w:type="dxa"/>
          </w:tcPr>
          <w:p w:rsidR="00D1590E" w:rsidRPr="00D1590E" w:rsidRDefault="00D1590E" w:rsidP="00D1590E">
            <w:r w:rsidRPr="00D1590E">
              <w:t>NSW requirement larger</w:t>
            </w:r>
          </w:p>
        </w:tc>
        <w:tc>
          <w:tcPr>
            <w:tcW w:w="1483" w:type="dxa"/>
          </w:tcPr>
          <w:p w:rsidR="00D1590E" w:rsidRPr="00D1590E" w:rsidRDefault="00D1590E" w:rsidP="00D1590E">
            <w:r w:rsidRPr="00D1590E">
              <w:t>NSW requirement larger</w:t>
            </w:r>
          </w:p>
        </w:tc>
        <w:tc>
          <w:tcPr>
            <w:tcW w:w="1483" w:type="dxa"/>
          </w:tcPr>
          <w:p w:rsidR="00D1590E" w:rsidRPr="00D1590E" w:rsidRDefault="00D1590E" w:rsidP="00D1590E">
            <w:r w:rsidRPr="00D1590E">
              <w:t>NSW requirement larger</w:t>
            </w:r>
          </w:p>
        </w:tc>
      </w:tr>
      <w:tr w:rsidR="00D1590E" w:rsidTr="00D1590E">
        <w:tc>
          <w:tcPr>
            <w:tcW w:w="1404" w:type="dxa"/>
          </w:tcPr>
          <w:p w:rsidR="00D1590E" w:rsidRPr="00D1590E" w:rsidRDefault="00D1590E" w:rsidP="00D1590E">
            <w:r w:rsidRPr="00D1590E">
              <w:t>66kV</w:t>
            </w:r>
          </w:p>
        </w:tc>
        <w:tc>
          <w:tcPr>
            <w:tcW w:w="1441" w:type="dxa"/>
          </w:tcPr>
          <w:p w:rsidR="00D1590E" w:rsidRPr="00D1590E" w:rsidRDefault="00D1590E" w:rsidP="00D1590E">
            <w:r w:rsidRPr="00D1590E">
              <w:t>Victorian requirement larger</w:t>
            </w:r>
          </w:p>
        </w:tc>
        <w:tc>
          <w:tcPr>
            <w:tcW w:w="1441" w:type="dxa"/>
          </w:tcPr>
          <w:p w:rsidR="00D1590E" w:rsidRPr="00D1590E" w:rsidRDefault="00D1590E" w:rsidP="00D1590E">
            <w:r w:rsidRPr="00D1590E">
              <w:t>Victorian requirement larger</w:t>
            </w:r>
          </w:p>
        </w:tc>
        <w:tc>
          <w:tcPr>
            <w:tcW w:w="1441" w:type="dxa"/>
          </w:tcPr>
          <w:p w:rsidR="00D1590E" w:rsidRPr="00D1590E" w:rsidRDefault="00D1590E" w:rsidP="00D1590E">
            <w:r w:rsidRPr="00D1590E">
              <w:t>Same</w:t>
            </w:r>
          </w:p>
        </w:tc>
        <w:tc>
          <w:tcPr>
            <w:tcW w:w="1483" w:type="dxa"/>
          </w:tcPr>
          <w:p w:rsidR="00D1590E" w:rsidRPr="00D1590E" w:rsidRDefault="00D1590E" w:rsidP="00D1590E">
            <w:r w:rsidRPr="00D1590E">
              <w:t>NSW requirement larger</w:t>
            </w:r>
          </w:p>
        </w:tc>
        <w:tc>
          <w:tcPr>
            <w:tcW w:w="1483" w:type="dxa"/>
          </w:tcPr>
          <w:p w:rsidR="00D1590E" w:rsidRPr="00D1590E" w:rsidRDefault="00D1590E" w:rsidP="00D1590E">
            <w:r w:rsidRPr="00D1590E">
              <w:t>NSW requirement larger</w:t>
            </w:r>
          </w:p>
        </w:tc>
      </w:tr>
    </w:tbl>
    <w:p w:rsidR="00D1590E" w:rsidRPr="00D1590E" w:rsidRDefault="00D1590E" w:rsidP="00D1590E">
      <w:pPr>
        <w:pStyle w:val="Source"/>
      </w:pPr>
      <w:r w:rsidRPr="00D1590E">
        <w:t>Source: ISSC3</w:t>
      </w:r>
      <w:r w:rsidRPr="00D1590E">
        <w:rPr>
          <w:rStyle w:val="FootnoteReference"/>
        </w:rPr>
        <w:footnoteReference w:id="731"/>
      </w:r>
      <w:r w:rsidRPr="00D1590E">
        <w:t xml:space="preserve"> and Electric Line Clearance Regulations 2005</w:t>
      </w:r>
      <w:r w:rsidRPr="00D1590E">
        <w:rPr>
          <w:rStyle w:val="FootnoteReference"/>
        </w:rPr>
        <w:footnoteReference w:id="732"/>
      </w:r>
    </w:p>
    <w:p w:rsidR="00D1590E" w:rsidRPr="00D1590E" w:rsidRDefault="00D1590E" w:rsidP="00D1590E">
      <w:r w:rsidRPr="00D1590E">
        <w:t>Both ISSC3 and the Electric Line Clearance Regulations allow exceptions from the clearances they contain provided the service provider takes appropriate risk mitigation measures.</w:t>
      </w:r>
      <w:r w:rsidRPr="00D1590E">
        <w:rPr>
          <w:rStyle w:val="FootnoteReference"/>
        </w:rPr>
        <w:t xml:space="preserve"> </w:t>
      </w:r>
      <w:r w:rsidRPr="00D1590E">
        <w:rPr>
          <w:rStyle w:val="FootnoteReference"/>
        </w:rPr>
        <w:footnoteReference w:id="733"/>
      </w:r>
      <w:r w:rsidRPr="00D1590E">
        <w:t xml:space="preserve"> </w:t>
      </w:r>
      <w:r w:rsidRPr="00D1590E">
        <w:rPr>
          <w:rStyle w:val="FootnoteReference"/>
        </w:rPr>
        <w:footnoteReference w:id="734"/>
      </w:r>
      <w:r w:rsidRPr="00D1590E">
        <w:t xml:space="preserve"> </w:t>
      </w:r>
      <w:r w:rsidRPr="00D1590E">
        <w:rPr>
          <w:rStyle w:val="FootnoteReference"/>
        </w:rPr>
        <w:footnoteReference w:id="735"/>
      </w:r>
      <w:r w:rsidRPr="00D1590E">
        <w:t xml:space="preserve"> Of the $205 million (2010) approved by the AER for the change in the Victorian Electric Line Clearance Regulations, the two largest changes were the removal of exceptions for regrowth around insulated cables and in high bushfire risk areas outside of the fire season. The removal of these two exceptions led to a $158 million (2010) step change in opex. With regard to these two exemptions it appears that the obligations were similar prior to the introduction of the 2010 regulations, but more stringent in Victoria after.</w:t>
      </w:r>
    </w:p>
    <w:p w:rsidR="00D1590E" w:rsidRPr="00D1590E" w:rsidRDefault="00D1590E" w:rsidP="00D1590E">
      <w:r w:rsidRPr="00D1590E">
        <w:t>Both ISSC3 and the Electric Line Clearance Regulations 2005 allow exceptions for insulated cables.</w:t>
      </w:r>
      <w:r w:rsidRPr="00D1590E">
        <w:rPr>
          <w:rStyle w:val="FootnoteReference"/>
        </w:rPr>
        <w:footnoteReference w:id="736"/>
      </w:r>
      <w:r w:rsidRPr="00D1590E">
        <w:t xml:space="preserve"> </w:t>
      </w:r>
      <w:r w:rsidRPr="00D1590E">
        <w:rPr>
          <w:rStyle w:val="FootnoteReference"/>
        </w:rPr>
        <w:footnoteReference w:id="737"/>
      </w:r>
      <w:r w:rsidRPr="00D1590E">
        <w:t xml:space="preserve"> These exceptions allow small branches and leaves to enter clearance zones provided they are not thicker than 15mm and 10mm respectively. The 2005 regulations also allowed for larger branches to enter the clearance zone provided an annual risk assessment was conducted. This exception was removed from the Electric Line Clearance Regulations 2010. In this respect the current Victorian obligations require more than the industry guideline in NSW, while the 2005 regulations were similar.</w:t>
      </w:r>
    </w:p>
    <w:p w:rsidR="00D1590E" w:rsidRPr="00D1590E" w:rsidRDefault="00D1590E" w:rsidP="00D1590E">
      <w:r w:rsidRPr="00D1590E">
        <w:lastRenderedPageBreak/>
        <w:t xml:space="preserve">Under the Electric Line Clearance Regulations 2005 Energy Safe Victoria gave exemptions to the Victorian service providers which allowed vegetation to grow into clearance zones in bushfire prone areas, provided no vegetation defects remained at the beginning of the fire season. When the Electric Line Clearance Regulations 2010 replaced the 2005 regulations, the exemptions were not renewed. ISSC3 does not recommend any seasonal difference in clearance zones. </w:t>
      </w:r>
    </w:p>
    <w:p w:rsidR="00D1590E" w:rsidRPr="00D1590E" w:rsidRDefault="00D1590E" w:rsidP="00D1590E">
      <w:r w:rsidRPr="00D1590E">
        <w:t xml:space="preserve">While in this situation, the current Victorian regulations and ISSC3 seem to be similar, there is evidence to suggest that ISSC3 allows the NSW service providers some flexibility with its recommended clearance zones. In practice the NSW service providers have exercised judgement and applied the state guideline for vegetation management in a flexible manner. </w:t>
      </w:r>
    </w:p>
    <w:p w:rsidR="00D1590E" w:rsidRPr="00D1590E" w:rsidRDefault="00D1590E" w:rsidP="00D1590E">
      <w:r w:rsidRPr="00D1590E">
        <w:t>ISSC3 has been the industry guideline for vegetation management in NSW since 2005. The guideline states that service providers may depart from the guideline provided they take appropriate risk mitigation measures. The differences in the way the NSW service providers apply the guideline demonstrates the flexibility that it affords. For example, Ausgrid and Essential allow regrowth into the ISSC3 recommended clearance zones in between clearance cycles.</w:t>
      </w:r>
      <w:r w:rsidRPr="00D1590E">
        <w:rPr>
          <w:rStyle w:val="FootnoteReference"/>
        </w:rPr>
        <w:footnoteReference w:id="738"/>
      </w:r>
      <w:r w:rsidRPr="00D1590E">
        <w:t xml:space="preserve"> </w:t>
      </w:r>
    </w:p>
    <w:p w:rsidR="00D1590E" w:rsidRPr="00D1590E" w:rsidRDefault="00D1590E" w:rsidP="00D1590E">
      <w:r w:rsidRPr="00D1590E">
        <w:t xml:space="preserve">Additionally, there seems to be a focus on maintaining the visual amenity of trees in ISSC3 that provides the NSW </w:t>
      </w:r>
      <w:r w:rsidR="000C4E69">
        <w:t>distributors</w:t>
      </w:r>
      <w:r w:rsidRPr="00D1590E">
        <w:t xml:space="preserve"> flexibility in how they treat vegetation which is not present in the Victorian Electric Line Clearance Regulations.</w:t>
      </w:r>
      <w:r w:rsidRPr="00D1590E">
        <w:rPr>
          <w:rStyle w:val="FootnoteReference"/>
        </w:rPr>
        <w:footnoteReference w:id="739"/>
      </w:r>
      <w:r w:rsidRPr="00D1590E">
        <w:t xml:space="preserve"> </w:t>
      </w:r>
      <w:r w:rsidRPr="00D1590E">
        <w:rPr>
          <w:rStyle w:val="FootnoteReference"/>
        </w:rPr>
        <w:footnoteReference w:id="740"/>
      </w:r>
    </w:p>
    <w:p w:rsidR="00D1590E" w:rsidRPr="00D1590E" w:rsidRDefault="00D1590E" w:rsidP="00D1590E">
      <w:r w:rsidRPr="00D1590E">
        <w:t>Therefore the two changes in bushfire related regulatory obligations that have most affected the opex of the Victorian service providers represent an increase in obligations relative to those faced by the NSW service providers.</w:t>
      </w:r>
    </w:p>
    <w:p w:rsidR="00D1590E" w:rsidRPr="00D1590E" w:rsidRDefault="00D1590E" w:rsidP="00D1590E">
      <w:pPr>
        <w:pStyle w:val="HeadingBoldItalic"/>
      </w:pPr>
      <w:r w:rsidRPr="00D1590E">
        <w:t>Duty of care</w:t>
      </w:r>
    </w:p>
    <w:p w:rsidR="00D1590E" w:rsidRPr="00D1590E" w:rsidRDefault="00D1590E" w:rsidP="00D1590E">
      <w:r w:rsidRPr="00D1590E">
        <w:t>Essential Energy submitted:</w:t>
      </w:r>
    </w:p>
    <w:p w:rsidR="00D1590E" w:rsidRPr="00D1590E" w:rsidRDefault="00D1590E" w:rsidP="00D1590E">
      <w:pPr>
        <w:pStyle w:val="AERquote"/>
      </w:pPr>
      <w:r w:rsidRPr="00D1590E">
        <w:t>"Despite not being directly subject to the regulatory instruments applicable to Victoria, Essential Energy concluded that in the event that there were bushfires in its distribution area that compromise public safety and property or that damage the environment, and it could be shown that Essential Energy had not reasonably foreseen and taken all reasonable actions to mitigate the possibility of vegetation encroachment and equipment failure being the cause, Essential Energy would be exposed to the significant likelihood of criminal prosecution and civil action at the highest levels of the state and federal courts."</w:t>
      </w:r>
      <w:r w:rsidRPr="00D1590E">
        <w:rPr>
          <w:rStyle w:val="FootnoteReference"/>
        </w:rPr>
        <w:footnoteReference w:id="741"/>
      </w:r>
    </w:p>
    <w:p w:rsidR="00D1590E" w:rsidRPr="00D1590E" w:rsidRDefault="00D1590E" w:rsidP="00D1590E">
      <w:r w:rsidRPr="00D1590E">
        <w:lastRenderedPageBreak/>
        <w:t xml:space="preserve">We consider that this point has merit to the extent that service providers in NSW and Victoria face similar risks due to bushfire. On the evidence before us, Victorian has greater bushfire risk to NSW. Therefore, one would expect that less expenditure would be required to mitigate those risks in NSW. </w:t>
      </w:r>
    </w:p>
    <w:p w:rsidR="00D1590E" w:rsidRPr="00D1590E" w:rsidRDefault="00D1590E" w:rsidP="00D1590E">
      <w:r w:rsidRPr="00D1590E">
        <w:t xml:space="preserve">Additionally, although each of the NSW </w:t>
      </w:r>
      <w:r w:rsidR="000C4E69">
        <w:t>distributors</w:t>
      </w:r>
      <w:r w:rsidRPr="00D1590E">
        <w:t xml:space="preserve"> must in exercising their duty of care take notice of events in other jurisdictions, any changes to their practices would be in response to their individual risks. This continual evolution of the duty of care is something all service providers will face. For example, even before the Black Saturday bushfires Powercor began trialling LiDAR technology.</w:t>
      </w:r>
      <w:r w:rsidRPr="00D1590E">
        <w:rPr>
          <w:rStyle w:val="FootnoteReference"/>
        </w:rPr>
        <w:footnoteReference w:id="742"/>
      </w:r>
    </w:p>
    <w:p w:rsidR="00D1590E" w:rsidRPr="00D1590E" w:rsidRDefault="00D1590E" w:rsidP="00D1590E">
      <w:r w:rsidRPr="00D1590E">
        <w:t>On balance we are satisfied that in discharging their duty of care, the NSW service providers may choose to adopt bushfire mitigation practices such as those applying to the Victorian providers after Black Saturday, where they are relevant to the risks they face.</w:t>
      </w:r>
    </w:p>
    <w:p w:rsidR="00D1590E" w:rsidRPr="00D1590E" w:rsidRDefault="00D1590E" w:rsidP="00D1590E">
      <w:pPr>
        <w:pStyle w:val="HeadingBoldItalic"/>
      </w:pPr>
      <w:r w:rsidRPr="00D1590E">
        <w:t>Impact of differences on opex</w:t>
      </w:r>
    </w:p>
    <w:p w:rsidR="00D1590E" w:rsidRPr="00D1590E" w:rsidRDefault="00D1590E" w:rsidP="00D1590E">
      <w:r w:rsidRPr="00D1590E">
        <w:t>Differences in bushfire risk and related regulations between the comparison firms and each of the NSW service providers will provide each of the NSW service providers with a cost advantage.</w:t>
      </w:r>
    </w:p>
    <w:p w:rsidR="00D1590E" w:rsidRPr="00D1590E" w:rsidRDefault="00D1590E" w:rsidP="00D1590E">
      <w:pPr>
        <w:numPr>
          <w:ilvl w:val="0"/>
          <w:numId w:val="24"/>
        </w:numPr>
      </w:pPr>
      <w:r w:rsidRPr="00D1590E">
        <w:t>Differences in bushfire risk have the potential to create material differences in the opex required to operate the comparison firms' opex relative to any one of the NSW service providers. In Victoria for the 2011–2015 period, the increase in regulatory obligations related to bushfires was forecast to account for 9.0 per cent of total opex.</w:t>
      </w:r>
      <w:r w:rsidRPr="00D1590E">
        <w:rPr>
          <w:rStyle w:val="FootnoteReference"/>
        </w:rPr>
        <w:footnoteReference w:id="743"/>
      </w:r>
      <w:r w:rsidRPr="00D1590E">
        <w:t xml:space="preserve"> </w:t>
      </w:r>
      <w:r w:rsidRPr="00D1590E">
        <w:rPr>
          <w:rStyle w:val="FootnoteReference"/>
        </w:rPr>
        <w:footnoteReference w:id="744"/>
      </w:r>
      <w:r w:rsidRPr="00D1590E">
        <w:t xml:space="preserve"> </w:t>
      </w:r>
      <w:r w:rsidRPr="00D1590E">
        <w:rPr>
          <w:rStyle w:val="FootnoteReference"/>
        </w:rPr>
        <w:footnoteReference w:id="745"/>
      </w:r>
      <w:r w:rsidRPr="00D1590E">
        <w:t xml:space="preserve"> </w:t>
      </w:r>
      <w:r w:rsidRPr="00D1590E">
        <w:rPr>
          <w:rStyle w:val="FootnoteReference"/>
        </w:rPr>
        <w:footnoteReference w:id="746"/>
      </w:r>
      <w:r w:rsidRPr="00D1590E">
        <w:t xml:space="preserve"> </w:t>
      </w:r>
      <w:r w:rsidRPr="00D1590E">
        <w:rPr>
          <w:rStyle w:val="FootnoteReference"/>
        </w:rPr>
        <w:footnoteReference w:id="747"/>
      </w:r>
      <w:r w:rsidRPr="00D1590E">
        <w:t xml:space="preserve"> </w:t>
      </w:r>
      <w:r w:rsidRPr="00D1590E">
        <w:rPr>
          <w:rStyle w:val="FootnoteReference"/>
        </w:rPr>
        <w:footnoteReference w:id="748"/>
      </w:r>
      <w:r w:rsidRPr="00D1590E">
        <w:t xml:space="preserve"> </w:t>
      </w:r>
      <w:r w:rsidRPr="00D1590E">
        <w:rPr>
          <w:rStyle w:val="FootnoteReference"/>
        </w:rPr>
        <w:footnoteReference w:id="749"/>
      </w:r>
      <w:r w:rsidRPr="00D1590E">
        <w:t xml:space="preserve"> </w:t>
      </w:r>
      <w:r w:rsidRPr="00D1590E">
        <w:rPr>
          <w:rStyle w:val="FootnoteReference"/>
        </w:rPr>
        <w:footnoteReference w:id="750"/>
      </w:r>
      <w:r w:rsidRPr="00D1590E">
        <w:t xml:space="preserve"> </w:t>
      </w:r>
      <w:r w:rsidRPr="00D1590E">
        <w:rPr>
          <w:rStyle w:val="FootnoteReference"/>
        </w:rPr>
        <w:footnoteReference w:id="751"/>
      </w:r>
      <w:r w:rsidRPr="00D1590E">
        <w:t xml:space="preserve"> Although a prudent service provider would take into consideration changes in practices in other states, it would only adopt those practices to the extent that they are appropriate given their circumstances. On the evidence in front of us, in general, Victoria faces higher risk of bushfires than NSW. Additionally, our examination of vegetation management regulations, the most costly part of electricity service providers' bushfire mitigation practices, show the requirements in Victoria are stricter.</w:t>
      </w:r>
    </w:p>
    <w:p w:rsidR="00D1590E" w:rsidRPr="00D1590E" w:rsidRDefault="00D1590E" w:rsidP="00D1590E">
      <w:r w:rsidRPr="00D1590E">
        <w:lastRenderedPageBreak/>
        <w:t>Although we consider it is likely that the Victorian service providers will have a cost disadvantage relative to the NSW service providers due to differences in bushfire risk and related regulatory obligations, we consider there will be some mitigating factors. The change in regulations only came about after the Black Saturday bushfires. All service providers have a duty of care. Also other factors will affect bushfire mitigation costs such as vegetation density, urbanity, undergrounding, and divisions in responsibility for vegetation management. We note that urbanity (customer density) and undergrounding are accounted for in Economic Insights' SFA model so we have focussed on the effect of the timing of the change, duty of care, and vegetation density.</w:t>
      </w:r>
    </w:p>
    <w:p w:rsidR="00D1590E" w:rsidRPr="00D1590E" w:rsidRDefault="00D1590E" w:rsidP="00D1590E">
      <w:r w:rsidRPr="00D1590E">
        <w:t>Although the increase in opex associated with the new bushfire risk mitigation obligations for the Victorian service providers was quite large, it only affected the end of the benchmarking period. The new obligations came into effect at various times from 2010. As a result they only affected the last three years of the benchmarking period. This more than halves the effect of the impact of the change in regulations on the benchmarking results.</w:t>
      </w:r>
    </w:p>
    <w:p w:rsidR="00D1590E" w:rsidRPr="00D1590E" w:rsidRDefault="00D1590E" w:rsidP="00D1590E">
      <w:r w:rsidRPr="00D1590E">
        <w:t>As mentioned above all service providers have a duty of care. As a result they must take all reasonable measures to ensure the safety of their networks. As the NSW service providers also face bushfire risk, although not to the same extent as those in Victoria, it may be prudent for them to adopt some of the practices required in Victoria after the Black Saturday bushfires. However, the Victorian service providers were still affected by the regulations for the final three years of the benchmarking period.</w:t>
      </w:r>
    </w:p>
    <w:p w:rsidR="00D1590E" w:rsidRPr="00D1590E" w:rsidRDefault="00D1590E" w:rsidP="00D1590E">
      <w:r w:rsidRPr="00D1590E">
        <w:t>In its report for the NSW service providers, Pacific Economics Group noted that forestation may affect service providers' opex.</w:t>
      </w:r>
      <w:r w:rsidRPr="00D1590E">
        <w:rPr>
          <w:rStyle w:val="FootnoteReference"/>
        </w:rPr>
        <w:footnoteReference w:id="752"/>
      </w:r>
      <w:r w:rsidRPr="00D1590E">
        <w:t xml:space="preserve"> Ausgrid and Endeavour have higher vegetation density in their rural service areas than some of the comparison firms (shown in </w:t>
      </w:r>
      <w:r w:rsidRPr="00D1590E">
        <w:fldChar w:fldCharType="begin"/>
      </w:r>
      <w:r w:rsidRPr="00D1590E">
        <w:instrText xml:space="preserve"> REF _Ref417643821 \h </w:instrText>
      </w:r>
      <w:r w:rsidRPr="00D1590E">
        <w:fldChar w:fldCharType="separate"/>
      </w:r>
      <w:r w:rsidR="00C57342" w:rsidRPr="00D1590E">
        <w:t xml:space="preserve">Figure </w:t>
      </w:r>
      <w:r w:rsidR="00C57342">
        <w:rPr>
          <w:noProof/>
        </w:rPr>
        <w:t>A</w:t>
      </w:r>
      <w:r w:rsidR="00C57342" w:rsidRPr="00D1590E">
        <w:t>.</w:t>
      </w:r>
      <w:r w:rsidR="00C57342">
        <w:rPr>
          <w:noProof/>
        </w:rPr>
        <w:t>24</w:t>
      </w:r>
      <w:r w:rsidRPr="00D1590E">
        <w:fldChar w:fldCharType="end"/>
      </w:r>
      <w:r w:rsidRPr="00D1590E">
        <w:t xml:space="preserve"> below), this may offset some of the effect of the more stringent bushfire regulations in Victoria. The fact that AusNet, which operates in a higher vegetation density region than Powercor, required a similar increase in expenditure for the increase in vegetation clearance obligations to Powercor, despite having only half the network length, supports this conclusion. On the other hand vegetation density in the NSW service providers’ network areas may not be as great an issue because most lines are run through road easements or paddocks. Also, as a percentage of network services opex, Ausgrid spends less on vegetation management than AusNet, Powercor, SA Power Networks, and United Energy. Endeavour spends less than AusNet, Powercor, SA Power Networks, and a slightly more than United Energy.</w:t>
      </w:r>
      <w:r w:rsidRPr="00D1590E">
        <w:rPr>
          <w:rStyle w:val="FootnoteReference"/>
        </w:rPr>
        <w:footnoteReference w:id="753"/>
      </w:r>
      <w:r w:rsidRPr="00D1590E">
        <w:t xml:space="preserve"> </w:t>
      </w:r>
      <w:r w:rsidRPr="00D1590E">
        <w:rPr>
          <w:rStyle w:val="FootnoteReference"/>
        </w:rPr>
        <w:footnoteReference w:id="754"/>
      </w:r>
    </w:p>
    <w:p w:rsidR="00D1590E" w:rsidRPr="00D1590E" w:rsidRDefault="00D1590E" w:rsidP="00D1590E">
      <w:pPr>
        <w:pStyle w:val="Caption"/>
      </w:pPr>
      <w:bookmarkStart w:id="357" w:name="_Ref417643821"/>
      <w:r w:rsidRPr="00D1590E">
        <w:lastRenderedPageBreak/>
        <w:t xml:space="preserve">Figure </w:t>
      </w:r>
      <w:fldSimple w:instr=" STYLEREF 7 \s ">
        <w:r w:rsidR="00C57342">
          <w:rPr>
            <w:noProof/>
          </w:rPr>
          <w:t>A</w:t>
        </w:r>
      </w:fldSimple>
      <w:r w:rsidRPr="00D1590E">
        <w:t>.</w:t>
      </w:r>
      <w:fldSimple w:instr=" SEQ AFigure \* ARABIC \s 7 ">
        <w:r w:rsidR="00C57342">
          <w:rPr>
            <w:noProof/>
          </w:rPr>
          <w:t>24</w:t>
        </w:r>
      </w:fldSimple>
      <w:bookmarkEnd w:id="357"/>
      <w:r w:rsidRPr="00D1590E">
        <w:tab/>
        <w:t>Normalised Difference Vegetation Index: 6 Month Average September 2014 to 28 February 2015</w:t>
      </w:r>
    </w:p>
    <w:p w:rsidR="00D1590E" w:rsidRPr="00D1590E" w:rsidRDefault="00D1590E" w:rsidP="00D1590E">
      <w:r w:rsidRPr="00D1590E">
        <w:rPr>
          <w:noProof/>
          <w:lang w:eastAsia="en-AU"/>
        </w:rPr>
        <w:drawing>
          <wp:inline distT="0" distB="0" distL="0" distR="0" wp14:anchorId="32BDE33A" wp14:editId="39C30608">
            <wp:extent cx="4300157" cy="2980706"/>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304266" cy="2983554"/>
                    </a:xfrm>
                    <a:prstGeom prst="rect">
                      <a:avLst/>
                    </a:prstGeom>
                  </pic:spPr>
                </pic:pic>
              </a:graphicData>
            </a:graphic>
          </wp:inline>
        </w:drawing>
      </w:r>
    </w:p>
    <w:p w:rsidR="00D1590E" w:rsidRPr="00D1590E" w:rsidRDefault="00D1590E" w:rsidP="00D1590E">
      <w:pPr>
        <w:pStyle w:val="Source"/>
      </w:pPr>
      <w:r w:rsidRPr="00D1590E">
        <w:t>Source: Bureau of Meteorology</w:t>
      </w:r>
      <w:r w:rsidRPr="00D1590E">
        <w:rPr>
          <w:rStyle w:val="FootnoteReference"/>
        </w:rPr>
        <w:footnoteReference w:id="755"/>
      </w:r>
    </w:p>
    <w:p w:rsidR="00D1590E" w:rsidRPr="00D1590E" w:rsidRDefault="00D1590E" w:rsidP="00D1590E">
      <w:r w:rsidRPr="00D1590E">
        <w:t>We are satisfied that the more stringent vegetation management obligations and bushfire risks in Victoria are likely to outweigh the higher vegetation density in Ausgrid and Endeavour’s service area. The forecast percentage increases in opex due to the change in bushfire regulations for Powercor and AusNet were 11.5 and 11.3 per cent respectively. These are both greater than the average percentage of opex that that Ausgrid and Endeavour spent on vegetation management during the 2009 to 2013 period, 6 and 8 per cent respectively.</w:t>
      </w:r>
      <w:r w:rsidRPr="00D1590E">
        <w:rPr>
          <w:rStyle w:val="FootnoteReference"/>
        </w:rPr>
        <w:t xml:space="preserve"> </w:t>
      </w:r>
      <w:r w:rsidRPr="00D1590E">
        <w:rPr>
          <w:rStyle w:val="FootnoteReference"/>
        </w:rPr>
        <w:footnoteReference w:id="756"/>
      </w:r>
      <w:r w:rsidRPr="00D1590E">
        <w:t xml:space="preserve"> </w:t>
      </w:r>
      <w:r w:rsidRPr="00D1590E">
        <w:rPr>
          <w:rStyle w:val="FootnoteReference"/>
        </w:rPr>
        <w:footnoteReference w:id="757"/>
      </w:r>
      <w:r w:rsidRPr="00D1590E">
        <w:t xml:space="preserve"> </w:t>
      </w:r>
    </w:p>
    <w:p w:rsidR="00D1590E" w:rsidRPr="00D1590E" w:rsidRDefault="00D1590E" w:rsidP="00D1590E">
      <w:r w:rsidRPr="00D1590E">
        <w:fldChar w:fldCharType="begin"/>
      </w:r>
      <w:r w:rsidRPr="00D1590E">
        <w:instrText xml:space="preserve"> REF _Ref417643821 \h </w:instrText>
      </w:r>
      <w:r w:rsidRPr="00D1590E">
        <w:fldChar w:fldCharType="separate"/>
      </w:r>
      <w:r w:rsidR="00C57342" w:rsidRPr="00D1590E">
        <w:t xml:space="preserve">Figure </w:t>
      </w:r>
      <w:r w:rsidR="00C57342">
        <w:rPr>
          <w:noProof/>
        </w:rPr>
        <w:t>A</w:t>
      </w:r>
      <w:r w:rsidR="00C57342" w:rsidRPr="00D1590E">
        <w:t>.</w:t>
      </w:r>
      <w:r w:rsidR="00C57342">
        <w:rPr>
          <w:noProof/>
        </w:rPr>
        <w:t>24</w:t>
      </w:r>
      <w:r w:rsidRPr="00D1590E">
        <w:fldChar w:fldCharType="end"/>
      </w:r>
      <w:r w:rsidRPr="00D1590E">
        <w:t xml:space="preserve"> above shows that overall Essential has vegetation density comparable to western Victoria. Essential spends a similar percentage of opex, 20 per cent, on vegetation management as Powercor (18 per cent) and AusNet (22 per cent).</w:t>
      </w:r>
      <w:r w:rsidRPr="00D1590E">
        <w:rPr>
          <w:rStyle w:val="FootnoteReference"/>
        </w:rPr>
        <w:footnoteReference w:id="758"/>
      </w:r>
    </w:p>
    <w:p w:rsidR="00D1590E" w:rsidRPr="00D1590E" w:rsidRDefault="00D1590E" w:rsidP="00D1590E">
      <w:r w:rsidRPr="00D1590E">
        <w:t xml:space="preserve">On balance we are satisfied that the Victorian service providers will face a cost disadvantage relative to the NSW service providers due to differences in bushfire risk and related regulations. However, as there are offsetting factors mentioned above, it is uncertain if those differences will lead to a material cost advantage for the NSW service providers. As a result we have decided to treat bushfire risk as an immaterial OEF for the purpose of benchmarking comparisons between the NSW service providers and the comparison firms. The geographic characteristics and settlement </w:t>
      </w:r>
      <w:r w:rsidRPr="00D1590E">
        <w:lastRenderedPageBreak/>
        <w:t xml:space="preserve">patterns of a network area are beyond the control of service providers. Economic Insights' SFA model does not account for differences in bushfire risk. Therefore, in accordance with our treatment of individually immaterial OEFs we have provided a negative 0.5 per cent adjustment in our collective adjustment for immaterial OEFs to account for differences in bushfire risk. </w:t>
      </w:r>
    </w:p>
    <w:p w:rsidR="00D1590E" w:rsidRPr="00D1590E" w:rsidRDefault="00D1590E" w:rsidP="00D1590E">
      <w:pPr>
        <w:pStyle w:val="HeadingBoldBlue"/>
        <w:numPr>
          <w:ilvl w:val="0"/>
          <w:numId w:val="24"/>
        </w:numPr>
      </w:pPr>
      <w:bookmarkStart w:id="358" w:name="_Toc417646317"/>
      <w:r w:rsidRPr="00D1590E">
        <w:t>Corrosive elements</w:t>
      </w:r>
      <w:bookmarkEnd w:id="358"/>
    </w:p>
    <w:p w:rsidR="00D1590E" w:rsidRPr="00D1590E" w:rsidRDefault="00D1590E" w:rsidP="00D1590E">
      <w:pPr>
        <w:numPr>
          <w:ilvl w:val="0"/>
          <w:numId w:val="24"/>
        </w:numPr>
      </w:pPr>
      <w:r w:rsidRPr="00D1590E">
        <w:t>We are not satisfied that an OEF adjustment for corrosive environments would meet the materiality OEF adjustment criterion. All service providers have assets that corrosive elements affect.</w:t>
      </w:r>
    </w:p>
    <w:p w:rsidR="00D1590E" w:rsidRPr="00D1590E" w:rsidRDefault="00D1590E" w:rsidP="00D1590E">
      <w:pPr>
        <w:numPr>
          <w:ilvl w:val="0"/>
          <w:numId w:val="24"/>
        </w:numPr>
      </w:pPr>
      <w:r w:rsidRPr="00D1590E">
        <w:t>In our draft decision we did not provide an OEF adjustment for corrosive elements. This was on the basis that all service providers are affected by corrosive elements. While salts affect assets in coastal areas, dusts affect assets in inland areas. While all service providers will be affected to some extent, the differences in the corrosive elements in each area will lead to differences in design and operational considerations that may affect opex. However, sufficient evidence was not provided to show that these differences would be material.</w:t>
      </w:r>
    </w:p>
    <w:p w:rsidR="00D1590E" w:rsidRPr="00D1590E" w:rsidRDefault="00D1590E" w:rsidP="00D1590E">
      <w:pPr>
        <w:numPr>
          <w:ilvl w:val="0"/>
          <w:numId w:val="24"/>
        </w:numPr>
      </w:pPr>
      <w:r w:rsidRPr="00D1590E">
        <w:t>In response to our draft decision, we received no evidence that the NSW service providers have greater or lesser exposure to corrosive elements than the comparison firms.</w:t>
      </w:r>
    </w:p>
    <w:p w:rsidR="00D1590E" w:rsidRPr="00D1590E" w:rsidRDefault="00D1590E" w:rsidP="00D1590E">
      <w:pPr>
        <w:numPr>
          <w:ilvl w:val="0"/>
          <w:numId w:val="24"/>
        </w:numPr>
      </w:pPr>
      <w:r w:rsidRPr="00D1590E">
        <w:t>However, in accordance with our treatment of immaterial OEFs we have provided a positive 0.5 per cent adjustment for differences in exposure to corrosive elements. Although an OEF adjustment for differences in exposure to corrosive elements is not likely to lead to material differences in opex, the differences they do cause would meet the exogeneity and duplication OEF criteria. The prevalence of corrosive compounds in a network area is beyond service providers' control and Economic Insights' SFA model does not have a variable to account for it. We have provided a positive 0.5 per cent adjustment because it is unclear if differences in exposure to corrosive elements will lead to a cost advantage or disadvantage for the NSW service providers relative to the comparison firms.</w:t>
      </w:r>
    </w:p>
    <w:p w:rsidR="00D1590E" w:rsidRPr="00D1590E" w:rsidRDefault="00D1590E" w:rsidP="00D1590E">
      <w:pPr>
        <w:pStyle w:val="HeadingBoldBlue"/>
        <w:numPr>
          <w:ilvl w:val="0"/>
          <w:numId w:val="24"/>
        </w:numPr>
      </w:pPr>
      <w:bookmarkStart w:id="359" w:name="_Toc417646318"/>
      <w:r w:rsidRPr="00D1590E">
        <w:t>Environmental Variability</w:t>
      </w:r>
      <w:bookmarkEnd w:id="359"/>
    </w:p>
    <w:p w:rsidR="00D1590E" w:rsidRPr="00D1590E" w:rsidRDefault="00D1590E" w:rsidP="00D1590E">
      <w:r w:rsidRPr="00D1590E">
        <w:t>We are not satisfied that an OEF adjustment for environmental variability would meet the materiality OEF adjustment criterion. Intra-network environmental variability will not lead to material differences in opex.</w:t>
      </w:r>
    </w:p>
    <w:p w:rsidR="00D1590E" w:rsidRPr="00D1590E" w:rsidRDefault="00D1590E" w:rsidP="00D1590E">
      <w:r w:rsidRPr="00D1590E">
        <w:t>In its regulatory proposal Ergon Energy raised intra-network environmental variability as an issue that would lead to material differences in opex between it and the comparison firms.</w:t>
      </w:r>
      <w:r w:rsidRPr="00D1590E">
        <w:rPr>
          <w:rStyle w:val="FootnoteReference"/>
        </w:rPr>
        <w:footnoteReference w:id="759"/>
      </w:r>
      <w:r w:rsidRPr="00D1590E">
        <w:t xml:space="preserve"> Ergon Energy submitted metrics on the variability of temperature, rainfall, and humidity to support this claim. These metrics showed that Ergon has the </w:t>
      </w:r>
      <w:r w:rsidRPr="00D1590E">
        <w:lastRenderedPageBreak/>
        <w:t>highest level of intra-network variability in humidity, rainfall, and temperature. Ergon considers this variability of environment within its network presents Ergon Energy with a significant challenge in the development of optimal maintenance schedules and resource allocation. Ergon did not quantify the effect of these scheduling and logistic issues on its opex. Further, Ergon Energy did not adequately explain the link between environmental variability and increased maintenance scheduling costs or resource allocation costs.</w:t>
      </w:r>
    </w:p>
    <w:p w:rsidR="00D1590E" w:rsidRPr="00D1590E" w:rsidRDefault="00D1590E" w:rsidP="00D1590E">
      <w:r w:rsidRPr="00D1590E">
        <w:t>We are not satisfied that differences in environmental variability will lead to material differences in opex. In developing maintenance schedules and managing inventories, all service providers must manage a large range of assets. The major driver of this heterogeneity is technological change. As the technology of electricity distribution advances over time, service providers install different types of assets. However, the older assets, based on a different technology remain. Managing this complexity is one of the core competencies of an asset manager. Ergon has provided no information that demonstrates that the incremental complexity involved in managing the potential differences in assets in different environmental zones will materially add to the challenges that all service providers face.</w:t>
      </w:r>
    </w:p>
    <w:p w:rsidR="00D1590E" w:rsidRPr="00D1590E" w:rsidRDefault="00D1590E" w:rsidP="00D1590E">
      <w:r w:rsidRPr="00D1590E">
        <w:t>Additionally we note that the majority of the comparison firms (AusNet services, Powercor, and SA Power Networks) are predominantly rural service providers that must operate in environmentally diverse circumstances.</w:t>
      </w:r>
    </w:p>
    <w:p w:rsidR="00D1590E" w:rsidRPr="00D1590E" w:rsidRDefault="00D1590E" w:rsidP="00D1590E">
      <w:r w:rsidRPr="00D1590E">
        <w:t>However, as this factor satisfies the exogeneity and duplication OEF criteria, we have included it in our OEF adjustment for immaterial factors. As the majority of comparison firms are rural service providers, the customer weighted average comparison firm is likely to operate in a service area with a more variable climate than Ausgrid or Endeavour. However, as the comparison firms include CitiPower and United Energy, Essential is likely to have a cost disadvantage. An OEF adjustment for environmental variability is also likely to satisfy the exogeneity and materiality OEF adjustment criteria. Differences in environment within a network's service are beyond service providers' control and Economic Insights' SFA model does not capture differences in environmental variability. As a result we have provided a negative 0.5 per cent adjustment to Ausgrid and Endeavour but a positive 0.5 per cent adjustment to Essential in our OEF adjustment for immaterial factors.</w:t>
      </w:r>
    </w:p>
    <w:p w:rsidR="00D1590E" w:rsidRPr="00D1590E" w:rsidRDefault="00D1590E" w:rsidP="00D1590E">
      <w:pPr>
        <w:pStyle w:val="HeadingBoldBlue"/>
        <w:numPr>
          <w:ilvl w:val="0"/>
          <w:numId w:val="24"/>
        </w:numPr>
      </w:pPr>
      <w:bookmarkStart w:id="360" w:name="_Toc417646319"/>
      <w:r w:rsidRPr="00D1590E">
        <w:t>Extreme weather events</w:t>
      </w:r>
      <w:bookmarkEnd w:id="360"/>
    </w:p>
    <w:p w:rsidR="00D1590E" w:rsidRPr="00D1590E" w:rsidRDefault="00D1590E" w:rsidP="00D1590E">
      <w:r w:rsidRPr="00D1590E">
        <w:t>We are not satisfied that an OEF adjustment for differences in exposure to extreme weather events would meet the materiality OEF adjustment criterion.</w:t>
      </w:r>
    </w:p>
    <w:p w:rsidR="00D1590E" w:rsidRPr="00D1590E" w:rsidRDefault="00D1590E" w:rsidP="00D1590E">
      <w:r w:rsidRPr="00D1590E">
        <w:t xml:space="preserve">In support of its 2014 regulatory proposal, Ausgrid submitted a report by Evans and Peck that identified major weather events as an OEF that may affect benchmarking </w:t>
      </w:r>
      <w:r w:rsidRPr="00D1590E">
        <w:lastRenderedPageBreak/>
        <w:t>results.</w:t>
      </w:r>
      <w:r w:rsidRPr="00D1590E">
        <w:rPr>
          <w:rStyle w:val="FootnoteReference"/>
        </w:rPr>
        <w:footnoteReference w:id="760"/>
      </w:r>
      <w:r w:rsidRPr="00D1590E">
        <w:t xml:space="preserve"> Evans and Peck present analysis from the Bureau of Transport Economics (BTE) that estimate the magnitude of the costs imposed by disasters in Australia. These costs include the estimated costs of bushfires, cyclones, earthquakes, floods, landslides, and severe storms in Australia over the period 1967-1999.</w:t>
      </w:r>
      <w:r w:rsidRPr="00D1590E">
        <w:rPr>
          <w:rStyle w:val="FootnoteReference"/>
        </w:rPr>
        <w:footnoteReference w:id="761"/>
      </w:r>
    </w:p>
    <w:p w:rsidR="00D1590E" w:rsidRPr="00D1590E" w:rsidRDefault="00D1590E" w:rsidP="00D1590E">
      <w:r w:rsidRPr="00D1590E">
        <w:t>In our draft decision we did not provide an OEF for extreme weather events.</w:t>
      </w:r>
      <w:r w:rsidRPr="00D1590E">
        <w:rPr>
          <w:rStyle w:val="FootnoteReference"/>
        </w:rPr>
        <w:footnoteReference w:id="762"/>
      </w:r>
      <w:r w:rsidRPr="00D1590E">
        <w:t xml:space="preserve"> This is because they are not likely to create material differences in opex between the NSW service providers and the comparison firms. On the basis of the data from the BTE, the average annual economic impact of severe storms is low in NSW, Victoria, and South Australia. The NSW service providers did not make any submissions on our draft position for this OEF.</w:t>
      </w:r>
    </w:p>
    <w:p w:rsidR="00D1590E" w:rsidRPr="00D1590E" w:rsidRDefault="00D1590E" w:rsidP="00D1590E">
      <w:r w:rsidRPr="00D1590E">
        <w:t>However, we have included this factor in our adjustment for immaterial factors. It satisfies the exogeneity and duplication criteria. Service providers cannot control the weather and Economic Insights' SFA model does not include variables that account for the effects of extreme weather. As the impact of extreme weather events is higher in NSW than in Victoria or South Australia, when normalised for GSP, we have provided a positive 0.5 per cent adjustment for extreme weather events.</w:t>
      </w:r>
    </w:p>
    <w:p w:rsidR="00D1590E" w:rsidRPr="00D1590E" w:rsidRDefault="00D1590E" w:rsidP="00D1590E">
      <w:pPr>
        <w:pStyle w:val="HeadingBoldBlue"/>
        <w:numPr>
          <w:ilvl w:val="0"/>
          <w:numId w:val="24"/>
        </w:numPr>
      </w:pPr>
      <w:bookmarkStart w:id="361" w:name="_Toc417646320"/>
      <w:r w:rsidRPr="00D1590E">
        <w:t>Grounding conditions</w:t>
      </w:r>
      <w:bookmarkEnd w:id="361"/>
    </w:p>
    <w:p w:rsidR="00D1590E" w:rsidRPr="00D1590E" w:rsidRDefault="00D1590E" w:rsidP="00D1590E">
      <w:pPr>
        <w:numPr>
          <w:ilvl w:val="0"/>
          <w:numId w:val="24"/>
        </w:numPr>
      </w:pPr>
      <w:r w:rsidRPr="00D1590E">
        <w:t>We are not satisfied that an OEF for grounding conditions would meet the materiality OEF adjustment criterion. The installation of earth grids is a very small part of service providers' costs. There is no evidence to suggest that there are material differences in grounding conditions between the NSW service providers and the comparison firms.</w:t>
      </w:r>
    </w:p>
    <w:p w:rsidR="00D1590E" w:rsidRPr="00D1590E" w:rsidRDefault="00D1590E" w:rsidP="00D1590E">
      <w:pPr>
        <w:numPr>
          <w:ilvl w:val="0"/>
          <w:numId w:val="24"/>
        </w:numPr>
      </w:pPr>
      <w:r w:rsidRPr="00D1590E">
        <w:t>Electricity distribution requires the use of earthing or grounding connection to aid in the protection and monitoring of the network. In rural areas, service providers use the earth as the return path for some forms of electricity distribution. These systems require service providers to create an electrical earth, usually from embedding conductors or rods in the ground. The effectiveness of these earths varies depending on the soil type and the amount of moisture in the soil.</w:t>
      </w:r>
    </w:p>
    <w:p w:rsidR="00D1590E" w:rsidRPr="00D1590E" w:rsidRDefault="00D1590E" w:rsidP="00D1590E">
      <w:pPr>
        <w:rPr>
          <w:rStyle w:val="AERbody"/>
        </w:rPr>
      </w:pPr>
      <w:r w:rsidRPr="00D1590E">
        <w:t xml:space="preserve">In our draft decision we did not provide an OEF adjustment for grounding conditions. This was on the basis that </w:t>
      </w:r>
      <w:r w:rsidRPr="00D1590E">
        <w:rPr>
          <w:rStyle w:val="AERbody"/>
        </w:rPr>
        <w:t xml:space="preserve">the maintenance of earth grids are a very small part of service provider's costs. </w:t>
      </w:r>
    </w:p>
    <w:p w:rsidR="00D1590E" w:rsidRPr="00D1590E" w:rsidRDefault="00D1590E" w:rsidP="00D1590E">
      <w:pPr>
        <w:numPr>
          <w:ilvl w:val="0"/>
          <w:numId w:val="24"/>
        </w:numPr>
      </w:pPr>
      <w:r w:rsidRPr="00D1590E">
        <w:t xml:space="preserve">In response to our draft decision, we received no evidence that there are </w:t>
      </w:r>
      <w:r w:rsidRPr="00D1590E">
        <w:rPr>
          <w:rStyle w:val="AERbody"/>
        </w:rPr>
        <w:t>differences in grounding costs between the NSW service providers and the comparison firms</w:t>
      </w:r>
      <w:r w:rsidRPr="00D1590E">
        <w:t xml:space="preserve"> that would lead to material differences in opex.</w:t>
      </w:r>
    </w:p>
    <w:p w:rsidR="00D1590E" w:rsidRPr="00D1590E" w:rsidRDefault="00D1590E" w:rsidP="00D1590E">
      <w:pPr>
        <w:numPr>
          <w:ilvl w:val="0"/>
          <w:numId w:val="24"/>
        </w:numPr>
      </w:pPr>
      <w:r w:rsidRPr="00D1590E">
        <w:lastRenderedPageBreak/>
        <w:t>However, in accordance with our treatment of immaterial OEFs we have provided a positive 0.5 per cent adjustment for differences in grounding conditions. An adjustment for grounding conditions would satisfy the exogeneity and duplication OEF criteria. Soil conditions are beyond service providers' control and Economic Insights' SFA model does not have a variable that accounts for them. We have provided a positive 0.5 per cent adjustment because it is unclear if differences in grounding conditions will lead to a cost advantage or disadvantage for the NSW service providers relative to the comparison firms.</w:t>
      </w:r>
    </w:p>
    <w:p w:rsidR="00D1590E" w:rsidRPr="00D1590E" w:rsidRDefault="00D1590E" w:rsidP="00D1590E">
      <w:pPr>
        <w:pStyle w:val="HeadingBoldBlue"/>
        <w:numPr>
          <w:ilvl w:val="0"/>
          <w:numId w:val="24"/>
        </w:numPr>
      </w:pPr>
      <w:bookmarkStart w:id="362" w:name="_Toc417646321"/>
      <w:r w:rsidRPr="00D1590E">
        <w:t>Humidity and rainfall</w:t>
      </w:r>
      <w:bookmarkEnd w:id="362"/>
    </w:p>
    <w:p w:rsidR="00D1590E" w:rsidRPr="00D1590E" w:rsidRDefault="00D1590E" w:rsidP="00D1590E">
      <w:r w:rsidRPr="00D1590E">
        <w:t>We are not satisfied that an OEF for differences in humidity and rainfall between the NSW service providers and the comparison firms would meet the materiality OEF adjustment criterion. Differences in humidity between the NSW service providers and the comparison firms are unlikely to lead to material differences in opex. This is because differences in humidity are will have a greater impact on asset replacement rather than maintenance costs.</w:t>
      </w:r>
    </w:p>
    <w:p w:rsidR="00D1590E" w:rsidRPr="00D1590E" w:rsidRDefault="00D1590E" w:rsidP="00D1590E">
      <w:r w:rsidRPr="00D1590E">
        <w:t>In response to our draft decision, Essential Energy submitted that we had not taken into account differences in the rate of fungal rot between the NSW service providers and the comparison firms.</w:t>
      </w:r>
      <w:r w:rsidRPr="00D1590E">
        <w:rPr>
          <w:rStyle w:val="FootnoteReference"/>
        </w:rPr>
        <w:footnoteReference w:id="763"/>
      </w:r>
      <w:r w:rsidRPr="00D1590E">
        <w:t xml:space="preserve"> Essential Energy presented two maps produced by the CSIRO that indicated that wooden objects in the northern half of coastal NSW are more prone to fungal rot than Victoria. Essential Energy stated this would lead to greater pole maintenance costs. Essential Energy provided no quantification of the impact that these differences would have on costs.</w:t>
      </w:r>
    </w:p>
    <w:p w:rsidR="00D1590E" w:rsidRPr="00D1590E" w:rsidRDefault="00D1590E" w:rsidP="00D1590E">
      <w:r w:rsidRPr="00D1590E">
        <w:t>In response to questions from the AER about the effect of rainfall and humidity on poles, cross arms, transformers and assets using SF6 as an insulator, Ergon Energy submitted that high rainfall and humidity increases the degradation of timber assets.</w:t>
      </w:r>
      <w:r w:rsidRPr="00D1590E">
        <w:rPr>
          <w:rStyle w:val="FootnoteReference"/>
        </w:rPr>
        <w:footnoteReference w:id="764"/>
      </w:r>
      <w:r w:rsidRPr="00D1590E">
        <w:t xml:space="preserve"> It also submitted that asset failures in high rainfall areas make up 40 per cent of asset failures although they only make up five per cent of the area of Queensland.</w:t>
      </w:r>
      <w:r w:rsidRPr="00D1590E">
        <w:rPr>
          <w:rStyle w:val="FootnoteReference"/>
        </w:rPr>
        <w:footnoteReference w:id="765"/>
      </w:r>
      <w:r w:rsidRPr="00D1590E">
        <w:t xml:space="preserve"> Ergon Energy also stated that it has a special inspection program for pole tops in areas that have rainfall of above 1500mm per annum. This leads to inspection costs being higher for poles in its higher rainfall areas.</w:t>
      </w:r>
    </w:p>
    <w:p w:rsidR="00D1590E" w:rsidRPr="00D1590E" w:rsidRDefault="00D1590E" w:rsidP="00D1590E">
      <w:r w:rsidRPr="00D1590E">
        <w:t xml:space="preserve">We agree with Essential Energy that wooden poles in the north of coastal NSW will be more susceptible to fungal rot than poles in the comparison firms' service areas. However, we do not consider that this will lead to material differences in opex between the comparison firms and the NSW service providers. This is because fungal rot is more likely to lead to increased pole replacement than increased maintenance costs. Maintenance activities for poles are predominantly inspection and antifungal treatment. These are generally carried out at the same time. </w:t>
      </w:r>
    </w:p>
    <w:p w:rsidR="00D1590E" w:rsidRPr="00D1590E" w:rsidRDefault="00D1590E" w:rsidP="00D1590E">
      <w:r w:rsidRPr="00D1590E">
        <w:lastRenderedPageBreak/>
        <w:t>The Victorian service providers are required to inspect their assets every three years in Hazardous Bushfire Risk Areas and every five years in Low Bushfire Risk Areas.</w:t>
      </w:r>
      <w:r w:rsidRPr="00D1590E">
        <w:rPr>
          <w:rStyle w:val="FootnoteReference"/>
        </w:rPr>
        <w:footnoteReference w:id="766"/>
      </w:r>
      <w:r w:rsidRPr="00D1590E">
        <w:t xml:space="preserve"> This practice has been in place since 2011.</w:t>
      </w:r>
      <w:r w:rsidRPr="00D1590E">
        <w:rPr>
          <w:rStyle w:val="FootnoteReference"/>
        </w:rPr>
        <w:footnoteReference w:id="767"/>
      </w:r>
      <w:r w:rsidRPr="00D1590E">
        <w:t xml:space="preserve"> Ergon</w:t>
      </w:r>
      <w:r w:rsidRPr="00D1590E">
        <w:rPr>
          <w:rStyle w:val="FootnoteReference"/>
        </w:rPr>
        <w:footnoteReference w:id="768"/>
      </w:r>
      <w:r w:rsidRPr="00D1590E">
        <w:t xml:space="preserve"> and Essential</w:t>
      </w:r>
      <w:r w:rsidRPr="00D1590E">
        <w:rPr>
          <w:rStyle w:val="FootnoteReference"/>
        </w:rPr>
        <w:footnoteReference w:id="769"/>
      </w:r>
      <w:r w:rsidRPr="00D1590E">
        <w:t xml:space="preserve"> generally inspect their pole assets and pole top assets every four years. Ausgrid</w:t>
      </w:r>
      <w:r w:rsidRPr="00D1590E">
        <w:rPr>
          <w:rStyle w:val="FootnoteReference"/>
        </w:rPr>
        <w:footnoteReference w:id="770"/>
      </w:r>
      <w:r w:rsidRPr="00D1590E">
        <w:t xml:space="preserve"> and Energex</w:t>
      </w:r>
      <w:r w:rsidRPr="00D1590E">
        <w:rPr>
          <w:rStyle w:val="FootnoteReference"/>
        </w:rPr>
        <w:footnoteReference w:id="771"/>
      </w:r>
      <w:r w:rsidRPr="00D1590E">
        <w:t xml:space="preserve"> reported five year inspection cycles and Endeavour Energy</w:t>
      </w:r>
      <w:r w:rsidRPr="00D1590E">
        <w:rPr>
          <w:rStyle w:val="FootnoteReference"/>
        </w:rPr>
        <w:footnoteReference w:id="772"/>
      </w:r>
      <w:r w:rsidRPr="00D1590E">
        <w:t xml:space="preserve"> reported four and a half year cycles. </w:t>
      </w:r>
    </w:p>
    <w:p w:rsidR="00D1590E" w:rsidRPr="00D1590E" w:rsidRDefault="00D1590E" w:rsidP="00D1590E">
      <w:r w:rsidRPr="00D1590E">
        <w:t xml:space="preserve">We do note that the Ergon Energy carries out more expensive crossarm inspections in high rainfall areas. However, Ergon Energy has provided no evidence to indicate that the benefit of these inspections outweighs the additional costs relative to the aerial inspections used by other service providers to inspect crossarm health. Further in the case of the NSW service providers, only Essential Energy has a small part of its network that is subject to average rainfalls in excess of 1500mm a year. See </w:t>
      </w:r>
      <w:r w:rsidRPr="00D1590E">
        <w:fldChar w:fldCharType="begin"/>
      </w:r>
      <w:r w:rsidRPr="00D1590E">
        <w:instrText xml:space="preserve"> REF _Ref417643882 \h </w:instrText>
      </w:r>
      <w:r w:rsidRPr="00D1590E">
        <w:fldChar w:fldCharType="separate"/>
      </w:r>
      <w:r w:rsidR="00C57342" w:rsidRPr="00D1590E">
        <w:t xml:space="preserve">Figure </w:t>
      </w:r>
      <w:r w:rsidR="00C57342">
        <w:rPr>
          <w:noProof/>
        </w:rPr>
        <w:t>A</w:t>
      </w:r>
      <w:r w:rsidR="00C57342" w:rsidRPr="00D1590E">
        <w:t>.</w:t>
      </w:r>
      <w:r w:rsidR="00C57342">
        <w:rPr>
          <w:noProof/>
        </w:rPr>
        <w:t>25</w:t>
      </w:r>
      <w:r w:rsidRPr="00D1590E">
        <w:fldChar w:fldCharType="end"/>
      </w:r>
      <w:r w:rsidRPr="00D1590E">
        <w:t xml:space="preserve"> below.</w:t>
      </w:r>
    </w:p>
    <w:p w:rsidR="00D1590E" w:rsidRPr="00D1590E" w:rsidRDefault="00D1590E" w:rsidP="00D1590E">
      <w:pPr>
        <w:pStyle w:val="Caption"/>
      </w:pPr>
      <w:bookmarkStart w:id="363" w:name="_Ref417643882"/>
      <w:r w:rsidRPr="00D1590E">
        <w:t xml:space="preserve">Figure </w:t>
      </w:r>
      <w:fldSimple w:instr=" STYLEREF 7 \s ">
        <w:r w:rsidR="00C57342">
          <w:rPr>
            <w:noProof/>
          </w:rPr>
          <w:t>A</w:t>
        </w:r>
      </w:fldSimple>
      <w:r w:rsidRPr="00D1590E">
        <w:t>.</w:t>
      </w:r>
      <w:fldSimple w:instr=" SEQ AFigure \* ARABIC \s 7 ">
        <w:r w:rsidR="00C57342">
          <w:rPr>
            <w:noProof/>
          </w:rPr>
          <w:t>25</w:t>
        </w:r>
      </w:fldSimple>
      <w:bookmarkEnd w:id="363"/>
      <w:r w:rsidRPr="00D1590E">
        <w:tab/>
        <w:t>Average Annual Rainfall in Australia 1961 to 1990</w:t>
      </w:r>
    </w:p>
    <w:p w:rsidR="00D1590E" w:rsidRPr="00D1590E" w:rsidRDefault="00D1590E" w:rsidP="00D1590E">
      <w:pPr>
        <w:pStyle w:val="Caption"/>
      </w:pPr>
      <w:r w:rsidRPr="00D1590E">
        <w:rPr>
          <w:noProof/>
          <w:lang w:eastAsia="en-AU"/>
        </w:rPr>
        <w:drawing>
          <wp:inline distT="0" distB="0" distL="0" distR="0" wp14:anchorId="09CB3235" wp14:editId="5351D1CD">
            <wp:extent cx="4908884" cy="3368524"/>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908884" cy="3368524"/>
                    </a:xfrm>
                    <a:prstGeom prst="rect">
                      <a:avLst/>
                    </a:prstGeom>
                  </pic:spPr>
                </pic:pic>
              </a:graphicData>
            </a:graphic>
          </wp:inline>
        </w:drawing>
      </w:r>
    </w:p>
    <w:p w:rsidR="00D1590E" w:rsidRPr="00D1590E" w:rsidRDefault="00D1590E" w:rsidP="00D1590E">
      <w:pPr>
        <w:pStyle w:val="Source"/>
      </w:pPr>
      <w:r w:rsidRPr="00D1590E">
        <w:t>Source: Bureau of meteorology</w:t>
      </w:r>
      <w:r w:rsidRPr="00D1590E">
        <w:rPr>
          <w:rStyle w:val="FootnoteReference"/>
        </w:rPr>
        <w:footnoteReference w:id="773"/>
      </w:r>
    </w:p>
    <w:p w:rsidR="00D1590E" w:rsidRPr="00D1590E" w:rsidRDefault="00D1590E" w:rsidP="00D1590E">
      <w:r w:rsidRPr="00D1590E">
        <w:lastRenderedPageBreak/>
        <w:t xml:space="preserve">We note that the increased rate of timber degradation in NSW and Queensland may manifest itself in higher replacement rates. Our repex model takes this into account by using observed replacement rates as the basis for forecast replacement quantities. </w:t>
      </w:r>
    </w:p>
    <w:p w:rsidR="00D1590E" w:rsidRPr="00D1590E" w:rsidRDefault="00D1590E" w:rsidP="00D1590E">
      <w:r w:rsidRPr="00D1590E">
        <w:t>On balance we are not satisfied that differences in rainfall and humidity are likely to lead to material increases in opex between the NSW service providers and the comparison firms. However we consider that the increased susceptibility of timber to fungal rot on the north and central coast of NSW may lead to a marginal increase in opex for the NSW service providers. It is also appropriate to provide an adjustment for humidity and rainfall as it would satisfy the exogeneity and duplication criteria. The weather and climate are beyond the control of service providers and there is no variable in Economic Insights' SFA model that accounts for differences in humidity between the NEM service providers. In accordance with our approach to immaterial OEFs, we therefore consider it appropriate to provide a positive 0.5 per cent adjustment for humidity and rainfall to the NSW service providers.</w:t>
      </w:r>
    </w:p>
    <w:p w:rsidR="00D1590E" w:rsidRPr="00D1590E" w:rsidRDefault="00D1590E" w:rsidP="00D1590E">
      <w:pPr>
        <w:pStyle w:val="HeadingBoldBlue"/>
        <w:numPr>
          <w:ilvl w:val="0"/>
          <w:numId w:val="24"/>
        </w:numPr>
      </w:pPr>
      <w:bookmarkStart w:id="364" w:name="_Toc417646322"/>
      <w:r w:rsidRPr="00D1590E">
        <w:t>Skills required by service providers</w:t>
      </w:r>
      <w:bookmarkEnd w:id="364"/>
    </w:p>
    <w:p w:rsidR="00D1590E" w:rsidRPr="00D1590E" w:rsidRDefault="00D1590E" w:rsidP="00D1590E">
      <w:r w:rsidRPr="00D1590E">
        <w:t>We are not satisfied that an OEF adjustment for differences in skills required by service providers would meet the materiality OEF adjustment criterion. Differences in the skills required by service providers are not likely to lead to material differences in costs. All service providers require broadly the same skills.</w:t>
      </w:r>
    </w:p>
    <w:p w:rsidR="00D1590E" w:rsidRPr="00D1590E" w:rsidRDefault="00D1590E" w:rsidP="00D1590E">
      <w:r w:rsidRPr="00D1590E">
        <w:t>As service providers operate in different environments, they may require different skills. For example, rural networks may hire pilots to carry out asset inspections and transport staff and equipment. However, overall, service providers require employees with similar qualifications and skills. We note that we are benchmarking the same core services provided by all networks.</w:t>
      </w:r>
    </w:p>
    <w:p w:rsidR="00D1590E" w:rsidRPr="00D1590E" w:rsidRDefault="00D1590E" w:rsidP="00D1590E">
      <w:r w:rsidRPr="00D1590E">
        <w:t>In our draft decision we did not provide an adjustment for these reasons. We received no new substantive submissions on this OEF in response to our draft decision.</w:t>
      </w:r>
    </w:p>
    <w:p w:rsidR="00D1590E" w:rsidRPr="00D1590E" w:rsidRDefault="00D1590E" w:rsidP="00D1590E">
      <w:r w:rsidRPr="00D1590E">
        <w:t>We have included this factor as part of the allowance for immaterial OEFs. This is because although differences in the skills required by service providers are unlikely to lead to material differences in opex, it is logical that there will be some differences. An adjustment for differences in skills required would satisfy the exogeneity OEF adjustment criterion. Different environmental conditions may require specialised expertise not required by other NEM service providers. Also differences in the skills required are not accounted for in Economic Insights' SFA model. As there is uncertainty as to which service providers will have cost advantages on this OEF we have provided a positive 0.5 per cent OEF for differences in skills required by service providers.</w:t>
      </w:r>
    </w:p>
    <w:p w:rsidR="00D1590E" w:rsidRPr="00D1590E" w:rsidRDefault="00D1590E" w:rsidP="00D1590E">
      <w:pPr>
        <w:pStyle w:val="HeadingBoldBlue"/>
      </w:pPr>
      <w:bookmarkStart w:id="365" w:name="_Toc417646323"/>
      <w:r w:rsidRPr="00D1590E">
        <w:t>Termites</w:t>
      </w:r>
      <w:bookmarkEnd w:id="365"/>
    </w:p>
    <w:p w:rsidR="00D1590E" w:rsidRPr="00D1590E" w:rsidRDefault="00D1590E" w:rsidP="00D1590E">
      <w:r w:rsidRPr="00D1590E">
        <w:t xml:space="preserve">We are satisfied that an OEF adjustment for differences in termite exposure between the NSW service providers and the comparison firms would satisfy all of our OEF adjustment criteria. The range of termites is beyond service providers' control. Termite </w:t>
      </w:r>
      <w:r w:rsidRPr="00D1590E">
        <w:lastRenderedPageBreak/>
        <w:t>management can be a material cost. There are no variables in Economic Insights' SFA model for difference in termite exposure.</w:t>
      </w:r>
    </w:p>
    <w:p w:rsidR="00D1590E" w:rsidRPr="00D1590E" w:rsidRDefault="00D1590E" w:rsidP="00D1590E">
      <w:r w:rsidRPr="00D1590E">
        <w:t>In response to our draft decision, the NSW service providers' consultant Huegin raised termites as an OEF that may lead to differences in opex between the NSW service providers and the comparison firms.</w:t>
      </w:r>
      <w:r w:rsidRPr="00D1590E">
        <w:rPr>
          <w:rStyle w:val="FootnoteReference"/>
        </w:rPr>
        <w:footnoteReference w:id="774"/>
      </w:r>
      <w:r w:rsidRPr="00D1590E">
        <w:t xml:space="preserve"> Ergon Energy also raised this point in its regulatory proposal.</w:t>
      </w:r>
      <w:r w:rsidRPr="00D1590E">
        <w:rPr>
          <w:rStyle w:val="FootnoteReference"/>
        </w:rPr>
        <w:footnoteReference w:id="775"/>
      </w:r>
      <w:r w:rsidRPr="00D1590E">
        <w:t xml:space="preserve"> Both Huegin and Ergon Energy submitted different maps to substantiate their claims. Both broadly show that Southern and Eastern Victoria are low risk, North Western Victoria and NSW are moderate risk, and coastal Queensland is high risk. It is not clear what the source of the data behind these maps are.</w:t>
      </w:r>
    </w:p>
    <w:p w:rsidR="00D1590E" w:rsidRPr="00D1590E" w:rsidRDefault="00D1590E" w:rsidP="00D1590E">
      <w:r w:rsidRPr="00D1590E">
        <w:t>The CSIRO has published a similar map,</w:t>
      </w:r>
      <w:r w:rsidRPr="00D1590E">
        <w:rPr>
          <w:rStyle w:val="FootnoteReference"/>
        </w:rPr>
        <w:footnoteReference w:id="776"/>
      </w:r>
      <w:r w:rsidRPr="00D1590E">
        <w:t xml:space="preserve"> based on surveys of the incidence of termites and termite infestations of dwellings across Australia. It is shown below in </w:t>
      </w:r>
      <w:r w:rsidRPr="00D1590E">
        <w:fldChar w:fldCharType="begin"/>
      </w:r>
      <w:r w:rsidRPr="00D1590E">
        <w:instrText xml:space="preserve"> REF _Ref417643899 \h </w:instrText>
      </w:r>
      <w:r w:rsidRPr="00D1590E">
        <w:fldChar w:fldCharType="separate"/>
      </w:r>
      <w:r w:rsidR="00C57342" w:rsidRPr="00D1590E">
        <w:t xml:space="preserve">Figure </w:t>
      </w:r>
      <w:r w:rsidR="00C57342">
        <w:rPr>
          <w:noProof/>
        </w:rPr>
        <w:t>A</w:t>
      </w:r>
      <w:r w:rsidR="00C57342" w:rsidRPr="00D1590E">
        <w:t>.</w:t>
      </w:r>
      <w:r w:rsidR="00C57342">
        <w:rPr>
          <w:noProof/>
        </w:rPr>
        <w:t>26</w:t>
      </w:r>
      <w:r w:rsidRPr="00D1590E">
        <w:fldChar w:fldCharType="end"/>
      </w:r>
      <w:r w:rsidRPr="00D1590E">
        <w:t>.</w:t>
      </w:r>
    </w:p>
    <w:p w:rsidR="00D1590E" w:rsidRPr="00D1590E" w:rsidRDefault="00D1590E" w:rsidP="00D1590E">
      <w:pPr>
        <w:pStyle w:val="Caption"/>
      </w:pPr>
      <w:bookmarkStart w:id="366" w:name="_Ref417643899"/>
      <w:r w:rsidRPr="00D1590E">
        <w:t xml:space="preserve">Figure </w:t>
      </w:r>
      <w:fldSimple w:instr=" STYLEREF 7 \s ">
        <w:r w:rsidR="00C57342">
          <w:rPr>
            <w:noProof/>
          </w:rPr>
          <w:t>A</w:t>
        </w:r>
      </w:fldSimple>
      <w:r w:rsidRPr="00D1590E">
        <w:t>.</w:t>
      </w:r>
      <w:fldSimple w:instr=" SEQ AFigure \* ARABIC \s 7 ">
        <w:r w:rsidR="00C57342">
          <w:rPr>
            <w:noProof/>
          </w:rPr>
          <w:t>26</w:t>
        </w:r>
      </w:fldSimple>
      <w:bookmarkEnd w:id="366"/>
      <w:r w:rsidRPr="00D1590E">
        <w:tab/>
        <w:t>CSIRO Termite Hazard Map of Australia</w:t>
      </w:r>
      <w:r w:rsidRPr="00D1590E">
        <w:rPr>
          <w:noProof/>
          <w:lang w:eastAsia="en-AU"/>
        </w:rPr>
        <w:drawing>
          <wp:inline distT="0" distB="0" distL="0" distR="0" wp14:anchorId="04EA884F" wp14:editId="347BE237">
            <wp:extent cx="5130216" cy="42110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23313" cy="4205387"/>
                    </a:xfrm>
                    <a:prstGeom prst="rect">
                      <a:avLst/>
                    </a:prstGeom>
                  </pic:spPr>
                </pic:pic>
              </a:graphicData>
            </a:graphic>
          </wp:inline>
        </w:drawing>
      </w:r>
    </w:p>
    <w:p w:rsidR="00D1590E" w:rsidRPr="00D1590E" w:rsidRDefault="00D1590E" w:rsidP="00D1590E">
      <w:r w:rsidRPr="00D1590E">
        <w:t xml:space="preserve">In its 2011 regulatory proposal, Powercor requested a step change for increased expenditure on treating termite infested poles. Powercor forecast that over the 2011 to </w:t>
      </w:r>
      <w:r w:rsidRPr="00D1590E">
        <w:lastRenderedPageBreak/>
        <w:t>2015 period its average annual expenditure on termite management would be $0.3 million ($2010) per year.</w:t>
      </w:r>
      <w:r w:rsidRPr="00D1590E">
        <w:rPr>
          <w:rStyle w:val="FootnoteReference"/>
        </w:rPr>
        <w:footnoteReference w:id="777"/>
      </w:r>
      <w:r w:rsidRPr="00D1590E">
        <w:t xml:space="preserve"> Using this figure in conjunction with data from Powercor's response to the Category Analysis RIN, this indicates that the average cost of termite treatment per wooden pole for Powercor is around 96 cents per annum ($2013/14). Ergon Energy, also provided some information that showed the average opex for responding to asset failures caused by termites was 22.7 per cent of the cost of treating infested poles for the 2011/12 to 2013/14 period.</w:t>
      </w:r>
      <w:r w:rsidRPr="00D1590E">
        <w:rPr>
          <w:rStyle w:val="FootnoteReference"/>
        </w:rPr>
        <w:footnoteReference w:id="778"/>
      </w:r>
      <w:r w:rsidRPr="00D1590E">
        <w:t xml:space="preserve"> Therefore we estimate that the average total cost of treating infested poles and responding to termite induced asset failures is $1.18 per wooden pole for Powercor.</w:t>
      </w:r>
      <w:r w:rsidRPr="00D1590E">
        <w:rPr>
          <w:rStyle w:val="FootnoteReference"/>
        </w:rPr>
        <w:footnoteReference w:id="779"/>
      </w:r>
    </w:p>
    <w:p w:rsidR="00D1590E" w:rsidRPr="00D1590E" w:rsidRDefault="00D1590E" w:rsidP="00D1590E">
      <w:pPr>
        <w:pStyle w:val="ListParagraph"/>
        <w:numPr>
          <w:ilvl w:val="0"/>
          <w:numId w:val="24"/>
        </w:numPr>
      </w:pPr>
      <w:r w:rsidRPr="00D1590E">
        <w:t>We estimated termite management costs per pole for the NSW service providers and the comparison firms. We multiplied the cost per pole for Powercor by different rates, depending on the location of the relevant firm and infestation rates from the CSIRO.</w:t>
      </w:r>
      <w:r w:rsidRPr="00D1590E">
        <w:rPr>
          <w:rStyle w:val="FootnoteReference"/>
        </w:rPr>
        <w:footnoteReference w:id="780"/>
      </w:r>
      <w:r w:rsidRPr="00D1590E">
        <w:t xml:space="preserve"> </w:t>
      </w:r>
      <w:r w:rsidRPr="00D1590E">
        <w:rPr>
          <w:rStyle w:val="FootnoteReference"/>
        </w:rPr>
        <w:footnoteReference w:id="781"/>
      </w:r>
      <w:r w:rsidRPr="00D1590E">
        <w:t xml:space="preserve"> This was to account for differences in infestation rates across service areas.</w:t>
      </w:r>
    </w:p>
    <w:p w:rsidR="00D1590E" w:rsidRPr="00D1590E" w:rsidRDefault="00D1590E" w:rsidP="00D1590E">
      <w:pPr>
        <w:pStyle w:val="ListParagraph"/>
        <w:numPr>
          <w:ilvl w:val="0"/>
          <w:numId w:val="24"/>
        </w:numPr>
      </w:pPr>
      <w:r w:rsidRPr="00D1590E">
        <w:t>We estimate that the NSW service providers would spend $1.2 ($2013/14) more per pole than the customer weighted average of the comparison firms for termite management. Multiplying the marginal termite management cost per wooden pole by the number of wooden poles for each service provider,</w:t>
      </w:r>
      <w:r w:rsidRPr="00D1590E">
        <w:rPr>
          <w:rStyle w:val="FootnoteReference"/>
        </w:rPr>
        <w:footnoteReference w:id="782"/>
      </w:r>
      <w:r w:rsidRPr="00D1590E">
        <w:t xml:space="preserve"> provides an estimate of the value of the cost disadvantage. The disadvantage is $0.09 million, $0.3 million, and $1.4 million (2013/14) for Ausgrid, Endeavour, and Essential respectively annually. Adding these estimates to the efficient opex, determined by the SFA model, suggests a 0 per cent, 0.2 per cent, and 0.6 per cent cost disadvantage for Ausgrid, Endeavour, and Essential.</w:t>
      </w:r>
    </w:p>
    <w:p w:rsidR="00D1590E" w:rsidRPr="00D1590E" w:rsidRDefault="00D1590E" w:rsidP="00D1590E">
      <w:pPr>
        <w:pStyle w:val="ListParagraph"/>
        <w:numPr>
          <w:ilvl w:val="0"/>
          <w:numId w:val="24"/>
        </w:numPr>
      </w:pPr>
      <w:r w:rsidRPr="00D1590E">
        <w:t>Although the effect of termites on Ausgrid and Endeavour's opex is immaterial, in accordance with our approach to quantifying immaterial OEFs, we will provide an OEF adjustment that reflects the quantified impact.</w:t>
      </w:r>
    </w:p>
    <w:p w:rsidR="00D1590E" w:rsidRPr="00D1590E" w:rsidRDefault="00D1590E" w:rsidP="00D1590E">
      <w:pPr>
        <w:pStyle w:val="ListParagraph"/>
        <w:numPr>
          <w:ilvl w:val="0"/>
          <w:numId w:val="24"/>
        </w:numPr>
      </w:pPr>
      <w:r w:rsidRPr="00D1590E">
        <w:t>As a result we consider that OEF adjustments of 0 per cent, 0.2 per cent, and 0.6 per cent for Ausgrid, Endeavour, and Essential are appropriate.</w:t>
      </w:r>
    </w:p>
    <w:p w:rsidR="00D1590E" w:rsidRPr="00D1590E" w:rsidRDefault="00D1590E" w:rsidP="00D1590E">
      <w:pPr>
        <w:pStyle w:val="HeadingBoldBlue"/>
        <w:numPr>
          <w:ilvl w:val="0"/>
          <w:numId w:val="24"/>
        </w:numPr>
      </w:pPr>
      <w:bookmarkStart w:id="367" w:name="_Toc417646324"/>
      <w:r w:rsidRPr="00D1590E">
        <w:t>Topography</w:t>
      </w:r>
      <w:bookmarkEnd w:id="367"/>
    </w:p>
    <w:p w:rsidR="00D1590E" w:rsidRPr="00D1590E" w:rsidRDefault="00D1590E" w:rsidP="00D1590E">
      <w:r w:rsidRPr="00D1590E">
        <w:t xml:space="preserve">We are not satisfied that an OEF adjustment for topography would meet the materiality OEF adjustment criterion. Differences in topography between the service providers are not likely to lead to material differences in opex. </w:t>
      </w:r>
    </w:p>
    <w:p w:rsidR="00D1590E" w:rsidRPr="00D1590E" w:rsidRDefault="00D1590E" w:rsidP="00D1590E">
      <w:pPr>
        <w:numPr>
          <w:ilvl w:val="0"/>
          <w:numId w:val="24"/>
        </w:numPr>
      </w:pPr>
      <w:r w:rsidRPr="00D1590E">
        <w:lastRenderedPageBreak/>
        <w:t>Our draft decision did not make any adjustment for topography. In response to our draft decision, we received no evidence that the NSW service providers incur greater opex than the comparison firms due to differences in topography.</w:t>
      </w:r>
    </w:p>
    <w:p w:rsidR="00D1590E" w:rsidRPr="00D1590E" w:rsidRDefault="00D1590E" w:rsidP="00D1590E">
      <w:r w:rsidRPr="00D1590E">
        <w:t xml:space="preserve">Adverse topographical conditions affect many NEM service providers. For example, the Great Dividing Range runs through some distribution network areas. Operating in mountainous regions may lead to higher costs in some operating areas such as maintenance, emergency response, and vegetation management due to access issues, even if this is not likely to be a material cost. We note that AusNet Services, the comparison service provider at the benchmark comparison point, has a similarly mountainous operating environment to Ausgrid and Endeavour, but a more mountainous operating area than Essential. However, most of the comparison service providers operate in a relatively flat area compared to NSW service prvoiders. Therefore, the NSW service providers may have a cost disadvantage relative to the comparison service providers due to topography.   </w:t>
      </w:r>
    </w:p>
    <w:p w:rsidR="00D1590E" w:rsidRPr="00D1590E" w:rsidRDefault="00D1590E" w:rsidP="00D1590E">
      <w:r w:rsidRPr="00D1590E">
        <w:t>However, in accordance with our treatment of immaterial OEFs we have provided a positive 0.5 per cent adjustment for differences in topography. An adjustment for topography would satisfy the exogeneity and duplication OEF criteria. The landforms in service providers' network areas are beyond their control and there is no variable in Economic Insights' SFA model to account for differences topography. We have provided a positive 0.5 per cent adjustment because it is unclear if differences in topography will lead to a cost disadvantage for the NSW service providers relative to the comparison firms.</w:t>
      </w:r>
    </w:p>
    <w:p w:rsidR="00D1590E" w:rsidRPr="00D1590E" w:rsidRDefault="00D1590E" w:rsidP="00D1590E">
      <w:pPr>
        <w:pStyle w:val="Heading9"/>
      </w:pPr>
      <w:bookmarkStart w:id="368" w:name="_Toc417646325"/>
      <w:bookmarkStart w:id="369" w:name="_Toc417649242"/>
      <w:bookmarkStart w:id="370" w:name="_Toc417659874"/>
      <w:r w:rsidRPr="00D1590E">
        <w:t>Jurisdictional factors</w:t>
      </w:r>
      <w:bookmarkEnd w:id="368"/>
      <w:bookmarkEnd w:id="369"/>
      <w:bookmarkEnd w:id="370"/>
    </w:p>
    <w:p w:rsidR="00D1590E" w:rsidRPr="00D1590E" w:rsidRDefault="00D1590E" w:rsidP="00D1590E">
      <w:pPr>
        <w:pStyle w:val="HeadingBoldBlue"/>
        <w:numPr>
          <w:ilvl w:val="0"/>
          <w:numId w:val="24"/>
        </w:numPr>
      </w:pPr>
      <w:bookmarkStart w:id="371" w:name="_Toc417646326"/>
      <w:r w:rsidRPr="00D1590E">
        <w:t>Building regulations</w:t>
      </w:r>
      <w:bookmarkEnd w:id="371"/>
    </w:p>
    <w:p w:rsidR="00D1590E" w:rsidRPr="00D1590E" w:rsidRDefault="00D1590E" w:rsidP="00D1590E">
      <w:pPr>
        <w:numPr>
          <w:ilvl w:val="0"/>
          <w:numId w:val="24"/>
        </w:numPr>
      </w:pPr>
      <w:r w:rsidRPr="00D1590E">
        <w:t>We are not satisfied that an OEF adjustment for differences in building regulations across jurisdictions would meet the materiality OEF criterion. The Building Code of Australia (BCA) provides a set of nationally consistent, minimum necessary standards of relevant safety (including structural safety and safety from fire), health, amenity and sustainability objectives for buildings and construction.</w:t>
      </w:r>
      <w:r w:rsidRPr="00D1590E">
        <w:rPr>
          <w:rStyle w:val="FootnoteReference"/>
        </w:rPr>
        <w:footnoteReference w:id="783"/>
      </w:r>
    </w:p>
    <w:p w:rsidR="00D1590E" w:rsidRPr="00D1590E" w:rsidRDefault="00D1590E" w:rsidP="00D1590E">
      <w:pPr>
        <w:numPr>
          <w:ilvl w:val="0"/>
          <w:numId w:val="24"/>
        </w:numPr>
      </w:pPr>
      <w:r w:rsidRPr="00D1590E">
        <w:t>The Australian Building Codes Board (ABCB) is a Council of Australian Government standards writing body that is responsible for the National Construction Code (NCC) that comprises the BCA and the Plumbing Code of Australia (PCA). It is a joint initiative of all three levels of government in Australia and was established by an intergovernment agreement (IGA) signed by the Commonwealth, States and Territories on 1 March 1994. Ministers signed a new IGA, with effect from 30 April 2012.</w:t>
      </w:r>
      <w:r w:rsidRPr="00D1590E">
        <w:rPr>
          <w:rStyle w:val="FootnoteReference"/>
        </w:rPr>
        <w:footnoteReference w:id="784"/>
      </w:r>
      <w:r w:rsidRPr="00D1590E">
        <w:t xml:space="preserve"> The BCA contains technical provisions for the design and construction of buildings and </w:t>
      </w:r>
      <w:r w:rsidRPr="00D1590E">
        <w:lastRenderedPageBreak/>
        <w:t>other structures, covering such matters as structure, fire resistance, access and egress, services and equipment, and energy efficiency as well as certain aspects of health and amenity.</w:t>
      </w:r>
      <w:r w:rsidRPr="00D1590E">
        <w:rPr>
          <w:rStyle w:val="FootnoteReference"/>
        </w:rPr>
        <w:footnoteReference w:id="785"/>
      </w:r>
    </w:p>
    <w:p w:rsidR="00D1590E" w:rsidRPr="00D1590E" w:rsidRDefault="00D1590E" w:rsidP="00D1590E">
      <w:pPr>
        <w:numPr>
          <w:ilvl w:val="0"/>
          <w:numId w:val="24"/>
        </w:numPr>
      </w:pPr>
      <w:r w:rsidRPr="00D1590E">
        <w:t>Therefore we did not provide an OEF adjustment for Building regulations in our draft decision.</w:t>
      </w:r>
    </w:p>
    <w:p w:rsidR="00D1590E" w:rsidRPr="00D1590E" w:rsidRDefault="00D1590E" w:rsidP="00D1590E">
      <w:pPr>
        <w:numPr>
          <w:ilvl w:val="0"/>
          <w:numId w:val="24"/>
        </w:numPr>
      </w:pPr>
      <w:r w:rsidRPr="00D1590E">
        <w:rPr>
          <w:rStyle w:val="AERbody"/>
        </w:rPr>
        <w:t xml:space="preserve">We are still satisfied that an OEF adjustment for differences in building regulations between the NSW service providers and the comparison firms does not satisfy the materiality OEF adjustment criterion. We were unable to identify any building regulations that would lead to material differences in opex. The NSW service providers also did not submit evidence that demonstrated that there were material differences. </w:t>
      </w:r>
      <w:r w:rsidRPr="00D1590E">
        <w:t>However, in accordance with our treatment of immaterial OEFs we have provided a positive 0.5 per cent adjustment for differences in building regulations. An adjustment for differences in building regulations would satisfy the exogeneity and duplication OEF adjustment criteria. Building regulations are not determined by service providers and there are no variables in Economic Insights' SFA model that account for differences in them. We have provided a positive 0.5 per cent adjustment in our collective adjustment for immaterial OEFs because it is unclear if building regulations will lead to a cost advantage or disadvantage for the NSW service providers relative to the comparison firms.</w:t>
      </w:r>
    </w:p>
    <w:p w:rsidR="00D1590E" w:rsidRPr="00D1590E" w:rsidRDefault="00D1590E" w:rsidP="00D1590E">
      <w:pPr>
        <w:pStyle w:val="HeadingBoldBlue"/>
        <w:numPr>
          <w:ilvl w:val="0"/>
          <w:numId w:val="24"/>
        </w:numPr>
      </w:pPr>
      <w:bookmarkStart w:id="372" w:name="_Toc417646327"/>
      <w:r w:rsidRPr="00D1590E">
        <w:t>Cultural heritage</w:t>
      </w:r>
      <w:bookmarkEnd w:id="372"/>
    </w:p>
    <w:p w:rsidR="00D1590E" w:rsidRPr="00D1590E" w:rsidRDefault="00D1590E" w:rsidP="00D1590E">
      <w:pPr>
        <w:numPr>
          <w:ilvl w:val="0"/>
          <w:numId w:val="24"/>
        </w:numPr>
      </w:pPr>
      <w:r w:rsidRPr="00D1590E">
        <w:t>We are not satisfied that an OEF adjustment for differences in cultural heritage management across jurisdictions would meet the materiality OEF adjustment criterion. We do not see evidence to suggest that differences in cultural heritage management requirements would lead to material differences in opex.</w:t>
      </w:r>
    </w:p>
    <w:p w:rsidR="00D1590E" w:rsidRPr="00D1590E" w:rsidRDefault="00D1590E" w:rsidP="00D1590E">
      <w:r w:rsidRPr="00D1590E">
        <w:t>In response to questions from the AER on the OEFs that materially affect its costs, Ergon Energy submitted that cultural heritage obligations impose additional management and operational costs on it.</w:t>
      </w:r>
      <w:r w:rsidRPr="00D1590E">
        <w:rPr>
          <w:rStyle w:val="FootnoteReference"/>
        </w:rPr>
        <w:footnoteReference w:id="786"/>
      </w:r>
      <w:r w:rsidRPr="00D1590E">
        <w:t xml:space="preserve"> Specifically Ergon Energy identified staff training and awareness, special alert and management processes and additional operational precautions for native title cultural heritage. Ergon Energy provided a map showing areas where native title has been found to exist and where claims have been made. Ergon Energy did not quantify the costs it incurs for its native title or other cultural heritage programs.</w:t>
      </w:r>
    </w:p>
    <w:p w:rsidR="00D1590E" w:rsidRPr="00D1590E" w:rsidRDefault="00D1590E" w:rsidP="00D1590E">
      <w:pPr>
        <w:numPr>
          <w:ilvl w:val="0"/>
          <w:numId w:val="24"/>
        </w:numPr>
      </w:pPr>
      <w:r w:rsidRPr="00D1590E">
        <w:t xml:space="preserve">Many service providers have cultural heritage obligations. For example, the Victorian service providers most comply with the </w:t>
      </w:r>
      <w:r w:rsidRPr="00D1590E">
        <w:rPr>
          <w:rStyle w:val="AERtextitalic"/>
        </w:rPr>
        <w:t>Planning and Environment Act 1987</w:t>
      </w:r>
      <w:r w:rsidRPr="00D1590E">
        <w:t xml:space="preserve">, the </w:t>
      </w:r>
      <w:r w:rsidRPr="00D1590E">
        <w:rPr>
          <w:rStyle w:val="AERtextitalic"/>
        </w:rPr>
        <w:t>Heritage Act 1995</w:t>
      </w:r>
      <w:r w:rsidRPr="00D1590E">
        <w:t xml:space="preserve">, and the </w:t>
      </w:r>
      <w:r w:rsidRPr="00D1590E">
        <w:rPr>
          <w:rStyle w:val="AERtextitalic"/>
        </w:rPr>
        <w:t>Aboriginal Heritage Act 2006</w:t>
      </w:r>
      <w:r w:rsidRPr="00D1590E">
        <w:t xml:space="preserve"> in providing services. The NSW service providers have not provided evidence to suggest the costs they incur to meet their obligations will be materially different to comparison firms.</w:t>
      </w:r>
    </w:p>
    <w:p w:rsidR="00D1590E" w:rsidRPr="00D1590E" w:rsidRDefault="00D1590E" w:rsidP="00D1590E">
      <w:pPr>
        <w:numPr>
          <w:ilvl w:val="0"/>
          <w:numId w:val="24"/>
        </w:numPr>
      </w:pPr>
      <w:r w:rsidRPr="00D1590E">
        <w:lastRenderedPageBreak/>
        <w:t>Therefore we are not satisfied that differences in cultural heritage obligations will lead to material differences in opex between the NSW service providers and the comparison firms. However, there is likely to be some differences in obligations that will lead to immaterial differences in opex. An adjustment for differences in cultural heritage obligations would also satisfy the exogeneity and duplication OEF adjustment criteria. Cultural heritage obligations are not determined by service providers and there are no variables in Economic Insights' SFA model that account for differences in them. As the direction of cost advantage is unclear, we have included an adjustment of positive 0.5 per cent for differences in cultural heritage obligations in our adjustment for immaterial factors.</w:t>
      </w:r>
    </w:p>
    <w:p w:rsidR="00D1590E" w:rsidRPr="00D1590E" w:rsidRDefault="00D1590E" w:rsidP="00D1590E">
      <w:pPr>
        <w:pStyle w:val="HeadingBoldBlue"/>
        <w:numPr>
          <w:ilvl w:val="0"/>
          <w:numId w:val="24"/>
        </w:numPr>
      </w:pPr>
      <w:bookmarkStart w:id="373" w:name="_Toc417646328"/>
      <w:r w:rsidRPr="00D1590E">
        <w:t>Environmental regulations</w:t>
      </w:r>
      <w:bookmarkEnd w:id="373"/>
    </w:p>
    <w:p w:rsidR="00D1590E" w:rsidRPr="00D1590E" w:rsidRDefault="00D1590E" w:rsidP="00D1590E">
      <w:pPr>
        <w:numPr>
          <w:ilvl w:val="0"/>
          <w:numId w:val="24"/>
        </w:numPr>
      </w:pPr>
      <w:r w:rsidRPr="00D1590E">
        <w:t xml:space="preserve">We are not satisfied that an OEF adjustment for differences in environmental regulations across jurisdictions would meet the materiality OEF adjustment criterion. Environmental regulations are not likely to create material differences in costs between the NSW service providers and the comparison firms. </w:t>
      </w:r>
    </w:p>
    <w:p w:rsidR="00D1590E" w:rsidRPr="00D1590E" w:rsidRDefault="00D1590E" w:rsidP="00D1590E">
      <w:pPr>
        <w:numPr>
          <w:ilvl w:val="0"/>
          <w:numId w:val="24"/>
        </w:numPr>
      </w:pPr>
      <w:r w:rsidRPr="00D1590E">
        <w:t>In our draft decision, we investigated how environmental regulations may lead to material differences for the opex that service providers require, but were unable to find any reliable evidence that such differences exist. The way various jurisdictions administer environmental regulation varies considerably.</w:t>
      </w:r>
      <w:r w:rsidRPr="00D1590E">
        <w:rPr>
          <w:rStyle w:val="FootnoteReference"/>
        </w:rPr>
        <w:footnoteReference w:id="787"/>
      </w:r>
      <w:r w:rsidRPr="00D1590E">
        <w:t xml:space="preserve"> While the Commonwealth has some involvement, most environmental planning functions are carried out by state or local governments. We consider it is likely that differences in environmental regulations faced by service providers will lead to differences in costs, but we do not have any evidence to suggest that these differences will lead to material differences in opex.</w:t>
      </w:r>
    </w:p>
    <w:p w:rsidR="00D1590E" w:rsidRPr="00D1590E" w:rsidRDefault="00D1590E" w:rsidP="00D1590E">
      <w:r w:rsidRPr="00D1590E">
        <w:t xml:space="preserve">In response to our draft decision, Ausgrid stated that our opex forecast would not provide it with sufficient opex to manage its environmental programs. Programs it stated would be affected include: </w:t>
      </w:r>
    </w:p>
    <w:p w:rsidR="00D1590E" w:rsidRPr="00D1590E" w:rsidRDefault="00D1590E" w:rsidP="00D1590E">
      <w:pPr>
        <w:pStyle w:val="AERbulletlistfirststyle"/>
      </w:pPr>
      <w:r w:rsidRPr="00D1590E">
        <w:t>contaminated site assessment</w:t>
      </w:r>
    </w:p>
    <w:p w:rsidR="00D1590E" w:rsidRPr="00D1590E" w:rsidRDefault="00D1590E" w:rsidP="00D1590E">
      <w:pPr>
        <w:pStyle w:val="AERbulletlistfirststyle"/>
      </w:pPr>
      <w:r w:rsidRPr="00D1590E">
        <w:t>oil containment installation and maintenance</w:t>
      </w:r>
    </w:p>
    <w:p w:rsidR="00D1590E" w:rsidRPr="00D1590E" w:rsidRDefault="00D1590E" w:rsidP="00D1590E">
      <w:pPr>
        <w:pStyle w:val="AERbulletlistfirststyle"/>
      </w:pPr>
      <w:r w:rsidRPr="00D1590E">
        <w:t>environmental civil works</w:t>
      </w:r>
    </w:p>
    <w:p w:rsidR="00D1590E" w:rsidRPr="00D1590E" w:rsidRDefault="00D1590E" w:rsidP="00D1590E">
      <w:pPr>
        <w:pStyle w:val="AERbulletlistfirststyle"/>
      </w:pPr>
      <w:r w:rsidRPr="00D1590E">
        <w:t>fluid filled cable maintenance and replacement</w:t>
      </w:r>
    </w:p>
    <w:p w:rsidR="00D1590E" w:rsidRPr="00D1590E" w:rsidRDefault="00D1590E" w:rsidP="00D1590E">
      <w:pPr>
        <w:pStyle w:val="AERbulletlistfirststyle"/>
      </w:pPr>
      <w:r w:rsidRPr="00D1590E">
        <w:t>washbay monitoring and maintenance</w:t>
      </w:r>
    </w:p>
    <w:p w:rsidR="00D1590E" w:rsidRPr="00D1590E" w:rsidRDefault="00D1590E" w:rsidP="00D1590E">
      <w:pPr>
        <w:pStyle w:val="AERbulletlistfirststyle"/>
      </w:pPr>
      <w:r w:rsidRPr="00D1590E">
        <w:t>water treatment plant monitoring and maintenance</w:t>
      </w:r>
    </w:p>
    <w:p w:rsidR="00D1590E" w:rsidRPr="00D1590E" w:rsidRDefault="00D1590E" w:rsidP="00D1590E">
      <w:pPr>
        <w:pStyle w:val="AERbulletlistfirststyle"/>
      </w:pPr>
      <w:r w:rsidRPr="00D1590E">
        <w:t>Polychlorinated biphenyl removal programs.</w:t>
      </w:r>
      <w:r w:rsidRPr="00D1590E">
        <w:rPr>
          <w:rStyle w:val="FootnoteReference"/>
        </w:rPr>
        <w:footnoteReference w:id="788"/>
      </w:r>
    </w:p>
    <w:p w:rsidR="00D1590E" w:rsidRPr="00D1590E" w:rsidRDefault="00D1590E" w:rsidP="00D1590E">
      <w:r w:rsidRPr="00D1590E">
        <w:lastRenderedPageBreak/>
        <w:t>Essential Energy raised the same issues.</w:t>
      </w:r>
      <w:r w:rsidRPr="00D1590E">
        <w:rPr>
          <w:rStyle w:val="FootnoteReference"/>
        </w:rPr>
        <w:footnoteReference w:id="789"/>
      </w:r>
      <w:r w:rsidRPr="00D1590E">
        <w:t xml:space="preserve"> Endeavour Energy did not raise all of the issues raised by Ausgrid and Essential Energy, but it did raise contaminated site assessment and oil containment, installation and maintenance.</w:t>
      </w:r>
      <w:r w:rsidRPr="00D1590E">
        <w:rPr>
          <w:rStyle w:val="FootnoteReference"/>
        </w:rPr>
        <w:footnoteReference w:id="790"/>
      </w:r>
      <w:r w:rsidRPr="00D1590E">
        <w:t xml:space="preserve"> Neither Ausgrid, Endeavour, or Essential quantified the opex associated with these programs. </w:t>
      </w:r>
    </w:p>
    <w:p w:rsidR="00D1590E" w:rsidRPr="00D1590E" w:rsidRDefault="00D1590E" w:rsidP="00D1590E">
      <w:pPr>
        <w:numPr>
          <w:ilvl w:val="0"/>
          <w:numId w:val="24"/>
        </w:numPr>
      </w:pPr>
      <w:r w:rsidRPr="00D1590E">
        <w:rPr>
          <w:rStyle w:val="AERbody"/>
        </w:rPr>
        <w:t>ActewAGL also submitted that environmental obligations in the ACT differ.</w:t>
      </w:r>
      <w:r w:rsidRPr="00D1590E">
        <w:rPr>
          <w:rStyle w:val="FootnoteReference"/>
        </w:rPr>
        <w:footnoteReference w:id="791"/>
      </w:r>
      <w:r w:rsidRPr="00D1590E">
        <w:rPr>
          <w:rStyle w:val="AERbody"/>
        </w:rPr>
        <w:t xml:space="preserve"> However, ActewAGL did not explain how its obligations differ or provide any evidence that any differences, to the extent that they exist, will lead to material differences in opex.</w:t>
      </w:r>
    </w:p>
    <w:p w:rsidR="00D1590E" w:rsidRPr="00D1590E" w:rsidRDefault="00D1590E" w:rsidP="00D1590E">
      <w:r w:rsidRPr="00D1590E">
        <w:t>While Ausgrid has provided an explanation of the works it must undertake, it did not provide evidence that there are any differences in the scope of those works relative to the Victorian service providers. Additionally it did not provide evidence that any difference in the scope of environmental impact mitigation works, to the extent that it exists, would lead to material differences in opex.</w:t>
      </w:r>
    </w:p>
    <w:p w:rsidR="00D1590E" w:rsidRPr="00D1590E" w:rsidRDefault="00D1590E" w:rsidP="00D1590E">
      <w:r w:rsidRPr="00D1590E">
        <w:t>All of the NEM service providers undertake similar environmental impact mitigation activities to those identified by Ausgrid. While the relative expenditure of these activities may vary across service providers, they are practices that are common industry wide. This in, conjunction with our benchmarking results, suggests that the comparison firms undertake similar activities at lower cost. We do note that some service providers may have already finished their PCB removal programs. Additionally, although small area treatment as it relates to substations is common, large scale water treatment is not a common practice. Ausgrid did not provide any evidence that its water treatment plant monitoring and maintenance program related to large scale water treatment.</w:t>
      </w:r>
    </w:p>
    <w:p w:rsidR="00D1590E" w:rsidRPr="00D1590E" w:rsidRDefault="00D1590E" w:rsidP="00D1590E">
      <w:pPr>
        <w:numPr>
          <w:ilvl w:val="0"/>
          <w:numId w:val="24"/>
        </w:numPr>
        <w:rPr>
          <w:rStyle w:val="AERbody"/>
        </w:rPr>
      </w:pPr>
      <w:r w:rsidRPr="00D1590E">
        <w:rPr>
          <w:rStyle w:val="AERbody"/>
        </w:rPr>
        <w:t xml:space="preserve">We are not satisfied that an OEF adjustment for differences in environmental regulations between the NSW service providers and the comparison firms would meet the materiality OEF adjustment criterion. We were unable to identify any environmental regulations that would lead to material differences in opex. The NSW service providers also did not submit evidence that demonstrated that there were material differences. </w:t>
      </w:r>
    </w:p>
    <w:p w:rsidR="00D1590E" w:rsidRPr="00D1590E" w:rsidRDefault="00D1590E" w:rsidP="00D1590E">
      <w:pPr>
        <w:numPr>
          <w:ilvl w:val="0"/>
          <w:numId w:val="24"/>
        </w:numPr>
      </w:pPr>
      <w:r w:rsidRPr="00D1590E">
        <w:t>However, in accordance with our treatment of immaterial OEFs we have provided a positive 0.5 per cent adjustment for differences in environmental obligations. An OEF adjustment for environmental obligations would also satisfy the exogeneity and duplication OEF criteria. Environmental obligations are not determined by service providers and Economic Insights' SFA model does not include any variables that account for differences in them. We have provided a positive 0.5 per cent OEF in our collective adjustment for immaterial OEFs because it is unclear if environmental obligations will lead to a cost advantage or disadvantage for the NSW service providers relative to the comparison firms.</w:t>
      </w:r>
    </w:p>
    <w:p w:rsidR="00D1590E" w:rsidRPr="00D1590E" w:rsidRDefault="00D1590E" w:rsidP="00D1590E">
      <w:pPr>
        <w:pStyle w:val="HeadingBoldBlue"/>
        <w:numPr>
          <w:ilvl w:val="0"/>
          <w:numId w:val="24"/>
        </w:numPr>
      </w:pPr>
      <w:bookmarkStart w:id="374" w:name="_Toc417646329"/>
      <w:r w:rsidRPr="00D1590E">
        <w:t>Occupational Health and Safety regulations</w:t>
      </w:r>
      <w:bookmarkEnd w:id="374"/>
    </w:p>
    <w:p w:rsidR="00D1590E" w:rsidRPr="00D1590E" w:rsidRDefault="00D1590E" w:rsidP="00D1590E">
      <w:r w:rsidRPr="00D1590E">
        <w:lastRenderedPageBreak/>
        <w:t>We are satisfied that it is necessary to provide the NSW service providers with a positive 0.5 per cent OEF adjustment for differences in Occupational Health and Safety Regulations (OH&amp;S). This is because an OEF adjustment for OH&amp;S regulations satisfies all three OEF adjustment criteria. OH&amp;S regulations are outside of the control of service providers. Differences in OH&amp;S regulation are likely to create material differences in opex between the NSW service providers and the comparison firms. Economic Insights' SFA model does not account for differences in OH&amp;S regulations.</w:t>
      </w:r>
    </w:p>
    <w:p w:rsidR="00D1590E" w:rsidRPr="00D1590E" w:rsidRDefault="00D1590E" w:rsidP="00D1590E">
      <w:pPr>
        <w:numPr>
          <w:ilvl w:val="0"/>
          <w:numId w:val="24"/>
        </w:numPr>
      </w:pPr>
      <w:r w:rsidRPr="00D1590E">
        <w:t>We provided an OEF adjustment for OH&amp;S regulations in our draft decision for the above reasons. Details on the quantification of our OH&amp;S adjustment can be found in our draft decision. The quantification was based on findings from a report by PwC.</w:t>
      </w:r>
      <w:r w:rsidRPr="00D1590E">
        <w:rPr>
          <w:rStyle w:val="FootnoteReference"/>
        </w:rPr>
        <w:t xml:space="preserve"> </w:t>
      </w:r>
      <w:r w:rsidRPr="00D1590E">
        <w:rPr>
          <w:rStyle w:val="FootnoteReference"/>
        </w:rPr>
        <w:footnoteReference w:id="792"/>
      </w:r>
      <w:r w:rsidRPr="00D1590E">
        <w:t xml:space="preserve"> This report was commissioned by the Victorian Government to estimate the cost to the Victorian economy of transitioning to the Work Health and Safety (WHS) Laws that apply in the other NEM jurisdictions.</w:t>
      </w:r>
    </w:p>
    <w:p w:rsidR="00D1590E" w:rsidRPr="00D1590E" w:rsidRDefault="00D1590E" w:rsidP="00D1590E">
      <w:pPr>
        <w:numPr>
          <w:ilvl w:val="0"/>
          <w:numId w:val="24"/>
        </w:numPr>
      </w:pPr>
      <w:r w:rsidRPr="00D1590E">
        <w:t>In response to our draft decision Ergon Energy's consultant, PwC, made a submission on our adjustment for differences in jurisdictional OH&amp;S differences.</w:t>
      </w:r>
      <w:r w:rsidRPr="00D1590E">
        <w:rPr>
          <w:rStyle w:val="FootnoteReference"/>
        </w:rPr>
        <w:footnoteReference w:id="793"/>
      </w:r>
      <w:r w:rsidRPr="00D1590E">
        <w:t xml:space="preserve"> PwC made four observations on our application of its findings to estimate an OEF adjustment for differences in OH&amp;S obligations. PwC stated that its report on the impact of the WHS laws only considered the potential costs borne by Victorian businesses. It stated that the total cost of complying with the new WHS laws was not considered. It stated that its findings do not directly reflect costs facing network service providers. It also considered normalising the annualised cost by Victoria's Gross State Product (GSP) could be misleading. We address each of these comments below.</w:t>
      </w:r>
    </w:p>
    <w:p w:rsidR="00D1590E" w:rsidRPr="00D1590E" w:rsidRDefault="00D1590E" w:rsidP="00D1590E">
      <w:pPr>
        <w:numPr>
          <w:ilvl w:val="0"/>
          <w:numId w:val="24"/>
        </w:numPr>
      </w:pPr>
      <w:r w:rsidRPr="00D1590E">
        <w:t>The OEF adjustment for OH&amp;S obligations is designed to quantify the effect of the cost advantage that the Victorian service providers have over other service providers. As the report estimates the cost of transitioning to the WHS laws for Victoria, it provides an estimate of the cost avoided by Victorian businesses by not having to comply with the WHS laws. We also note that PwC has provided no evidence that the costs of complying with the WHS laws would be different in Queensland than Victoria.</w:t>
      </w:r>
    </w:p>
    <w:p w:rsidR="00D1590E" w:rsidRPr="00D1590E" w:rsidRDefault="00D1590E" w:rsidP="00D1590E">
      <w:r w:rsidRPr="00D1590E">
        <w:t>It is not appropriate to consider the total cost of complying with and implementing the WHS laws for the purpose of an OEF adjustment. OEF adjustments are not required for non-recurrent costs. Providing an OEF for non-recurrent costs treats those costs as if they were recurrent. Economic Insights' benchmarking results are used as the basis for our forecast of opex. If we adjust the benchmarking results with an OEF adjustment for non-recurrent costs, it has the effect of including those non-recurrent costs in our forecast of opex. Essentially, providing an OEF adjustment for non-recurrent costs leads to those costs being treated as recurrent costs. This is not appropriate because it would provide an allowance for costs that will not be incurred.</w:t>
      </w:r>
    </w:p>
    <w:p w:rsidR="00D1590E" w:rsidRPr="00D1590E" w:rsidRDefault="00D1590E" w:rsidP="00D1590E">
      <w:r w:rsidRPr="00D1590E">
        <w:lastRenderedPageBreak/>
        <w:t>The challenges in safely operating high voltage assets that network service providers must take into account will be similar to those that power generators face. Although PwC's report's findings show that the costs of adopting the laws are not uniformly distributed across Victorian businesses we have taken steps to account for this. We adjusted the average impact across the Victorian economy to reflect the observed differences between most firms surveyed and the business type that most resembled the network service providers: power generators. We note that network service providers are likely to incur higher costs for OH&amp;S obligations than power generators due to their scale. This is why we adopted a percentage adjustment, calculated using the average cost to the Victorian economy,</w:t>
      </w:r>
      <w:r w:rsidRPr="00D1590E">
        <w:rPr>
          <w:rStyle w:val="FootnoteReference"/>
        </w:rPr>
        <w:footnoteReference w:id="794"/>
      </w:r>
      <w:r w:rsidRPr="00D1590E">
        <w:t xml:space="preserve"> rather than the average annualised cost per power generator, which was only $5,210 ($2011-12). PwC did not propose an alternative method to account for differences between the state average and network service providers.</w:t>
      </w:r>
    </w:p>
    <w:p w:rsidR="00D1590E" w:rsidRPr="00D1590E" w:rsidRDefault="00D1590E" w:rsidP="00D1590E">
      <w:r w:rsidRPr="00D1590E">
        <w:t>Using Victorian Gross State Product (GSP) to estimate the materiality of regulatory changes within Victoria is appropriate. Volatility in growth rates across states will not affect this. We estimated the percentage of goods and services produced in Victoria that the annualised increase in OH&amp;S costs would have accounted for if they were incurred in 2012. The estimate of GSP used was from 2012. The estimates of compliance costs which formed the basis for PwC's report were also from financial year 2012. Because we are comparing two figures that relate to the same state, variability between states will not affect the comparison.</w:t>
      </w:r>
    </w:p>
    <w:p w:rsidR="00D1590E" w:rsidRPr="00D1590E" w:rsidRDefault="00D1590E" w:rsidP="00D1590E">
      <w:pPr>
        <w:pStyle w:val="HeadingBoldBlue"/>
        <w:numPr>
          <w:ilvl w:val="0"/>
          <w:numId w:val="24"/>
        </w:numPr>
      </w:pPr>
      <w:bookmarkStart w:id="375" w:name="_Toc417646330"/>
      <w:r w:rsidRPr="00D1590E">
        <w:t>Licence conditions</w:t>
      </w:r>
      <w:bookmarkEnd w:id="375"/>
    </w:p>
    <w:p w:rsidR="00D1590E" w:rsidRPr="00D1590E" w:rsidRDefault="00D1590E" w:rsidP="00D1590E">
      <w:pPr>
        <w:numPr>
          <w:ilvl w:val="0"/>
          <w:numId w:val="24"/>
        </w:numPr>
      </w:pPr>
      <w:r w:rsidRPr="00D1590E">
        <w:t>We are satisfied that it is necessary to provide an OEF adjustment for differences in licence conditions across jurisdictions. The adjustments are 1 per cent, 0.6 per cent, and 1 per cent for Ausgrid, Endeavour Energy, and Essential Energy respectively. OEF adjustments for the 2005 and 2007 licence conditions meet the exogeneity, materiality, and duplication OEF criteria. Past licence conditions are likely to materially affect opex because they mandated that the NSW service providers install significant redundant capacity they may not have in the absence of those conditions. Economic Insight's SFA model will only account for feeders installed to meet those standards, not substation capacity. On the basis of the Economic Benchmarking RIN and Category Analysis RIN data the effect on opex of the past licence conditions is greater than 0.5 per cent of opex.</w:t>
      </w:r>
    </w:p>
    <w:p w:rsidR="00D1590E" w:rsidRPr="00D1590E" w:rsidRDefault="00D1590E" w:rsidP="00D1590E">
      <w:pPr>
        <w:numPr>
          <w:ilvl w:val="0"/>
          <w:numId w:val="24"/>
        </w:numPr>
      </w:pPr>
      <w:r w:rsidRPr="00D1590E">
        <w:lastRenderedPageBreak/>
        <w:t xml:space="preserve">In our draft decision we did not provide an OEF adjustment for licence conditions. This is because most of the expenditures made to meet the licence conditions were capital in nature, the conditions for the forecast period were similar to those in other states, and reliability was accounted for in some of Economic Insights' models. </w:t>
      </w:r>
    </w:p>
    <w:p w:rsidR="00D1590E" w:rsidRPr="00D1590E" w:rsidRDefault="00D1590E" w:rsidP="00D1590E">
      <w:r w:rsidRPr="00D1590E">
        <w:t>In response to our draft decision, ActewAGL and the NSW service providers' consultant Advisian noted that the number of assets that a service provider uses to operate its network will drive its operating costs.</w:t>
      </w:r>
      <w:r w:rsidRPr="00D1590E">
        <w:rPr>
          <w:rStyle w:val="FootnoteReference"/>
        </w:rPr>
        <w:footnoteReference w:id="795"/>
      </w:r>
      <w:r w:rsidRPr="00D1590E">
        <w:t xml:space="preserve"> </w:t>
      </w:r>
      <w:r w:rsidRPr="00D1590E">
        <w:rPr>
          <w:rStyle w:val="FootnoteReference"/>
        </w:rPr>
        <w:footnoteReference w:id="796"/>
      </w:r>
      <w:r w:rsidRPr="00D1590E">
        <w:t xml:space="preserve"> Advisian submitted that it considers that the variables in Economic Insights' models ignore the cost of maintaining a larger number of assets. In particular, Advisian raised the effect of assets installed for the purpose of compliance with planning standards in schedule 1 of the 2005 and 2007 NSW licence conditions. We have not considered the effects of schedules 2 and 3 because they provide interruption frequency and duration targets similar to those found in other jurisdictions.</w:t>
      </w:r>
      <w:r w:rsidRPr="00D1590E">
        <w:rPr>
          <w:rStyle w:val="FootnoteReference"/>
        </w:rPr>
        <w:t xml:space="preserve"> </w:t>
      </w:r>
      <w:r w:rsidRPr="00D1590E">
        <w:rPr>
          <w:rStyle w:val="FootnoteReference"/>
        </w:rPr>
        <w:footnoteReference w:id="797"/>
      </w:r>
      <w:r w:rsidRPr="00D1590E">
        <w:t xml:space="preserve"> </w:t>
      </w:r>
      <w:r w:rsidRPr="00D1590E">
        <w:rPr>
          <w:rStyle w:val="FootnoteReference"/>
        </w:rPr>
        <w:footnoteReference w:id="798"/>
      </w:r>
    </w:p>
    <w:p w:rsidR="00D1590E" w:rsidRPr="00D1590E" w:rsidRDefault="00D1590E" w:rsidP="00D1590E">
      <w:r w:rsidRPr="00D1590E">
        <w:t>We consider capital investment to meet the 2005 and 2007 planning requirements may warrant an OEF adjustment. This is because the planning requirements were determined by parties that were beyond the NSW service providers' control. Therefore it satisfies the exogeneity OEF. It is also not accounted for in the ratcheted demand variable in Economic Insights' SFA model. This is because it required the NSW service providers to install transformer capacity that was not required to meet peak demand.</w:t>
      </w:r>
    </w:p>
    <w:p w:rsidR="00D1590E" w:rsidRPr="00D1590E" w:rsidRDefault="00D1590E" w:rsidP="00D1590E">
      <w:r w:rsidRPr="00D1590E">
        <w:t>We also consider that an OEF adjustment for capex to meet the 2005 and 2007 planning requirements is not sufficiently captured by the variables in the SFA model. While expenditure on feeder redundancy will be captured by the circuit length variable, not all expenditure in transformer capacity redundancy is captured by the ratcheted maximum demand variable. Circuit length captures the effect of investment in new feeders because each new feeder installed will increase the circuit length variable. This in turn will increase the opex forecast by Economic Insights SFA model. However, increases in transformer capacity do not increase the ratcheted demand variable. As a result, the SFA model will forecast no change in required opex where there is an increase in transformer capacity that is not made in response to an increase in demand.</w:t>
      </w:r>
    </w:p>
    <w:p w:rsidR="00D1590E" w:rsidRPr="00D1590E" w:rsidRDefault="00D1590E" w:rsidP="00D1590E">
      <w:r w:rsidRPr="00D1590E">
        <w:t xml:space="preserve">We have estimated the impact of the increased transformer capacity required to meet the 2005 and 2007 planning requirements using the Economic Benchmarking and Category Analysis RIN responses. The Economic Benchmarking RIN responses provide data on the amount of transformer capacity at the distribution and zone substation levels. The Category Analysis RIN provides some indication of the amount of expenditure that is related to maintaining those assets. Both the RINs provide </w:t>
      </w:r>
      <w:r w:rsidRPr="00D1590E">
        <w:lastRenderedPageBreak/>
        <w:t>information at the zone and distribution substation level. While the Economic Benchmarking RIN provides some information on the capacity for subtransmission transformers, the category analysis RINs do not provide expenditure data. We have estimated the share of opex attributable to subtransmission substation maintenance using data from AusGrid's category analysis RIN responses. This is because Ausgrid provides data on the costs associated with its dual function assets and its single function assets separately. Neither Endeavour nor Essential have any assets classified as dual function.</w:t>
      </w:r>
    </w:p>
    <w:p w:rsidR="00D1590E" w:rsidRPr="00D1590E" w:rsidRDefault="00D1590E" w:rsidP="00D1590E">
      <w:r w:rsidRPr="00D1590E">
        <w:t xml:space="preserve">To estimate the increase in transformer capacity due to the planning standards for each </w:t>
      </w:r>
      <w:r w:rsidR="000C4E69">
        <w:t>distributor</w:t>
      </w:r>
      <w:r w:rsidRPr="00D1590E">
        <w:t xml:space="preserve"> we have used the percentage increase in transformer capacity less the percentage increase in ratcheted demand over the 2006 to 2013 period. For Ausgrid we have used the total increase in capacity. For Essential Energy and Endeavour Energy we have excluded the increase in distribution transformer capacity. This is because Essential Energy and Endeavour Energy were not required to increase their distribution transformer capacity to comply with the 2005 and 2007 planning standards.</w:t>
      </w:r>
      <w:r w:rsidRPr="00D1590E">
        <w:rPr>
          <w:rStyle w:val="FootnoteReference"/>
        </w:rPr>
        <w:footnoteReference w:id="799"/>
      </w:r>
      <w:r w:rsidRPr="00D1590E">
        <w:t xml:space="preserve"> </w:t>
      </w:r>
      <w:r w:rsidRPr="00D1590E">
        <w:rPr>
          <w:rStyle w:val="FootnoteReference"/>
        </w:rPr>
        <w:footnoteReference w:id="800"/>
      </w:r>
      <w:r w:rsidRPr="00D1590E">
        <w:t xml:space="preserve"> The 2005 and 2007 planning requirements mandated N-2 redundancy in CBD areas and N-1 redundancy in all other areas for subtransmission and zone substation transformer capacity.</w:t>
      </w:r>
      <w:r w:rsidRPr="00D1590E">
        <w:rPr>
          <w:rStyle w:val="FootnoteReference"/>
        </w:rPr>
        <w:footnoteReference w:id="801"/>
      </w:r>
      <w:r w:rsidRPr="00D1590E">
        <w:t xml:space="preserve"> The planning requirements also mandated N-1 redundancy for distribution substations in CBD areas. Endeavour Energy and Essential Energy have no CBD feeders.</w:t>
      </w:r>
      <w:r w:rsidRPr="00D1590E">
        <w:rPr>
          <w:rStyle w:val="FootnoteReference"/>
        </w:rPr>
        <w:t xml:space="preserve"> </w:t>
      </w:r>
      <w:r w:rsidRPr="00D1590E">
        <w:rPr>
          <w:rStyle w:val="FootnoteReference"/>
        </w:rPr>
        <w:footnoteReference w:id="802"/>
      </w:r>
      <w:r w:rsidRPr="00D1590E">
        <w:t xml:space="preserve"> </w:t>
      </w:r>
      <w:r w:rsidRPr="00D1590E">
        <w:rPr>
          <w:rStyle w:val="FootnoteReference"/>
        </w:rPr>
        <w:footnoteReference w:id="803"/>
      </w:r>
      <w:r w:rsidRPr="00D1590E">
        <w:t xml:space="preserve"> Therefore the redundancy conditions for distribution substations would not have led to any increases in opex for them. The Economic Benchmarking RIN data indicate that after accounting for increases in demand, Ausgrid, Endeavour Energy, and Essential Energy's subtranmission and zone substation transformer capacities increased by 22, 18, and 31 per cent respectively. Ausgrid's distribution transformer substation capacity also increased by 10 per cent.</w:t>
      </w:r>
    </w:p>
    <w:p w:rsidR="00D1590E" w:rsidRPr="00D1590E" w:rsidRDefault="00D1590E" w:rsidP="00D1590E">
      <w:r w:rsidRPr="00D1590E">
        <w:t xml:space="preserve">To estimate the percentage of opex the NSW service providers expend on subtranmission, zone, and distribution substation transformer maintenance, we used data from the Category Analysis RIN. Specifically, we used the amounts the NSW service providers allocated to zone and distribution substation maintenance in response to template 2.7 of the Category Analysis RINs. In financial year 2014 Ausgrid, Endeavour Energy, and Essential Energy reported that zone substation maintenance made up 3.4, 3.6, and 3.9 per cent of opex respectively. In financial year 2014 Ausgrid reported that distribution substation maintenance made up 3.5 per cent of its opex. To estimate the impact of subtranmission maintenance, we found what percentage zone substation maintenance was of total maintenance for Ausgrid and applied this percentage to Ausgrid's dual function asset maintenance opex. This </w:t>
      </w:r>
      <w:r w:rsidRPr="00D1590E">
        <w:lastRenderedPageBreak/>
        <w:t>results in an estimate of 0.3 per cent of opex being attributable to subtransmission substation maintainance.</w:t>
      </w:r>
    </w:p>
    <w:p w:rsidR="00D1590E" w:rsidRPr="00D1590E" w:rsidRDefault="00D1590E" w:rsidP="00D1590E">
      <w:r w:rsidRPr="00D1590E">
        <w:t>This suggests that the amount of opex required to maintain the mandated transformer capacity is 1 per cent ([1-{1/1.22}] x 3.7+[1-{1/1.1}] x 3.8), 0.6 per cent ([1-{1/1.18}]x3.9), and 1 per cent ([1-{1/1.31}]x4.2) of historical opex for Ausgrid, Endeavour Energy, and Essential Energy respectively. When converted from the OEF adjustment to historical opex to the OEF adjustment to the efficient level of opex, as discussed in our calculation of OEFs section above, these figures imply a 1.2, 0.7, and 1.2 per cent OEF adjustment for Ausgrid, Endeavour and Essential respectively. Therefore an OEF adjustment for transformer capacity installed to meet the 2005 and 2007 planning standards satisfies the materiality OEF adjustment criterion.</w:t>
      </w:r>
    </w:p>
    <w:p w:rsidR="00D1590E" w:rsidRPr="00D1590E" w:rsidRDefault="00D1590E" w:rsidP="00D1590E">
      <w:pPr>
        <w:pStyle w:val="HeadingBoldBlue"/>
        <w:numPr>
          <w:ilvl w:val="0"/>
          <w:numId w:val="24"/>
        </w:numPr>
      </w:pPr>
      <w:bookmarkStart w:id="376" w:name="_Toc417646331"/>
      <w:r w:rsidRPr="00D1590E">
        <w:t>Planning regulations</w:t>
      </w:r>
      <w:bookmarkEnd w:id="376"/>
    </w:p>
    <w:p w:rsidR="00D1590E" w:rsidRPr="00D1590E" w:rsidRDefault="00D1590E" w:rsidP="00D1590E">
      <w:pPr>
        <w:numPr>
          <w:ilvl w:val="0"/>
          <w:numId w:val="24"/>
        </w:numPr>
      </w:pPr>
      <w:r w:rsidRPr="00D1590E">
        <w:t xml:space="preserve">We are not satisfied that an OEF adjustment for differences in planning regulations across jurisdictions would meet the materiality OEF adjustment criterion. Differences in planning regulations are not likely to create material differences in opex across jurisdictions. </w:t>
      </w:r>
    </w:p>
    <w:p w:rsidR="00D1590E" w:rsidRPr="00D1590E" w:rsidRDefault="00D1590E" w:rsidP="00D1590E">
      <w:pPr>
        <w:numPr>
          <w:ilvl w:val="0"/>
          <w:numId w:val="24"/>
        </w:numPr>
      </w:pPr>
      <w:r w:rsidRPr="00D1590E">
        <w:t>In our draft decision we did not provide an OEF adjustment for differences in planning obligations. This was on the basis of the findings of a Productivity commission review of the impact of planning regulations on businesses across Australia.</w:t>
      </w:r>
      <w:r w:rsidRPr="00D1590E">
        <w:rPr>
          <w:rStyle w:val="FootnoteReference"/>
        </w:rPr>
        <w:footnoteReference w:id="804"/>
      </w:r>
      <w:r w:rsidRPr="00D1590E">
        <w:t xml:space="preserve"> The finding of this review was that given the extent of differences, it is a challenge to compare the planning systems of the states and territories: individual indicators are often heavily qualified and thus so are comparisons between jurisdictions.</w:t>
      </w:r>
      <w:r w:rsidRPr="00D1590E">
        <w:rPr>
          <w:rStyle w:val="FootnoteReference"/>
        </w:rPr>
        <w:t xml:space="preserve"> </w:t>
      </w:r>
      <w:r w:rsidRPr="00D1590E">
        <w:rPr>
          <w:rStyle w:val="FootnoteReference"/>
        </w:rPr>
        <w:footnoteReference w:id="805"/>
      </w:r>
      <w:r w:rsidRPr="00D1590E">
        <w:t xml:space="preserve"> As a result, the Productivity Commission did not attempt to construct an overall ‘league table’ of state and territory performance.</w:t>
      </w:r>
      <w:r w:rsidRPr="00D1590E">
        <w:rPr>
          <w:rStyle w:val="FootnoteReference"/>
        </w:rPr>
        <w:footnoteReference w:id="806"/>
      </w:r>
      <w:r w:rsidRPr="00D1590E">
        <w:t xml:space="preserve"> This suggests that although planning regulations differ across jurisdictions, and are therefore likely to create some differences in costs, that differences in planning regulations are not likely to lead to material differences in costs.</w:t>
      </w:r>
    </w:p>
    <w:p w:rsidR="00D1590E" w:rsidRPr="00D1590E" w:rsidRDefault="00D1590E" w:rsidP="00D1590E">
      <w:pPr>
        <w:numPr>
          <w:ilvl w:val="0"/>
          <w:numId w:val="24"/>
        </w:numPr>
        <w:rPr>
          <w:rStyle w:val="AERbody"/>
        </w:rPr>
      </w:pPr>
      <w:r w:rsidRPr="00D1590E">
        <w:rPr>
          <w:rStyle w:val="AERbody"/>
        </w:rPr>
        <w:t xml:space="preserve">We are not satisfied that an OEF adjustment for differences in planning regulations between the NSW service providers and the comparison firms meets the materiality OEF adjustment criterion. We were unable to identify any planning regulations that would lead to material differences in opex nor were the NSW service providers. </w:t>
      </w:r>
    </w:p>
    <w:p w:rsidR="00D1590E" w:rsidRPr="00D1590E" w:rsidRDefault="00D1590E" w:rsidP="00D1590E">
      <w:pPr>
        <w:numPr>
          <w:ilvl w:val="0"/>
          <w:numId w:val="24"/>
        </w:numPr>
      </w:pPr>
      <w:r w:rsidRPr="00D1590E">
        <w:t xml:space="preserve">However, in accordance with our treatment of immaterial OEFs we have provided a positive 0.5 per cent adjustment for differences in planning obligations. An OEF adjustment for difference in planning regulations would meet the exogeneity and duplication OEF adjustment criteria. Planning regulations are not determined by </w:t>
      </w:r>
      <w:r w:rsidRPr="00D1590E">
        <w:lastRenderedPageBreak/>
        <w:t>service providers and Economic Insights' SFA model does not include variables to account for differences in planning regulations. We have provided a positive 0.5 per cent adjustment because it is unclear if planning obligations will lead to a cost advantage or disadvantage for the NSW service providers relative to the comparison firms.</w:t>
      </w:r>
    </w:p>
    <w:p w:rsidR="00D1590E" w:rsidRPr="00D1590E" w:rsidRDefault="00D1590E" w:rsidP="00D1590E">
      <w:pPr>
        <w:pStyle w:val="HeadingBoldBlue"/>
        <w:numPr>
          <w:ilvl w:val="0"/>
          <w:numId w:val="24"/>
        </w:numPr>
      </w:pPr>
      <w:bookmarkStart w:id="377" w:name="_Toc417646332"/>
      <w:r w:rsidRPr="00D1590E">
        <w:t>Division of vegetation management responsibility</w:t>
      </w:r>
      <w:bookmarkEnd w:id="377"/>
    </w:p>
    <w:p w:rsidR="00D1590E" w:rsidRPr="00D1590E" w:rsidRDefault="00D1590E" w:rsidP="00D1590E">
      <w:r w:rsidRPr="00D1590E">
        <w:t xml:space="preserve">We are not satisfied that an OEF adjustment for the division of responsibility for vegetation management would meet the materiality OEF adjustment criterion. This is because it is not likely to lead to a material difference in costs between the NSW </w:t>
      </w:r>
      <w:r w:rsidR="000C4E69">
        <w:t>distributors</w:t>
      </w:r>
      <w:r w:rsidRPr="00D1590E">
        <w:t xml:space="preserve"> and the comparison firms.</w:t>
      </w:r>
    </w:p>
    <w:p w:rsidR="00D1590E" w:rsidRPr="00D1590E" w:rsidRDefault="00D1590E" w:rsidP="00D1590E">
      <w:r w:rsidRPr="00D1590E">
        <w:t>ActewAGL,</w:t>
      </w:r>
      <w:r w:rsidRPr="00D1590E">
        <w:rPr>
          <w:rStyle w:val="FootnoteReference"/>
        </w:rPr>
        <w:footnoteReference w:id="807"/>
      </w:r>
      <w:r w:rsidRPr="00D1590E">
        <w:t xml:space="preserve"> Ausgrid,</w:t>
      </w:r>
      <w:r w:rsidRPr="00D1590E">
        <w:rPr>
          <w:rStyle w:val="FootnoteReference"/>
        </w:rPr>
        <w:footnoteReference w:id="808"/>
      </w:r>
      <w:r w:rsidRPr="00D1590E">
        <w:t xml:space="preserve"> Endeavour,</w:t>
      </w:r>
      <w:r w:rsidRPr="00D1590E">
        <w:rPr>
          <w:rStyle w:val="FootnoteReference"/>
        </w:rPr>
        <w:footnoteReference w:id="809"/>
      </w:r>
      <w:r w:rsidRPr="00D1590E">
        <w:t xml:space="preserve"> Ergon,</w:t>
      </w:r>
      <w:r w:rsidRPr="00D1590E">
        <w:rPr>
          <w:rStyle w:val="FootnoteReference"/>
        </w:rPr>
        <w:footnoteReference w:id="810"/>
      </w:r>
      <w:r w:rsidRPr="00D1590E">
        <w:t xml:space="preserve"> </w:t>
      </w:r>
      <w:r w:rsidRPr="00D1590E">
        <w:rPr>
          <w:rStyle w:val="FootnoteReference"/>
        </w:rPr>
        <w:footnoteReference w:id="811"/>
      </w:r>
      <w:r w:rsidRPr="00D1590E">
        <w:t>and Essential,</w:t>
      </w:r>
      <w:r w:rsidRPr="00D1590E">
        <w:rPr>
          <w:rStyle w:val="FootnoteReference"/>
        </w:rPr>
        <w:footnoteReference w:id="812"/>
      </w:r>
      <w:r w:rsidRPr="00D1590E">
        <w:t xml:space="preserve"> have all raised the division of responsibility for vegetation management as a factor that may affect benchmarking results. In some jurisdictions, for example Queensland, service providers are responsible for vegetation clearance from all network assets. In others, other parties, notably councils and roads authorities, are responsible for some vegetation clearance. As a result some service providers must undertake additional activities in the provision of network services.</w:t>
      </w:r>
    </w:p>
    <w:p w:rsidR="00D1590E" w:rsidRPr="00D1590E" w:rsidRDefault="00D1590E" w:rsidP="00D1590E">
      <w:r w:rsidRPr="00D1590E">
        <w:t xml:space="preserve">Overall, we are not satisfied that differences in the division of responsibility for vegetation management will lead to material differences in opex between the NSW </w:t>
      </w:r>
      <w:r w:rsidR="000C4E69">
        <w:t>distributors</w:t>
      </w:r>
      <w:r w:rsidRPr="00D1590E">
        <w:t xml:space="preserve"> and the comparison firms. Service providers in NSW and Victoria all share responsibility for vegetation management with other parties. </w:t>
      </w:r>
    </w:p>
    <w:p w:rsidR="00D1590E" w:rsidRPr="00D1590E" w:rsidRDefault="00D1590E" w:rsidP="00D1590E">
      <w:r w:rsidRPr="00D1590E">
        <w:t xml:space="preserve">Section 48 of the </w:t>
      </w:r>
      <w:r w:rsidRPr="00D1590E">
        <w:rPr>
          <w:rStyle w:val="AERtextitalic"/>
        </w:rPr>
        <w:t xml:space="preserve">Electricity Supply Act 1995 </w:t>
      </w:r>
      <w:r w:rsidRPr="00D1590E">
        <w:t>(ES Act) sets out the division of responsibility for vegetation management between service providers and other parties in NSW. Under Section 48 of the ES Act, the cost of carrying out vegetation management may be recovered by service providers from the owner of the premises on which a tree is situated if:</w:t>
      </w:r>
    </w:p>
    <w:p w:rsidR="00D1590E" w:rsidRPr="00D1590E" w:rsidRDefault="00D1590E" w:rsidP="00D1590E">
      <w:pPr>
        <w:pStyle w:val="AERbulletlistfirststyle"/>
      </w:pPr>
      <w:r w:rsidRPr="00D1590E">
        <w:t>after the electricity works were first installed, an owner or occupier of the premises caused or permitted the tree to be planted, in circumstances in which the owner or occupier ought reasonably to have known that interference with the works would result; or</w:t>
      </w:r>
    </w:p>
    <w:p w:rsidR="00D1590E" w:rsidRPr="00D1590E" w:rsidRDefault="00D1590E" w:rsidP="00D1590E">
      <w:pPr>
        <w:pStyle w:val="AERbulletlistfirststyle"/>
      </w:pPr>
      <w:r w:rsidRPr="00D1590E">
        <w:t>the land on which the tree is located, and which the works are located, was the subject of an easement in favour of the service provider (or a predecessor of the service provider) when the tree was planted.</w:t>
      </w:r>
    </w:p>
    <w:p w:rsidR="00D1590E" w:rsidRPr="00D1590E" w:rsidRDefault="00D1590E" w:rsidP="00D1590E">
      <w:r w:rsidRPr="00D1590E">
        <w:lastRenderedPageBreak/>
        <w:t>As a result the NSW service providers are able to recover the costs of vegetation management of trees belonging to councils or other landholders.</w:t>
      </w:r>
    </w:p>
    <w:p w:rsidR="00D1590E" w:rsidRPr="00D1590E" w:rsidRDefault="00D1590E" w:rsidP="00D1590E">
      <w:r w:rsidRPr="00D1590E">
        <w:t xml:space="preserve">In Victoria, Sections 84A to 84D of the </w:t>
      </w:r>
      <w:r w:rsidRPr="00D1590E">
        <w:rPr>
          <w:rStyle w:val="AERtextitalic"/>
        </w:rPr>
        <w:t>Electricity Safety Act 1998</w:t>
      </w:r>
      <w:r w:rsidRPr="00D1590E">
        <w:t xml:space="preserve"> set out the division of responsibility for vegetation management between service providers and other parties.</w:t>
      </w:r>
      <w:r w:rsidRPr="00D1590E">
        <w:rPr>
          <w:rStyle w:val="FootnoteReference"/>
        </w:rPr>
        <w:footnoteReference w:id="813"/>
      </w:r>
      <w:r w:rsidRPr="00D1590E">
        <w:t xml:space="preserve"> </w:t>
      </w:r>
      <w:r w:rsidRPr="00D1590E">
        <w:rPr>
          <w:rStyle w:val="FootnoteReference"/>
        </w:rPr>
        <w:footnoteReference w:id="814"/>
      </w:r>
      <w:r w:rsidRPr="00D1590E">
        <w:rPr>
          <w:rStyle w:val="FootnoteReference"/>
        </w:rPr>
        <w:footnoteReference w:id="815"/>
      </w:r>
      <w:r w:rsidRPr="00D1590E">
        <w:t xml:space="preserve"> Landholders are responsible for vegetation management of any lines that exclusively service their property. Councils are responsible for vegetation management of any trees on public land in a declared area.</w:t>
      </w:r>
      <w:r w:rsidRPr="00D1590E">
        <w:rPr>
          <w:rStyle w:val="FootnoteReference"/>
        </w:rPr>
        <w:footnoteReference w:id="816"/>
      </w:r>
      <w:r w:rsidRPr="00D1590E">
        <w:t xml:space="preserve"> Service providers are responsible for vegetation management of all other trees that encroach on their network.</w:t>
      </w:r>
    </w:p>
    <w:p w:rsidR="00D1590E" w:rsidRPr="00D1590E" w:rsidRDefault="00D1590E" w:rsidP="00D1590E">
      <w:r w:rsidRPr="00D1590E">
        <w:t>In South Australia, Part 5 of the Electricity Act 1996 (SA) and the Electricity (Principles of Vegetation Clearance) Regulations 2010 set out the division of responsibility for vegetation management between service providers and other parties.</w:t>
      </w:r>
      <w:r w:rsidRPr="00D1590E">
        <w:rPr>
          <w:rStyle w:val="FootnoteReference"/>
        </w:rPr>
        <w:footnoteReference w:id="817"/>
      </w:r>
      <w:r w:rsidRPr="00D1590E">
        <w:t xml:space="preserve"> Under this legislation SA Power Networks is responsible for clearance of all lines with three exceptions. SA Power Networks is not responsible where it has entered into a vegetation clearance scheme with a council under section 55(1a) of the </w:t>
      </w:r>
      <w:r w:rsidRPr="00D1590E">
        <w:rPr>
          <w:rStyle w:val="AERtextitalic"/>
        </w:rPr>
        <w:t>Electricity Act 1996 (SA)</w:t>
      </w:r>
      <w:r w:rsidRPr="00D1590E">
        <w:t>. There are no such agreements with councils currently in place.</w:t>
      </w:r>
      <w:r w:rsidRPr="00D1590E">
        <w:rPr>
          <w:rStyle w:val="FootnoteReference"/>
        </w:rPr>
        <w:footnoteReference w:id="818"/>
      </w:r>
      <w:r w:rsidRPr="00D1590E">
        <w:t xml:space="preserve"> SA Power Networks is not responsible for clearance of cultivated vegetation from private powerlines.</w:t>
      </w:r>
      <w:r w:rsidRPr="00D1590E">
        <w:rPr>
          <w:rStyle w:val="FootnoteReference"/>
        </w:rPr>
        <w:t xml:space="preserve"> </w:t>
      </w:r>
      <w:r w:rsidRPr="00D1590E">
        <w:rPr>
          <w:rStyle w:val="FootnoteReference"/>
        </w:rPr>
        <w:footnoteReference w:id="819"/>
      </w:r>
      <w:r w:rsidRPr="00D1590E">
        <w:t xml:space="preserve"> SA Power Networks is also not responsible for clearing trees encroaching on powerlines where the tree was planted in contravention of the (Principles of Vegetation Clearance) Regulations 2010 schedule 2.</w:t>
      </w:r>
      <w:r w:rsidRPr="00D1590E">
        <w:rPr>
          <w:rStyle w:val="FootnoteReference"/>
        </w:rPr>
        <w:footnoteReference w:id="820"/>
      </w:r>
      <w:r w:rsidRPr="00D1590E">
        <w:t xml:space="preserve"> This is similar to the requirement under subsection 48(4) of the ES Act, except that there is more guidance on what will interfere with the works.</w:t>
      </w:r>
    </w:p>
    <w:p w:rsidR="00D1590E" w:rsidRPr="00D1590E" w:rsidRDefault="00D1590E" w:rsidP="00D1590E">
      <w:r w:rsidRPr="00D1590E">
        <w:t>The NSW service providers stated that they are responsible for vegetation management of their entire network. This is because they have a duty to ensure the safety of their networks. They also stated that there are few situations in which other parties are responsible for vegetation management in their networks. This is because the service provider must confirm the tree was planted after the electricity works were established and that the current owner planted the trees in order to establish responsibility. The NSW service providers also noted that they have failed to recoup their vegetation management costs from other responsible parties in the past despite formal notifications to councils.</w:t>
      </w:r>
      <w:r w:rsidRPr="00D1590E">
        <w:rPr>
          <w:rStyle w:val="FootnoteReference"/>
        </w:rPr>
        <w:t xml:space="preserve"> </w:t>
      </w:r>
      <w:r w:rsidRPr="00D1590E">
        <w:rPr>
          <w:rStyle w:val="FootnoteReference"/>
        </w:rPr>
        <w:footnoteReference w:id="821"/>
      </w:r>
      <w:r w:rsidRPr="00D1590E">
        <w:t xml:space="preserve"> </w:t>
      </w:r>
      <w:r w:rsidRPr="00D1590E">
        <w:rPr>
          <w:rStyle w:val="FootnoteReference"/>
        </w:rPr>
        <w:footnoteReference w:id="822"/>
      </w:r>
      <w:r w:rsidRPr="00D1590E">
        <w:rPr>
          <w:rStyle w:val="FootnoteReference"/>
        </w:rPr>
        <w:footnoteReference w:id="823"/>
      </w:r>
    </w:p>
    <w:p w:rsidR="00D1590E" w:rsidRPr="00D1590E" w:rsidRDefault="00D1590E" w:rsidP="00D1590E">
      <w:r w:rsidRPr="00D1590E">
        <w:lastRenderedPageBreak/>
        <w:t>We do not consider that this makes the NSW service providers financially responsible for vegetation management of their entire network. The Victorian service providers also have a duty to ensure the safety of their networks.</w:t>
      </w:r>
      <w:r w:rsidRPr="00D1590E">
        <w:rPr>
          <w:rStyle w:val="FootnoteReference"/>
        </w:rPr>
        <w:t xml:space="preserve"> </w:t>
      </w:r>
      <w:r w:rsidRPr="00D1590E">
        <w:rPr>
          <w:rStyle w:val="FootnoteReference"/>
        </w:rPr>
        <w:footnoteReference w:id="824"/>
      </w:r>
      <w:r w:rsidRPr="00D1590E">
        <w:rPr>
          <w:rStyle w:val="FootnoteReference"/>
        </w:rPr>
        <w:footnoteReference w:id="825"/>
      </w:r>
      <w:r w:rsidRPr="00D1590E">
        <w:t xml:space="preserve"> The Victorian service providers are able to organise for other responsible parties (for example councils and other landholders) to fulfil their responsibilities under the </w:t>
      </w:r>
      <w:r w:rsidRPr="00D1590E">
        <w:rPr>
          <w:rStyle w:val="AERtextitalic"/>
        </w:rPr>
        <w:t>Electric Line Clearance Regulations</w:t>
      </w:r>
      <w:r w:rsidRPr="00D1590E">
        <w:t>. The NSW service providers have not demonstrated that it is not possible for them to do the same.</w:t>
      </w:r>
    </w:p>
    <w:p w:rsidR="00D1590E" w:rsidRPr="00D1590E" w:rsidRDefault="00D1590E" w:rsidP="00D1590E">
      <w:r w:rsidRPr="00D1590E">
        <w:t>We are not satisfied that differences in the division of responsibility for vegetation management in Victoria, South Australia and NSW will lead to material differences in opex between the NSW service providers and the comparison firms. Both the Victorian Service providers and the NSW service providers have advantages and disadvantages with regard to the division of responsibility between service providers and other parties. Additionally the division in responsibility between service providers and other parties is similar for the NSW service providers and SA Power Networks as discussed above.</w:t>
      </w:r>
    </w:p>
    <w:p w:rsidR="00D1590E" w:rsidRPr="00D1590E" w:rsidRDefault="00D1590E" w:rsidP="00D1590E">
      <w:r w:rsidRPr="00D1590E">
        <w:t>The Victorian service providers have some cost advantage because private residents are responsible for keeping trees clear from service lines which solely services their land. However, under section 48 of the ES Act, some private residents in NSW are also responsible for trimming trees that encroach on their service lines. Under section 48 of the ES Act a party is responsible for trimming trees if they planted the tree after the electricity works were first installed. This includes trees encroaching on service lines. Also, the NSW service providers may have some cost advantage with regard to the responsibilities of councils to trim encroaching vegetation. This is because section 48 of the ES Act applies to all of NSW meaning that wherever councils plant a tree, or permit a tree to be planted, they are responsible for the trimming of that tree. In Victoria, councils are only responsible for vegetation management of trees on public land in specific areas declared under section 81 of the Electricity Safety Act 1998.</w:t>
      </w:r>
    </w:p>
    <w:p w:rsidR="00D1590E" w:rsidRPr="00D1590E" w:rsidRDefault="00D1590E" w:rsidP="00D1590E">
      <w:r w:rsidRPr="00D1590E">
        <w:t>The division of responsibility for vegetation management between service providers and other parties in SA and NSW are similar. Both service providers are responsible for all ensuring that vegetation is kept clear from all lines unless that vegetation was planted in a way that would interfere with powerlines. However SA Power Networks is not required to trim trees encroaching on private powerlines. This is unlikely to lead to a material difference in costs because private overhead lines only make up 1.5 per cent of SA Power Network's total overhead route line length.</w:t>
      </w:r>
      <w:r w:rsidRPr="00D1590E">
        <w:rPr>
          <w:rStyle w:val="FootnoteReference"/>
        </w:rPr>
        <w:t xml:space="preserve"> </w:t>
      </w:r>
      <w:r w:rsidRPr="00D1590E">
        <w:rPr>
          <w:rStyle w:val="FootnoteReference"/>
        </w:rPr>
        <w:footnoteReference w:id="826"/>
      </w:r>
    </w:p>
    <w:p w:rsidR="00D1590E" w:rsidRPr="00D1590E" w:rsidRDefault="00D1590E" w:rsidP="00D1590E">
      <w:r w:rsidRPr="00D1590E">
        <w:t xml:space="preserve">We have included these differences in our adjustment for immaterial factors. Although we are not satisfied that there will be material differences in costs between the NSW service providers and the comparison firms, they are likely to lead to some differences </w:t>
      </w:r>
      <w:r w:rsidRPr="00D1590E">
        <w:lastRenderedPageBreak/>
        <w:t>in opex. Also an OEF adjustment for differences in the division of responsibility for vegetation management would meet the exogeneity and duplication OEF adjustment criteria. The division of responsibility for vegetation management is not determined by service providers and it is not accounted for by variables in Economic Insights' SFA model. As there is some uncertainty of the direction of cost advantage due to differences in vegetation management, it contributes positive 0.5 per cent to the collective adjustment for immaterial factors for the NSW service providers.</w:t>
      </w:r>
    </w:p>
    <w:p w:rsidR="00D1590E" w:rsidRPr="00D1590E" w:rsidRDefault="00D1590E" w:rsidP="00D1590E">
      <w:pPr>
        <w:pStyle w:val="HeadingBoldBlue"/>
        <w:numPr>
          <w:ilvl w:val="0"/>
          <w:numId w:val="24"/>
        </w:numPr>
      </w:pPr>
      <w:bookmarkStart w:id="378" w:name="_Toc417646333"/>
      <w:r w:rsidRPr="00D1590E">
        <w:t>Traffic management</w:t>
      </w:r>
      <w:bookmarkEnd w:id="378"/>
    </w:p>
    <w:p w:rsidR="00D1590E" w:rsidRPr="00D1590E" w:rsidRDefault="00D1590E" w:rsidP="00D1590E">
      <w:r w:rsidRPr="00D1590E">
        <w:t>We are not satisfied that an OEF adjustment for traffic management would meet the materiality or duplication OEF adjustment criteria. Traffic management requirements across Australia are based on a nationally consistent standard. Differences in traffic management costs related to density will be captured by Economic Insights' SFA model.</w:t>
      </w:r>
    </w:p>
    <w:p w:rsidR="00D1590E" w:rsidRPr="00D1590E" w:rsidRDefault="00D1590E" w:rsidP="00D1590E">
      <w:r w:rsidRPr="00D1590E">
        <w:t>Traffic management is the direction of motorist and pedestrian movements around worksites using temporary traffic signage and traffic controllers.</w:t>
      </w:r>
    </w:p>
    <w:p w:rsidR="00D1590E" w:rsidRPr="00D1590E" w:rsidRDefault="00D1590E" w:rsidP="00D1590E">
      <w:r w:rsidRPr="00D1590E">
        <w:t>State and territory road authorities generally base their traffic control at roadwork sites requirements on AS1742 Part 3: Guide to traffic control devices for works on roads.</w:t>
      </w:r>
      <w:r w:rsidRPr="00D1590E">
        <w:rPr>
          <w:rStyle w:val="FootnoteReference"/>
        </w:rPr>
        <w:footnoteReference w:id="827"/>
      </w:r>
      <w:r w:rsidRPr="00D1590E">
        <w:t xml:space="preserve"> Therefore cost differences due to jurisdictionally differences will be immaterial.</w:t>
      </w:r>
    </w:p>
    <w:p w:rsidR="00D1590E" w:rsidRPr="00D1590E" w:rsidRDefault="00D1590E" w:rsidP="00D1590E">
      <w:r w:rsidRPr="00D1590E">
        <w:t>Traffic management costs generally correlate with the volume of traffic near the worksite. We consider that traffic management will have a greater overall impact on expenditure in higher density areas than in lower density areas. Economic insights' SFA model accounts for differences in customer density. For more detail see our consideration of customer density above and in our draft decision.</w:t>
      </w:r>
    </w:p>
    <w:p w:rsidR="00D1590E" w:rsidRPr="00D1590E" w:rsidRDefault="00D1590E" w:rsidP="00D1590E">
      <w:r w:rsidRPr="00D1590E">
        <w:t>In response to our draft decision we received no evidence to suggest that differences in traffic management practices in NSW, Victoria, and SA lead to material differences in opex.</w:t>
      </w:r>
    </w:p>
    <w:p w:rsidR="00BD1EAD" w:rsidRDefault="00D1590E" w:rsidP="00D1590E">
      <w:r w:rsidRPr="00D1590E">
        <w:t>We have included jurisdictional differences in traffic management in our adjustment for immaterial factors. Although the density related differences in traffic management are captured in Economic Insights' SFA model, the jurisdictional differences in requirements are not. These jurisdictional differences are likely to lead to some difference in cost and are not determined by service providers. As a result an OEF adjustment for traffic management would satisfy the exogeneity OEF adjustment criterion. Also, because Economic Insight's SFA model does not account for differences in traffic management regulations it would satisfy the duplication OEF adjustment criterion. Therefore, we have provided included a 0.5 per cent adjustment for the NSW service providers in our collective adjustment for immaterial factors.</w:t>
      </w:r>
    </w:p>
    <w:p w:rsidR="00BD1EAD" w:rsidRDefault="00BD1EAD">
      <w:pPr>
        <w:spacing w:line="240" w:lineRule="auto"/>
      </w:pPr>
      <w:r>
        <w:br w:type="page"/>
      </w:r>
    </w:p>
    <w:p w:rsidR="00D1590E" w:rsidRPr="00D1590E" w:rsidRDefault="00D1590E" w:rsidP="00D1590E">
      <w:pPr>
        <w:pStyle w:val="Heading9"/>
      </w:pPr>
      <w:bookmarkStart w:id="379" w:name="_Ref400702371"/>
      <w:bookmarkStart w:id="380" w:name="_Toc417646334"/>
      <w:bookmarkStart w:id="381" w:name="_Toc417649243"/>
      <w:bookmarkStart w:id="382" w:name="_Toc417659875"/>
      <w:r w:rsidRPr="00D1590E">
        <w:lastRenderedPageBreak/>
        <w:t>Network factors</w:t>
      </w:r>
      <w:bookmarkEnd w:id="379"/>
      <w:bookmarkEnd w:id="380"/>
      <w:bookmarkEnd w:id="381"/>
      <w:bookmarkEnd w:id="382"/>
    </w:p>
    <w:p w:rsidR="00D1590E" w:rsidRPr="00D1590E" w:rsidRDefault="00D1590E" w:rsidP="00D1590E">
      <w:pPr>
        <w:pStyle w:val="HeadingBoldBlue"/>
        <w:numPr>
          <w:ilvl w:val="0"/>
          <w:numId w:val="24"/>
        </w:numPr>
      </w:pPr>
      <w:bookmarkStart w:id="383" w:name="_Toc417646335"/>
      <w:r w:rsidRPr="00D1590E">
        <w:t>Advanced metering infrastructure</w:t>
      </w:r>
      <w:bookmarkEnd w:id="383"/>
    </w:p>
    <w:p w:rsidR="00D1590E" w:rsidRPr="00D1590E" w:rsidRDefault="00D1590E" w:rsidP="00D1590E">
      <w:pPr>
        <w:pStyle w:val="ListParagraph"/>
        <w:numPr>
          <w:ilvl w:val="0"/>
          <w:numId w:val="24"/>
        </w:numPr>
      </w:pPr>
      <w:r w:rsidRPr="00D1590E">
        <w:t>We are not satisfied that an OEF adjustment for differences in Advanced Metering Infrastructure (AMI) deployments would satisfy the OEF adjustment criteria. Pursuing the ability to share overheads between network services and other services is a business decision on service diversification. The ability to share overheads between network services and metering services are not likely to lead to material differences in network services opex. AMI costs are excluded from network services opex.</w:t>
      </w:r>
    </w:p>
    <w:p w:rsidR="00D1590E" w:rsidRPr="00D1590E" w:rsidRDefault="00D1590E" w:rsidP="00D1590E">
      <w:pPr>
        <w:pStyle w:val="ListParagraph"/>
        <w:numPr>
          <w:ilvl w:val="0"/>
          <w:numId w:val="24"/>
        </w:numPr>
      </w:pPr>
      <w:r w:rsidRPr="00D1590E">
        <w:t>Advanced metering infrastructure is another term for smart meters. Smart meters are electricity usage meters that communicate meter readings directly to electricity distributors, eliminating the need for staff to read meters in person.</w:t>
      </w:r>
    </w:p>
    <w:p w:rsidR="00D1590E" w:rsidRPr="00D1590E" w:rsidRDefault="00D1590E" w:rsidP="00D1590E">
      <w:r w:rsidRPr="00D1590E">
        <w:t>In response to our 2014 draft decision Advisian, ActewAGL's consultant, suggested the point that the Victorian service providers can share their fixed overhead costs with their AMI programs.</w:t>
      </w:r>
      <w:r w:rsidRPr="00D1590E">
        <w:rPr>
          <w:rStyle w:val="FootnoteReference"/>
        </w:rPr>
        <w:footnoteReference w:id="828"/>
      </w:r>
      <w:r w:rsidRPr="00D1590E">
        <w:t xml:space="preserve"> Huegin also noted that Ofgem excludes costs related to smart meter deployments.</w:t>
      </w:r>
      <w:r w:rsidRPr="00D1590E">
        <w:rPr>
          <w:rStyle w:val="FootnoteReference"/>
        </w:rPr>
        <w:footnoteReference w:id="829"/>
      </w:r>
    </w:p>
    <w:p w:rsidR="00D1590E" w:rsidRPr="00D1590E" w:rsidRDefault="00D1590E" w:rsidP="00D1590E">
      <w:r w:rsidRPr="00D1590E">
        <w:t>Advisian considers that this gives the Victorian service providers a cost advantage relative to other service providers. Other service providers also provide metering services, but are not making a major change in their metering fleet in the way the Victorian service providers are. Overhead costs are often shared on the basis of costs incurred by functional areas. Therefore, Advisian considers the large costs involved in the AMI deployment will allow the Victorian service providers to allocate more of their overhead costs to metering than other service providers.</w:t>
      </w:r>
    </w:p>
    <w:p w:rsidR="00D1590E" w:rsidRPr="00D1590E" w:rsidRDefault="00D1590E" w:rsidP="00D1590E">
      <w:r w:rsidRPr="00D1590E">
        <w:t>There are two issues with Advisian's analysis. The first is that the extent to which a service provider can share overheads across its services is the result of management decisions. The second is that differences in AMI deployments will not materially affect network services opex.</w:t>
      </w:r>
    </w:p>
    <w:p w:rsidR="00D1590E" w:rsidRPr="00D1590E" w:rsidRDefault="00D1590E" w:rsidP="00D1590E">
      <w:r w:rsidRPr="00D1590E">
        <w:t>As discussed in the unregulated services section above the extent to which service providers can share overheads across services is the result of business decisions on service diversification. Therefore an OEF adjustment for differences in AMI programs would not satisfy the exogeneity OEF adjustment criterion.</w:t>
      </w:r>
    </w:p>
    <w:p w:rsidR="00D1590E" w:rsidRPr="00D1590E" w:rsidRDefault="00D1590E" w:rsidP="00D1590E">
      <w:r w:rsidRPr="00D1590E">
        <w:t>Additionally, fixed overheads are only a part of total overheads. As service providers increase in scale and scope they will incur more overheads. As a result, although the Victorian service providers are able to share fixed costs between network services and its AMI programs, the AMI programs also add to the pool of shared overheads. As a result an OEF adjustment for differences in AMI programs would not meet the materiality OEF adjustment criterion.</w:t>
      </w:r>
    </w:p>
    <w:p w:rsidR="00D1590E" w:rsidRPr="00D1590E" w:rsidRDefault="00D1590E" w:rsidP="00D1590E">
      <w:r w:rsidRPr="00D1590E">
        <w:lastRenderedPageBreak/>
        <w:t>We also note that Advisian's analysis relates to the Victorian service providers rather than the comparison firms. SA Power Networks, is also one of the comparison firms. We note that although SA Power Networks did not have the ability to share its fixed overheads between network services and an AMI program, it is one of the best ranking service providers under all of Economic Insights' benchmarking models.</w:t>
      </w:r>
    </w:p>
    <w:p w:rsidR="00D1590E" w:rsidRPr="00D1590E" w:rsidRDefault="00D1590E" w:rsidP="00D1590E">
      <w:r w:rsidRPr="00D1590E">
        <w:t>We are also satisfied that an adjustment for AMI deployments would not satisfy the duplication OEF criterion. Network services opex, which has been used in Economic Insights' SFA model excludes metering services costs. As metering services costs are not included in the network services costs, the efficiency scores from Economic Insights' SFA model will not be affected by metering services costs.</w:t>
      </w:r>
    </w:p>
    <w:p w:rsidR="00D1590E" w:rsidRPr="00D1590E" w:rsidRDefault="00D1590E" w:rsidP="00D1590E">
      <w:pPr>
        <w:pStyle w:val="HeadingBoldBlue"/>
      </w:pPr>
      <w:bookmarkStart w:id="384" w:name="_Toc417646336"/>
      <w:r w:rsidRPr="00D1590E">
        <w:t>Asset age</w:t>
      </w:r>
      <w:bookmarkEnd w:id="384"/>
    </w:p>
    <w:p w:rsidR="00D1590E" w:rsidRPr="00D1590E" w:rsidRDefault="00D1590E" w:rsidP="00D1590E">
      <w:pPr>
        <w:numPr>
          <w:ilvl w:val="0"/>
          <w:numId w:val="24"/>
        </w:numPr>
      </w:pPr>
      <w:r w:rsidRPr="00D1590E">
        <w:t>We are not satisfied that an OEF for differences in asset age between the NSW service providers and the comparison firms would meet the materiality OEF adjustment criterion. Asset age is not likely to lead to material differences in opex between the NSW service providers and the comparison firms. Asset age is only likely to affect some opex categories. Also the NSW service providers seem to have similar weighted average remaining lives (WARLs) to the comparison firms.</w:t>
      </w:r>
    </w:p>
    <w:p w:rsidR="00D1590E" w:rsidRPr="00D1590E" w:rsidRDefault="00D1590E" w:rsidP="00D1590E">
      <w:pPr>
        <w:numPr>
          <w:ilvl w:val="0"/>
          <w:numId w:val="24"/>
        </w:numPr>
      </w:pPr>
      <w:r w:rsidRPr="00D1590E">
        <w:t xml:space="preserve">Not all opex categories are affected by asset age. The opex categories that will generally be affected by differences in asset age are emergency response and routine preventative maintenance on high value assets. </w:t>
      </w:r>
    </w:p>
    <w:p w:rsidR="00D1590E" w:rsidRPr="00D1590E" w:rsidRDefault="00D1590E" w:rsidP="00D1590E">
      <w:pPr>
        <w:numPr>
          <w:ilvl w:val="0"/>
          <w:numId w:val="24"/>
        </w:numPr>
      </w:pPr>
      <w:r w:rsidRPr="00D1590E">
        <w:t>The amount of maintenance opex does not increase with age for all assets. Asset age will not greatly affect maintenance opex for most assets. Low value assets, such as distribution lines and transformers make up the bulk of service providers' assets. Low value assets like these are inspected on a regular basis but they will generally not incur routine maintenance interventions in the way higher voltage assets do.</w:t>
      </w:r>
      <w:r w:rsidRPr="00D1590E">
        <w:rPr>
          <w:rStyle w:val="FootnoteReference"/>
        </w:rPr>
        <w:footnoteReference w:id="830"/>
      </w:r>
      <w:r w:rsidRPr="00D1590E">
        <w:t xml:space="preserve"> Asset age will more often affect routine maintenance intervals for high value, strategically important, assets such as subtransmission lines and zone substations. However, maintenance on zone substations and assets operating above subtransmission lines generally only accounts for a small part of service providers' opex.</w:t>
      </w:r>
    </w:p>
    <w:p w:rsidR="00D1590E" w:rsidRPr="00D1590E" w:rsidRDefault="00D1590E" w:rsidP="00D1590E">
      <w:pPr>
        <w:numPr>
          <w:ilvl w:val="0"/>
          <w:numId w:val="24"/>
        </w:numPr>
      </w:pPr>
      <w:r w:rsidRPr="00D1590E">
        <w:t>While a network with an older asset base will tend to experience more asset failures, asset failures only account for a part of emergency response costs. As assets age, they in general they will become more likely to fail. Therefore a service provider with older assets would be more likely to incur emergency response costs for asset failure. However emergency response opex is also incurred for other occurrences including: weather, 3rd party damage to the network, vegetation, and animal contact.</w:t>
      </w:r>
      <w:r w:rsidRPr="00D1590E">
        <w:rPr>
          <w:rStyle w:val="FootnoteReference"/>
        </w:rPr>
        <w:t xml:space="preserve"> </w:t>
      </w:r>
      <w:r w:rsidRPr="00D1590E">
        <w:rPr>
          <w:rStyle w:val="FootnoteReference"/>
        </w:rPr>
        <w:footnoteReference w:id="831"/>
      </w:r>
    </w:p>
    <w:p w:rsidR="00D1590E" w:rsidRPr="00D1590E" w:rsidRDefault="00D1590E" w:rsidP="00D1590E">
      <w:pPr>
        <w:numPr>
          <w:ilvl w:val="0"/>
          <w:numId w:val="24"/>
        </w:numPr>
      </w:pPr>
      <w:r w:rsidRPr="00D1590E">
        <w:lastRenderedPageBreak/>
        <w:t>In our draft decision, we did not provide an OEF adjustment for asset age. We considered the effect of asset age on service providers' costs and we were satisfied no adjustment was necessary. In coming to this conclusion we considered estimates of the service providers' Weighted Average Replacement Lives (WARL).</w:t>
      </w:r>
      <w:r w:rsidRPr="00D1590E">
        <w:rPr>
          <w:rStyle w:val="FootnoteReference"/>
        </w:rPr>
        <w:t xml:space="preserve"> </w:t>
      </w:r>
      <w:r w:rsidRPr="00D1590E">
        <w:rPr>
          <w:rStyle w:val="FootnoteReference"/>
        </w:rPr>
        <w:footnoteReference w:id="832"/>
      </w:r>
      <w:r w:rsidRPr="00D1590E">
        <w:t xml:space="preserve"> The NSW service providers did not appear to have WARLs materially different to those of the comparison firms.</w:t>
      </w:r>
    </w:p>
    <w:p w:rsidR="00D1590E" w:rsidRPr="00D1590E" w:rsidRDefault="00D1590E" w:rsidP="00D1590E">
      <w:pPr>
        <w:numPr>
          <w:ilvl w:val="0"/>
          <w:numId w:val="24"/>
        </w:numPr>
      </w:pPr>
      <w:r w:rsidRPr="00D1590E">
        <w:t>Since our draft, Advisian,</w:t>
      </w:r>
      <w:r w:rsidRPr="00D1590E">
        <w:rPr>
          <w:rStyle w:val="FootnoteReference"/>
        </w:rPr>
        <w:t xml:space="preserve"> </w:t>
      </w:r>
      <w:r w:rsidRPr="00D1590E">
        <w:rPr>
          <w:rStyle w:val="FootnoteReference"/>
        </w:rPr>
        <w:footnoteReference w:id="833"/>
      </w:r>
      <w:r w:rsidRPr="00D1590E">
        <w:t xml:space="preserve"> Ausgrid</w:t>
      </w:r>
      <w:r w:rsidRPr="00D1590E">
        <w:rPr>
          <w:rStyle w:val="FootnoteReference"/>
        </w:rPr>
        <w:footnoteReference w:id="834"/>
      </w:r>
      <w:r w:rsidRPr="00D1590E">
        <w:t xml:space="preserve"> and Essential Energy</w:t>
      </w:r>
      <w:r w:rsidRPr="00D1590E">
        <w:rPr>
          <w:rStyle w:val="FootnoteReference"/>
        </w:rPr>
        <w:footnoteReference w:id="835"/>
      </w:r>
      <w:r w:rsidRPr="00D1590E">
        <w:t xml:space="preserve"> have all raised the issue of the effect of asset age on the results of Economic Insights' benchmarking.</w:t>
      </w:r>
    </w:p>
    <w:p w:rsidR="00D1590E" w:rsidRPr="00D1590E" w:rsidRDefault="00D1590E" w:rsidP="00D1590E">
      <w:pPr>
        <w:numPr>
          <w:ilvl w:val="0"/>
          <w:numId w:val="24"/>
        </w:numPr>
      </w:pPr>
      <w:r w:rsidRPr="00D1590E">
        <w:t>Advisian, Ausgrid and Essential Energy stated that the AER's assessment of asset age is incorrect because the standard lives reported in the AER's RIN data do not appropriately represent the age of service providers' assets. Advisian then presented two alternative methods of measuring average network asset age. One shows the cumulative percentage of assets above the reported mean asset life and the other shows the cumulative percentage of assets over 50 years old.</w:t>
      </w:r>
    </w:p>
    <w:p w:rsidR="00D1590E" w:rsidRPr="00D1590E" w:rsidRDefault="00D1590E" w:rsidP="00D1590E">
      <w:pPr>
        <w:numPr>
          <w:ilvl w:val="0"/>
          <w:numId w:val="24"/>
        </w:numPr>
      </w:pPr>
      <w:r w:rsidRPr="00D1590E">
        <w:t>Our calculation of the WARL and standard asset lives in our repex model are different to this. Rather than using the standard asset lives reported in the RINs, the standard lives assumed in the calculation of the WARL, used in our draft decision, were based on benchmark standard lives calculated by the repex model. As a result, the asset lives were not based on depreciation assumptions. They were based on the average asset lifespans realised for each asset class by the NEM service providers. Therefore the statements made by Advisian on our calculation of the WARL used in our draft decision do not hold true.</w:t>
      </w:r>
    </w:p>
    <w:p w:rsidR="00D1590E" w:rsidRPr="00D1590E" w:rsidRDefault="00D1590E" w:rsidP="00D1590E">
      <w:pPr>
        <w:numPr>
          <w:ilvl w:val="0"/>
          <w:numId w:val="24"/>
        </w:numPr>
      </w:pPr>
      <w:r w:rsidRPr="00D1590E">
        <w:t>The alternative methods of presenting asset age proposed by Advisian also have drawbacks. The first method, the cumulative percentage of assets over their mean asset age, is subject to the problem Advisian considered that our calculation of the WARL was subject to. That is it is dependent on the mean asset lives reported in the category analysis RINs, which in some cases may be dependent on service providers' accounting assumptions. The second method, which compares the percentage of assets older than 50 years, is affected by, as noted by Advisian, differences in assets used by the service providers.</w:t>
      </w:r>
      <w:r w:rsidRPr="00D1590E">
        <w:rPr>
          <w:rStyle w:val="FootnoteReference"/>
        </w:rPr>
        <w:t xml:space="preserve"> </w:t>
      </w:r>
      <w:r w:rsidRPr="00D1590E">
        <w:rPr>
          <w:rStyle w:val="FootnoteReference"/>
        </w:rPr>
        <w:footnoteReference w:id="836"/>
      </w:r>
      <w:r w:rsidRPr="00D1590E">
        <w:t xml:space="preserve"> The example used by Advisian is that SA Power Networks uses stobie poles which have long asset lives.</w:t>
      </w:r>
    </w:p>
    <w:p w:rsidR="00D1590E" w:rsidRPr="00D1590E" w:rsidRDefault="00D1590E" w:rsidP="00D1590E">
      <w:pPr>
        <w:numPr>
          <w:ilvl w:val="0"/>
          <w:numId w:val="24"/>
        </w:numPr>
      </w:pPr>
      <w:r w:rsidRPr="00D1590E">
        <w:t xml:space="preserve">Our calculation of the WARL is not subject to either of these issues. As mentioned before, the asset lives in our calculation of the WARL are based on benchmarked asset lives. As a result we consider that it is a better measure for network age </w:t>
      </w:r>
      <w:r w:rsidRPr="00D1590E">
        <w:lastRenderedPageBreak/>
        <w:t>comparisons. Further, we note Endeavour Energy itself uses WARL measures to forecast its repex costs.</w:t>
      </w:r>
      <w:r w:rsidRPr="00D1590E">
        <w:rPr>
          <w:rStyle w:val="FootnoteReference"/>
        </w:rPr>
        <w:t xml:space="preserve"> </w:t>
      </w:r>
      <w:r w:rsidRPr="00D1590E">
        <w:rPr>
          <w:rStyle w:val="FootnoteReference"/>
        </w:rPr>
        <w:footnoteReference w:id="837"/>
      </w:r>
    </w:p>
    <w:p w:rsidR="00D1590E" w:rsidRPr="00D1590E" w:rsidRDefault="00D1590E" w:rsidP="00D1590E">
      <w:pPr>
        <w:numPr>
          <w:ilvl w:val="0"/>
          <w:numId w:val="24"/>
        </w:numPr>
      </w:pPr>
      <w:r w:rsidRPr="00D1590E">
        <w:t xml:space="preserve">Nonetheless, in considering Advisian's statements we have considered an additional measure of asset age. In addition to our consideration of the benchmark WARL used in the draft decision, we have considered a measure based on the observed level of replacement for each service provider. </w:t>
      </w:r>
    </w:p>
    <w:p w:rsidR="00D1590E" w:rsidRPr="00D1590E" w:rsidRDefault="00D1590E" w:rsidP="00D1590E">
      <w:r w:rsidRPr="00D1590E">
        <w:t xml:space="preserve">The WARL in our draft decision uses benchmark unit rates and asset lives based on the unit rates and replacement rates observed across the NEM (benchmark WARL). The new measure uses service providers' own unit rates and replacement rates (observed WARL). </w:t>
      </w:r>
      <w:r w:rsidRPr="00D1590E">
        <w:fldChar w:fldCharType="begin"/>
      </w:r>
      <w:r w:rsidRPr="00D1590E">
        <w:instrText xml:space="preserve"> REF _Ref417643928 \h </w:instrText>
      </w:r>
      <w:r w:rsidRPr="00D1590E">
        <w:fldChar w:fldCharType="separate"/>
      </w:r>
      <w:r w:rsidR="00C57342" w:rsidRPr="00D1590E">
        <w:t xml:space="preserve">Figure </w:t>
      </w:r>
      <w:r w:rsidR="00C57342">
        <w:rPr>
          <w:noProof/>
        </w:rPr>
        <w:t>A</w:t>
      </w:r>
      <w:r w:rsidR="00C57342" w:rsidRPr="00D1590E">
        <w:t>.</w:t>
      </w:r>
      <w:r w:rsidR="00C57342">
        <w:rPr>
          <w:noProof/>
        </w:rPr>
        <w:t>27</w:t>
      </w:r>
      <w:r w:rsidRPr="00D1590E">
        <w:fldChar w:fldCharType="end"/>
      </w:r>
      <w:r w:rsidRPr="00D1590E">
        <w:t xml:space="preserve"> and </w:t>
      </w:r>
      <w:r w:rsidRPr="00D1590E">
        <w:fldChar w:fldCharType="begin"/>
      </w:r>
      <w:r w:rsidRPr="00D1590E">
        <w:instrText xml:space="preserve"> REF _Ref417643940 \h </w:instrText>
      </w:r>
      <w:r w:rsidRPr="00D1590E">
        <w:fldChar w:fldCharType="separate"/>
      </w:r>
      <w:r w:rsidR="00C57342" w:rsidRPr="00D1590E">
        <w:t xml:space="preserve">Figure </w:t>
      </w:r>
      <w:r w:rsidR="00C57342">
        <w:rPr>
          <w:noProof/>
        </w:rPr>
        <w:t>A</w:t>
      </w:r>
      <w:r w:rsidR="00C57342" w:rsidRPr="00D1590E">
        <w:t>.</w:t>
      </w:r>
      <w:r w:rsidR="00C57342">
        <w:rPr>
          <w:noProof/>
        </w:rPr>
        <w:t>28</w:t>
      </w:r>
      <w:r w:rsidRPr="00D1590E">
        <w:fldChar w:fldCharType="end"/>
      </w:r>
      <w:r w:rsidRPr="00D1590E">
        <w:t xml:space="preserve"> below compares all NEM service providers' on both WARLs. We note that we have excluded Jemena and United Energy because we have some concerns with some of their asset replacement data.</w:t>
      </w:r>
    </w:p>
    <w:p w:rsidR="00D1590E" w:rsidRPr="00D1590E" w:rsidRDefault="00D1590E" w:rsidP="00D1590E">
      <w:pPr>
        <w:pStyle w:val="Caption"/>
      </w:pPr>
      <w:bookmarkStart w:id="385" w:name="_Ref417643928"/>
      <w:r w:rsidRPr="00D1590E">
        <w:t xml:space="preserve">Figure </w:t>
      </w:r>
      <w:fldSimple w:instr=" STYLEREF 7 \s ">
        <w:r w:rsidR="00C57342">
          <w:rPr>
            <w:noProof/>
          </w:rPr>
          <w:t>A</w:t>
        </w:r>
      </w:fldSimple>
      <w:r w:rsidRPr="00D1590E">
        <w:t>.</w:t>
      </w:r>
      <w:fldSimple w:instr=" SEQ AFigure \* ARABIC \s 7 ">
        <w:r w:rsidR="00C57342">
          <w:rPr>
            <w:noProof/>
          </w:rPr>
          <w:t>27</w:t>
        </w:r>
      </w:fldSimple>
      <w:bookmarkEnd w:id="385"/>
      <w:r w:rsidRPr="00D1590E">
        <w:tab/>
        <w:t>Benchmarked Weighted Average Remaining Life for each NEM service provider</w:t>
      </w:r>
    </w:p>
    <w:p w:rsidR="00D1590E" w:rsidRPr="00D1590E" w:rsidRDefault="00D1590E" w:rsidP="00D1590E">
      <w:pPr>
        <w:numPr>
          <w:ilvl w:val="0"/>
          <w:numId w:val="24"/>
        </w:numPr>
      </w:pPr>
      <w:r w:rsidRPr="00D1590E">
        <w:rPr>
          <w:noProof/>
          <w:lang w:eastAsia="en-AU"/>
        </w:rPr>
        <w:drawing>
          <wp:inline distT="0" distB="0" distL="0" distR="0" wp14:anchorId="0FA23592" wp14:editId="5CEDD07E">
            <wp:extent cx="5464098" cy="32670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64098" cy="3267075"/>
                    </a:xfrm>
                    <a:prstGeom prst="rect">
                      <a:avLst/>
                    </a:prstGeom>
                    <a:noFill/>
                    <a:ln>
                      <a:noFill/>
                    </a:ln>
                  </pic:spPr>
                </pic:pic>
              </a:graphicData>
            </a:graphic>
          </wp:inline>
        </w:drawing>
      </w:r>
    </w:p>
    <w:p w:rsidR="00D1590E" w:rsidRPr="00D1590E" w:rsidRDefault="00D1590E" w:rsidP="00D1590E">
      <w:pPr>
        <w:pStyle w:val="AERtablesource"/>
      </w:pPr>
      <w:r w:rsidRPr="00D1590E">
        <w:t>Source: Category analysis RIN data, AER Analysis</w:t>
      </w:r>
    </w:p>
    <w:p w:rsidR="00D1590E" w:rsidRPr="00D1590E" w:rsidRDefault="00D1590E" w:rsidP="00D1590E">
      <w:pPr>
        <w:pStyle w:val="Caption"/>
      </w:pPr>
      <w:bookmarkStart w:id="386" w:name="_Ref417643940"/>
      <w:r w:rsidRPr="00D1590E">
        <w:lastRenderedPageBreak/>
        <w:t xml:space="preserve">Figure </w:t>
      </w:r>
      <w:fldSimple w:instr=" STYLEREF 7 \s ">
        <w:r w:rsidR="00C57342">
          <w:rPr>
            <w:noProof/>
          </w:rPr>
          <w:t>A</w:t>
        </w:r>
      </w:fldSimple>
      <w:r w:rsidRPr="00D1590E">
        <w:t>.</w:t>
      </w:r>
      <w:fldSimple w:instr=" SEQ AFigure \* ARABIC \s 7 ">
        <w:r w:rsidR="00C57342">
          <w:rPr>
            <w:noProof/>
          </w:rPr>
          <w:t>28</w:t>
        </w:r>
      </w:fldSimple>
      <w:bookmarkEnd w:id="386"/>
      <w:r w:rsidRPr="00D1590E">
        <w:tab/>
        <w:t>Observed Weighted Average Remaining Life for each NEM service provider</w:t>
      </w:r>
    </w:p>
    <w:p w:rsidR="00D1590E" w:rsidRPr="00D1590E" w:rsidRDefault="00D1590E" w:rsidP="00D1590E">
      <w:pPr>
        <w:numPr>
          <w:ilvl w:val="0"/>
          <w:numId w:val="24"/>
        </w:numPr>
      </w:pPr>
      <w:r w:rsidRPr="00D1590E">
        <w:rPr>
          <w:noProof/>
          <w:lang w:eastAsia="en-AU"/>
        </w:rPr>
        <w:drawing>
          <wp:inline distT="0" distB="0" distL="0" distR="0" wp14:anchorId="2A64634B" wp14:editId="6841EED6">
            <wp:extent cx="5480028" cy="32766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0028" cy="3276600"/>
                    </a:xfrm>
                    <a:prstGeom prst="rect">
                      <a:avLst/>
                    </a:prstGeom>
                    <a:noFill/>
                    <a:ln>
                      <a:noFill/>
                    </a:ln>
                  </pic:spPr>
                </pic:pic>
              </a:graphicData>
            </a:graphic>
          </wp:inline>
        </w:drawing>
      </w:r>
    </w:p>
    <w:p w:rsidR="00D1590E" w:rsidRPr="00D1590E" w:rsidRDefault="00D1590E" w:rsidP="00D1590E">
      <w:pPr>
        <w:pStyle w:val="AERtablesource"/>
      </w:pPr>
      <w:r w:rsidRPr="00D1590E">
        <w:t>Source: Category analysis RIN data, AER Analysis</w:t>
      </w:r>
    </w:p>
    <w:p w:rsidR="00D1590E" w:rsidRPr="00D1590E" w:rsidRDefault="00D1590E" w:rsidP="00D1590E">
      <w:pPr>
        <w:numPr>
          <w:ilvl w:val="0"/>
          <w:numId w:val="24"/>
        </w:numPr>
      </w:pPr>
      <w:r w:rsidRPr="00D1590E">
        <w:t xml:space="preserve">Both the benchmarked WARL and observed WARL have strengths and weaknesses as measures. The benchmarked WARL allows comparison of service providers independent of the quality of service providers' management, because the same unit costs and standard lives are used for all service providers. The observed WARL accounts for unobservable differences between service providers as it is based on the unit rates and standard lives revealed by service providers' actions over the 2009 to 2013 period. </w:t>
      </w:r>
    </w:p>
    <w:p w:rsidR="00D1590E" w:rsidRPr="00D1590E" w:rsidRDefault="00D1590E" w:rsidP="00D1590E">
      <w:pPr>
        <w:numPr>
          <w:ilvl w:val="0"/>
          <w:numId w:val="24"/>
        </w:numPr>
      </w:pPr>
      <w:r w:rsidRPr="00D1590E">
        <w:t>The drawback of the benchmarked WARL is that it treats all service providers as if they operate in the same operating environment. This is because differences in service providers' operating environment will affect their asset lives and also their unit costs.</w:t>
      </w:r>
    </w:p>
    <w:p w:rsidR="00D1590E" w:rsidRPr="00D1590E" w:rsidRDefault="00D1590E" w:rsidP="00D1590E">
      <w:pPr>
        <w:numPr>
          <w:ilvl w:val="0"/>
          <w:numId w:val="24"/>
        </w:numPr>
      </w:pPr>
      <w:r w:rsidRPr="00D1590E">
        <w:t>The drawback of the observed WARL is that it is affected by service providers' management strategies. This is because the unit rates and standard asset lives realised will be affected by management decisions during the sample period.</w:t>
      </w:r>
    </w:p>
    <w:p w:rsidR="00D1590E" w:rsidRPr="00D1590E" w:rsidRDefault="00D1590E" w:rsidP="00D1590E">
      <w:pPr>
        <w:numPr>
          <w:ilvl w:val="0"/>
          <w:numId w:val="24"/>
        </w:numPr>
      </w:pPr>
      <w:r w:rsidRPr="00D1590E">
        <w:t>As both WARL measures have strength and weaknesses, we have considered both in comparing the relative asset ages of the NEM service providers.</w:t>
      </w:r>
    </w:p>
    <w:p w:rsidR="00D1590E" w:rsidRPr="00D1590E" w:rsidRDefault="00D1590E" w:rsidP="00D1590E">
      <w:pPr>
        <w:numPr>
          <w:ilvl w:val="0"/>
          <w:numId w:val="24"/>
        </w:numPr>
      </w:pPr>
      <w:r w:rsidRPr="00D1590E">
        <w:t>Ausgrid has a lower remaining life than the comparison firms on both WARL measures. This suggests that Ausgrid's asset base is relatively further from old age than the comparison firms. As a result it is likely that Ausgrid has a cost disadvantage relative to the comparison firms due to asset age.</w:t>
      </w:r>
    </w:p>
    <w:p w:rsidR="00D1590E" w:rsidRPr="00D1590E" w:rsidRDefault="00D1590E" w:rsidP="00D1590E">
      <w:pPr>
        <w:numPr>
          <w:ilvl w:val="0"/>
          <w:numId w:val="24"/>
        </w:numPr>
      </w:pPr>
      <w:r w:rsidRPr="00D1590E">
        <w:lastRenderedPageBreak/>
        <w:t>Endeavour has a higher benchmarked WARL but a lower observed WARL than the comparison firms. On this basis it is difficult to determine if Endeavour will have a cost advantage or disadvantage relative to the comparison firms due to asset age.</w:t>
      </w:r>
    </w:p>
    <w:p w:rsidR="00D1590E" w:rsidRPr="00D1590E" w:rsidRDefault="00D1590E" w:rsidP="00D1590E">
      <w:pPr>
        <w:numPr>
          <w:ilvl w:val="0"/>
          <w:numId w:val="24"/>
        </w:numPr>
      </w:pPr>
      <w:r w:rsidRPr="00D1590E">
        <w:t>Essential has a higher remaining life than the comparison firms on both WARL measures. This suggests that Essential's asset base is relatively further from old age than the comparison firms. As a result it is likely that Essential has a cost advantage relative to the comparison firms due to asset age.</w:t>
      </w:r>
    </w:p>
    <w:p w:rsidR="00D1590E" w:rsidRPr="00D1590E" w:rsidRDefault="00D1590E" w:rsidP="00D1590E">
      <w:pPr>
        <w:numPr>
          <w:ilvl w:val="0"/>
          <w:numId w:val="24"/>
        </w:numPr>
      </w:pPr>
      <w:r w:rsidRPr="00D1590E">
        <w:t>Although it will not lead to material differences in opex, asset age is likely to lead to some difference in opex between the comparison firms and NSW service providers. An OEF adjustment for asset age would also meet the exogeneity and duplication OEF adjustment criteria. The date a network was established is beyond service providers' control and there are no variables in Economic Insights' SFA model that account for it. Therefore we have included adjustments for asset age in our adjustments for immaterial factors for Ausgrid, Endeavour, and Essential. As Ausgrid appears to have a cost disadvantage on asset age, and it is unclear if Endeavour has a cost disadvantage, we have provided a positive 0.5 per cent adjustment for those service providers. As Essential appears to have a cost advantage we have made a negative 0.5 per cent adjustment to Essential.</w:t>
      </w:r>
    </w:p>
    <w:p w:rsidR="00D1590E" w:rsidRPr="00D1590E" w:rsidRDefault="00D1590E" w:rsidP="00D1590E">
      <w:pPr>
        <w:pStyle w:val="HeadingBoldBlue"/>
        <w:numPr>
          <w:ilvl w:val="0"/>
          <w:numId w:val="24"/>
        </w:numPr>
      </w:pPr>
      <w:bookmarkStart w:id="387" w:name="_Toc417646337"/>
      <w:r w:rsidRPr="00D1590E">
        <w:t>Asset volumes</w:t>
      </w:r>
      <w:bookmarkEnd w:id="387"/>
    </w:p>
    <w:p w:rsidR="00D1590E" w:rsidRPr="00D1590E" w:rsidRDefault="00D1590E" w:rsidP="00D1590E">
      <w:pPr>
        <w:pStyle w:val="ListParagraph"/>
        <w:numPr>
          <w:ilvl w:val="0"/>
          <w:numId w:val="24"/>
        </w:numPr>
      </w:pPr>
      <w:r w:rsidRPr="00D1590E">
        <w:t>We are not satisfied that an OEF adjustment for the volume of assets used to provide services over its network would meet the exogeneity or duplication OEF adjustment criteria. Network service providers have direct control over the assets that they choose to install and Economic Insights SFA model account for the drivers of asset installation.</w:t>
      </w:r>
    </w:p>
    <w:p w:rsidR="00D1590E" w:rsidRPr="00D1590E" w:rsidRDefault="00D1590E" w:rsidP="00D1590E">
      <w:pPr>
        <w:pStyle w:val="ListParagraph"/>
        <w:numPr>
          <w:ilvl w:val="0"/>
          <w:numId w:val="24"/>
        </w:numPr>
      </w:pPr>
      <w:r w:rsidRPr="00D1590E">
        <w:t>In our draft decision we did not provide an adjustment for the volume of assets used by service providers. We examined if an OEF was required for demand supplied and line length. We concluded that Economic Insights' SFA model adequately account for these factors so no adjustment was required.</w:t>
      </w:r>
    </w:p>
    <w:p w:rsidR="00D1590E" w:rsidRPr="00D1590E" w:rsidRDefault="00D1590E" w:rsidP="00D1590E">
      <w:r w:rsidRPr="00D1590E">
        <w:t>In response to our draft decision, ActewAGL, the NSW service providers' consultant Advisian, and the NSW Chief Operating Officers noted that the number of assets that a service provider uses to operate its network will drive its operating costs.</w:t>
      </w:r>
      <w:r w:rsidRPr="00D1590E">
        <w:rPr>
          <w:rStyle w:val="FootnoteReference"/>
        </w:rPr>
        <w:footnoteReference w:id="838"/>
      </w:r>
      <w:r w:rsidRPr="00D1590E">
        <w:rPr>
          <w:rStyle w:val="FootnoteReference"/>
        </w:rPr>
        <w:footnoteReference w:id="839"/>
      </w:r>
      <w:r w:rsidRPr="00D1590E">
        <w:rPr>
          <w:rStyle w:val="FootnoteReference"/>
        </w:rPr>
        <w:t xml:space="preserve"> </w:t>
      </w:r>
      <w:r w:rsidRPr="00D1590E">
        <w:rPr>
          <w:rStyle w:val="FootnoteReference"/>
        </w:rPr>
        <w:footnoteReference w:id="840"/>
      </w:r>
      <w:r w:rsidRPr="00D1590E">
        <w:t xml:space="preserve"> </w:t>
      </w:r>
      <w:r w:rsidRPr="00D1590E">
        <w:rPr>
          <w:rStyle w:val="FootnoteReference"/>
        </w:rPr>
        <w:footnoteReference w:id="841"/>
      </w:r>
      <w:r w:rsidRPr="00D1590E">
        <w:t xml:space="preserve"> Advisian submitted that it considers that the variables in Economic Insights' SFA model ignores the cost of maintaining a larger number of assets. In particular, Advisian raised these points with regard to line length and transformer capacity. We address line length above in our consideration of customer factors.</w:t>
      </w:r>
    </w:p>
    <w:p w:rsidR="00D1590E" w:rsidRPr="00D1590E" w:rsidRDefault="00D1590E" w:rsidP="00D1590E">
      <w:r w:rsidRPr="00D1590E">
        <w:t xml:space="preserve">In general, we consider that demand side variables should be used to determine the benchmark opex required. This is because it is a good measure of the capacity that a </w:t>
      </w:r>
      <w:r w:rsidRPr="00D1590E">
        <w:lastRenderedPageBreak/>
        <w:t>service provider must maintain to provide distribution services. Using measures driven by the value of assets</w:t>
      </w:r>
      <w:r w:rsidRPr="00D1590E">
        <w:rPr>
          <w:rStyle w:val="FootnoteReference"/>
        </w:rPr>
        <w:footnoteReference w:id="842"/>
      </w:r>
      <w:r w:rsidRPr="00D1590E">
        <w:t xml:space="preserve"> or volume of assets installed runs the risk of rewarding service providers for inefficiently overinvesting. As a result, such expenditure would not meet the exogeneity OEF criterion. This is because the extent of investment in assets to meet the realised customer demand is at the discretion of the service provider.</w:t>
      </w:r>
    </w:p>
    <w:p w:rsidR="00D1590E" w:rsidRPr="00D1590E" w:rsidRDefault="00D1590E" w:rsidP="00D1590E">
      <w:r w:rsidRPr="00D1590E">
        <w:t>Advisian submitted that the amount of transformer capacity installed by service providers is likely to affect our benchmarking results.</w:t>
      </w:r>
      <w:r w:rsidRPr="00D1590E">
        <w:rPr>
          <w:rStyle w:val="FootnoteReference"/>
        </w:rPr>
        <w:t xml:space="preserve"> </w:t>
      </w:r>
      <w:r w:rsidRPr="00D1590E">
        <w:rPr>
          <w:rStyle w:val="FootnoteReference"/>
        </w:rPr>
        <w:footnoteReference w:id="843"/>
      </w:r>
      <w:r w:rsidRPr="00D1590E">
        <w:t xml:space="preserve"> </w:t>
      </w:r>
      <w:r w:rsidRPr="00D1590E">
        <w:rPr>
          <w:rStyle w:val="FootnoteReference"/>
        </w:rPr>
        <w:footnoteReference w:id="844"/>
      </w:r>
      <w:r w:rsidRPr="00D1590E">
        <w:t xml:space="preserve"> Advisian considers that the ratcheted peak demand variable will not take into account the spatial element of demand or additional capacity installed for system security. We address the issue of additional capacity installed for system security under our consideration of licence conditions.</w:t>
      </w:r>
    </w:p>
    <w:p w:rsidR="00D1590E" w:rsidRPr="00D1590E" w:rsidRDefault="00D1590E" w:rsidP="00D1590E">
      <w:r w:rsidRPr="00D1590E">
        <w:t>The ratcheted peak demand variable in Economic Insights' SFA model accounts for the spatial element of demand. This is because it uses non-coincident system demand. As a result service providers that have separated commercial and residential areas will not be disadvantaged in Economic Insights' SFA model.</w:t>
      </w:r>
    </w:p>
    <w:p w:rsidR="00D1590E" w:rsidRPr="00D1590E" w:rsidRDefault="00D1590E" w:rsidP="00D1590E">
      <w:r w:rsidRPr="00D1590E">
        <w:t xml:space="preserve">Advisian also submitted that service providers should be compensated for transformer capacity installed. This is because it must be installed to meet forecast demand. </w:t>
      </w:r>
      <w:r w:rsidRPr="00D1590E">
        <w:rPr>
          <w:rStyle w:val="FootnoteReference"/>
        </w:rPr>
        <w:footnoteReference w:id="845"/>
      </w:r>
      <w:r w:rsidRPr="00D1590E">
        <w:t xml:space="preserve"> Therefore having excess capacity is not necessarily inefficient.</w:t>
      </w:r>
    </w:p>
    <w:p w:rsidR="00D1590E" w:rsidRPr="00D1590E" w:rsidRDefault="00D1590E" w:rsidP="00D1590E">
      <w:r w:rsidRPr="00D1590E">
        <w:t>This dilemma faces all service providers. All service providers must install transformer capacity to meet forecast demand. Therefore to the extent that a service provider must invest in excess capacity, this will be captured in ratcheted maximum demand. As a result if a service provider systematically overinvests in excess capacity transformer capacity, this is evidence that service provider's management performs relatively worse in responding to changes in demand conditions. As a result, benchmarking on the basis of installed capacity rather than ratcheted peak demand has the potential to reward inefficient investment.</w:t>
      </w:r>
    </w:p>
    <w:p w:rsidR="00D1590E" w:rsidRPr="00D1590E" w:rsidRDefault="00D1590E" w:rsidP="00D1590E">
      <w:pPr>
        <w:pStyle w:val="HeadingBoldBlue"/>
        <w:numPr>
          <w:ilvl w:val="0"/>
          <w:numId w:val="24"/>
        </w:numPr>
      </w:pPr>
      <w:bookmarkStart w:id="388" w:name="_Toc417646338"/>
      <w:r w:rsidRPr="00D1590E">
        <w:t>Critical National Infrastructure</w:t>
      </w:r>
      <w:bookmarkEnd w:id="388"/>
    </w:p>
    <w:p w:rsidR="00D1590E" w:rsidRPr="00D1590E" w:rsidRDefault="00D1590E" w:rsidP="00D1590E">
      <w:pPr>
        <w:numPr>
          <w:ilvl w:val="0"/>
          <w:numId w:val="24"/>
        </w:numPr>
      </w:pPr>
      <w:r w:rsidRPr="00D1590E">
        <w:t>We are not satisfied that an OEF for Critical National Infrastructure (CNI) meets the exogeneity OEF adjustment criteria. To the extent that a service provider decides to invest in physical security to a greater extent than other service providers, that is a management decision for the service provider.</w:t>
      </w:r>
    </w:p>
    <w:p w:rsidR="00D1590E" w:rsidRPr="00D1590E" w:rsidRDefault="00D1590E" w:rsidP="00D1590E">
      <w:r w:rsidRPr="00D1590E">
        <w:t>In response to our draft decision, Huegin raised CNI as an OEF that may lead to differences in opex.</w:t>
      </w:r>
      <w:r w:rsidRPr="00D1590E">
        <w:rPr>
          <w:rStyle w:val="FootnoteReference"/>
        </w:rPr>
        <w:footnoteReference w:id="846"/>
      </w:r>
      <w:r w:rsidRPr="00D1590E">
        <w:t xml:space="preserve"> Huegin noted that Ofgem excludes costs associated with CNI from its totex benchmarking. CNI are electricity distribution sites designated by the UK </w:t>
      </w:r>
      <w:r w:rsidRPr="00D1590E">
        <w:lastRenderedPageBreak/>
        <w:t>Department of Energy and Climate Change (DECC).</w:t>
      </w:r>
      <w:r w:rsidRPr="00D1590E">
        <w:rPr>
          <w:rStyle w:val="FootnoteReference"/>
        </w:rPr>
        <w:footnoteReference w:id="847"/>
      </w:r>
      <w:r w:rsidRPr="00D1590E">
        <w:t xml:space="preserve"> All sites confirmed by DECC as Category 3 CNI or above are eligible for ex ante funding in accordance with the "Physical Security Upgrade Programme".</w:t>
      </w:r>
      <w:r w:rsidRPr="00D1590E">
        <w:rPr>
          <w:rStyle w:val="FootnoteReference"/>
        </w:rPr>
        <w:footnoteReference w:id="848"/>
      </w:r>
      <w:r w:rsidRPr="00D1590E">
        <w:t xml:space="preserve"> We note that Huegin has provided no explanation of how this relates to the Australian context.</w:t>
      </w:r>
    </w:p>
    <w:p w:rsidR="00D1590E" w:rsidRPr="00D1590E" w:rsidRDefault="00D1590E" w:rsidP="00D1590E">
      <w:r w:rsidRPr="00D1590E">
        <w:t>Ofgem provides an allowance for CNI programs in the UK following guidance from a government agency called The Centre for the Protection of National Infrastructure (CPNI)</w:t>
      </w:r>
      <w:r w:rsidRPr="00D1590E">
        <w:rPr>
          <w:rStyle w:val="FootnoteReference"/>
        </w:rPr>
        <w:footnoteReference w:id="849"/>
      </w:r>
      <w:r w:rsidRPr="00D1590E">
        <w:t>. In Australia CNI projects are undertaken at the discretion of service providers following industry wide guidelines.</w:t>
      </w:r>
      <w:r w:rsidRPr="00D1590E">
        <w:rPr>
          <w:rStyle w:val="FootnoteReference"/>
        </w:rPr>
        <w:footnoteReference w:id="850"/>
      </w:r>
    </w:p>
    <w:p w:rsidR="00D1590E" w:rsidRPr="00D1590E" w:rsidRDefault="00D1590E" w:rsidP="00D1590E">
      <w:pPr>
        <w:pStyle w:val="ListParagraph"/>
        <w:numPr>
          <w:ilvl w:val="0"/>
          <w:numId w:val="24"/>
        </w:numPr>
      </w:pPr>
      <w:r w:rsidRPr="00D1590E">
        <w:t>Based on the evidence before us, we are not satisfied that the NSW service providers' regulatory responsibilities for CNI are greater than other service providers'. As a result, providing an OEF adjustment for CNI does not meet the exogeneity OEF adjustment criterion. To the extent that the NSW service providers choose to invest more in physical security than other service providers, that is a management decision for the NSW service providers.</w:t>
      </w:r>
    </w:p>
    <w:p w:rsidR="00D1590E" w:rsidRPr="00D1590E" w:rsidRDefault="00D1590E" w:rsidP="00D1590E">
      <w:pPr>
        <w:pStyle w:val="HeadingBoldBlue"/>
        <w:numPr>
          <w:ilvl w:val="0"/>
          <w:numId w:val="24"/>
        </w:numPr>
      </w:pPr>
      <w:bookmarkStart w:id="389" w:name="_Toc417646339"/>
      <w:r w:rsidRPr="00D1590E">
        <w:t>Customer owned distribution transformers</w:t>
      </w:r>
      <w:bookmarkEnd w:id="389"/>
    </w:p>
    <w:p w:rsidR="00D1590E" w:rsidRPr="00D1590E" w:rsidRDefault="00D1590E" w:rsidP="00D1590E">
      <w:r w:rsidRPr="00D1590E">
        <w:t>We are not satisfied that an OEF adjustment to account for differences in the amount of transformer capacity owned by customers would meet the materiality OEF criterion. The amount of distribution capacity owned by customers is relatively small, and the distribution transformer maintenance as a percentage of opex is also small. As a result, the maintenance avoided by service providers with customers who own their substations is not considered material.</w:t>
      </w:r>
    </w:p>
    <w:p w:rsidR="00D1590E" w:rsidRPr="00D1590E" w:rsidRDefault="00D1590E" w:rsidP="00D1590E">
      <w:r w:rsidRPr="00D1590E">
        <w:t>In some cases, customers take electricity from service providers at higher voltages. In these cases the customer will own and operate transformer equipment to deliver electricity to the voltages they require for their uses. By not having to maintain distribution transformer equipment to service those customers, service providers gain a cost saving when compared against energy and demand throughput.</w:t>
      </w:r>
    </w:p>
    <w:p w:rsidR="00D1590E" w:rsidRPr="00D1590E" w:rsidRDefault="00D1590E" w:rsidP="00D1590E">
      <w:r w:rsidRPr="00D1590E">
        <w:t>In response to our draft decision, ActewAGL's consultant Advisian noted that the differences in the amount of distribution transformer capacity owned by customers will lead to differences in service provider's opex.</w:t>
      </w:r>
      <w:r w:rsidRPr="00D1590E">
        <w:rPr>
          <w:rStyle w:val="FootnoteReference"/>
        </w:rPr>
        <w:footnoteReference w:id="851"/>
      </w:r>
      <w:r w:rsidRPr="00D1590E">
        <w:t xml:space="preserve"> Advisian submitted that ActewAGL would have a cost disadvantage because it has a lower percentage of customer owned distribution transformation equipment connected to its network than other service providers.</w:t>
      </w:r>
    </w:p>
    <w:p w:rsidR="00D1590E" w:rsidRPr="00D1590E" w:rsidRDefault="00D1590E" w:rsidP="00D1590E">
      <w:r w:rsidRPr="00D1590E">
        <w:t xml:space="preserve">Differences in the amount of distribution transformer capacity owned by customers is also not likely to lead to material differences in opex between the service providers. </w:t>
      </w:r>
      <w:r w:rsidRPr="00D1590E">
        <w:lastRenderedPageBreak/>
        <w:t>These differences may lead to a cost disadvantage of 0.1 per cent for Endeavour and a cost advantage of 0.1 per cent for Ausgrid. It appears that Essential would have neither an advantage or disadvantage.</w:t>
      </w:r>
    </w:p>
    <w:p w:rsidR="00D1590E" w:rsidRPr="00D1590E" w:rsidRDefault="00D1590E" w:rsidP="00D1590E">
      <w:r w:rsidRPr="00D1590E">
        <w:t>Distribution substation maintenance only accounts for on average 2.6, 1.9, and 0.1 per cent of Ausgrid's, Endeavour's, and Essential's network services opex.</w:t>
      </w:r>
      <w:r w:rsidRPr="00D1590E">
        <w:rPr>
          <w:rStyle w:val="FootnoteReference"/>
        </w:rPr>
        <w:footnoteReference w:id="852"/>
      </w:r>
      <w:r w:rsidRPr="00D1590E">
        <w:t xml:space="preserve"> Ausgrid, Endeavour, and Essential own 89.6, 99.2, and 90.8 per cent of distribution transformer capacity connected to their networks.</w:t>
      </w:r>
      <w:r w:rsidRPr="00D1590E">
        <w:rPr>
          <w:rStyle w:val="FootnoteReference"/>
        </w:rPr>
        <w:footnoteReference w:id="853"/>
      </w:r>
      <w:r w:rsidRPr="00D1590E">
        <w:t xml:space="preserve"> The Frontier firms on average, weighted by customer numbers, own 93.9 per cent of distribution transformer capacity.</w:t>
      </w:r>
      <w:r w:rsidRPr="00D1590E">
        <w:rPr>
          <w:rStyle w:val="FootnoteReference"/>
        </w:rPr>
        <w:t xml:space="preserve"> </w:t>
      </w:r>
      <w:r w:rsidRPr="00D1590E">
        <w:rPr>
          <w:rStyle w:val="FootnoteReference"/>
        </w:rPr>
        <w:footnoteReference w:id="854"/>
      </w:r>
      <w:r w:rsidRPr="00D1590E">
        <w:t xml:space="preserve"> On this basis Ausgrid's and Essential's distribution substation maintenance opex may be 4.5 and 3.3 per cent lower and Endeavour Energy's may be 5.6 per cent higher than they would be if their customers owned a similar percentage of distribution transformers as the frontier service providers' customers. This suggests Endeavour may have a 0.1 per cent cost disadvantage at the total network services opex level, while Ausgrid and Essential have cost advantages of 0.1 and zero per cent respectively. As these figures represent increases and decreases in the NSW service providers' historical opex, they must be adjusted represent changes in efficient opex as discussed in the calculation of OEFs section above. This suggests a decrease in efficient opex of 0.2 per cent for Ausgrid no change for Essential, and a 0.1 per cent cost advantage for Endeavour.</w:t>
      </w:r>
    </w:p>
    <w:p w:rsidR="00D1590E" w:rsidRPr="00D1590E" w:rsidRDefault="00D1590E" w:rsidP="00D1590E">
      <w:r w:rsidRPr="00D1590E">
        <w:t xml:space="preserve">However, following our approach to accounting for immaterial factors we have included differences in the amount of customer owned distribution transformer capacity in our adjustment for immaterial OEFs. An OEF adjustment for differences in customer owned distribution transformer capacity would meet the exogeneity and duplication OEF adjustment criteria. The number of customers that take electricity at high distribution voltages is not determined by service providers and there are no variables in Economic Insights' SFA model to account for it. Given that we are able to estimate the potential cost impact of differences in ownership of distribution transformer capacity, we have used these figures for the relevant contributions to the immaterial factors OEF adjustment. </w:t>
      </w:r>
    </w:p>
    <w:p w:rsidR="00D1590E" w:rsidRPr="00D1590E" w:rsidRDefault="00D1590E" w:rsidP="00D1590E">
      <w:pPr>
        <w:pStyle w:val="HeadingBoldBlue"/>
        <w:numPr>
          <w:ilvl w:val="0"/>
          <w:numId w:val="24"/>
        </w:numPr>
      </w:pPr>
      <w:bookmarkStart w:id="390" w:name="_Toc417646340"/>
      <w:r w:rsidRPr="00D1590E">
        <w:t>Demand management</w:t>
      </w:r>
      <w:bookmarkEnd w:id="390"/>
    </w:p>
    <w:p w:rsidR="00D1590E" w:rsidRPr="00D1590E" w:rsidRDefault="00D1590E" w:rsidP="00D1590E">
      <w:pPr>
        <w:pStyle w:val="ListParagraph"/>
        <w:numPr>
          <w:ilvl w:val="0"/>
          <w:numId w:val="24"/>
        </w:numPr>
      </w:pPr>
      <w:r w:rsidRPr="00D1590E">
        <w:t>We are not satisfied that an OEF adjustment for differences in the demand management service providers' undertake would meet the duplication OEF criterion. Demand management is a capex opex trade-off. We have considered the impact of capex opex trade-offs under the capitalisation practice OEF.</w:t>
      </w:r>
    </w:p>
    <w:p w:rsidR="00D1590E" w:rsidRPr="00D1590E" w:rsidRDefault="00D1590E" w:rsidP="00D1590E">
      <w:pPr>
        <w:pStyle w:val="ListParagraph"/>
        <w:numPr>
          <w:ilvl w:val="0"/>
          <w:numId w:val="24"/>
        </w:numPr>
      </w:pPr>
      <w:r w:rsidRPr="00D1590E">
        <w:t>Demand management is the use of various strategies to change customers' electricity use. By changing energy use, service providers can avoid the need for large investments in network upgrades to meet a peak demand that only occurs for a small part of the year. In this way service providers can reduce their capex by using opex.</w:t>
      </w:r>
    </w:p>
    <w:p w:rsidR="00D1590E" w:rsidRPr="00D1590E" w:rsidRDefault="00D1590E" w:rsidP="00D1590E">
      <w:pPr>
        <w:pStyle w:val="ListParagraph"/>
        <w:numPr>
          <w:ilvl w:val="0"/>
          <w:numId w:val="24"/>
        </w:numPr>
      </w:pPr>
      <w:r w:rsidRPr="00D1590E">
        <w:lastRenderedPageBreak/>
        <w:t>The decision to undertake demand management is a capex opex trade-off. Service providers face many of these trade-offs. Other examples include the choice to rent or buy depots, to run lines over or underground, to replace or maintain. We consider that where a capex opex trade-off exists, the decision on whether to provide an OEF adjustment should be considered in the broader context of service providers' capex to opex ratio. This is because a service provider may utilise a solution that is opex intensive in one area, but overall may have a preference for capital intensive solutions. In this situation providing a positive OEF adjustment for an opex intensive solution would overcompensate the service provider. This is because focusing only on opex capex trade-off OEFs that disadvantage service providers will upwardly bias the total OEF adjustment.</w:t>
      </w:r>
    </w:p>
    <w:p w:rsidR="00D1590E" w:rsidRPr="00D1590E" w:rsidRDefault="00D1590E" w:rsidP="00D1590E">
      <w:pPr>
        <w:pStyle w:val="ListParagraph"/>
        <w:numPr>
          <w:ilvl w:val="0"/>
          <w:numId w:val="24"/>
        </w:numPr>
      </w:pPr>
      <w:r w:rsidRPr="00D1590E">
        <w:t xml:space="preserve">In our capitalisation practices section we compare the capex opex ratios for the NEM service providers. </w:t>
      </w:r>
      <w:r w:rsidRPr="00D1590E">
        <w:fldChar w:fldCharType="begin"/>
      </w:r>
      <w:r w:rsidRPr="00D1590E">
        <w:instrText xml:space="preserve"> REF _Ref417642694 \h </w:instrText>
      </w:r>
      <w:r w:rsidRPr="00D1590E">
        <w:fldChar w:fldCharType="separate"/>
      </w:r>
      <w:r w:rsidR="00C57342" w:rsidRPr="00D1590E">
        <w:t xml:space="preserve">Figure </w:t>
      </w:r>
      <w:r w:rsidR="00C57342">
        <w:rPr>
          <w:noProof/>
        </w:rPr>
        <w:t>A</w:t>
      </w:r>
      <w:r w:rsidR="00C57342" w:rsidRPr="00D1590E">
        <w:t>.</w:t>
      </w:r>
      <w:r w:rsidR="00C57342">
        <w:rPr>
          <w:noProof/>
        </w:rPr>
        <w:t>11</w:t>
      </w:r>
      <w:r w:rsidRPr="00D1590E">
        <w:fldChar w:fldCharType="end"/>
      </w:r>
      <w:r w:rsidRPr="00D1590E">
        <w:t xml:space="preserve"> shows that, after our adjustment for differences in capitalisation practices, the NSW service providers expense a similar amount of their costs to the comparison firms. We have accounted for differences in capitalisation practices in our collective adjustment for individually immaterial OEFs. Therefore, we are satisfied that differences in opex due to demand management in service provider's networks are accounted in our consideration of capitalisation practices.</w:t>
      </w:r>
    </w:p>
    <w:p w:rsidR="00D1590E" w:rsidRPr="00D1590E" w:rsidRDefault="00D1590E" w:rsidP="00D1590E">
      <w:pPr>
        <w:pStyle w:val="HeadingBoldBlue"/>
        <w:numPr>
          <w:ilvl w:val="0"/>
          <w:numId w:val="24"/>
        </w:numPr>
      </w:pPr>
      <w:bookmarkStart w:id="391" w:name="_Toc417646341"/>
      <w:r w:rsidRPr="00D1590E">
        <w:t>Line sag</w:t>
      </w:r>
      <w:bookmarkEnd w:id="391"/>
    </w:p>
    <w:p w:rsidR="00D1590E" w:rsidRPr="00D1590E" w:rsidRDefault="00D1590E" w:rsidP="00D1590E">
      <w:r w:rsidRPr="00D1590E">
        <w:t>We are not satisfied that OEF adjustment for line sag would meet the exogeneity OEF criterion. A prudent service provider would design its network to take into account the demand it services and the environment it operates in. Specifically, network businesses design and construct overhead lines so that they are compliant with the statutory obligations under all standard operating conditions.</w:t>
      </w:r>
    </w:p>
    <w:p w:rsidR="00D1590E" w:rsidRPr="00D1590E" w:rsidRDefault="00D1590E" w:rsidP="00D1590E">
      <w:r w:rsidRPr="00D1590E">
        <w:t>Overhead electrical lines expand when heated and this results in the “sag” of the line increasing. Line heating is caused by environmental factors and by the delivery of energy through the line.</w:t>
      </w:r>
    </w:p>
    <w:p w:rsidR="00D1590E" w:rsidRPr="00D1590E" w:rsidRDefault="00D1590E" w:rsidP="00D1590E">
      <w:r w:rsidRPr="00D1590E">
        <w:t>Ergon Energy raised the point that high loads and temperatures lead to significant conductor sag. As Ergon Energy is obliged to maintain regulatory clearances of all conductors, its opex includes a system of measuring and actively repairing line sag to ensure regulatory compliance.</w:t>
      </w:r>
      <w:r w:rsidRPr="00D1590E">
        <w:rPr>
          <w:rStyle w:val="FootnoteReference"/>
        </w:rPr>
        <w:footnoteReference w:id="855"/>
      </w:r>
    </w:p>
    <w:p w:rsidR="00D1590E" w:rsidRPr="00D1590E" w:rsidRDefault="00D1590E" w:rsidP="00D1590E">
      <w:r w:rsidRPr="00D1590E">
        <w:t>All NEM service providers use similar line design criteria to account for sag which take into account, among other things, ambient temperature, solar radiation, and wind speed. The extent to which a service provider finds that it has a systemic issue with regard to line sag is a reflection of the quality of its management in applying the line design criteria. As a result an OEF adjustment for line sag would not satisfy the exogeneity OEF adjustment criterion.</w:t>
      </w:r>
    </w:p>
    <w:p w:rsidR="00D1590E" w:rsidRPr="00D1590E" w:rsidRDefault="00D1590E" w:rsidP="00D1590E">
      <w:bookmarkStart w:id="392" w:name="_Toc417646342"/>
      <w:r w:rsidRPr="00D1590E">
        <w:br w:type="page"/>
      </w:r>
    </w:p>
    <w:p w:rsidR="00D1590E" w:rsidRPr="00D1590E" w:rsidRDefault="00D1590E" w:rsidP="00D1590E">
      <w:pPr>
        <w:pStyle w:val="HeadingBoldBlue"/>
        <w:numPr>
          <w:ilvl w:val="0"/>
          <w:numId w:val="24"/>
        </w:numPr>
      </w:pPr>
      <w:r w:rsidRPr="00D1590E">
        <w:lastRenderedPageBreak/>
        <w:t>Network Accessibility</w:t>
      </w:r>
      <w:bookmarkEnd w:id="392"/>
    </w:p>
    <w:p w:rsidR="00D1590E" w:rsidRPr="00D1590E" w:rsidRDefault="00D1590E" w:rsidP="00D1590E">
      <w:pPr>
        <w:pStyle w:val="ListParagraph"/>
        <w:numPr>
          <w:ilvl w:val="0"/>
          <w:numId w:val="24"/>
        </w:numPr>
      </w:pPr>
      <w:r w:rsidRPr="00D1590E">
        <w:t>We are not satisfied that an OEF adjustment for differences in network accessibility would meet the materiality OEF adjustment criterion. We estimate access track maintenance does not contribute to material differences in opex between the comparison firms and the NSW service providers.</w:t>
      </w:r>
    </w:p>
    <w:p w:rsidR="00D1590E" w:rsidRPr="00D1590E" w:rsidRDefault="00D1590E" w:rsidP="00D1590E">
      <w:r w:rsidRPr="00D1590E">
        <w:t>In response to AER questions, Ergon Energy indicated that it considered differences in network accessibility as an OEF that materially affects its costs.</w:t>
      </w:r>
      <w:r w:rsidRPr="00D1590E">
        <w:rPr>
          <w:rStyle w:val="FootnoteReference"/>
        </w:rPr>
        <w:footnoteReference w:id="856"/>
      </w:r>
      <w:r w:rsidRPr="00D1590E">
        <w:t xml:space="preserve"> Vegetation management, line maintenance and asset inspections require access to assets. Ergon Energy considers that high rainfall results in significant damage to access tracks due to washouts, vegetation growth and subsidence. When asked, Ergon Energy did not provide evidence of differences in costs in access track maintenance between high and low rainfall areas of its network.</w:t>
      </w:r>
      <w:r w:rsidRPr="00D1590E">
        <w:rPr>
          <w:rStyle w:val="FootnoteReference"/>
        </w:rPr>
        <w:footnoteReference w:id="857"/>
      </w:r>
      <w:r w:rsidRPr="00D1590E">
        <w:t xml:space="preserve"> Nonetheless, economic benchmarking RIN data indicates that Ergon Energy has a greater percentage of its network that does not have standard vehicle access than the comparison firms. In 2013/14, 36 per cent of Ergon Energy's network did not have standard vehicle access. In comparison, the weighted average for the comparison firms was only 5 per cent.</w:t>
      </w:r>
      <w:r w:rsidRPr="00D1590E">
        <w:rPr>
          <w:rStyle w:val="FootnoteReference"/>
        </w:rPr>
        <w:footnoteReference w:id="858"/>
      </w:r>
    </w:p>
    <w:p w:rsidR="00D1590E" w:rsidRPr="00D1590E" w:rsidRDefault="00D1590E" w:rsidP="00D1590E">
      <w:r w:rsidRPr="00D1590E">
        <w:t>Ergon Energy indicated that over the 2010 to 2014 period on average it incurred $4.9 million ($2014/15) for access track maintenance at a cost of $97 per kilometre of network route with non-standard vehicle access.</w:t>
      </w:r>
      <w:r w:rsidRPr="00D1590E">
        <w:rPr>
          <w:rStyle w:val="FootnoteReference"/>
        </w:rPr>
        <w:t xml:space="preserve"> </w:t>
      </w:r>
      <w:r w:rsidRPr="00D1590E">
        <w:rPr>
          <w:rStyle w:val="FootnoteReference"/>
        </w:rPr>
        <w:footnoteReference w:id="859"/>
      </w:r>
      <w:r w:rsidRPr="00D1590E">
        <w:t xml:space="preserve"> </w:t>
      </w:r>
      <w:r w:rsidRPr="00D1590E">
        <w:rPr>
          <w:rStyle w:val="FootnoteReference"/>
        </w:rPr>
        <w:footnoteReference w:id="860"/>
      </w:r>
    </w:p>
    <w:p w:rsidR="00D1590E" w:rsidRPr="00D1590E" w:rsidRDefault="00D1590E" w:rsidP="00D1590E">
      <w:r w:rsidRPr="00D1590E">
        <w:t>Using the unit rate for Ergon Energy's access track maintenance, and route line lengths without standard vehicle access, we estimated the percentage of network services opex that the comparison firms expend on access track maintenance. Using these figures we estimate that on average over the 2010 to 2014 period, the percentage of the comparison firms' network services opex, weighted by customer numbers, for access track maintenance was 0.15 per cent.</w:t>
      </w:r>
    </w:p>
    <w:p w:rsidR="00D1590E" w:rsidRPr="00D1590E" w:rsidRDefault="00D1590E" w:rsidP="00D1590E">
      <w:r w:rsidRPr="00D1590E">
        <w:t xml:space="preserve">Using the same method, we estimated that access track maintenance accounts for 0.02, 0.69, and 0.55 per cent of network services opex for Ausgrid, Endeavour, and Essential respectively. This implies that, relative to the comparison firms, Ausgrid, has a negative 0.1 per cent cost advantage on access track maintenance costs. We estimate that Endeavour has a 0.5 per cent cost advantage and Essential has a 0.4 per cent cost advantage. </w:t>
      </w:r>
    </w:p>
    <w:p w:rsidR="00D1590E" w:rsidRPr="00D1590E" w:rsidRDefault="00D1590E" w:rsidP="00D1590E">
      <w:r w:rsidRPr="00D1590E">
        <w:t xml:space="preserve">We have included these advantages and disadvantages in our collective OEF adjustments for immaterial factors. This is because although an OEF for network access does not meet the materiality OEF criterion it meets the exogeneity and duplication criteria. The amount of a service provider's network with non-standard </w:t>
      </w:r>
      <w:r w:rsidRPr="00D1590E">
        <w:lastRenderedPageBreak/>
        <w:t xml:space="preserve">vehicle access is likely to be determined by land use that is beyond service providers' control. Also, there are no variables in Economic Insights' SFA model that account for differences in non-standard vehicle access. </w:t>
      </w:r>
    </w:p>
    <w:p w:rsidR="00D1590E" w:rsidRPr="00D1590E" w:rsidRDefault="00D1590E" w:rsidP="00D1590E">
      <w:pPr>
        <w:pStyle w:val="HeadingBoldBlue"/>
        <w:numPr>
          <w:ilvl w:val="0"/>
          <w:numId w:val="24"/>
        </w:numPr>
      </w:pPr>
      <w:bookmarkStart w:id="393" w:name="_Toc417646343"/>
      <w:r w:rsidRPr="00D1590E">
        <w:t>Past ownership</w:t>
      </w:r>
      <w:bookmarkEnd w:id="393"/>
    </w:p>
    <w:p w:rsidR="00D1590E" w:rsidRPr="00D1590E" w:rsidRDefault="00D1590E" w:rsidP="00D1590E">
      <w:r w:rsidRPr="00D1590E">
        <w:t>We are not satisfied that an OEF adjustment for past ownership would meet the exogeneity or materiality OEF adjustment criteria. The AEMC has stated that the nature of ownership should not be taken into account as it is endogenous. Managing a fleet of various asset types installed in response to different management, environmental, demand, and technological circumstances is a core business function of electricity network service providers.</w:t>
      </w:r>
    </w:p>
    <w:p w:rsidR="00D1590E" w:rsidRPr="00D1590E" w:rsidRDefault="00D1590E" w:rsidP="00D1590E">
      <w:r w:rsidRPr="00D1590E">
        <w:t>In response to our draft decision Essential Energy raised intra-network variability as an issue that would lead to material differences in opex between it and the comparison firms.</w:t>
      </w:r>
      <w:r w:rsidRPr="00D1590E">
        <w:rPr>
          <w:rStyle w:val="FootnoteReference"/>
        </w:rPr>
        <w:footnoteReference w:id="861"/>
      </w:r>
      <w:r w:rsidRPr="00D1590E">
        <w:t xml:space="preserve"> It stated that the legacy of being an amalgamation of different service providers with different practices and standards would lead to it having a cost disadvantage relative to the Victorian service providers. Essential Energy provided no practical examples of how these differences would lead to it having a cost disadvantage. It is not clear how Essential considers this will affect costs, but one interpretation is that Essential's precursor organisations may have adopted different technologies, potentially leading to increased complexity in asset management. We note that the other NSW service providers are also the amalgamation of various service providers.</w:t>
      </w:r>
      <w:r w:rsidRPr="00D1590E">
        <w:rPr>
          <w:rStyle w:val="FootnoteReference"/>
        </w:rPr>
        <w:footnoteReference w:id="862"/>
      </w:r>
      <w:r w:rsidRPr="00D1590E">
        <w:t xml:space="preserve"> Ausgrid and Endeavour did not raise this as an issue that would materially affect their costs.</w:t>
      </w:r>
    </w:p>
    <w:p w:rsidR="00D1590E" w:rsidRPr="00D1590E" w:rsidRDefault="00D1590E" w:rsidP="00D1590E">
      <w:r w:rsidRPr="00D1590E">
        <w:t>The Victorian service providers did not inherit a highly homogenous network derived from one legacy network. Up until privatisation there were 12 municipal service providers,</w:t>
      </w:r>
      <w:r w:rsidRPr="00D1590E">
        <w:rPr>
          <w:rStyle w:val="FootnoteReference"/>
        </w:rPr>
        <w:footnoteReference w:id="863"/>
      </w:r>
      <w:r w:rsidRPr="00D1590E">
        <w:t xml:space="preserve"> known as Municipal Electricity Undertakings, operating across the Melbourne area in addition to the State Electricity Commission of Victoria. CitiPower, Jemena, Powercor and United Energy all own assets that were previously owned by one or more of these Municipal service providers. Additionally, all of the NEM Electricity service providers must manage a variety of different assets installed in response to different circumstances and evolving technologies. The optimal choice of asset will depend on the technology available at the time, the demand the asset must serve, and the environment in which the asset is being installed. All service providers will have a variety of different assets installed at different times. </w:t>
      </w:r>
    </w:p>
    <w:p w:rsidR="00D1590E" w:rsidRPr="00D1590E" w:rsidRDefault="00D1590E" w:rsidP="00D1590E">
      <w:r w:rsidRPr="00D1590E">
        <w:t>Further Essential Energy has not demonstrated that if its asset base is more heterogeneous, that any such difference in heterogeneity will lead to a material increase in costs.</w:t>
      </w:r>
    </w:p>
    <w:p w:rsidR="00D1590E" w:rsidRPr="00D1590E" w:rsidRDefault="00D1590E" w:rsidP="00D1590E">
      <w:r w:rsidRPr="00D1590E">
        <w:lastRenderedPageBreak/>
        <w:t>Therefore we are not satisfied that that differences past ownership between the NSW service providers and the Victorian service providers will lead to material differences in opex.</w:t>
      </w:r>
    </w:p>
    <w:p w:rsidR="00D1590E" w:rsidRPr="00D1590E" w:rsidRDefault="00D1590E" w:rsidP="00D1590E">
      <w:r w:rsidRPr="00D1590E">
        <w:t>We are also not satisfied that an adjustment for differences in past ownership satisfies the exogeneity OEF adjustment criterion. The AEMC has stated that the nature of ownership of service providers is an endogenous factor that should not be taken into account when undertaking benchmarking.</w:t>
      </w:r>
      <w:r w:rsidRPr="00D1590E">
        <w:rPr>
          <w:rStyle w:val="FootnoteReference"/>
        </w:rPr>
        <w:t xml:space="preserve"> </w:t>
      </w:r>
      <w:r w:rsidRPr="00D1590E">
        <w:rPr>
          <w:rStyle w:val="FootnoteReference"/>
        </w:rPr>
        <w:footnoteReference w:id="864"/>
      </w:r>
    </w:p>
    <w:p w:rsidR="00D1590E" w:rsidRPr="00D1590E" w:rsidRDefault="00D1590E" w:rsidP="00D1590E">
      <w:pPr>
        <w:pStyle w:val="HeadingBoldBlue"/>
        <w:numPr>
          <w:ilvl w:val="0"/>
          <w:numId w:val="24"/>
        </w:numPr>
      </w:pPr>
      <w:bookmarkStart w:id="394" w:name="_Toc417646344"/>
      <w:r w:rsidRPr="00D1590E">
        <w:t>Proportion of 22kV and 11kV lines</w:t>
      </w:r>
      <w:bookmarkEnd w:id="394"/>
    </w:p>
    <w:p w:rsidR="00D1590E" w:rsidRPr="00D1590E" w:rsidRDefault="00D1590E" w:rsidP="00D1590E">
      <w:r w:rsidRPr="00D1590E">
        <w:t>We are not satisfied an OEF adjustment for the proportions of 22kV and 11kV lines in the network would meet the materiality OEF adjustment criterion. Operating a network using a 22 kV high-voltage distribution system rather than an 11kV high-voltage distribution system is unlikely to create material differences in opex between service providers.</w:t>
      </w:r>
    </w:p>
    <w:p w:rsidR="00D1590E" w:rsidRPr="00D1590E" w:rsidRDefault="00D1590E" w:rsidP="00D1590E">
      <w:r w:rsidRPr="00D1590E">
        <w:t>The comparison firms include service providers with both 22kV and 11kV network configurations. Powercor and AusNet, and CitiPower and SAPN, represent the two extremes in terms of 11kV and 22kV networks - Powercor and AusNet are predominantly 22kV systems while CitiPower and SAPN have predominantly 11kV systems. If this factor were material to the costs of the service providers, we would expect this to be most apparent when comparing these four service providers. On Economic Insights' MPFP and opex cost function benchmarking AusNet, CitiPower, Powercor and SAPN all perform well. This suggests that this factor is not material to overall performance.</w:t>
      </w:r>
    </w:p>
    <w:p w:rsidR="00D1590E" w:rsidRPr="00D1590E" w:rsidRDefault="00D1590E" w:rsidP="00D1590E">
      <w:r w:rsidRPr="00D1590E">
        <w:t>In our draft decision we adopted this approach and included differences in high voltage distribution system configuration in our adjustment for immaterial OEFs.</w:t>
      </w:r>
    </w:p>
    <w:p w:rsidR="00D1590E" w:rsidRPr="00D1590E" w:rsidRDefault="00D1590E" w:rsidP="00D1590E">
      <w:r w:rsidRPr="00D1590E">
        <w:t>In response to our draft decisions, Advisian made observations already included in the initial regulatory proposals.</w:t>
      </w:r>
      <w:r w:rsidRPr="00D1590E">
        <w:rPr>
          <w:rStyle w:val="FootnoteReference"/>
        </w:rPr>
        <w:footnoteReference w:id="865"/>
      </w:r>
      <w:r w:rsidRPr="00D1590E">
        <w:t xml:space="preserve"> However, Advisian provided no new evidence to suggest that differences in high voltage distribution system configuration would lead to material differences in opex between the NSW service providers and the comparison firms.</w:t>
      </w:r>
    </w:p>
    <w:p w:rsidR="00D1590E" w:rsidRPr="00D1590E" w:rsidRDefault="00D1590E" w:rsidP="00D1590E">
      <w:r w:rsidRPr="00D1590E">
        <w:t xml:space="preserve">In accordance with our approach to estimating the combined effect of OEFs that do not meet the materiality OEF adjustment criterion, we have accounted for differences in high voltage distribution systems in our immaterial OEF adjustment. Although it does not satisfy the materiality criterion, an adjustment for the proportions of 22kV and 11kV lines would satisfy the exogeneity and duplication criteria. The technology that was available at the time a network was established is beyond service providers' control. Economic Insights' SFA model dos not include any variables that account for the proportion of 11kV and 22kV lines. In theory operating a 22kV network would provide a </w:t>
      </w:r>
      <w:r w:rsidRPr="00D1590E">
        <w:lastRenderedPageBreak/>
        <w:t>small reduction in opex costs. Therefore differences in high voltage distribution systems contribute 0.5 per cent to the immaterial factor adjustments for the NSW service providers.</w:t>
      </w:r>
    </w:p>
    <w:p w:rsidR="00D1590E" w:rsidRPr="00D1590E" w:rsidRDefault="00D1590E" w:rsidP="00D1590E">
      <w:pPr>
        <w:pStyle w:val="HeadingBoldBlue"/>
      </w:pPr>
      <w:bookmarkStart w:id="395" w:name="_Toc417646345"/>
      <w:r w:rsidRPr="00D1590E">
        <w:t>Proportion of wooden poles</w:t>
      </w:r>
      <w:bookmarkEnd w:id="395"/>
    </w:p>
    <w:p w:rsidR="00D1590E" w:rsidRPr="00D1590E" w:rsidRDefault="00D1590E" w:rsidP="00D1590E">
      <w:pPr>
        <w:numPr>
          <w:ilvl w:val="0"/>
          <w:numId w:val="24"/>
        </w:numPr>
      </w:pPr>
      <w:r w:rsidRPr="00D1590E">
        <w:t>We are not satisfied that an OEF adjustment for differences in the proportion of wooden poles in service providers' networks would not meet the duplication OEF criterion. The decision on whether to use wooden, concrete, steel, or fiberglass poles is a trade-off between capex, opex and service levels. We have considered the impact of capex opex trade-offs under the capitalisation practices OEF and service levels under reliability outcomes.</w:t>
      </w:r>
    </w:p>
    <w:p w:rsidR="00D1590E" w:rsidRPr="00D1590E" w:rsidRDefault="00D1590E" w:rsidP="00D1590E">
      <w:pPr>
        <w:numPr>
          <w:ilvl w:val="0"/>
          <w:numId w:val="24"/>
        </w:numPr>
      </w:pPr>
      <w:r w:rsidRPr="00D1590E">
        <w:t>In response to our draft decision Essential Energy raised the proportion of wooden poles in its network as a factor that may increase its opex relative to the comparison firms.</w:t>
      </w:r>
      <w:r w:rsidRPr="00D1590E">
        <w:rPr>
          <w:rStyle w:val="FootnoteReference"/>
        </w:rPr>
        <w:footnoteReference w:id="866"/>
      </w:r>
      <w:r w:rsidRPr="00D1590E">
        <w:t xml:space="preserve"> It submitted that because wooden poles make up a greater part of its network than the comparison firms it is more exposed to the effects of timber decay than other service providers. Essential Energy did not provide any quantification of the effect that this may have on its costs.</w:t>
      </w:r>
    </w:p>
    <w:p w:rsidR="00D1590E" w:rsidRPr="00D1590E" w:rsidRDefault="00D1590E" w:rsidP="00D1590E">
      <w:pPr>
        <w:numPr>
          <w:ilvl w:val="0"/>
          <w:numId w:val="24"/>
        </w:numPr>
      </w:pPr>
      <w:r w:rsidRPr="00D1590E">
        <w:t>In addition to this, we consider that the decision on whether to use wooden, concrete, steel, or fiberglass poles is a capex opex trade-off. This is because higher capital cost poles are generally less opex intensive. For example concrete poles do not require the inspection drillings and anti-fungal treatments that wooden poles do. However concrete poles are more costly to install.</w:t>
      </w:r>
    </w:p>
    <w:p w:rsidR="00D1590E" w:rsidRPr="00D1590E" w:rsidRDefault="00D1590E" w:rsidP="00D1590E">
      <w:pPr>
        <w:numPr>
          <w:ilvl w:val="0"/>
          <w:numId w:val="24"/>
        </w:numPr>
      </w:pPr>
      <w:r w:rsidRPr="00D1590E">
        <w:t>Service providers face many of these trade-offs. Other examples include the choice to rent or lease depots, to run lines over or underground, to replace or maintain. We consider that where a capex opex trade-off exists the decision on whether to provide an OEF adjustment should be considered in the broader context of service providers' capex to opex ratio. This is because a service provider may utilise a solution that is opex intensive in one area, but overall may have a preference for capital intensive solutions. In this situation providing a positive OEF adjustment for an opex intensive solution would overcompensate the service provider. This is because there will be other areas of their operations where it utilises capital intensive solutions but will not receive negative OEF adjustments.</w:t>
      </w:r>
    </w:p>
    <w:p w:rsidR="00D1590E" w:rsidRPr="00D1590E" w:rsidRDefault="00D1590E" w:rsidP="00D1590E">
      <w:pPr>
        <w:numPr>
          <w:ilvl w:val="0"/>
          <w:numId w:val="24"/>
        </w:numPr>
      </w:pPr>
      <w:r w:rsidRPr="00D1590E">
        <w:t xml:space="preserve">In our capitalisation practices section we compare the capex opex ratios for the NEM service providers. </w:t>
      </w:r>
      <w:r w:rsidRPr="00D1590E">
        <w:fldChar w:fldCharType="begin"/>
      </w:r>
      <w:r w:rsidRPr="00D1590E">
        <w:instrText xml:space="preserve"> REF _Ref417642694 \h </w:instrText>
      </w:r>
      <w:r w:rsidRPr="00D1590E">
        <w:fldChar w:fldCharType="separate"/>
      </w:r>
      <w:r w:rsidR="00C57342" w:rsidRPr="00D1590E">
        <w:t xml:space="preserve">Figure </w:t>
      </w:r>
      <w:r w:rsidR="00C57342">
        <w:rPr>
          <w:noProof/>
        </w:rPr>
        <w:t>A</w:t>
      </w:r>
      <w:r w:rsidR="00C57342" w:rsidRPr="00D1590E">
        <w:t>.</w:t>
      </w:r>
      <w:r w:rsidR="00C57342">
        <w:rPr>
          <w:noProof/>
        </w:rPr>
        <w:t>11</w:t>
      </w:r>
      <w:r w:rsidRPr="00D1590E">
        <w:fldChar w:fldCharType="end"/>
      </w:r>
      <w:r w:rsidRPr="00D1590E">
        <w:t xml:space="preserve"> and </w:t>
      </w:r>
      <w:r w:rsidRPr="00D1590E">
        <w:fldChar w:fldCharType="begin"/>
      </w:r>
      <w:r w:rsidRPr="00D1590E">
        <w:instrText xml:space="preserve"> REF _Ref417642488 \h </w:instrText>
      </w:r>
      <w:r w:rsidRPr="00D1590E">
        <w:fldChar w:fldCharType="separate"/>
      </w:r>
      <w:r w:rsidR="00C57342" w:rsidRPr="00D1590E">
        <w:t xml:space="preserve">Figure </w:t>
      </w:r>
      <w:r w:rsidR="00C57342">
        <w:rPr>
          <w:noProof/>
        </w:rPr>
        <w:t>A</w:t>
      </w:r>
      <w:r w:rsidR="00C57342" w:rsidRPr="00D1590E">
        <w:t>.</w:t>
      </w:r>
      <w:r w:rsidR="00C57342">
        <w:rPr>
          <w:noProof/>
        </w:rPr>
        <w:t>12</w:t>
      </w:r>
      <w:r w:rsidRPr="00D1590E">
        <w:fldChar w:fldCharType="end"/>
      </w:r>
      <w:r w:rsidRPr="00D1590E">
        <w:t xml:space="preserve"> shows that the NSW service providers tend to capitalise a similar amount of costs to the comparison firms. As they capitalise a similar amount to the comparison firms at a total level, providing an OEF adjustment for differences in the proportion of timber poles used would overcompensate them. This is because focusing only on opex capex trade-off OEFs that disadvantage the NSW service providers will upwardly bias the total OEF adjustment. The appropriate </w:t>
      </w:r>
      <w:r w:rsidRPr="00D1590E">
        <w:lastRenderedPageBreak/>
        <w:t>measure is the opex capex ratio at the total level. We have included an adjustment for differences in capitalisation practices in our collective adjustment for individually immaterial factors.</w:t>
      </w:r>
    </w:p>
    <w:p w:rsidR="00D1590E" w:rsidRPr="00D1590E" w:rsidRDefault="00D1590E" w:rsidP="00D1590E">
      <w:pPr>
        <w:numPr>
          <w:ilvl w:val="0"/>
          <w:numId w:val="24"/>
        </w:numPr>
      </w:pPr>
      <w:r w:rsidRPr="00D1590E">
        <w:t xml:space="preserve">Therefore, we are not satisfied that differences in opex due to the proportion of wooden poles in service provider's networks are not accounted for in our consideration of capitalisation practices. </w:t>
      </w:r>
    </w:p>
    <w:p w:rsidR="00D1590E" w:rsidRPr="00D1590E" w:rsidRDefault="00D1590E" w:rsidP="00D1590E">
      <w:pPr>
        <w:pStyle w:val="HeadingBoldBlue"/>
        <w:numPr>
          <w:ilvl w:val="0"/>
          <w:numId w:val="24"/>
        </w:numPr>
      </w:pPr>
      <w:bookmarkStart w:id="396" w:name="_Toc417646346"/>
      <w:r w:rsidRPr="00D1590E">
        <w:t>Rising lateral mains</w:t>
      </w:r>
      <w:bookmarkEnd w:id="396"/>
    </w:p>
    <w:p w:rsidR="00D1590E" w:rsidRPr="00D1590E" w:rsidRDefault="00D1590E" w:rsidP="00D1590E">
      <w:pPr>
        <w:numPr>
          <w:ilvl w:val="0"/>
          <w:numId w:val="24"/>
        </w:numPr>
      </w:pPr>
      <w:r w:rsidRPr="00D1590E">
        <w:t>We are not satisfied that an OEF adjustment for rising lateral mains would meet the materiality OEF adjustment criterion. Service providers in the NEM are generally not responsible for maintaining mains within apartment complexes.</w:t>
      </w:r>
    </w:p>
    <w:p w:rsidR="00D1590E" w:rsidRPr="00D1590E" w:rsidRDefault="00D1590E" w:rsidP="00D1590E">
      <w:pPr>
        <w:numPr>
          <w:ilvl w:val="0"/>
          <w:numId w:val="24"/>
        </w:numPr>
      </w:pPr>
      <w:r w:rsidRPr="00D1590E">
        <w:t>Rising and lateral mains are three phase mains, or busbars, that run through apartment buildings to which multiple service lines are connected.</w:t>
      </w:r>
      <w:r w:rsidRPr="00D1590E">
        <w:rPr>
          <w:rStyle w:val="FootnoteReference"/>
        </w:rPr>
        <w:footnoteReference w:id="867"/>
      </w:r>
    </w:p>
    <w:p w:rsidR="00D1590E" w:rsidRPr="00D1590E" w:rsidRDefault="00D1590E" w:rsidP="00D1590E">
      <w:pPr>
        <w:numPr>
          <w:ilvl w:val="0"/>
          <w:numId w:val="24"/>
        </w:numPr>
      </w:pPr>
      <w:r w:rsidRPr="00D1590E">
        <w:t>In response to our draft decision, Huegin raised rising and lateral mains as an OEF that may lead to differences in opex.</w:t>
      </w:r>
      <w:r w:rsidRPr="00D1590E">
        <w:rPr>
          <w:rStyle w:val="FootnoteReference"/>
        </w:rPr>
        <w:footnoteReference w:id="868"/>
      </w:r>
      <w:r w:rsidRPr="00D1590E">
        <w:t xml:space="preserve"> Huegin noted that Ofgem excludes costs associated with rising and lateral mains from its totex benchmarking. In the UK some service providers have a significant amount of mains running throughout apartment complexes.</w:t>
      </w:r>
      <w:r w:rsidRPr="00D1590E">
        <w:rPr>
          <w:rStyle w:val="FootnoteReference"/>
        </w:rPr>
        <w:footnoteReference w:id="869"/>
      </w:r>
      <w:r w:rsidRPr="00D1590E">
        <w:t xml:space="preserve"> Ofgem adjusts its totex benchmarking to remove costs associated with those assets.</w:t>
      </w:r>
      <w:r w:rsidRPr="00D1590E">
        <w:rPr>
          <w:rStyle w:val="FootnoteReference"/>
        </w:rPr>
        <w:footnoteReference w:id="870"/>
      </w:r>
      <w:r w:rsidRPr="00D1590E">
        <w:t xml:space="preserve"> Huegin did not provide any indication of why this may be an issue in the NEM.</w:t>
      </w:r>
    </w:p>
    <w:p w:rsidR="00D1590E" w:rsidRPr="00D1590E" w:rsidRDefault="00D1590E" w:rsidP="00D1590E">
      <w:pPr>
        <w:numPr>
          <w:ilvl w:val="0"/>
          <w:numId w:val="24"/>
        </w:numPr>
      </w:pPr>
      <w:r w:rsidRPr="00D1590E">
        <w:t>We are not satisfied that it is necessary to provide an OEF adjustment for rising and lateral mains. While some service providers in the UK have substantial rising and lateral mains fleets, in general NEM service providers do not run electricity distribution mains through apartment complexes. In NEM jurisdictions, usually the demarcation between the service providers' assets and customers' assets is either at the boundary of the customer's property or on the outside of the customer's building. In some situations, service providers do own mains that run through a customer's premises that supply a substation. However, all NEM service providers have some substations located on customers' premises and there is no indication that this provides a cost disadvantage where it occurs. Aside from mains that supply substations, it is exceedingly unusual for a service provider to own distribution mains within an apartment building.</w:t>
      </w:r>
    </w:p>
    <w:p w:rsidR="00D1590E" w:rsidRPr="00D1590E" w:rsidRDefault="00D1590E" w:rsidP="00D1590E">
      <w:pPr>
        <w:numPr>
          <w:ilvl w:val="0"/>
          <w:numId w:val="24"/>
        </w:numPr>
      </w:pPr>
      <w:r w:rsidRPr="00D1590E">
        <w:t xml:space="preserve">We are not satisfied that an adjustment for rising and lateral mains satisfies the materiality OEF criterion. In general NEM service providers do not own, and are not </w:t>
      </w:r>
      <w:r w:rsidRPr="00D1590E">
        <w:lastRenderedPageBreak/>
        <w:t>responsible for maintaining rising and lateral mains. As a result we estimate that rising lateral mains maintenance will lead to no differences in the opex incurred by NEM service providers.</w:t>
      </w:r>
    </w:p>
    <w:p w:rsidR="00D1590E" w:rsidRPr="00D1590E" w:rsidRDefault="00D1590E" w:rsidP="00D1590E">
      <w:pPr>
        <w:pStyle w:val="HeadingBoldBlue"/>
        <w:numPr>
          <w:ilvl w:val="0"/>
          <w:numId w:val="24"/>
        </w:numPr>
      </w:pPr>
      <w:bookmarkStart w:id="397" w:name="_Toc417646347"/>
      <w:r w:rsidRPr="00D1590E">
        <w:t>Solar uptake</w:t>
      </w:r>
      <w:bookmarkEnd w:id="397"/>
    </w:p>
    <w:p w:rsidR="00D1590E" w:rsidRPr="00D1590E" w:rsidRDefault="00D1590E" w:rsidP="00D1590E">
      <w:pPr>
        <w:pStyle w:val="ListParagraph"/>
        <w:numPr>
          <w:ilvl w:val="0"/>
          <w:numId w:val="24"/>
        </w:numPr>
      </w:pPr>
      <w:r w:rsidRPr="00D1590E">
        <w:t>An OEF adjustment for differences in solar photovoltaic (PV) installations between the NSW service providers and the comparison firms would not satisfy the materiality OEF adjustment criterion. The penetration rate for small scale solar installations is similar for Victoria and NSW.</w:t>
      </w:r>
    </w:p>
    <w:p w:rsidR="00D1590E" w:rsidRPr="00D1590E" w:rsidRDefault="00D1590E" w:rsidP="00D1590E">
      <w:r w:rsidRPr="00D1590E">
        <w:t>In response to inquiries from the AER, Energex stated that solar PV had impacted its network field operating costs due to an increase in voltage complaints, investigations and requirement to re-balance the loading on the three phase network.</w:t>
      </w:r>
      <w:r w:rsidRPr="00D1590E">
        <w:rPr>
          <w:rStyle w:val="FootnoteReference"/>
        </w:rPr>
        <w:footnoteReference w:id="871"/>
      </w:r>
      <w:r w:rsidRPr="00D1590E">
        <w:t xml:space="preserve"> </w:t>
      </w:r>
    </w:p>
    <w:p w:rsidR="00D1590E" w:rsidRPr="00D1590E" w:rsidRDefault="00D1590E" w:rsidP="00D1590E">
      <w:pPr>
        <w:pStyle w:val="ListParagraph"/>
        <w:numPr>
          <w:ilvl w:val="0"/>
          <w:numId w:val="24"/>
        </w:numPr>
      </w:pPr>
      <w:r w:rsidRPr="00D1590E">
        <w:t>We looked to compare the uptake of PV installations in service providers' networks. We compared the number of solar PV installations deemed by the Clean Energy Regulator per customer in each jurisdiction.</w:t>
      </w:r>
      <w:r w:rsidRPr="00D1590E">
        <w:rPr>
          <w:rStyle w:val="FootnoteReference"/>
        </w:rPr>
        <w:footnoteReference w:id="872"/>
      </w:r>
      <w:r w:rsidRPr="00D1590E">
        <w:t xml:space="preserve"> The number of deemed solar installations was greatest in South Australia. SA Power Networks, the sole service provider in South Australia, is one of the comparison firms.</w:t>
      </w:r>
    </w:p>
    <w:p w:rsidR="00D1590E" w:rsidRPr="00D1590E" w:rsidRDefault="00D1590E" w:rsidP="00D1590E">
      <w:pPr>
        <w:pStyle w:val="Caption"/>
        <w:numPr>
          <w:ilvl w:val="0"/>
          <w:numId w:val="24"/>
        </w:numPr>
      </w:pPr>
      <w:r w:rsidRPr="00D1590E">
        <w:t xml:space="preserve">Table </w:t>
      </w:r>
      <w:fldSimple w:instr=" STYLEREF 7 \s ">
        <w:r w:rsidR="00C57342">
          <w:rPr>
            <w:noProof/>
          </w:rPr>
          <w:t>A</w:t>
        </w:r>
      </w:fldSimple>
      <w:r w:rsidRPr="00D1590E">
        <w:t>.</w:t>
      </w:r>
      <w:fldSimple w:instr=" SEQ ATable \* ARABIC \s 7 ">
        <w:r w:rsidR="00C57342">
          <w:rPr>
            <w:noProof/>
          </w:rPr>
          <w:t>14</w:t>
        </w:r>
      </w:fldSimple>
      <w:r w:rsidRPr="00D1590E">
        <w:tab/>
        <w:t xml:space="preserve">Deemed PV installations per 100 connections </w:t>
      </w:r>
    </w:p>
    <w:tbl>
      <w:tblPr>
        <w:tblStyle w:val="AERtable-numbers"/>
        <w:tblW w:w="0" w:type="auto"/>
        <w:tblLayout w:type="fixed"/>
        <w:tblLook w:val="04A0" w:firstRow="1" w:lastRow="0" w:firstColumn="1" w:lastColumn="0" w:noHBand="0" w:noVBand="1"/>
      </w:tblPr>
      <w:tblGrid>
        <w:gridCol w:w="1302"/>
        <w:gridCol w:w="7170"/>
      </w:tblGrid>
      <w:tr w:rsidR="00D1590E" w:rsidRPr="0070118F" w:rsidTr="00D159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D1590E" w:rsidRPr="00D1590E" w:rsidRDefault="00D1590E" w:rsidP="00D1590E"/>
        </w:tc>
        <w:tc>
          <w:tcPr>
            <w:tcW w:w="7170" w:type="dxa"/>
            <w:noWrap/>
            <w:hideMark/>
          </w:tcPr>
          <w:p w:rsidR="00D1590E" w:rsidRPr="00D1590E" w:rsidRDefault="00D1590E" w:rsidP="00D1590E">
            <w:pPr>
              <w:cnfStyle w:val="100000000000" w:firstRow="1" w:lastRow="0" w:firstColumn="0" w:lastColumn="0" w:oddVBand="0" w:evenVBand="0" w:oddHBand="0" w:evenHBand="0" w:firstRowFirstColumn="0" w:firstRowLastColumn="0" w:lastRowFirstColumn="0" w:lastRowLastColumn="0"/>
            </w:pPr>
            <w:r w:rsidRPr="00D1590E">
              <w:t>Deemed small scale solar installations per 100 connections</w:t>
            </w:r>
          </w:p>
        </w:tc>
      </w:tr>
      <w:tr w:rsidR="00D1590E" w:rsidRPr="0070118F" w:rsidTr="00D1590E">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D1590E" w:rsidRPr="00D1590E" w:rsidRDefault="00D1590E" w:rsidP="00D1590E">
            <w:r w:rsidRPr="00D1590E">
              <w:t>ACT</w:t>
            </w:r>
          </w:p>
        </w:tc>
        <w:tc>
          <w:tcPr>
            <w:tcW w:w="7170" w:type="dxa"/>
            <w:noWrap/>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t>8.7</w:t>
            </w:r>
          </w:p>
        </w:tc>
      </w:tr>
      <w:tr w:rsidR="00D1590E" w:rsidRPr="0070118F" w:rsidTr="00D1590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D1590E" w:rsidRPr="00D1590E" w:rsidRDefault="00D1590E" w:rsidP="00D1590E">
            <w:r w:rsidRPr="00D1590E">
              <w:t>NSW</w:t>
            </w:r>
          </w:p>
        </w:tc>
        <w:tc>
          <w:tcPr>
            <w:tcW w:w="7170" w:type="dxa"/>
            <w:noWrap/>
          </w:tcPr>
          <w:p w:rsidR="00D1590E" w:rsidRPr="00D1590E" w:rsidRDefault="00D1590E" w:rsidP="00D1590E">
            <w:pPr>
              <w:cnfStyle w:val="000000010000" w:firstRow="0" w:lastRow="0" w:firstColumn="0" w:lastColumn="0" w:oddVBand="0" w:evenVBand="0" w:oddHBand="0" w:evenHBand="1" w:firstRowFirstColumn="0" w:firstRowLastColumn="0" w:lastRowFirstColumn="0" w:lastRowLastColumn="0"/>
            </w:pPr>
            <w:r w:rsidRPr="00D1590E">
              <w:t>8.7</w:t>
            </w:r>
          </w:p>
        </w:tc>
      </w:tr>
      <w:tr w:rsidR="00D1590E" w:rsidRPr="0070118F" w:rsidTr="00D1590E">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D1590E" w:rsidRPr="00D1590E" w:rsidRDefault="00D1590E" w:rsidP="00D1590E">
            <w:r w:rsidRPr="00D1590E">
              <w:t>Queensland</w:t>
            </w:r>
          </w:p>
        </w:tc>
        <w:tc>
          <w:tcPr>
            <w:tcW w:w="7170" w:type="dxa"/>
            <w:noWrap/>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t>20.8</w:t>
            </w:r>
          </w:p>
        </w:tc>
      </w:tr>
      <w:tr w:rsidR="00D1590E" w:rsidRPr="0070118F" w:rsidTr="00D1590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D1590E" w:rsidRPr="00D1590E" w:rsidRDefault="00D1590E" w:rsidP="00D1590E">
            <w:r w:rsidRPr="00D1590E">
              <w:t>South Australia</w:t>
            </w:r>
          </w:p>
        </w:tc>
        <w:tc>
          <w:tcPr>
            <w:tcW w:w="7170" w:type="dxa"/>
            <w:noWrap/>
          </w:tcPr>
          <w:p w:rsidR="00D1590E" w:rsidRPr="00D1590E" w:rsidRDefault="00D1590E" w:rsidP="00D1590E">
            <w:pPr>
              <w:cnfStyle w:val="000000010000" w:firstRow="0" w:lastRow="0" w:firstColumn="0" w:lastColumn="0" w:oddVBand="0" w:evenVBand="0" w:oddHBand="0" w:evenHBand="1" w:firstRowFirstColumn="0" w:firstRowLastColumn="0" w:lastRowFirstColumn="0" w:lastRowLastColumn="0"/>
            </w:pPr>
            <w:r w:rsidRPr="00D1590E">
              <w:t>21.5</w:t>
            </w:r>
          </w:p>
        </w:tc>
      </w:tr>
      <w:tr w:rsidR="00D1590E" w:rsidRPr="0070118F" w:rsidTr="00D1590E">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D1590E" w:rsidRPr="00D1590E" w:rsidRDefault="00D1590E" w:rsidP="00D1590E">
            <w:r w:rsidRPr="00D1590E">
              <w:t>Victoria</w:t>
            </w:r>
          </w:p>
        </w:tc>
        <w:tc>
          <w:tcPr>
            <w:tcW w:w="7170" w:type="dxa"/>
            <w:noWrap/>
          </w:tcPr>
          <w:p w:rsidR="00D1590E" w:rsidRPr="00D1590E" w:rsidRDefault="00D1590E" w:rsidP="00D1590E">
            <w:pPr>
              <w:cnfStyle w:val="000000000000" w:firstRow="0" w:lastRow="0" w:firstColumn="0" w:lastColumn="0" w:oddVBand="0" w:evenVBand="0" w:oddHBand="0" w:evenHBand="0" w:firstRowFirstColumn="0" w:firstRowLastColumn="0" w:lastRowFirstColumn="0" w:lastRowLastColumn="0"/>
            </w:pPr>
            <w:r w:rsidRPr="00D1590E">
              <w:t>9.1</w:t>
            </w:r>
          </w:p>
        </w:tc>
      </w:tr>
    </w:tbl>
    <w:p w:rsidR="00D1590E" w:rsidRPr="00D1590E" w:rsidRDefault="00D1590E" w:rsidP="00D1590E">
      <w:pPr>
        <w:pStyle w:val="AERtablesource"/>
        <w:numPr>
          <w:ilvl w:val="0"/>
          <w:numId w:val="24"/>
        </w:numPr>
      </w:pPr>
      <w:r w:rsidRPr="00D1590E">
        <w:t>Source:</w:t>
      </w:r>
      <w:r w:rsidRPr="00D1590E">
        <w:tab/>
        <w:t>Clean Energy Regulator; AER analysis.</w:t>
      </w:r>
    </w:p>
    <w:p w:rsidR="00D1590E" w:rsidRPr="00D1590E" w:rsidRDefault="00D1590E" w:rsidP="00D1590E">
      <w:pPr>
        <w:pStyle w:val="ListParagraph"/>
        <w:numPr>
          <w:ilvl w:val="0"/>
          <w:numId w:val="24"/>
        </w:numPr>
      </w:pPr>
      <w:r w:rsidRPr="00D1590E">
        <w:t>The number of deemed solar installations per customer is roughly the same for Victoria, where most of the comparison firms are located, and NSW.</w:t>
      </w:r>
    </w:p>
    <w:p w:rsidR="00D1590E" w:rsidRPr="00D1590E" w:rsidRDefault="00D1590E" w:rsidP="00D1590E">
      <w:pPr>
        <w:pStyle w:val="ListParagraph"/>
        <w:numPr>
          <w:ilvl w:val="0"/>
          <w:numId w:val="24"/>
        </w:numPr>
      </w:pPr>
      <w:r w:rsidRPr="00D1590E">
        <w:t>Given this, there is not sufficient evidence to conclude that differences in the rate of PV installations between the NSW service providers and the comparison firms, will lead to material differences in opex.</w:t>
      </w:r>
    </w:p>
    <w:p w:rsidR="00D1590E" w:rsidRPr="00D1590E" w:rsidRDefault="00D1590E" w:rsidP="00D1590E">
      <w:r w:rsidRPr="00D1590E">
        <w:t xml:space="preserve">However, as the PV penetration rate is higher in SA and slightly higher in Victoria than in NSW, it is likely that the comparison firms will have a cost disadvantage relative to the NSW service providers due to differences in PV uptake. An adjustment for </w:t>
      </w:r>
      <w:r w:rsidRPr="00D1590E">
        <w:lastRenderedPageBreak/>
        <w:t>differences in PV penetration would meet the exogeneity and materiality OEF adjustment criteria. The decision to install PV is a customer's choice and there are no variables to account for differences in PV penetration rates in Economic Insights' SFA model. As a result we have included differences in opex due to solar PV installations as a 0.5 percentage point decrease in our immaterial OEF adjustments for the NSW service providers.</w:t>
      </w:r>
    </w:p>
    <w:p w:rsidR="00D1590E" w:rsidRPr="00D1590E" w:rsidRDefault="00D1590E" w:rsidP="00D1590E">
      <w:pPr>
        <w:pStyle w:val="HeadingBoldBlue"/>
        <w:numPr>
          <w:ilvl w:val="0"/>
          <w:numId w:val="24"/>
        </w:numPr>
      </w:pPr>
      <w:bookmarkStart w:id="398" w:name="_Toc417646348"/>
      <w:r w:rsidRPr="00D1590E">
        <w:t>Subtransmission</w:t>
      </w:r>
      <w:bookmarkEnd w:id="398"/>
    </w:p>
    <w:p w:rsidR="00D1590E" w:rsidRPr="00D1590E" w:rsidRDefault="00D1590E" w:rsidP="00D1590E">
      <w:pPr>
        <w:pStyle w:val="ListParagraph"/>
        <w:numPr>
          <w:ilvl w:val="0"/>
          <w:numId w:val="24"/>
        </w:numPr>
      </w:pPr>
      <w:r w:rsidRPr="00D1590E">
        <w:t>We are satisfied that it is necessary to provide an OEF adjustment for differences in subtransmission network configuration between the NSW service providers and the comparison firms. An adjustment for differences in subtransmission network configuration raises all of our three OEF adjustment criteria. The boundary between transmission and distribution networks is the result of historical decisions made by state governments when dividing electricity networks. Differences in subtransmission configuration are likely to lead to material differences in the cost of providing network services. Differences in subtransmission configurations are not accounted for elsewhere in Economic Insights' SFA model.</w:t>
      </w:r>
    </w:p>
    <w:p w:rsidR="00D1590E" w:rsidRPr="00D1590E" w:rsidRDefault="00D1590E" w:rsidP="00D1590E">
      <w:pPr>
        <w:pStyle w:val="ListParagraph"/>
        <w:numPr>
          <w:ilvl w:val="0"/>
          <w:numId w:val="24"/>
        </w:numPr>
      </w:pPr>
      <w:r w:rsidRPr="00D1590E">
        <w:t>In our draft decision we provided an OEF adjustment for the same reasons.</w:t>
      </w:r>
    </w:p>
    <w:p w:rsidR="00D1590E" w:rsidRPr="00D1590E" w:rsidRDefault="00D1590E" w:rsidP="00D1590E">
      <w:pPr>
        <w:pStyle w:val="ListParagraph"/>
        <w:numPr>
          <w:ilvl w:val="0"/>
          <w:numId w:val="24"/>
        </w:numPr>
      </w:pPr>
      <w:r w:rsidRPr="00D1590E">
        <w:t xml:space="preserve">The transition point between transmission and distribution varies across jurisdictions and within service providers. All service providers take supply from transmission Grid Exit Points (GXPs) across a range of voltages. In some jurisdictions the transition point occurs at a higher voltage. This means that distribution service providers are responsible for the operation, and costs, of more of the electricity supply chain. </w:t>
      </w:r>
    </w:p>
    <w:p w:rsidR="00D1590E" w:rsidRPr="00D1590E" w:rsidRDefault="00D1590E" w:rsidP="00D1590E">
      <w:pPr>
        <w:pStyle w:val="ListParagraph"/>
        <w:numPr>
          <w:ilvl w:val="0"/>
          <w:numId w:val="24"/>
        </w:numPr>
      </w:pPr>
      <w:r w:rsidRPr="00D1590E">
        <w:t>In response to our draft decision, this issue was raised by Advisian,</w:t>
      </w:r>
      <w:r w:rsidRPr="00D1590E">
        <w:rPr>
          <w:rStyle w:val="FootnoteReference"/>
        </w:rPr>
        <w:footnoteReference w:id="873"/>
      </w:r>
      <w:r w:rsidRPr="00D1590E">
        <w:rPr>
          <w:rStyle w:val="FootnoteReference"/>
        </w:rPr>
        <w:footnoteReference w:id="874"/>
      </w:r>
      <w:r w:rsidRPr="00D1590E">
        <w:t xml:space="preserve"> Frontier Economics,</w:t>
      </w:r>
      <w:r w:rsidRPr="00D1590E">
        <w:rPr>
          <w:rStyle w:val="FootnoteReference"/>
        </w:rPr>
        <w:footnoteReference w:id="875"/>
      </w:r>
      <w:r w:rsidRPr="00D1590E">
        <w:t xml:space="preserve"> and CEPA</w:t>
      </w:r>
      <w:r w:rsidRPr="00D1590E">
        <w:rPr>
          <w:rStyle w:val="FootnoteReference"/>
        </w:rPr>
        <w:footnoteReference w:id="876"/>
      </w:r>
      <w:r w:rsidRPr="00D1590E">
        <w:t xml:space="preserve">. Advisian submitted that we should have considered the effect of differences in undergrounding in our adjustment. Frontier and CEPA considered that the proportion of subtransmission should be used as an environmental variable in Economic Insights’ SFA model. Both noted that it is statistically significant and its inclusion reduces the observed difference in efficiency scores between Australian </w:t>
      </w:r>
      <w:r w:rsidR="000C4E69">
        <w:t>distributors</w:t>
      </w:r>
      <w:r w:rsidRPr="00D1590E">
        <w:t>.</w:t>
      </w:r>
    </w:p>
    <w:p w:rsidR="00D1590E" w:rsidRPr="00D1590E" w:rsidRDefault="00D1590E" w:rsidP="00D1590E">
      <w:pPr>
        <w:pStyle w:val="ListParagraph"/>
        <w:numPr>
          <w:ilvl w:val="0"/>
          <w:numId w:val="24"/>
        </w:numPr>
      </w:pPr>
      <w:r w:rsidRPr="00D1590E">
        <w:t xml:space="preserve">In response to Advisian's report we have investigated the effect of undergrounding. We calculated the adjustment using only overhead subtransmission lines. This resulted in an adjustment less favourable to Ausgrid and Essential, but more favourable to Endeavour. </w:t>
      </w:r>
    </w:p>
    <w:p w:rsidR="00D1590E" w:rsidRPr="00D1590E" w:rsidRDefault="00D1590E" w:rsidP="00D1590E">
      <w:pPr>
        <w:pStyle w:val="ListParagraph"/>
        <w:numPr>
          <w:ilvl w:val="0"/>
          <w:numId w:val="24"/>
        </w:numPr>
      </w:pPr>
      <w:r w:rsidRPr="00D1590E">
        <w:t xml:space="preserve">We consider that it is more appropriate to use total subtransmission line length to calculate the adjustment for subtransmission. This is because it is a proxy for the size of the subtransmission network that service providers must operate. This includes </w:t>
      </w:r>
      <w:r w:rsidRPr="00D1590E">
        <w:lastRenderedPageBreak/>
        <w:t>switchgear and transformers. Considering only underground subtransmission line length will distort this. Also Economic Insights' SFA model includes a variable to account for differences in the proportion of undergrounding.</w:t>
      </w:r>
    </w:p>
    <w:p w:rsidR="00D1590E" w:rsidRPr="00D1590E" w:rsidRDefault="00D1590E" w:rsidP="00D1590E">
      <w:pPr>
        <w:pStyle w:val="ListParagraph"/>
        <w:numPr>
          <w:ilvl w:val="0"/>
          <w:numId w:val="24"/>
        </w:numPr>
      </w:pPr>
      <w:r w:rsidRPr="00D1590E">
        <w:t>Economic Insights does consider that it is appropriate to include subtransmission directly as an operating environment variable in the SFA model</w:t>
      </w:r>
      <w:r w:rsidRPr="00D1590E">
        <w:rPr>
          <w:rStyle w:val="FootnoteReference"/>
        </w:rPr>
        <w:t xml:space="preserve"> </w:t>
      </w:r>
      <w:r w:rsidRPr="00D1590E">
        <w:rPr>
          <w:rStyle w:val="FootnoteReference"/>
        </w:rPr>
        <w:footnoteReference w:id="877"/>
      </w:r>
      <w:r w:rsidRPr="00D1590E">
        <w:t xml:space="preserve"> and we agree. Only the NSW, Queensland and ACT service providers report any line lengths over 66 kV in Australia</w:t>
      </w:r>
      <w:r w:rsidRPr="00D1590E">
        <w:rPr>
          <w:rStyle w:val="FootnoteReference"/>
        </w:rPr>
        <w:footnoteReference w:id="878"/>
      </w:r>
      <w:r w:rsidRPr="00D1590E">
        <w:t>. There is therefore a risk that this variable may pick up other characteristics that are shared by service providers in these states relative to service providers in the other states. Evidence for this is that the coefficients in the CEPA, Frontier Economics, and PEGR models suggests that subtransmission lines are between 9 and 48 times more expensive to operate than distribution lines.</w:t>
      </w:r>
      <w:r w:rsidRPr="00D1590E">
        <w:rPr>
          <w:rStyle w:val="FootnoteReference"/>
        </w:rPr>
        <w:t xml:space="preserve"> </w:t>
      </w:r>
      <w:r w:rsidRPr="00D1590E">
        <w:rPr>
          <w:rStyle w:val="FootnoteReference"/>
        </w:rPr>
        <w:footnoteReference w:id="879"/>
      </w:r>
      <w:r w:rsidRPr="00D1590E">
        <w:rPr>
          <w:rStyle w:val="FootnoteReference"/>
        </w:rPr>
        <w:t xml:space="preserve"> </w:t>
      </w:r>
      <w:r w:rsidRPr="00D1590E">
        <w:t>This is more than six times higher than the costs reported by Ausgrid in its regulatory accounts for the last 10 years.</w:t>
      </w:r>
      <w:r w:rsidRPr="00D1590E">
        <w:rPr>
          <w:rStyle w:val="FootnoteReference"/>
        </w:rPr>
        <w:footnoteReference w:id="880"/>
      </w:r>
    </w:p>
    <w:p w:rsidR="00D1590E" w:rsidRPr="00D1590E" w:rsidRDefault="00D1590E" w:rsidP="00D1590E">
      <w:pPr>
        <w:pStyle w:val="ListParagraph"/>
        <w:numPr>
          <w:ilvl w:val="0"/>
          <w:numId w:val="24"/>
        </w:numPr>
      </w:pPr>
      <w:r w:rsidRPr="00D1590E">
        <w:t>While we consider that including a variable in the SFA model for subtransmission is not appropriate, we consider it is appropriate to include a post-modelling adjustment. This is because differences in network boundary are exogenous, likely to materially affect service provider's costs, and are not accounted for elsewhere in the SFA model.</w:t>
      </w:r>
    </w:p>
    <w:p w:rsidR="00D1590E" w:rsidRPr="00D1590E" w:rsidRDefault="00D1590E" w:rsidP="00D1590E">
      <w:pPr>
        <w:pStyle w:val="ListParagraph"/>
        <w:numPr>
          <w:ilvl w:val="0"/>
          <w:numId w:val="24"/>
        </w:numPr>
      </w:pPr>
      <w:r w:rsidRPr="00D1590E">
        <w:t>Since our draft decision we have received economic benchmarking RIN data for 2014 for all businesses reporting on financial years. We have updated our OEF adjustment for subtransmission to reflect the most recent year of data available. This is because it is more reflective of the NSW service providers' opex requirements in the forecast period.</w:t>
      </w:r>
    </w:p>
    <w:bookmarkEnd w:id="307"/>
    <w:p w:rsidR="00D1590E" w:rsidRPr="00D1590E" w:rsidRDefault="00D1590E" w:rsidP="00D1590E">
      <w:pPr>
        <w:numPr>
          <w:ilvl w:val="0"/>
          <w:numId w:val="24"/>
        </w:numPr>
      </w:pPr>
      <w:r w:rsidRPr="00D1590E">
        <w:t>The adjustments are calculated by subtracting the percentage that subtransmission lines represent of total lines operated by the weighted average of the comparison firms from that for the relevant service provider. The recommended OEF adjustments for subtransmission are therefore:</w:t>
      </w:r>
    </w:p>
    <w:p w:rsidR="00D1590E" w:rsidRPr="00D1590E" w:rsidRDefault="00D1590E" w:rsidP="00D1590E">
      <w:pPr>
        <w:pStyle w:val="AERbulletlistfirststyle"/>
      </w:pPr>
      <w:r w:rsidRPr="00D1590E">
        <w:t>Ausgrid: 5.2 per cent</w:t>
      </w:r>
      <w:r w:rsidRPr="00D1590E">
        <w:rPr>
          <w:rStyle w:val="FootnoteReference"/>
        </w:rPr>
        <w:footnoteReference w:id="881"/>
      </w:r>
    </w:p>
    <w:p w:rsidR="00D1590E" w:rsidRPr="00D1590E" w:rsidRDefault="00D1590E" w:rsidP="00D1590E">
      <w:pPr>
        <w:pStyle w:val="AERbulletlistfirststyle"/>
      </w:pPr>
      <w:r w:rsidRPr="00D1590E">
        <w:t>Endeavour Energy: 4.9 per cent</w:t>
      </w:r>
      <w:r w:rsidRPr="00D1590E">
        <w:rPr>
          <w:rStyle w:val="FootnoteReference"/>
        </w:rPr>
        <w:footnoteReference w:id="882"/>
      </w:r>
    </w:p>
    <w:p w:rsidR="00D1590E" w:rsidRPr="00D1590E" w:rsidRDefault="00D1590E" w:rsidP="00D1590E">
      <w:pPr>
        <w:pStyle w:val="AERbulletlistfirststyle"/>
      </w:pPr>
      <w:r w:rsidRPr="00D1590E">
        <w:t>Essential Energy: 3.1 per cent.</w:t>
      </w:r>
      <w:r w:rsidRPr="00D1590E">
        <w:rPr>
          <w:rStyle w:val="FootnoteReference"/>
        </w:rPr>
        <w:footnoteReference w:id="883"/>
      </w:r>
    </w:p>
    <w:p w:rsidR="00D1590E" w:rsidRPr="00D1590E" w:rsidRDefault="00D1590E" w:rsidP="00D1590E">
      <w:pPr>
        <w:pStyle w:val="HeadingBoldBlue"/>
      </w:pPr>
      <w:bookmarkStart w:id="399" w:name="_Toc417646349"/>
      <w:r w:rsidRPr="00D1590E">
        <w:t>SWER</w:t>
      </w:r>
      <w:bookmarkEnd w:id="399"/>
    </w:p>
    <w:p w:rsidR="00D1590E" w:rsidRPr="00D1590E" w:rsidRDefault="00D1590E" w:rsidP="00D1590E">
      <w:pPr>
        <w:numPr>
          <w:ilvl w:val="0"/>
          <w:numId w:val="24"/>
        </w:numPr>
      </w:pPr>
      <w:r w:rsidRPr="00D1590E">
        <w:t xml:space="preserve">We are not satisfied that an OEF adjustment for the proportion of Single-wire earth-return (SWER) included in a network would meet the exogeneity or duplication OEF adjustment criteria. The proportion of SWER included in a network is a result of past </w:t>
      </w:r>
      <w:r w:rsidRPr="00D1590E">
        <w:lastRenderedPageBreak/>
        <w:t>management decisions and it will be correlated with customer density, which is captured in Economic Insights' SFA model.</w:t>
      </w:r>
    </w:p>
    <w:p w:rsidR="00D1590E" w:rsidRPr="00D1590E" w:rsidRDefault="00D1590E" w:rsidP="00D1590E">
      <w:pPr>
        <w:numPr>
          <w:ilvl w:val="0"/>
          <w:numId w:val="24"/>
        </w:numPr>
      </w:pPr>
      <w:r w:rsidRPr="00D1590E">
        <w:t>In response to our draft decision, Advisian,</w:t>
      </w:r>
      <w:r w:rsidRPr="00D1590E">
        <w:rPr>
          <w:rStyle w:val="FootnoteReference"/>
        </w:rPr>
        <w:footnoteReference w:id="884"/>
      </w:r>
      <w:r w:rsidRPr="00D1590E">
        <w:rPr>
          <w:rStyle w:val="FootnoteReference"/>
        </w:rPr>
        <w:footnoteReference w:id="885"/>
      </w:r>
      <w:r w:rsidRPr="00D1590E">
        <w:t>CEPA,</w:t>
      </w:r>
      <w:r w:rsidRPr="00D1590E">
        <w:rPr>
          <w:rStyle w:val="FootnoteReference"/>
        </w:rPr>
        <w:footnoteReference w:id="886"/>
      </w:r>
      <w:r w:rsidRPr="00D1590E">
        <w:t xml:space="preserve"> and Synergies</w:t>
      </w:r>
      <w:r w:rsidRPr="00D1590E">
        <w:rPr>
          <w:rStyle w:val="FootnoteReference"/>
        </w:rPr>
        <w:footnoteReference w:id="887"/>
      </w:r>
      <w:r w:rsidRPr="00D1590E">
        <w:t xml:space="preserve"> raised the point that the cost of operating SWER lines is different to other lines. Advisian and CEPA submitted that SWER is cheaper to operate than other lines. Synergies on the other hand submitted that it is more expensive to operate because it is less reliable, which results in greater network restoration costs.</w:t>
      </w:r>
    </w:p>
    <w:p w:rsidR="00D1590E" w:rsidRPr="00D1590E" w:rsidRDefault="00D1590E" w:rsidP="00D1590E">
      <w:pPr>
        <w:numPr>
          <w:ilvl w:val="0"/>
          <w:numId w:val="24"/>
        </w:numPr>
      </w:pPr>
      <w:r w:rsidRPr="00D1590E">
        <w:t>SWER is a mature technology that has been available to network service providers for decades. SWER systems are low capital and maintenance cost distribution systems, which have been installed and operated in many rural parts of the world. The high cost of network extension to rural areas, which are often characterized by scattered communities with low load densities, requires the use of low cost options to ensure economic viability. In SWER power distribution networks, the earth itself forms the current return path of the single phase system leading to significant cost savings on conductors, poles and pole top hardware compared to conventional systems. However, challenges exist in SWER with regard to voltage management, reliability, earthing and safety as well as the dependence on earth conductivity to supply consumer loads.</w:t>
      </w:r>
    </w:p>
    <w:p w:rsidR="00D1590E" w:rsidRPr="00D1590E" w:rsidRDefault="00D1590E" w:rsidP="00D1590E">
      <w:r w:rsidRPr="00D1590E">
        <w:t>A 2009 study by PB Associates identified SWER as the most cost effective option for the connection of remote customers.</w:t>
      </w:r>
      <w:r w:rsidRPr="00D1590E">
        <w:rPr>
          <w:rStyle w:val="FootnoteReference"/>
        </w:rPr>
        <w:footnoteReference w:id="888"/>
      </w:r>
      <w:r w:rsidRPr="00D1590E">
        <w:t xml:space="preserve"> This study showed that SWER supplies were less than half the cost of other overhead solutions. This is supported by a World Bank review of SWER undertaken in 2006.</w:t>
      </w:r>
      <w:r w:rsidRPr="00D1590E">
        <w:rPr>
          <w:rStyle w:val="FootnoteReference"/>
        </w:rPr>
        <w:footnoteReference w:id="889"/>
      </w:r>
      <w:r w:rsidRPr="00D1590E">
        <w:t xml:space="preserve"> </w:t>
      </w:r>
    </w:p>
    <w:p w:rsidR="00D1590E" w:rsidRPr="00D1590E" w:rsidRDefault="00D1590E" w:rsidP="00D1590E">
      <w:pPr>
        <w:numPr>
          <w:ilvl w:val="0"/>
          <w:numId w:val="24"/>
        </w:numPr>
      </w:pPr>
      <w:r w:rsidRPr="00D1590E">
        <w:t>An OEF adjustment for SWER does not meet the exogeneity OEF adjustment criterion. There was nothing preventing NSW service providers from using SWER in low demand low density areas of their networks. SWER has been available for use in Australia since the first half of the 20th century. To the extent that SWER is a cheaper method to distribute electricity, its use or absence, is a reflection of past managerial efficiency or inefficiency.</w:t>
      </w:r>
    </w:p>
    <w:p w:rsidR="00D1590E" w:rsidRPr="00D1590E" w:rsidRDefault="00D1590E" w:rsidP="00D1590E">
      <w:pPr>
        <w:numPr>
          <w:ilvl w:val="0"/>
          <w:numId w:val="24"/>
        </w:numPr>
      </w:pPr>
      <w:r w:rsidRPr="00D1590E">
        <w:t xml:space="preserve">To the extent that SWER can be used in low density low demand environments, the effect of SWER on opex will be correlated with customer density. As Economic Insights SFA model accounts for customer density, it will also account for the proportion of SWER used by a service provider. As mentioned in our draft decision, in our consideration of customer density, asset complexity will be correlated with customer </w:t>
      </w:r>
      <w:r w:rsidRPr="00D1590E">
        <w:lastRenderedPageBreak/>
        <w:t>density. In this case, SWER is a less complex asset designed to serve low loads through a single wire instead of multiple circuits.</w:t>
      </w:r>
    </w:p>
    <w:p w:rsidR="00D1590E" w:rsidRPr="00D1590E" w:rsidRDefault="00D1590E" w:rsidP="00D1590E">
      <w:pPr>
        <w:pStyle w:val="HeadingBoldBlue"/>
      </w:pPr>
      <w:bookmarkStart w:id="400" w:name="_Toc417646350"/>
      <w:r w:rsidRPr="00D1590E">
        <w:t>Transmission connection point charges</w:t>
      </w:r>
      <w:bookmarkEnd w:id="400"/>
    </w:p>
    <w:p w:rsidR="00D1590E" w:rsidRPr="00D1590E" w:rsidRDefault="00D1590E" w:rsidP="00D1590E">
      <w:pPr>
        <w:numPr>
          <w:ilvl w:val="0"/>
          <w:numId w:val="24"/>
        </w:numPr>
      </w:pPr>
      <w:r w:rsidRPr="00D1590E">
        <w:t>We are not satisfied that an OEF adjustment for transmission connection point charges would meet the duplication OEF adjustment criterion. Transmission connection point charges have been excluded from network services opex: the opex data used in Economic Insights' SFA model.</w:t>
      </w:r>
    </w:p>
    <w:p w:rsidR="00D1590E" w:rsidRPr="00D1590E" w:rsidRDefault="00D1590E" w:rsidP="00D1590E">
      <w:pPr>
        <w:numPr>
          <w:ilvl w:val="0"/>
          <w:numId w:val="24"/>
        </w:numPr>
      </w:pPr>
      <w:r w:rsidRPr="00D1590E">
        <w:t>Transmission connection point charges are charges for electricity transmission services.</w:t>
      </w:r>
    </w:p>
    <w:p w:rsidR="00D1590E" w:rsidRPr="00D1590E" w:rsidRDefault="00D1590E" w:rsidP="00D1590E">
      <w:pPr>
        <w:numPr>
          <w:ilvl w:val="0"/>
          <w:numId w:val="24"/>
        </w:numPr>
      </w:pPr>
      <w:r w:rsidRPr="00D1590E">
        <w:t>In response to our draft decision, Huegin raised transmission connection point charges as an OEF that may lead to differences in opex.</w:t>
      </w:r>
      <w:r w:rsidRPr="00D1590E">
        <w:rPr>
          <w:rStyle w:val="FootnoteReference"/>
        </w:rPr>
        <w:t xml:space="preserve"> </w:t>
      </w:r>
      <w:r w:rsidRPr="00D1590E">
        <w:rPr>
          <w:rStyle w:val="FootnoteReference"/>
        </w:rPr>
        <w:footnoteReference w:id="890"/>
      </w:r>
      <w:r w:rsidRPr="00D1590E">
        <w:t xml:space="preserve"> Huegin noted that Ofgem excludes transmission connection point charges from its totex benchmarking.</w:t>
      </w:r>
    </w:p>
    <w:p w:rsidR="00D1590E" w:rsidRPr="00D1590E" w:rsidRDefault="00D1590E" w:rsidP="00D1590E">
      <w:pPr>
        <w:numPr>
          <w:ilvl w:val="0"/>
          <w:numId w:val="24"/>
        </w:numPr>
      </w:pPr>
      <w:r w:rsidRPr="00D1590E">
        <w:t>In the NEM, transmission connection point charges are not included in network services opex. We are not satisfied that it is necessary to provide an OEF adjustment for transmission connection point charges. Economic Insights' SFA model uses network services opex.</w:t>
      </w:r>
    </w:p>
    <w:p w:rsidR="00D1590E" w:rsidRPr="00D1590E" w:rsidRDefault="00D1590E" w:rsidP="00D1590E">
      <w:r w:rsidRPr="00D1590E">
        <w:br w:type="page"/>
      </w:r>
    </w:p>
    <w:p w:rsidR="00D1590E" w:rsidRPr="00D1590E" w:rsidRDefault="00D1590E" w:rsidP="00D1590E">
      <w:pPr>
        <w:pStyle w:val="Heading8"/>
      </w:pPr>
      <w:bookmarkStart w:id="401" w:name="_Ref415585317"/>
      <w:bookmarkStart w:id="402" w:name="_Ref415737208"/>
      <w:bookmarkStart w:id="403" w:name="_Ref416803943"/>
      <w:bookmarkStart w:id="404" w:name="_Toc417649244"/>
      <w:bookmarkStart w:id="405" w:name="_Toc417659876"/>
      <w:r w:rsidRPr="00D1590E">
        <w:lastRenderedPageBreak/>
        <w:t xml:space="preserve">The benchmark </w:t>
      </w:r>
      <w:bookmarkEnd w:id="301"/>
      <w:bookmarkEnd w:id="302"/>
      <w:bookmarkEnd w:id="303"/>
      <w:bookmarkEnd w:id="304"/>
      <w:bookmarkEnd w:id="305"/>
      <w:bookmarkEnd w:id="306"/>
      <w:bookmarkEnd w:id="401"/>
      <w:r w:rsidRPr="00D1590E">
        <w:t>comparison point and adjustments</w:t>
      </w:r>
      <w:bookmarkEnd w:id="402"/>
      <w:r w:rsidRPr="00D1590E">
        <w:t xml:space="preserve"> to base opex</w:t>
      </w:r>
      <w:bookmarkEnd w:id="403"/>
      <w:bookmarkEnd w:id="404"/>
      <w:bookmarkEnd w:id="405"/>
    </w:p>
    <w:p w:rsidR="00D1590E" w:rsidRPr="00D1590E" w:rsidRDefault="00D1590E" w:rsidP="00D1590E">
      <w:r w:rsidRPr="00D1590E">
        <w:t>The purpose of any adjustment to base opex is to develop an appropriate starting point from which to build our alternative estimate of forecast opex that we are satisfied will reasonably reflect the opex criteria. We do this using a range of techniques, including benchmarking. If we make an adjustment to base opex, it is not the end of our assessment, merely one stage of it. However, the effect of removing spending from base opex that does not reflect the opex criteria can be significant because service providers rely heavily on total actual opex incurred in the base year in their revised proposals to develop their proposed forecast.</w:t>
      </w:r>
    </w:p>
    <w:p w:rsidR="00D1590E" w:rsidRPr="00D1590E" w:rsidRDefault="00D1590E" w:rsidP="00D1590E">
      <w:r w:rsidRPr="00D1590E">
        <w:t>If our analysis indicates that a service provider's base opex is materially inefficient for the purposes of forecasting opex in the coming regulatory control period even after its individual circumstances (such as exogenous factors) are accounted for, it would not be appropriate to use the base opex for the purpose of constructing a forecast that is intended to reflect the opex criteria. If we relied upon unadjusted revealed costs to build a forecast, it would include</w:t>
      </w:r>
      <w:r w:rsidRPr="00D1590E" w:rsidDel="002204D2">
        <w:t xml:space="preserve"> </w:t>
      </w:r>
      <w:r w:rsidRPr="00D1590E">
        <w:t>spending that does not reflect the opex criteria for each year of the new regulatory period.</w:t>
      </w:r>
    </w:p>
    <w:p w:rsidR="00D1590E" w:rsidRPr="00D1590E" w:rsidRDefault="00D1590E" w:rsidP="00D1590E">
      <w:r w:rsidRPr="00D1590E">
        <w:t xml:space="preserve">Accordingly, making an appropriate adjustment to base opex is an important part of our assessment approach in circumstances where we find evidence for material inefficiency in the base year costs. This issue has been the subject of a range of submissions and responses from stakeholders. </w:t>
      </w:r>
    </w:p>
    <w:p w:rsidR="00D1590E" w:rsidRPr="00D1590E" w:rsidRDefault="00D1590E" w:rsidP="00D1590E">
      <w:r w:rsidRPr="00D1590E">
        <w:t>This part of our decision is, essentially, about how much of the actual opex of a service provider in the base year does not reasonably reflect the opex criteria when reviewed using the approach we are applying for the 2014–19 regulatory period.</w:t>
      </w:r>
    </w:p>
    <w:p w:rsidR="00D1590E" w:rsidRPr="00D1590E" w:rsidRDefault="00D1590E" w:rsidP="00D1590E">
      <w:pPr>
        <w:pStyle w:val="Heading9"/>
      </w:pPr>
      <w:bookmarkStart w:id="406" w:name="_Toc417646352"/>
      <w:bookmarkStart w:id="407" w:name="_Toc417649245"/>
      <w:bookmarkStart w:id="408" w:name="_Toc417659877"/>
      <w:r w:rsidRPr="00D1590E">
        <w:t>Position</w:t>
      </w:r>
      <w:bookmarkEnd w:id="406"/>
      <w:bookmarkEnd w:id="407"/>
      <w:bookmarkEnd w:id="408"/>
    </w:p>
    <w:p w:rsidR="00D1590E" w:rsidRPr="00D1590E" w:rsidRDefault="00D1590E" w:rsidP="00D1590E">
      <w:r w:rsidRPr="00D1590E">
        <w:t xml:space="preserve">Having considered all the relevant evidence we consider there is material inefficiency in Ausgrid's and Essential Energy's base year opex. We do not, however, consider material inefficiency exists in Endeavour Energy's base opex. </w:t>
      </w:r>
    </w:p>
    <w:p w:rsidR="00D1590E" w:rsidRPr="00D1590E" w:rsidRDefault="00D1590E" w:rsidP="00D1590E">
      <w:r w:rsidRPr="00D1590E">
        <w:t xml:space="preserve">For Ausgrid and Essential Energy, to rely on their revealed expenditure in the base year when developing our alternative forecast would result in an estimate of total forecast opex that would not reasonably reflect the opex criteria. For the purposes of constructing an alternative opex forecast that we think will reasonably reflect the opex criteria, we have adjusted their base opex amounts downwards by an appropriate margin having regard to the RPPs, the opex factors and the NEO. </w:t>
      </w:r>
    </w:p>
    <w:p w:rsidR="00D1590E" w:rsidRPr="00D1590E" w:rsidRDefault="00D1590E" w:rsidP="00D1590E">
      <w:r w:rsidRPr="00D1590E">
        <w:t>For Endeavour Energy's base year opex, because we are not satisfied that it contains material inefficiency it does not require an adjustment. We, therefore, consider it appropriate to use Endeavour Energy's base opex when developing our alternative forecast. This is a departure from our draft decision. Our benchmarking analysis is nevertheless relevant in our assessment of other components of Endeavour Energy's alternative total opex forecast, such as a consideration of its proposed step changes.</w:t>
      </w:r>
    </w:p>
    <w:p w:rsidR="00D1590E" w:rsidRPr="00D1590E" w:rsidRDefault="00D1590E" w:rsidP="00D1590E">
      <w:r w:rsidRPr="00D1590E">
        <w:lastRenderedPageBreak/>
        <w:t>We disagree with the service providers' submissions that advocate we should abandon our benchmarking techniques and the extent to which we rely upon our benchmarking results.</w:t>
      </w:r>
      <w:r w:rsidRPr="00D1590E">
        <w:rPr>
          <w:rStyle w:val="FootnoteReference"/>
        </w:rPr>
        <w:footnoteReference w:id="891"/>
      </w:r>
      <w:r w:rsidRPr="00D1590E">
        <w:t xml:space="preserve"> Therefore, we continue to place significant weight on the results of Economic Insights' preferred model (Cobb Douglas SFA) in estimating necessary reductions in base opex.</w:t>
      </w:r>
    </w:p>
    <w:p w:rsidR="00D1590E" w:rsidRPr="00D1590E" w:rsidRDefault="00D1590E" w:rsidP="00D1590E">
      <w:r w:rsidRPr="00D1590E">
        <w:t>However, in light of submissions from service providers, we have reconsidered our approach to determining the most appropriate way to make an adjustment.</w:t>
      </w:r>
      <w:r w:rsidRPr="00D1590E">
        <w:rPr>
          <w:rStyle w:val="FootnoteReference"/>
        </w:rPr>
        <w:footnoteReference w:id="892"/>
      </w:r>
      <w:r w:rsidRPr="00D1590E">
        <w:t xml:space="preserve"> As we explain in the Guideline, our preference is to rely on revealed expenditure as an appropriate basis for forecasting efficient, prudent and realistic opex when service providers are appropriately responding to the incentive framework. Therefore, rather than adjusting all service providers below the most efficient performer (the frontier) the Guideline approach is to adjust revealed opex when our analysis demonstrates it is </w:t>
      </w:r>
      <w:r w:rsidRPr="00D1590E">
        <w:rPr>
          <w:rStyle w:val="AERtextitalic"/>
        </w:rPr>
        <w:t>materially</w:t>
      </w:r>
      <w:r w:rsidRPr="00D1590E">
        <w:t xml:space="preserve"> inefficient.</w:t>
      </w:r>
      <w:r w:rsidRPr="00D1590E">
        <w:rPr>
          <w:rStyle w:val="FootnoteReference"/>
        </w:rPr>
        <w:t xml:space="preserve"> </w:t>
      </w:r>
      <w:r w:rsidRPr="00D1590E">
        <w:rPr>
          <w:rStyle w:val="FootnoteReference"/>
        </w:rPr>
        <w:footnoteReference w:id="893"/>
      </w:r>
    </w:p>
    <w:p w:rsidR="00D1590E" w:rsidRPr="00D1590E" w:rsidRDefault="00D1590E" w:rsidP="00D1590E">
      <w:r w:rsidRPr="00D1590E">
        <w:t xml:space="preserve">We have looked to international regulators' application of benchmarking for guidance on benchmark comparison points. However, while many regulators apply benchmarking, the application differs across regulatory regimes. Rather, when determining the appropriate point at which to make an adjustment to expenditure, they do so having regard to their regulatory framework and the task before them. Similarly, we have decided on the benchmark comparison point (the threshold at which we make an adjustment to base opex) having regard to our regulatory framework and the task before us. </w:t>
      </w:r>
    </w:p>
    <w:p w:rsidR="00D1590E" w:rsidRPr="00D1590E" w:rsidRDefault="00D1590E" w:rsidP="00D1590E">
      <w:r w:rsidRPr="00D1590E">
        <w:t>We have decided, on balance, for this decision the appropriate benchmark comparison point is the lowest of the efficiency scores in the top quartile of possible scores rather than the average approach we used in our draft decision. This is equivalent to the efficiency score for the business at the bottom of the upper third (top 33 per cent) of companies in the benchmark sample (represented by AusNet Services). Our approach of using benchmarking as a basis for making adjustments to opex is consistent with Ofgem's approach.</w:t>
      </w:r>
      <w:r w:rsidRPr="00D1590E">
        <w:rPr>
          <w:rStyle w:val="FootnoteReference"/>
        </w:rPr>
        <w:footnoteReference w:id="894"/>
      </w:r>
      <w:r w:rsidRPr="00D1590E">
        <w:t xml:space="preserve"> </w:t>
      </w:r>
    </w:p>
    <w:p w:rsidR="00D1590E" w:rsidRPr="00D1590E" w:rsidRDefault="00D1590E" w:rsidP="00D1590E">
      <w:r w:rsidRPr="00D1590E">
        <w:t xml:space="preserve">This reduces the benchmark comparison point from 0.86 to 0.77. In making this change to our approach, we have carefully considered the submissions we have received, the requirements in the NEL and NER, the Guideline approach and the advice of Economic Insights. The purpose of assessing base opex under the Guideline approach is to identify </w:t>
      </w:r>
      <w:r w:rsidRPr="00D1590E">
        <w:rPr>
          <w:rStyle w:val="AERbody"/>
        </w:rPr>
        <w:t>material</w:t>
      </w:r>
      <w:r w:rsidRPr="00D1590E">
        <w:t xml:space="preserve"> inefficiency.  We must ensure, therefore, that our </w:t>
      </w:r>
      <w:r w:rsidRPr="00D1590E">
        <w:lastRenderedPageBreak/>
        <w:t xml:space="preserve">comparison point appropriately reflects our satisfaction that a service provider's revealed opex is </w:t>
      </w:r>
      <w:r w:rsidRPr="00D1590E">
        <w:rPr>
          <w:rStyle w:val="AERtextitalic"/>
        </w:rPr>
        <w:t>materially</w:t>
      </w:r>
      <w:r w:rsidRPr="00D1590E">
        <w:t xml:space="preserve"> inefficient before we reduce it.</w:t>
      </w:r>
    </w:p>
    <w:p w:rsidR="00D1590E" w:rsidRPr="00D1590E" w:rsidRDefault="00D1590E" w:rsidP="00D1590E">
      <w:r w:rsidRPr="00D1590E">
        <w:t>This change reduces our estimate of the necessary adjustments to base year opex significantly. However, given this is our first application of economic benchmarking, our view is this application is appropriate for this determination. That is, we have allowed a wide margin between the frontier firm (0.95) and the benchmark comparison point (0.77). Service providers should be aware, however, that as we refine our approach and receive more data, we may reduce the size of that margin when making adjustments to base opex to develop alternative opex forecasts.</w:t>
      </w:r>
    </w:p>
    <w:p w:rsidR="00D1590E" w:rsidRPr="00D1590E" w:rsidRDefault="00D1590E" w:rsidP="00D1590E">
      <w:r w:rsidRPr="00D1590E">
        <w:t xml:space="preserve">Applying this approach, we have decided to adjust Ausgrid's and Essential Energy's revealed expenditure by $118.0 million (24.0 per cent) and $109.8 million (26.3 per cent), respectively. </w:t>
      </w:r>
      <w:r w:rsidRPr="00D1590E">
        <w:fldChar w:fldCharType="begin"/>
      </w:r>
      <w:r w:rsidRPr="00D1590E">
        <w:instrText xml:space="preserve"> REF _Ref417644211 \h </w:instrText>
      </w:r>
      <w:r w:rsidRPr="00D1590E">
        <w:fldChar w:fldCharType="separate"/>
      </w:r>
      <w:r w:rsidR="006139BC" w:rsidRPr="00D1590E">
        <w:t xml:space="preserve">Table </w:t>
      </w:r>
      <w:r w:rsidR="006139BC">
        <w:rPr>
          <w:noProof/>
        </w:rPr>
        <w:t>A</w:t>
      </w:r>
      <w:r w:rsidR="006139BC" w:rsidRPr="00D1590E">
        <w:t>.</w:t>
      </w:r>
      <w:r w:rsidR="006139BC">
        <w:rPr>
          <w:noProof/>
        </w:rPr>
        <w:t>15</w:t>
      </w:r>
      <w:r w:rsidRPr="00D1590E">
        <w:fldChar w:fldCharType="end"/>
      </w:r>
      <w:r w:rsidRPr="00D1590E">
        <w:t xml:space="preserve"> shows the resulting adjustments. The adjustments incorporate:</w:t>
      </w:r>
    </w:p>
    <w:p w:rsidR="00D1590E" w:rsidRPr="00D1590E" w:rsidRDefault="00D1590E" w:rsidP="00D1590E">
      <w:pPr>
        <w:pStyle w:val="AERbulletlistfirststyle"/>
      </w:pPr>
      <w:r w:rsidRPr="00D1590E">
        <w:t xml:space="preserve">a reduced benchmark comparison point of 0.77 in Economic Insights' SFA model </w:t>
      </w:r>
    </w:p>
    <w:p w:rsidR="00D1590E" w:rsidRPr="00D1590E" w:rsidRDefault="00D1590E" w:rsidP="00D1590E">
      <w:pPr>
        <w:pStyle w:val="AERbulletlistfirststyle"/>
      </w:pPr>
      <w:r w:rsidRPr="00D1590E">
        <w:t xml:space="preserve">an allowance for exogenous circumstances of 12 per cent for Ausgrid, 13 per cent for Endeavour Energy, and 11 per cent for Essential Energy based on our detailed assessment set out in section </w:t>
      </w:r>
      <w:r w:rsidRPr="00D1590E">
        <w:fldChar w:fldCharType="begin"/>
      </w:r>
      <w:r w:rsidRPr="00D1590E">
        <w:instrText xml:space="preserve"> REF _Ref417551822 \r \h </w:instrText>
      </w:r>
      <w:r w:rsidRPr="00D1590E">
        <w:fldChar w:fldCharType="separate"/>
      </w:r>
      <w:r w:rsidR="006139BC">
        <w:t>A.6</w:t>
      </w:r>
      <w:r w:rsidRPr="00D1590E">
        <w:fldChar w:fldCharType="end"/>
      </w:r>
      <w:r w:rsidRPr="00D1590E">
        <w:t>.</w:t>
      </w:r>
    </w:p>
    <w:p w:rsidR="00D1590E" w:rsidRPr="00D1590E" w:rsidRDefault="00D1590E" w:rsidP="00D1590E">
      <w:r w:rsidRPr="00D1590E">
        <w:t>These adjustments are consistent with the approach we have outlined in the Guideline and allow us to develop a forecast that best reflects the opex criteria in the NER to achieve the NEO.</w:t>
      </w:r>
      <w:r w:rsidRPr="00D1590E">
        <w:rPr>
          <w:rStyle w:val="FootnoteReference"/>
        </w:rPr>
        <w:footnoteReference w:id="895"/>
      </w:r>
      <w:r w:rsidRPr="00D1590E">
        <w:t xml:space="preserve"> </w:t>
      </w:r>
    </w:p>
    <w:p w:rsidR="00D1590E" w:rsidRDefault="00D1590E" w:rsidP="00D1590E">
      <w:r w:rsidRPr="00D1590E">
        <w:t xml:space="preserve">As a result of this modification to our approach from the draft decision, our final decision adjustments are lower than those put forward in our draft decision. </w:t>
      </w:r>
      <w:r w:rsidRPr="00D1590E">
        <w:fldChar w:fldCharType="begin"/>
      </w:r>
      <w:r w:rsidRPr="00D1590E">
        <w:instrText xml:space="preserve"> REF _Ref417644211 \h </w:instrText>
      </w:r>
      <w:r w:rsidRPr="00D1590E">
        <w:fldChar w:fldCharType="separate"/>
      </w:r>
      <w:r w:rsidR="006139BC" w:rsidRPr="00D1590E">
        <w:t xml:space="preserve">Table </w:t>
      </w:r>
      <w:r w:rsidR="006139BC">
        <w:rPr>
          <w:noProof/>
        </w:rPr>
        <w:t>A</w:t>
      </w:r>
      <w:r w:rsidR="006139BC" w:rsidRPr="00D1590E">
        <w:t>.</w:t>
      </w:r>
      <w:r w:rsidR="006139BC">
        <w:rPr>
          <w:noProof/>
        </w:rPr>
        <w:t>15</w:t>
      </w:r>
      <w:r w:rsidRPr="00D1590E">
        <w:fldChar w:fldCharType="end"/>
      </w:r>
      <w:r w:rsidRPr="00D1590E">
        <w:t xml:space="preserve"> shows that we are no longer adjusting Endeavour Energy's base opex for the purpose of constructing an alternative opex forecast. </w:t>
      </w:r>
    </w:p>
    <w:p w:rsidR="006139BC" w:rsidRDefault="006139BC">
      <w:pPr>
        <w:spacing w:line="240" w:lineRule="auto"/>
      </w:pPr>
      <w:r>
        <w:br w:type="page"/>
      </w:r>
    </w:p>
    <w:p w:rsidR="00D1590E" w:rsidRPr="00D1590E" w:rsidRDefault="00D1590E" w:rsidP="00D1590E">
      <w:pPr>
        <w:pStyle w:val="Caption"/>
      </w:pPr>
      <w:bookmarkStart w:id="409" w:name="_Ref417644211"/>
      <w:r w:rsidRPr="00D1590E">
        <w:lastRenderedPageBreak/>
        <w:t xml:space="preserve">Table </w:t>
      </w:r>
      <w:fldSimple w:instr=" STYLEREF 7 \s ">
        <w:r w:rsidR="006139BC">
          <w:rPr>
            <w:noProof/>
          </w:rPr>
          <w:t>A</w:t>
        </w:r>
      </w:fldSimple>
      <w:r w:rsidRPr="00D1590E">
        <w:t>.</w:t>
      </w:r>
      <w:fldSimple w:instr=" SEQ ATable \* ARABIC \s 7 ">
        <w:r w:rsidR="006139BC">
          <w:rPr>
            <w:noProof/>
          </w:rPr>
          <w:t>15</w:t>
        </w:r>
      </w:fldSimple>
      <w:bookmarkEnd w:id="409"/>
      <w:r w:rsidRPr="00D1590E">
        <w:tab/>
        <w:t>Final decision base opex adjustments</w:t>
      </w:r>
    </w:p>
    <w:tbl>
      <w:tblPr>
        <w:tblStyle w:val="AERtable-numbers"/>
        <w:tblW w:w="5000" w:type="pct"/>
        <w:tblLook w:val="04A0" w:firstRow="1" w:lastRow="0" w:firstColumn="1" w:lastColumn="0" w:noHBand="0" w:noVBand="1"/>
      </w:tblPr>
      <w:tblGrid>
        <w:gridCol w:w="4362"/>
        <w:gridCol w:w="1700"/>
        <w:gridCol w:w="1417"/>
        <w:gridCol w:w="1213"/>
      </w:tblGrid>
      <w:tr w:rsidR="00D1590E" w:rsidTr="00D15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D1590E" w:rsidRPr="00D1590E" w:rsidRDefault="00D1590E" w:rsidP="00D1590E">
            <w:pPr>
              <w:pStyle w:val="AERtabletextleft"/>
            </w:pPr>
          </w:p>
        </w:tc>
        <w:tc>
          <w:tcPr>
            <w:tcW w:w="978" w:type="pct"/>
            <w:vAlign w:val="top"/>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ab/>
              <w:t>Ausgrid</w:t>
            </w:r>
          </w:p>
        </w:tc>
        <w:tc>
          <w:tcPr>
            <w:tcW w:w="815" w:type="pct"/>
            <w:vAlign w:val="top"/>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Endeavour</w:t>
            </w:r>
          </w:p>
        </w:tc>
        <w:tc>
          <w:tcPr>
            <w:tcW w:w="698" w:type="pct"/>
            <w:vAlign w:val="top"/>
          </w:tcPr>
          <w:p w:rsidR="00D1590E" w:rsidRPr="00D1590E" w:rsidRDefault="00D1590E" w:rsidP="00D1590E">
            <w:pPr>
              <w:pStyle w:val="AERtabletextleft"/>
              <w:cnfStyle w:val="100000000000" w:firstRow="1" w:lastRow="0" w:firstColumn="0" w:lastColumn="0" w:oddVBand="0" w:evenVBand="0" w:oddHBand="0" w:evenHBand="0" w:firstRowFirstColumn="0" w:firstRowLastColumn="0" w:lastRowFirstColumn="0" w:lastRowLastColumn="0"/>
            </w:pPr>
            <w:r w:rsidRPr="00D1590E">
              <w:t>Essential</w:t>
            </w:r>
          </w:p>
        </w:tc>
      </w:tr>
      <w:tr w:rsidR="00D1590E" w:rsidTr="00D1590E">
        <w:tc>
          <w:tcPr>
            <w:cnfStyle w:val="001000000000" w:firstRow="0" w:lastRow="0" w:firstColumn="1" w:lastColumn="0" w:oddVBand="0" w:evenVBand="0" w:oddHBand="0" w:evenHBand="0" w:firstRowFirstColumn="0" w:firstRowLastColumn="0" w:lastRowFirstColumn="0" w:lastRowLastColumn="0"/>
            <w:tcW w:w="2508" w:type="pct"/>
            <w:vAlign w:val="top"/>
          </w:tcPr>
          <w:p w:rsidR="00D1590E" w:rsidRPr="00D1590E" w:rsidRDefault="00D1590E" w:rsidP="00D1590E">
            <w:pPr>
              <w:pStyle w:val="AERtabletextleft"/>
            </w:pPr>
            <w:r w:rsidRPr="00D1590E">
              <w:t>Proposed base opex, nominal</w:t>
            </w:r>
          </w:p>
        </w:tc>
        <w:tc>
          <w:tcPr>
            <w:tcW w:w="978"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503.6</w:t>
            </w:r>
          </w:p>
        </w:tc>
        <w:tc>
          <w:tcPr>
            <w:tcW w:w="815"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271.6</w:t>
            </w:r>
          </w:p>
        </w:tc>
        <w:tc>
          <w:tcPr>
            <w:tcW w:w="698"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461.0</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D1590E" w:rsidRPr="00D1590E" w:rsidRDefault="00D1590E" w:rsidP="00D1590E">
            <w:pPr>
              <w:pStyle w:val="AERtabletextleft"/>
            </w:pPr>
            <w:r w:rsidRPr="00D1590E">
              <w:t>- debt raising costs, nominal</w:t>
            </w:r>
          </w:p>
        </w:tc>
        <w:tc>
          <w:tcPr>
            <w:tcW w:w="978"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-0.4</w:t>
            </w:r>
          </w:p>
        </w:tc>
        <w:tc>
          <w:tcPr>
            <w:tcW w:w="815"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w:t>
            </w:r>
          </w:p>
        </w:tc>
        <w:tc>
          <w:tcPr>
            <w:tcW w:w="698"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-0.3</w:t>
            </w:r>
          </w:p>
        </w:tc>
      </w:tr>
      <w:tr w:rsidR="00D1590E" w:rsidTr="00D1590E">
        <w:tc>
          <w:tcPr>
            <w:cnfStyle w:val="001000000000" w:firstRow="0" w:lastRow="0" w:firstColumn="1" w:lastColumn="0" w:oddVBand="0" w:evenVBand="0" w:oddHBand="0" w:evenHBand="0" w:firstRowFirstColumn="0" w:firstRowLastColumn="0" w:lastRowFirstColumn="0" w:lastRowLastColumn="0"/>
            <w:tcW w:w="2508" w:type="pct"/>
            <w:vAlign w:val="top"/>
          </w:tcPr>
          <w:p w:rsidR="00D1590E" w:rsidRPr="00D1590E" w:rsidRDefault="00D1590E" w:rsidP="00D1590E">
            <w:pPr>
              <w:pStyle w:val="AERtabletextleft"/>
            </w:pPr>
            <w:r w:rsidRPr="00D1590E">
              <w:t>- New CAM, nominal</w:t>
            </w:r>
          </w:p>
        </w:tc>
        <w:tc>
          <w:tcPr>
            <w:tcW w:w="978"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3.7</w:t>
            </w:r>
          </w:p>
        </w:tc>
        <w:tc>
          <w:tcPr>
            <w:tcW w:w="815"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w:t>
            </w:r>
          </w:p>
        </w:tc>
        <w:tc>
          <w:tcPr>
            <w:tcW w:w="698"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D1590E" w:rsidRPr="00D1590E" w:rsidRDefault="00D1590E" w:rsidP="00D1590E">
            <w:pPr>
              <w:pStyle w:val="AERtabletextleft"/>
            </w:pPr>
            <w:r w:rsidRPr="00D1590E">
              <w:t>- New service classification, nominal</w:t>
            </w:r>
          </w:p>
        </w:tc>
        <w:tc>
          <w:tcPr>
            <w:tcW w:w="978"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-34.8</w:t>
            </w:r>
          </w:p>
        </w:tc>
        <w:tc>
          <w:tcPr>
            <w:tcW w:w="815"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-55.1</w:t>
            </w:r>
          </w:p>
        </w:tc>
        <w:tc>
          <w:tcPr>
            <w:tcW w:w="698"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-59.8</w:t>
            </w:r>
          </w:p>
        </w:tc>
      </w:tr>
      <w:tr w:rsidR="00D1590E" w:rsidTr="00D1590E">
        <w:tc>
          <w:tcPr>
            <w:cnfStyle w:val="001000000000" w:firstRow="0" w:lastRow="0" w:firstColumn="1" w:lastColumn="0" w:oddVBand="0" w:evenVBand="0" w:oddHBand="0" w:evenHBand="0" w:firstRowFirstColumn="0" w:firstRowLastColumn="0" w:lastRowFirstColumn="0" w:lastRowLastColumn="0"/>
            <w:tcW w:w="2508" w:type="pct"/>
            <w:vAlign w:val="top"/>
          </w:tcPr>
          <w:p w:rsidR="00D1590E" w:rsidRPr="00D1590E" w:rsidRDefault="00D1590E" w:rsidP="00D1590E">
            <w:pPr>
              <w:pStyle w:val="AERtabletextleft"/>
            </w:pPr>
            <w:r w:rsidRPr="00D1590E">
              <w:t xml:space="preserve">Adjusted total opex, nominal </w:t>
            </w:r>
          </w:p>
        </w:tc>
        <w:tc>
          <w:tcPr>
            <w:tcW w:w="978"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472.2</w:t>
            </w:r>
          </w:p>
        </w:tc>
        <w:tc>
          <w:tcPr>
            <w:tcW w:w="815"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216.5</w:t>
            </w:r>
          </w:p>
        </w:tc>
        <w:tc>
          <w:tcPr>
            <w:tcW w:w="698"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pPr>
            <w:r w:rsidRPr="00D1590E">
              <w:t>401.0</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D1590E" w:rsidRPr="00D1590E" w:rsidRDefault="00D1590E" w:rsidP="00D1590E">
            <w:pPr>
              <w:pStyle w:val="AERtabletextleft"/>
            </w:pPr>
            <w:r w:rsidRPr="00D1590E">
              <w:t>Base opex, real 2013–14 (end of year)</w:t>
            </w:r>
          </w:p>
        </w:tc>
        <w:tc>
          <w:tcPr>
            <w:tcW w:w="978"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492.2</w:t>
            </w:r>
          </w:p>
        </w:tc>
        <w:tc>
          <w:tcPr>
            <w:tcW w:w="815"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225.7</w:t>
            </w:r>
          </w:p>
        </w:tc>
        <w:tc>
          <w:tcPr>
            <w:tcW w:w="698"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418.0</w:t>
            </w:r>
          </w:p>
        </w:tc>
      </w:tr>
      <w:tr w:rsidR="00D1590E" w:rsidTr="00D1590E">
        <w:tc>
          <w:tcPr>
            <w:cnfStyle w:val="001000000000" w:firstRow="0" w:lastRow="0" w:firstColumn="1" w:lastColumn="0" w:oddVBand="0" w:evenVBand="0" w:oddHBand="0" w:evenHBand="0" w:firstRowFirstColumn="0" w:firstRowLastColumn="0" w:lastRowFirstColumn="0" w:lastRowLastColumn="0"/>
            <w:tcW w:w="2508" w:type="pct"/>
            <w:vAlign w:val="top"/>
          </w:tcPr>
          <w:p w:rsidR="00D1590E" w:rsidRPr="00D1590E" w:rsidRDefault="00D1590E" w:rsidP="00D1590E">
            <w:pPr>
              <w:pStyle w:val="AERtabletextleft"/>
              <w:rPr>
                <w:rStyle w:val="Strong"/>
              </w:rPr>
            </w:pPr>
            <w:r w:rsidRPr="00D1590E">
              <w:rPr>
                <w:rStyle w:val="Strong"/>
              </w:rPr>
              <w:t>Substitute base, real 2013–14 (end of year)</w:t>
            </w:r>
          </w:p>
        </w:tc>
        <w:tc>
          <w:tcPr>
            <w:tcW w:w="978"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D1590E">
              <w:rPr>
                <w:rStyle w:val="Strong"/>
              </w:rPr>
              <w:t>374.2</w:t>
            </w:r>
          </w:p>
        </w:tc>
        <w:tc>
          <w:tcPr>
            <w:tcW w:w="815"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D1590E">
              <w:rPr>
                <w:rStyle w:val="Strong"/>
              </w:rPr>
              <w:t>233.3</w:t>
            </w:r>
          </w:p>
        </w:tc>
        <w:tc>
          <w:tcPr>
            <w:tcW w:w="698"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D1590E">
              <w:rPr>
                <w:rStyle w:val="Strong"/>
              </w:rPr>
              <w:t>308.2</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D1590E" w:rsidRPr="00D1590E" w:rsidRDefault="00D1590E" w:rsidP="00D1590E">
            <w:pPr>
              <w:pStyle w:val="AERtabletextleft"/>
            </w:pPr>
            <w:r w:rsidRPr="00D1590E">
              <w:t>Difference in base opex</w:t>
            </w:r>
          </w:p>
        </w:tc>
        <w:tc>
          <w:tcPr>
            <w:tcW w:w="978"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118.0</w:t>
            </w:r>
          </w:p>
        </w:tc>
        <w:tc>
          <w:tcPr>
            <w:tcW w:w="815"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-7.6</w:t>
            </w:r>
          </w:p>
        </w:tc>
        <w:tc>
          <w:tcPr>
            <w:tcW w:w="698" w:type="pct"/>
            <w:vAlign w:val="bottom"/>
          </w:tcPr>
          <w:p w:rsidR="00D1590E" w:rsidRPr="00D1590E" w:rsidRDefault="00D1590E" w:rsidP="00D1590E">
            <w:pPr>
              <w:pStyle w:val="AERtabletextleft"/>
              <w:cnfStyle w:val="000000010000" w:firstRow="0" w:lastRow="0" w:firstColumn="0" w:lastColumn="0" w:oddVBand="0" w:evenVBand="0" w:oddHBand="0" w:evenHBand="1" w:firstRowFirstColumn="0" w:firstRowLastColumn="0" w:lastRowFirstColumn="0" w:lastRowLastColumn="0"/>
            </w:pPr>
            <w:r w:rsidRPr="00D1590E">
              <w:t>109.8</w:t>
            </w:r>
          </w:p>
        </w:tc>
      </w:tr>
      <w:tr w:rsidR="00D1590E" w:rsidTr="00D1590E">
        <w:tc>
          <w:tcPr>
            <w:cnfStyle w:val="001000000000" w:firstRow="0" w:lastRow="0" w:firstColumn="1" w:lastColumn="0" w:oddVBand="0" w:evenVBand="0" w:oddHBand="0" w:evenHBand="0" w:firstRowFirstColumn="0" w:firstRowLastColumn="0" w:lastRowFirstColumn="0" w:lastRowLastColumn="0"/>
            <w:tcW w:w="2508" w:type="pct"/>
            <w:vAlign w:val="top"/>
          </w:tcPr>
          <w:p w:rsidR="00D1590E" w:rsidRPr="00D1590E" w:rsidRDefault="00D1590E" w:rsidP="00D1590E">
            <w:pPr>
              <w:pStyle w:val="AERtabletextleft"/>
              <w:rPr>
                <w:rStyle w:val="Strong"/>
              </w:rPr>
            </w:pPr>
            <w:r w:rsidRPr="00D1590E">
              <w:rPr>
                <w:rStyle w:val="Strong"/>
              </w:rPr>
              <w:t>Percentage base opex reduction</w:t>
            </w:r>
          </w:p>
        </w:tc>
        <w:tc>
          <w:tcPr>
            <w:tcW w:w="978"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D1590E">
              <w:rPr>
                <w:rStyle w:val="Strong"/>
              </w:rPr>
              <w:t>24.0%</w:t>
            </w:r>
          </w:p>
        </w:tc>
        <w:tc>
          <w:tcPr>
            <w:tcW w:w="815"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D1590E">
              <w:rPr>
                <w:rStyle w:val="Strong"/>
              </w:rPr>
              <w:t>N/A</w:t>
            </w:r>
          </w:p>
        </w:tc>
        <w:tc>
          <w:tcPr>
            <w:tcW w:w="698" w:type="pct"/>
            <w:vAlign w:val="bottom"/>
          </w:tcPr>
          <w:p w:rsidR="00D1590E" w:rsidRPr="00D1590E" w:rsidRDefault="00D1590E" w:rsidP="00D1590E">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D1590E">
              <w:rPr>
                <w:rStyle w:val="Strong"/>
              </w:rPr>
              <w:t>26.3%</w:t>
            </w:r>
          </w:p>
        </w:tc>
      </w:tr>
    </w:tbl>
    <w:p w:rsidR="00D1590E" w:rsidRPr="00D1590E" w:rsidRDefault="00D1590E" w:rsidP="00D1590E">
      <w:pPr>
        <w:pStyle w:val="AERtablesource"/>
      </w:pPr>
      <w:r w:rsidRPr="00D1590E">
        <w:t>Source: AER analysis.</w:t>
      </w:r>
    </w:p>
    <w:p w:rsidR="00D1590E" w:rsidRPr="00D1590E" w:rsidRDefault="00D1590E" w:rsidP="00D1590E">
      <w:pPr>
        <w:pStyle w:val="Heading9"/>
      </w:pPr>
      <w:bookmarkStart w:id="410" w:name="_Toc414628218"/>
      <w:bookmarkStart w:id="411" w:name="_Toc417646353"/>
      <w:bookmarkStart w:id="412" w:name="_Toc417649246"/>
      <w:bookmarkStart w:id="413" w:name="_Toc417659878"/>
      <w:r w:rsidRPr="00D1590E">
        <w:t xml:space="preserve">Draft </w:t>
      </w:r>
      <w:bookmarkEnd w:id="410"/>
      <w:r w:rsidRPr="00D1590E">
        <w:t>position</w:t>
      </w:r>
      <w:bookmarkEnd w:id="411"/>
      <w:bookmarkEnd w:id="412"/>
      <w:bookmarkEnd w:id="413"/>
    </w:p>
    <w:p w:rsidR="00D1590E" w:rsidRPr="00D1590E" w:rsidRDefault="00D1590E" w:rsidP="00D1590E">
      <w:r w:rsidRPr="00D1590E">
        <w:t xml:space="preserve">In our draft decision, we assessed the base opex of each service provider. We noted that each service provider used its actual incurred opex incurred in 2012–13 as the base for forecasting its opex for the 2014–19 period. Each service provider's forecast opex was, therefore, heavily reliant on this actual opex figure in its proposal. </w:t>
      </w:r>
    </w:p>
    <w:p w:rsidR="00D1590E" w:rsidRPr="00D1590E" w:rsidRDefault="00D1590E" w:rsidP="00D1590E">
      <w:r w:rsidRPr="00D1590E">
        <w:t>Applying the approach outlined in the Guideline, we analysed the NSW service providers' actual opex. We used techniques including a variety of benchmarking models, partial productivity indictors, category analysis and detailed review.  These techniques consistently revealed that the service providers' actual opex used to devise the forecast opex in their proposals was not comparable with the benchmark opex of an efficient service provider.  Accordingly, relying on this as a starting point without adjustment would not generate an opex forecast that reasonably reflects the opex criteria.</w:t>
      </w:r>
    </w:p>
    <w:p w:rsidR="00D1590E" w:rsidRPr="00D1590E" w:rsidRDefault="00D1590E" w:rsidP="00D1590E">
      <w:r w:rsidRPr="00D1590E">
        <w:t xml:space="preserve">To quantify an appropriate adjustment to base opex in the context of this evidence, we used the same techniques that we used to assess the NSW service providers' actual opex. </w:t>
      </w:r>
    </w:p>
    <w:p w:rsidR="00D1590E" w:rsidRPr="00D1590E" w:rsidRDefault="00D1590E" w:rsidP="00D1590E">
      <w:pPr>
        <w:pStyle w:val="Heading9"/>
      </w:pPr>
      <w:bookmarkStart w:id="414" w:name="_Toc414628219"/>
      <w:bookmarkStart w:id="415" w:name="_Toc417646354"/>
      <w:bookmarkStart w:id="416" w:name="_Toc417649247"/>
      <w:bookmarkStart w:id="417" w:name="_Toc417659879"/>
      <w:r w:rsidRPr="00D1590E">
        <w:t>Revised proposal and submissions</w:t>
      </w:r>
      <w:bookmarkEnd w:id="414"/>
      <w:bookmarkEnd w:id="415"/>
      <w:bookmarkEnd w:id="416"/>
      <w:bookmarkEnd w:id="417"/>
    </w:p>
    <w:p w:rsidR="00D1590E" w:rsidRPr="00D1590E" w:rsidRDefault="00D1590E" w:rsidP="00D1590E">
      <w:r w:rsidRPr="00D1590E">
        <w:t>In their revised proposals, ActewAGL and the NSW service providers submitted common issues regarding how we make adjustments to base year opex. We have carefully considered these submissions as part of our decision on the appropriate benchmark comparison point and the adjustment process.</w:t>
      </w:r>
    </w:p>
    <w:p w:rsidR="00D1590E" w:rsidRPr="00D1590E" w:rsidRDefault="00D1590E" w:rsidP="00D1590E">
      <w:pPr>
        <w:pStyle w:val="HeadingBoldBlue"/>
      </w:pPr>
      <w:bookmarkStart w:id="418" w:name="_Toc417646355"/>
      <w:r w:rsidRPr="00D1590E">
        <w:lastRenderedPageBreak/>
        <w:t>The appropriate benchmark comparison point</w:t>
      </w:r>
      <w:bookmarkEnd w:id="418"/>
    </w:p>
    <w:p w:rsidR="00D1590E" w:rsidRPr="00D1590E" w:rsidRDefault="00D1590E" w:rsidP="00D1590E">
      <w:r w:rsidRPr="00D1590E">
        <w:t>In their revised proposals, the ACT and NSW service providers submitted that our approach to adjustments is different to that of other regulators.</w:t>
      </w:r>
      <w:r w:rsidRPr="00D1590E">
        <w:rPr>
          <w:rStyle w:val="FootnoteReference"/>
        </w:rPr>
        <w:footnoteReference w:id="896"/>
      </w:r>
      <w:r w:rsidRPr="00D1590E">
        <w:t xml:space="preserve"> ActewAGL contends, for example, that we have erred by placing reliance on a single benchmarking model as different benchmarking approaches imply differing base year opex adjustments.</w:t>
      </w:r>
      <w:r w:rsidRPr="00D1590E">
        <w:rPr>
          <w:rStyle w:val="FootnoteReference"/>
        </w:rPr>
        <w:footnoteReference w:id="897"/>
      </w:r>
      <w:r w:rsidRPr="00D1590E">
        <w:t xml:space="preserve"> ActewAGL and its consultants also submit that:</w:t>
      </w:r>
      <w:r w:rsidRPr="00D1590E">
        <w:rPr>
          <w:rStyle w:val="FootnoteReference"/>
        </w:rPr>
        <w:footnoteReference w:id="898"/>
      </w:r>
    </w:p>
    <w:p w:rsidR="00D1590E" w:rsidRPr="00D1590E" w:rsidRDefault="00D1590E" w:rsidP="00D1590E">
      <w:pPr>
        <w:pStyle w:val="AERbulletlistfirststyle"/>
      </w:pPr>
      <w:r w:rsidRPr="00D1590E">
        <w:t>our efficiency gap is large and inconsistent with international precedent</w:t>
      </w:r>
    </w:p>
    <w:p w:rsidR="00D1590E" w:rsidRPr="00D1590E" w:rsidRDefault="00D1590E" w:rsidP="00D1590E">
      <w:pPr>
        <w:pStyle w:val="AERbulletlistfirststyle"/>
      </w:pPr>
      <w:r w:rsidRPr="00D1590E">
        <w:t>our application of benchmarking results is inconsistent with international practice and literature</w:t>
      </w:r>
    </w:p>
    <w:p w:rsidR="00D1590E" w:rsidRPr="00D1590E" w:rsidRDefault="00D1590E" w:rsidP="00D1590E">
      <w:pPr>
        <w:pStyle w:val="AERbulletlistfirststyle"/>
      </w:pPr>
      <w:r w:rsidRPr="00D1590E">
        <w:t>our target is not appropriately cautious when compared to Economic Insights' previous views as expressed in publications.</w:t>
      </w:r>
    </w:p>
    <w:p w:rsidR="00D1590E" w:rsidRPr="00D1590E" w:rsidRDefault="00D1590E" w:rsidP="00D1590E">
      <w:r w:rsidRPr="00D1590E">
        <w:rPr>
          <w:rStyle w:val="AERbody"/>
        </w:rPr>
        <w:t>The service providers have also submitted that, by using average efficiency scores as the basis for our adjustment, we have used a 'false frontier'</w:t>
      </w:r>
      <w:r w:rsidRPr="00D1590E">
        <w:rPr>
          <w:rStyle w:val="FootnoteReference"/>
        </w:rPr>
        <w:footnoteReference w:id="899"/>
      </w:r>
      <w:r w:rsidRPr="00D1590E">
        <w:rPr>
          <w:rStyle w:val="AERbody"/>
        </w:rPr>
        <w:t xml:space="preserve"> and, additionally, that our roll forward approach has been applied incorrectly.</w:t>
      </w:r>
      <w:r w:rsidRPr="00D1590E">
        <w:rPr>
          <w:rStyle w:val="FootnoteReference"/>
        </w:rPr>
        <w:footnoteReference w:id="900"/>
      </w:r>
      <w:r w:rsidRPr="00D1590E">
        <w:t xml:space="preserve"> </w:t>
      </w:r>
    </w:p>
    <w:p w:rsidR="00D1590E" w:rsidRPr="00D1590E" w:rsidRDefault="00D1590E" w:rsidP="00D1590E">
      <w:pPr>
        <w:rPr>
          <w:rStyle w:val="AERbody"/>
        </w:rPr>
      </w:pPr>
      <w:r w:rsidRPr="00D1590E">
        <w:t xml:space="preserve">In light of submissions, we have reconsidered our approach to making an adjustment and we have modified it appropriately for this final decision. </w:t>
      </w:r>
      <w:r w:rsidRPr="00D1590E">
        <w:rPr>
          <w:rStyle w:val="AERbody"/>
        </w:rPr>
        <w:t xml:space="preserve">This involves consideration of the appropriate technique, the benchmark comparison point and the appropriate application of our technique. </w:t>
      </w:r>
    </w:p>
    <w:p w:rsidR="00D1590E" w:rsidRPr="007D27B1" w:rsidRDefault="00D1590E" w:rsidP="00D1590E">
      <w:pPr>
        <w:pStyle w:val="HeadingBoldItalic"/>
      </w:pPr>
      <w:r w:rsidRPr="007D27B1">
        <w:t>The best technique for the adjustment</w:t>
      </w:r>
    </w:p>
    <w:p w:rsidR="00D1590E" w:rsidRPr="00D1590E" w:rsidRDefault="00D1590E" w:rsidP="00D1590E">
      <w:pPr>
        <w:rPr>
          <w:rStyle w:val="AERbody"/>
        </w:rPr>
      </w:pPr>
      <w:r w:rsidRPr="00D1590E">
        <w:rPr>
          <w:rStyle w:val="AERbody"/>
        </w:rPr>
        <w:t xml:space="preserve">Consistent with our draft decision approach, we continue to adopt Economic Insights' recommendation to rely on the Cobb Douglas SFA model as the preferred technique upon which we base an adjustment to revealed opex. Our rationale for this is SFA is the most statistically superior method because it </w:t>
      </w:r>
      <w:r w:rsidRPr="00D1590E">
        <w:t>directly estimates efficiency, separate from the error term.</w:t>
      </w:r>
      <w:r w:rsidRPr="00D1590E">
        <w:rPr>
          <w:rStyle w:val="FootnoteReference"/>
        </w:rPr>
        <w:footnoteReference w:id="901"/>
      </w:r>
      <w:r w:rsidRPr="00D1590E">
        <w:t xml:space="preserve"> We provide more detail on Economic Insights' preference to use SFA in section </w:t>
      </w:r>
      <w:r w:rsidR="007D27B1">
        <w:fldChar w:fldCharType="begin"/>
      </w:r>
      <w:r w:rsidR="007D27B1">
        <w:instrText xml:space="preserve"> REF _Ref417551812 \n \h </w:instrText>
      </w:r>
      <w:r w:rsidR="007D27B1">
        <w:fldChar w:fldCharType="separate"/>
      </w:r>
      <w:r w:rsidR="007D27B1">
        <w:t>A.4</w:t>
      </w:r>
      <w:r w:rsidR="007D27B1">
        <w:fldChar w:fldCharType="end"/>
      </w:r>
      <w:r w:rsidRPr="00D1590E">
        <w:t xml:space="preserve">. </w:t>
      </w:r>
    </w:p>
    <w:p w:rsidR="00D1590E" w:rsidRPr="00D1590E" w:rsidRDefault="00D1590E" w:rsidP="00D1590E">
      <w:pPr>
        <w:pStyle w:val="HeadingBoldItalic"/>
      </w:pPr>
      <w:r w:rsidRPr="00D1590E">
        <w:t>The benchmark comparison point</w:t>
      </w:r>
    </w:p>
    <w:p w:rsidR="00D1590E" w:rsidRPr="00D1590E" w:rsidRDefault="00D1590E" w:rsidP="00D1590E">
      <w:r w:rsidRPr="00D1590E">
        <w:t>In this final decision, we have reconsidered the appropriate benchmark comparison point following submissions on our approach. In doing so, two questions are relevant:</w:t>
      </w:r>
    </w:p>
    <w:p w:rsidR="00D1590E" w:rsidRPr="00D1590E" w:rsidRDefault="00D1590E" w:rsidP="00D1590E">
      <w:pPr>
        <w:pStyle w:val="AERbulletlistfirststyle"/>
      </w:pPr>
      <w:r w:rsidRPr="00D1590E">
        <w:t>should the benchmark comparison point be the best performing business?</w:t>
      </w:r>
    </w:p>
    <w:p w:rsidR="00D1590E" w:rsidRPr="00D1590E" w:rsidRDefault="00D1590E" w:rsidP="00D1590E">
      <w:pPr>
        <w:pStyle w:val="AERbulletlistfirststyle"/>
      </w:pPr>
      <w:r w:rsidRPr="00D1590E">
        <w:lastRenderedPageBreak/>
        <w:t>if not, what is the appropriate point at which we are satisfied there is evidence of material inefficiency in the base opex?</w:t>
      </w:r>
    </w:p>
    <w:p w:rsidR="00D1590E" w:rsidRPr="00D1590E" w:rsidRDefault="00D1590E" w:rsidP="00D1590E">
      <w:pPr>
        <w:pStyle w:val="HeadingItalic"/>
      </w:pPr>
      <w:r w:rsidRPr="00D1590E">
        <w:t>Should we use the best performing business as our comparison point?</w:t>
      </w:r>
    </w:p>
    <w:p w:rsidR="00D1590E" w:rsidRPr="00D1590E" w:rsidRDefault="00D1590E" w:rsidP="00D1590E">
      <w:r w:rsidRPr="00D1590E">
        <w:t xml:space="preserve">We explain in the Guideline that our preference is to rely on revealed expenditure as an appropriate basis for forecasting efficient, prudent and realistic opex when service providers are appropriately responding to the incentive framework. Therefore, we created a threshold in the Guideline—we would adjust revealed opex when our analysis demonstrates it is </w:t>
      </w:r>
      <w:r w:rsidRPr="00D1590E">
        <w:rPr>
          <w:rStyle w:val="AERtextitalic"/>
        </w:rPr>
        <w:t>materially</w:t>
      </w:r>
      <w:r w:rsidRPr="00D1590E">
        <w:t xml:space="preserve"> inefficient.</w:t>
      </w:r>
      <w:r w:rsidRPr="00D1590E">
        <w:rPr>
          <w:rStyle w:val="FootnoteReference"/>
        </w:rPr>
        <w:footnoteReference w:id="902"/>
      </w:r>
      <w:r w:rsidRPr="00D1590E">
        <w:t xml:space="preserve"> </w:t>
      </w:r>
    </w:p>
    <w:p w:rsidR="00D1590E" w:rsidRPr="00D1590E" w:rsidRDefault="00D1590E" w:rsidP="00D1590E">
      <w:r w:rsidRPr="00D1590E">
        <w:t>The first opex criterion (efficient costs) suggests that the most appropriate benchmark comparison point may be the top performing business because economic theory would not consider a lower point to be efficient. The theoretical comparison point is therefore 0.95. However, the NER also contain the qualifier 'reasonably reflects'.</w:t>
      </w:r>
      <w:r w:rsidRPr="00D1590E">
        <w:rPr>
          <w:rStyle w:val="FootnoteReference"/>
        </w:rPr>
        <w:footnoteReference w:id="903"/>
      </w:r>
      <w:r w:rsidRPr="00D1590E">
        <w:t xml:space="preserve"> This provides us with discretion to determine how far from the frontier a service provider must be before we are satisfied, in accordance with the Guideline approach, that it is 'materially inefficient'. </w:t>
      </w:r>
    </w:p>
    <w:p w:rsidR="00D1590E" w:rsidRPr="00D1590E" w:rsidRDefault="00D1590E" w:rsidP="00D1590E">
      <w:pPr>
        <w:pStyle w:val="ListParagraph"/>
        <w:numPr>
          <w:ilvl w:val="0"/>
          <w:numId w:val="24"/>
        </w:numPr>
      </w:pPr>
      <w:r w:rsidRPr="00D1590E">
        <w:t>In determining what is 'materially inefficient', we recognise that there should be an appropriate margin for forecasting error, data error and modelling issues.  Our view is, therefore, that using this discretion it is appropriate to choose a lower comparison point than the frontier firm.</w:t>
      </w:r>
    </w:p>
    <w:p w:rsidR="00D1590E" w:rsidRPr="00D1590E" w:rsidRDefault="00D1590E" w:rsidP="00D1590E">
      <w:r w:rsidRPr="00D1590E">
        <w:t>In our draft decision, we adopted this approach. On Economic Insights' recommendation, we used the weighted average efficiency scores of all service providers with efficiency scores greater than 0.75 as the benchmark comparison point.</w:t>
      </w:r>
      <w:r w:rsidRPr="00D1590E">
        <w:rPr>
          <w:rStyle w:val="FootnoteReference"/>
        </w:rPr>
        <w:footnoteReference w:id="904"/>
      </w:r>
      <w:r w:rsidRPr="00D1590E">
        <w:t xml:space="preserve"> This enabled us to incorporate a margin for potential data and modelling issues, and resulted in a comparison point of 0.86. However, submissions by the service providers and their consultants consider our draft decision approach was inconsistent with approaches taken by other regulators such as Ofgem, Norway, the NZCC (New Zealand Commerce Commission) and the OEB (Ontario Energy Board).</w:t>
      </w:r>
      <w:r w:rsidRPr="00D1590E">
        <w:rPr>
          <w:rStyle w:val="FootnoteReference"/>
        </w:rPr>
        <w:footnoteReference w:id="905"/>
      </w:r>
      <w:r w:rsidRPr="00D1590E">
        <w:t xml:space="preserve"> </w:t>
      </w:r>
    </w:p>
    <w:p w:rsidR="007D27B1" w:rsidRDefault="007D27B1">
      <w:pPr>
        <w:spacing w:line="240" w:lineRule="auto"/>
        <w:rPr>
          <w:rFonts w:eastAsiaTheme="majorEastAsia" w:cstheme="majorBidi"/>
          <w:bCs/>
          <w:i/>
          <w:iCs/>
          <w:color w:val="51626F"/>
          <w:sz w:val="24"/>
        </w:rPr>
      </w:pPr>
      <w:r>
        <w:br w:type="page"/>
      </w:r>
    </w:p>
    <w:p w:rsidR="00D1590E" w:rsidRPr="00D1590E" w:rsidRDefault="00D1590E" w:rsidP="00D1590E">
      <w:pPr>
        <w:pStyle w:val="HeadingItalic"/>
      </w:pPr>
      <w:r w:rsidRPr="00D1590E">
        <w:lastRenderedPageBreak/>
        <w:t>What is the appropriate benchmark comparison point?</w:t>
      </w:r>
    </w:p>
    <w:p w:rsidR="00D1590E" w:rsidRPr="00D1590E" w:rsidRDefault="00D1590E" w:rsidP="00D1590E">
      <w:r w:rsidRPr="00D1590E">
        <w:t>Having considered the service providers' submissions, we turned our mind to how international regulators have applied benchmarking. However, we have found that no uniform approach exists. International regulators use benchmarking to, for example:</w:t>
      </w:r>
      <w:r w:rsidRPr="00D1590E">
        <w:rPr>
          <w:rStyle w:val="FootnoteReference"/>
        </w:rPr>
        <w:footnoteReference w:id="906"/>
      </w:r>
    </w:p>
    <w:p w:rsidR="00D1590E" w:rsidRPr="00D1590E" w:rsidRDefault="00D1590E" w:rsidP="00D1590E">
      <w:pPr>
        <w:pStyle w:val="AERbulletlistfirststyle"/>
      </w:pPr>
      <w:r w:rsidRPr="00D1590E">
        <w:t>assess efficient opex (UK, Ireland)</w:t>
      </w:r>
    </w:p>
    <w:p w:rsidR="00D1590E" w:rsidRPr="00D1590E" w:rsidRDefault="00D1590E" w:rsidP="00D1590E">
      <w:pPr>
        <w:pStyle w:val="AERbulletlistfirststyle"/>
      </w:pPr>
      <w:r w:rsidRPr="00D1590E">
        <w:t>determine industry-wide productivity growth (NZ, Germany)</w:t>
      </w:r>
    </w:p>
    <w:p w:rsidR="00D1590E" w:rsidRPr="00D1590E" w:rsidRDefault="00D1590E" w:rsidP="00D1590E">
      <w:pPr>
        <w:pStyle w:val="AERbulletlistfirststyle"/>
      </w:pPr>
      <w:r w:rsidRPr="00D1590E">
        <w:t xml:space="preserve">group service providers and assign group-specific stretch factor as part of the X factor  (Ontario, NZ, Japan) </w:t>
      </w:r>
    </w:p>
    <w:p w:rsidR="00D1590E" w:rsidRPr="00D1590E" w:rsidRDefault="00D1590E" w:rsidP="00D1590E">
      <w:pPr>
        <w:pStyle w:val="AERbulletlistfirststyle"/>
      </w:pPr>
      <w:r w:rsidRPr="00D1590E">
        <w:t>apply model results directly to allowed revenue/price formula (Netherlands, Austria, Germany, Denmark, Finland, Norway)</w:t>
      </w:r>
    </w:p>
    <w:p w:rsidR="00D1590E" w:rsidRPr="00D1590E" w:rsidRDefault="00D1590E" w:rsidP="00D1590E">
      <w:pPr>
        <w:pStyle w:val="AERbulletlistfirststyle"/>
      </w:pPr>
      <w:r w:rsidRPr="00D1590E">
        <w:t>Form basis of negotiation (California).</w:t>
      </w:r>
    </w:p>
    <w:p w:rsidR="00D1590E" w:rsidRPr="00D1590E" w:rsidRDefault="00D1590E" w:rsidP="00D1590E">
      <w:r w:rsidRPr="00D1590E">
        <w:t>In terms of setting the benchmark comparison point:</w:t>
      </w:r>
      <w:r w:rsidRPr="00D1590E">
        <w:rPr>
          <w:rStyle w:val="FootnoteReference"/>
        </w:rPr>
        <w:footnoteReference w:id="907"/>
      </w:r>
    </w:p>
    <w:p w:rsidR="00D1590E" w:rsidRPr="00D1590E" w:rsidRDefault="00D1590E" w:rsidP="00D1590E">
      <w:pPr>
        <w:pStyle w:val="AERbulletlistfirststyle"/>
      </w:pPr>
      <w:r w:rsidRPr="00D1590E">
        <w:t>the NVE in Norway, where the regulatory regime is to set total cost, uses an industry average firm</w:t>
      </w:r>
    </w:p>
    <w:p w:rsidR="00D1590E" w:rsidRPr="00D1590E" w:rsidRDefault="00D1590E" w:rsidP="00D1590E">
      <w:pPr>
        <w:pStyle w:val="AERbulletlistfirststyle"/>
      </w:pPr>
      <w:r w:rsidRPr="00D1590E">
        <w:t>the EMA in Finland uses a firm-specific target (based on an average of DEA and SFA results) to determine efficient opex</w:t>
      </w:r>
    </w:p>
    <w:p w:rsidR="00D1590E" w:rsidRPr="00D1590E" w:rsidRDefault="00D1590E" w:rsidP="00D1590E">
      <w:pPr>
        <w:pStyle w:val="AERbulletlistfirststyle"/>
      </w:pPr>
      <w:r w:rsidRPr="00D1590E">
        <w:t>the OEB in Canada has previously used firm-specific stretch factors assigned to three cohorts (0.2% top quartile, 0.4% middle two quartiles and 0.6% bottom quartile) to set efficient opex</w:t>
      </w:r>
    </w:p>
    <w:p w:rsidR="00D1590E" w:rsidRPr="00D1590E" w:rsidRDefault="00D1590E" w:rsidP="00D1590E">
      <w:pPr>
        <w:pStyle w:val="AERbulletlistfirststyle"/>
      </w:pPr>
      <w:r w:rsidRPr="00D1590E">
        <w:t>the NZCC in New Zealand, where the regime is based on total cost, determines industry-wide productivity growth to determine the X factor</w:t>
      </w:r>
    </w:p>
    <w:p w:rsidR="00D1590E" w:rsidRPr="00D1590E" w:rsidRDefault="00D1590E" w:rsidP="00D1590E">
      <w:pPr>
        <w:pStyle w:val="AERbulletlistfirststyle"/>
      </w:pPr>
      <w:r w:rsidRPr="00D1590E">
        <w:t>Ofgem in the UK has weighted three models together and set the frontier (based on the upper quartile company) after they have been combined.</w:t>
      </w:r>
      <w:r w:rsidRPr="00D1590E">
        <w:rPr>
          <w:rStyle w:val="FootnoteReference"/>
        </w:rPr>
        <w:footnoteReference w:id="908"/>
      </w:r>
    </w:p>
    <w:p w:rsidR="00D1590E" w:rsidRPr="00D1590E" w:rsidRDefault="00D1590E" w:rsidP="00D1590E">
      <w:r w:rsidRPr="00D1590E">
        <w:t>Therefore, regulators choose benchmark comparison points on the basis of the task in hand in the context of the legislative frameworks under which they operate. The comfort we can take from this is that the most appropriate approach is to determine a benchmark comparison point in accordance with our regulatory framework.</w:t>
      </w:r>
    </w:p>
    <w:p w:rsidR="00D1590E" w:rsidRPr="00D1590E" w:rsidRDefault="00D1590E" w:rsidP="00D1590E">
      <w:r w:rsidRPr="00D1590E">
        <w:t xml:space="preserve">We have decided, on balance, for this decision, that the appropriate benchmark comparison point is the lowest of the efficiency scores in the top quartile of possible scores rather than the average approach we used in our draft decision. This is equivalent to the efficiency score for the business at the bottom of the upper third (top </w:t>
      </w:r>
      <w:r w:rsidRPr="00D1590E">
        <w:lastRenderedPageBreak/>
        <w:t>33 per cent) of companies in the benchmark sample (represented by AusNet Services). Our revised comparison point is appropriate for the following reasons.</w:t>
      </w:r>
    </w:p>
    <w:p w:rsidR="00D1590E" w:rsidRPr="00D1590E" w:rsidRDefault="00D1590E" w:rsidP="00D1590E">
      <w:pPr>
        <w:rPr>
          <w:rStyle w:val="AERbody"/>
        </w:rPr>
      </w:pPr>
      <w:r w:rsidRPr="00D1590E">
        <w:rPr>
          <w:rStyle w:val="AERbody"/>
        </w:rPr>
        <w:t>First, our draft decision averaging approach produced an unusual result for service providers ranked in the top quartile of efficiency scores, but below the average of that top quartile. These service providers would require an efficiency adjustment to reach the average benchmark comparison point (because their scores are below the average) despite being efficient enough to be ranked in the top quartile and, hence, included in the average.</w:t>
      </w:r>
    </w:p>
    <w:p w:rsidR="00D1590E" w:rsidRPr="00D1590E" w:rsidRDefault="00D1590E" w:rsidP="00D1590E">
      <w:r w:rsidRPr="00D1590E">
        <w:t>Second, given it is our first application of benchmarking, it is appropriate to adopt a cautious approach. We have decided to increase the margin for error for modelling and data issues provided for in the draft decision (which reduced the benchmark comparison point from 0.95 to 0.86).</w:t>
      </w:r>
    </w:p>
    <w:p w:rsidR="00D1590E" w:rsidRPr="00D1590E" w:rsidRDefault="00D1590E" w:rsidP="00D1590E">
      <w:r w:rsidRPr="00D1590E">
        <w:rPr>
          <w:rStyle w:val="AERbody"/>
        </w:rPr>
        <w:t xml:space="preserve">Third, we consider this approach better achieves the NEO and RPPs. </w:t>
      </w:r>
      <w:r w:rsidRPr="00D1590E">
        <w:t>In particular we have considered:</w:t>
      </w:r>
      <w:r w:rsidRPr="00D1590E">
        <w:rPr>
          <w:rStyle w:val="FootnoteReference"/>
        </w:rPr>
        <w:footnoteReference w:id="909"/>
      </w:r>
      <w:r w:rsidRPr="00D1590E">
        <w:t xml:space="preserve"> </w:t>
      </w:r>
    </w:p>
    <w:p w:rsidR="00D1590E" w:rsidRPr="00D1590E" w:rsidRDefault="00D1590E" w:rsidP="00D1590E">
      <w:pPr>
        <w:pStyle w:val="AERbulletlistfirststyle"/>
      </w:pPr>
      <w:r w:rsidRPr="00D1590E">
        <w:t>the principle that we should provide service providers with an opportunity to recover at least their efficient costs</w:t>
      </w:r>
    </w:p>
    <w:p w:rsidR="00D1590E" w:rsidRPr="00D1590E" w:rsidRDefault="00D1590E" w:rsidP="00D1590E">
      <w:pPr>
        <w:pStyle w:val="AERbulletlistfirststyle"/>
      </w:pPr>
      <w:r w:rsidRPr="00D1590E">
        <w:t xml:space="preserve">we wish to create a high-powered efficiency incentive (which supports making an adjustment when it is clear there is material inefficiency in revealed costs) but we </w:t>
      </w:r>
      <w:r w:rsidRPr="00D1590E">
        <w:rPr>
          <w:rStyle w:val="AERbody"/>
        </w:rPr>
        <w:t>are mindful of providing sufficient stability to promote efficient investment</w:t>
      </w:r>
    </w:p>
    <w:p w:rsidR="00D1590E" w:rsidRPr="00D1590E" w:rsidRDefault="00D1590E" w:rsidP="00D1590E">
      <w:pPr>
        <w:pStyle w:val="AERbulletlistfirststyle"/>
      </w:pPr>
      <w:r w:rsidRPr="00D1590E">
        <w:t>our decision should allow a return that is commensurate with both regulatory and commercial risks.</w:t>
      </w:r>
    </w:p>
    <w:p w:rsidR="00D1590E" w:rsidRPr="00D1590E" w:rsidRDefault="00D1590E" w:rsidP="00D1590E">
      <w:r w:rsidRPr="00D1590E">
        <w:t>A number of service providers, representing more than a third of the NEM, and operating in varied environments, are able to perform at or above our benchmark comparison point. We are confident that a firm that performs below this level is, therefore, spending in a manner that does not reasonably reflect the opex criteria. An adjustment back to an appropriate threshold is sufficient to remove the material over-expenditure in the revealed costs while still incorporating an appropriately wide margin for potential modelling and data errors and other uncertainties. Economic Insights agrees that this approach is appropriate.</w:t>
      </w:r>
      <w:r w:rsidRPr="00D1590E">
        <w:rPr>
          <w:rStyle w:val="FootnoteReference"/>
        </w:rPr>
        <w:footnoteReference w:id="910"/>
      </w:r>
    </w:p>
    <w:p w:rsidR="00D1590E" w:rsidRPr="00D1590E" w:rsidRDefault="00D1590E" w:rsidP="00D1590E">
      <w:pPr>
        <w:rPr>
          <w:rStyle w:val="AERbody"/>
        </w:rPr>
      </w:pPr>
      <w:r w:rsidRPr="00D1590E">
        <w:t>Our approach of using benchmarking as a basis for making adjustments to opex is also consistent with Ofgem's approach.</w:t>
      </w:r>
      <w:r w:rsidRPr="00D1590E">
        <w:rPr>
          <w:rStyle w:val="FootnoteReference"/>
        </w:rPr>
        <w:footnoteReference w:id="911"/>
      </w:r>
    </w:p>
    <w:p w:rsidR="00D1590E" w:rsidRPr="00D1590E" w:rsidRDefault="00D1590E" w:rsidP="00D1590E">
      <w:r w:rsidRPr="00D1590E">
        <w:t xml:space="preserve">This approach results in a comparison point significantly lower than the frontier firm's efficiency. Reducing the efficiency target from 0.95 (CitiPower) to 0.86 represented a 9 per cent allowance for the service providers. Changing the target to 0.77 (AusNet </w:t>
      </w:r>
      <w:r w:rsidRPr="00D1590E">
        <w:lastRenderedPageBreak/>
        <w:t xml:space="preserve">Services) increases that reduction by a further 10 per cent. Overall, this is a 19 per cent reduction from the frontier firm under the SFA model. </w:t>
      </w:r>
    </w:p>
    <w:p w:rsidR="00D1590E" w:rsidRPr="00D1590E" w:rsidRDefault="00D1590E" w:rsidP="00D1590E">
      <w:pPr>
        <w:rPr>
          <w:rStyle w:val="AERbody"/>
        </w:rPr>
      </w:pPr>
      <w:r w:rsidRPr="00D1590E">
        <w:fldChar w:fldCharType="begin"/>
      </w:r>
      <w:r w:rsidRPr="00D1590E">
        <w:instrText xml:space="preserve"> REF _Ref417644903 \h </w:instrText>
      </w:r>
      <w:r w:rsidRPr="00D1590E">
        <w:fldChar w:fldCharType="separate"/>
      </w:r>
      <w:r w:rsidR="00C57342" w:rsidRPr="00D1590E">
        <w:t xml:space="preserve">Figure </w:t>
      </w:r>
      <w:r w:rsidR="00C57342">
        <w:rPr>
          <w:noProof/>
        </w:rPr>
        <w:t>A</w:t>
      </w:r>
      <w:r w:rsidR="00C57342" w:rsidRPr="00D1590E">
        <w:t>.</w:t>
      </w:r>
      <w:r w:rsidR="00C57342">
        <w:rPr>
          <w:noProof/>
        </w:rPr>
        <w:t>29</w:t>
      </w:r>
      <w:r w:rsidRPr="00D1590E">
        <w:fldChar w:fldCharType="end"/>
      </w:r>
      <w:r w:rsidRPr="00D1590E">
        <w:t xml:space="preserve"> below shows the </w:t>
      </w:r>
      <w:r w:rsidRPr="00D1590E">
        <w:rPr>
          <w:rStyle w:val="AERbody"/>
        </w:rPr>
        <w:t>efficiency scores for the NSW service providers compared to our benchmark comparison point, represented by the red line (AusNet Services). The blue line represents the frontier firm (CitiPower).</w:t>
      </w:r>
    </w:p>
    <w:p w:rsidR="00D1590E" w:rsidRPr="00D1590E" w:rsidRDefault="00D1590E" w:rsidP="00D1590E">
      <w:r w:rsidRPr="00D1590E">
        <w:t xml:space="preserve">Our operating environment factor adjustments are percentage adjustments relative to the frontier. Therefore, the operating environment factor adjustments in </w:t>
      </w:r>
      <w:r w:rsidRPr="00D1590E">
        <w:fldChar w:fldCharType="begin"/>
      </w:r>
      <w:r w:rsidRPr="00D1590E">
        <w:instrText xml:space="preserve"> REF _Ref417644903 \h </w:instrText>
      </w:r>
      <w:r w:rsidRPr="00D1590E">
        <w:fldChar w:fldCharType="separate"/>
      </w:r>
      <w:r w:rsidR="00C57342" w:rsidRPr="00D1590E">
        <w:t xml:space="preserve">Figure </w:t>
      </w:r>
      <w:r w:rsidR="00C57342">
        <w:rPr>
          <w:noProof/>
        </w:rPr>
        <w:t>A</w:t>
      </w:r>
      <w:r w:rsidR="00C57342" w:rsidRPr="00D1590E">
        <w:t>.</w:t>
      </w:r>
      <w:r w:rsidR="00C57342">
        <w:rPr>
          <w:noProof/>
        </w:rPr>
        <w:t>29</w:t>
      </w:r>
      <w:r w:rsidRPr="00D1590E">
        <w:fldChar w:fldCharType="end"/>
      </w:r>
      <w:r w:rsidRPr="00D1590E">
        <w:t xml:space="preserve"> </w:t>
      </w:r>
      <w:r w:rsidRPr="00D1590E">
        <w:rPr>
          <w:rStyle w:val="AERbody"/>
        </w:rPr>
        <w:t>will not reflect the absolute percentages reported above. That is, the dark blue proportion represents 12 per cent (Ausgrid and Endeavour Energy) and 11 per cent (Essential Energy) of the total efficiency score rather than an addition of 11 or 12 percentage points on top of the SFA opex efficiency score.</w:t>
      </w:r>
    </w:p>
    <w:p w:rsidR="00D1590E" w:rsidRPr="00D1590E" w:rsidRDefault="00D1590E" w:rsidP="00D1590E">
      <w:pPr>
        <w:pStyle w:val="Caption"/>
      </w:pPr>
      <w:bookmarkStart w:id="419" w:name="_Ref417644903"/>
      <w:r w:rsidRPr="00D1590E">
        <w:t xml:space="preserve">Figure </w:t>
      </w:r>
      <w:fldSimple w:instr=" STYLEREF 7 \s ">
        <w:r w:rsidR="00C57342">
          <w:rPr>
            <w:noProof/>
          </w:rPr>
          <w:t>A</w:t>
        </w:r>
      </w:fldSimple>
      <w:r w:rsidRPr="00D1590E">
        <w:t>.</w:t>
      </w:r>
      <w:fldSimple w:instr=" SEQ AFigure \* ARABIC \s 7 ">
        <w:r w:rsidR="00C57342">
          <w:rPr>
            <w:noProof/>
          </w:rPr>
          <w:t>29</w:t>
        </w:r>
      </w:fldSimple>
      <w:bookmarkEnd w:id="419"/>
      <w:r w:rsidRPr="00D1590E">
        <w:tab/>
      </w:r>
      <w:r w:rsidRPr="00D1590E">
        <w:tab/>
        <w:t xml:space="preserve">Comparison of raw SFA efficiency scores to the revised benchmark comparison point, adjusted for operating environment factors </w:t>
      </w:r>
    </w:p>
    <w:p w:rsidR="00D1590E" w:rsidRPr="00D1590E" w:rsidRDefault="00D1590E" w:rsidP="00D1590E">
      <w:r w:rsidRPr="00D1590E">
        <w:rPr>
          <w:noProof/>
          <w:lang w:eastAsia="en-AU"/>
        </w:rPr>
        <w:drawing>
          <wp:inline distT="0" distB="0" distL="0" distR="0" wp14:anchorId="4A863C9F" wp14:editId="1AD06CA4">
            <wp:extent cx="4980940" cy="29083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0940" cy="2908300"/>
                    </a:xfrm>
                    <a:prstGeom prst="rect">
                      <a:avLst/>
                    </a:prstGeom>
                    <a:noFill/>
                  </pic:spPr>
                </pic:pic>
              </a:graphicData>
            </a:graphic>
          </wp:inline>
        </w:drawing>
      </w:r>
    </w:p>
    <w:p w:rsidR="00D1590E" w:rsidRPr="00D1590E" w:rsidRDefault="00D1590E" w:rsidP="00D1590E">
      <w:pPr>
        <w:pStyle w:val="AERtablesource"/>
      </w:pPr>
      <w:r w:rsidRPr="00D1590E">
        <w:t xml:space="preserve">Source: </w:t>
      </w:r>
      <w:r w:rsidRPr="00D1590E">
        <w:tab/>
        <w:t>AER analysis.</w:t>
      </w:r>
    </w:p>
    <w:p w:rsidR="00D1590E" w:rsidRPr="00D1590E" w:rsidRDefault="00D1590E" w:rsidP="00D1590E">
      <w:pPr>
        <w:pStyle w:val="AERtablesource"/>
      </w:pPr>
      <w:r w:rsidRPr="00D1590E">
        <w:t>Note:</w:t>
      </w:r>
      <w:r w:rsidRPr="00D1590E">
        <w:tab/>
        <w:t>The raw SFA efficiency scores displayed are 'rolled forward' from a period-average basis (for 2006-2013) to the 2012–13 base year. We explain this below in our discussion of the adjustment process.</w:t>
      </w:r>
    </w:p>
    <w:p w:rsidR="00D1590E" w:rsidRPr="00D1590E" w:rsidRDefault="00D1590E" w:rsidP="00D1590E">
      <w:r w:rsidRPr="00D1590E">
        <w:fldChar w:fldCharType="begin"/>
      </w:r>
      <w:r w:rsidRPr="00D1590E">
        <w:instrText xml:space="preserve"> REF _Ref417644903 \h </w:instrText>
      </w:r>
      <w:r w:rsidRPr="00D1590E">
        <w:fldChar w:fldCharType="separate"/>
      </w:r>
      <w:r w:rsidR="00C57342" w:rsidRPr="00D1590E">
        <w:t xml:space="preserve">Figure </w:t>
      </w:r>
      <w:r w:rsidR="00C57342">
        <w:rPr>
          <w:noProof/>
        </w:rPr>
        <w:t>A</w:t>
      </w:r>
      <w:r w:rsidR="00C57342" w:rsidRPr="00D1590E">
        <w:t>.</w:t>
      </w:r>
      <w:r w:rsidR="00C57342">
        <w:rPr>
          <w:noProof/>
        </w:rPr>
        <w:t>29</w:t>
      </w:r>
      <w:r w:rsidRPr="00D1590E">
        <w:fldChar w:fldCharType="end"/>
      </w:r>
      <w:r w:rsidRPr="00D1590E">
        <w:t xml:space="preserve"> demonstrates an appropriately conservative difference between the frontier firm and our benchmark comparison point. Due to the lower comparison point, we consider Endeavour Energy's base opex does not require</w:t>
      </w:r>
      <w:r w:rsidRPr="00D1590E">
        <w:rPr>
          <w:rStyle w:val="AERbody"/>
        </w:rPr>
        <w:t xml:space="preserve"> an adjustment. We emphasise, however, that we do not consider Endeavour Energy's revealed opex is necessarily efficient. The change in our approach simply means we consider it is not </w:t>
      </w:r>
      <w:r w:rsidRPr="00D1590E">
        <w:rPr>
          <w:rStyle w:val="AERtextitalic"/>
        </w:rPr>
        <w:t>materially</w:t>
      </w:r>
      <w:r w:rsidRPr="00D1590E">
        <w:rPr>
          <w:rStyle w:val="AERbody"/>
        </w:rPr>
        <w:t xml:space="preserve"> inefficient, allowing for an appropriate margin for error, taking account of the RPPs.</w:t>
      </w:r>
    </w:p>
    <w:p w:rsidR="00D1590E" w:rsidRPr="00D1590E" w:rsidRDefault="00D1590E" w:rsidP="00D1590E">
      <w:r w:rsidRPr="00D1590E">
        <w:t>As we refine our approach and continue to receive more data—all service providers must submit data each year— we may revise our benchmark comparison point when making adjustments to base opex to develop alternative opex forecasts.</w:t>
      </w:r>
    </w:p>
    <w:p w:rsidR="00D1590E" w:rsidRPr="00D1590E" w:rsidRDefault="00D1590E" w:rsidP="00D1590E">
      <w:pPr>
        <w:pStyle w:val="HeadingBoldBlue"/>
      </w:pPr>
      <w:bookmarkStart w:id="420" w:name="_Toc417646356"/>
      <w:r w:rsidRPr="00D1590E">
        <w:lastRenderedPageBreak/>
        <w:t>The adjustment process</w:t>
      </w:r>
      <w:bookmarkEnd w:id="420"/>
    </w:p>
    <w:p w:rsidR="00D1590E" w:rsidRPr="00D1590E" w:rsidRDefault="00D1590E" w:rsidP="00D1590E">
      <w:r w:rsidRPr="00D1590E">
        <w:t>The mechanics of determining the adjustment include several steps. In essence, it involves using the SFA model to estimate average period efficiency, which we adjust to take into account the reduced benchmark comparison point and operating environment factor allowances. We then roll this average period efficient opex forward to the 2012–13 base year to compare efficient base opex to the service provider's reported base opex.</w:t>
      </w:r>
      <w:r w:rsidRPr="00D1590E">
        <w:rPr>
          <w:rStyle w:val="FootnoteReference"/>
        </w:rPr>
        <w:footnoteReference w:id="912"/>
      </w:r>
    </w:p>
    <w:p w:rsidR="00D1590E" w:rsidRPr="00D1590E" w:rsidRDefault="00D1590E" w:rsidP="00D1590E">
      <w:r w:rsidRPr="00D1590E">
        <w:t>The service providers submit that both using an average approach and rolling it forward are inappropriate.</w:t>
      </w:r>
      <w:r w:rsidRPr="00D1590E">
        <w:rPr>
          <w:rStyle w:val="FootnoteReference"/>
        </w:rPr>
        <w:footnoteReference w:id="913"/>
      </w:r>
      <w:r w:rsidRPr="00D1590E">
        <w:t xml:space="preserve"> Here, we clarify why we consider our approach is appropriate.</w:t>
      </w:r>
    </w:p>
    <w:p w:rsidR="00D1590E" w:rsidRPr="00D1590E" w:rsidRDefault="00D1590E" w:rsidP="00D1590E">
      <w:pPr>
        <w:pStyle w:val="HeadingBoldItalic"/>
      </w:pPr>
      <w:r w:rsidRPr="00D1590E">
        <w:t>Average period efficiency scores</w:t>
      </w:r>
    </w:p>
    <w:p w:rsidR="00D1590E" w:rsidRPr="00D1590E" w:rsidRDefault="00D1590E" w:rsidP="00D1590E">
      <w:r w:rsidRPr="00D1590E">
        <w:t>A key reason we use average period efficiency scores is because they moderate the impact of year-specific fluctuations not under the control of the service provider (such as weather conditions) while also reducing the scope for the service provider to strategically reduce its reported opex in a single, nominated benchmark year.</w:t>
      </w:r>
      <w:r w:rsidRPr="00D1590E">
        <w:rPr>
          <w:rStyle w:val="FootnoteReference"/>
        </w:rPr>
        <w:t xml:space="preserve"> </w:t>
      </w:r>
      <w:r w:rsidRPr="00D1590E">
        <w:rPr>
          <w:rStyle w:val="FootnoteReference"/>
        </w:rPr>
        <w:footnoteReference w:id="914"/>
      </w:r>
      <w:r w:rsidRPr="00D1590E">
        <w:t xml:space="preserve"> </w:t>
      </w:r>
    </w:p>
    <w:p w:rsidR="00D1590E" w:rsidRPr="00D1590E" w:rsidRDefault="00D1590E" w:rsidP="00D1590E">
      <w:r w:rsidRPr="00D1590E">
        <w:t xml:space="preserve">Average efficiency results also provide us with a better estimate of underlying recurrent expenditure not influenced by year on year changes, which we require for the Guideline approach to estimating total forecast opex. </w:t>
      </w:r>
    </w:p>
    <w:p w:rsidR="00D1590E" w:rsidRPr="00D1590E" w:rsidRDefault="00D1590E" w:rsidP="00D1590E">
      <w:r w:rsidRPr="00D1590E">
        <w:t>In addition, because the sample period is the eight years from 2006 to 2013, Economic Insights considers the average is sufficiently recent to avoid the potential loss of current relevance.</w:t>
      </w:r>
      <w:r w:rsidRPr="00D1590E">
        <w:rPr>
          <w:rStyle w:val="FootnoteReference"/>
        </w:rPr>
        <w:footnoteReference w:id="915"/>
      </w:r>
      <w:r w:rsidRPr="00D1590E">
        <w:t xml:space="preserve"> Economic Insights also considers the performance gap has not narrowed for the following reasons:</w:t>
      </w:r>
      <w:r w:rsidRPr="00D1590E">
        <w:rPr>
          <w:rStyle w:val="FootnoteReference"/>
        </w:rPr>
        <w:footnoteReference w:id="916"/>
      </w:r>
    </w:p>
    <w:p w:rsidR="00D1590E" w:rsidRPr="00D1590E" w:rsidRDefault="00D1590E" w:rsidP="00D1590E">
      <w:pPr>
        <w:pStyle w:val="AERbulletlistfirststyle"/>
      </w:pPr>
      <w:r w:rsidRPr="00D1590E">
        <w:t>the NSW service providers’ decisions to include a large negative change in provisions in 2013 provide an artificial impression that their performance is considerably better in 2013 than if changes in provisions were excluded</w:t>
      </w:r>
    </w:p>
    <w:p w:rsidR="00D1590E" w:rsidRPr="00D1590E" w:rsidRDefault="00D1590E" w:rsidP="00D1590E">
      <w:pPr>
        <w:pStyle w:val="AERbulletlistfirststyle"/>
      </w:pPr>
      <w:r w:rsidRPr="00D1590E">
        <w:t>the Victorian service providers experienced a negative rate of technical change (which leads to a negative rate of opex partial productivity growth) due to allowed step changes following the implementation of Victorian Bushfires Royal Commission recommendations</w:t>
      </w:r>
    </w:p>
    <w:p w:rsidR="00D1590E" w:rsidRPr="00D1590E" w:rsidRDefault="00D1590E" w:rsidP="00D1590E">
      <w:pPr>
        <w:pStyle w:val="AERbulletlistfirststyle"/>
      </w:pPr>
      <w:r w:rsidRPr="00D1590E">
        <w:t xml:space="preserve">the SFA and LSE models calculate average efficiency levels over the period and these averages incorporate the influence of the situation at the end of the period. That is, they calculate average efficiency for the period rather than midpoint </w:t>
      </w:r>
      <w:r w:rsidRPr="00D1590E">
        <w:lastRenderedPageBreak/>
        <w:t xml:space="preserve">efficiency. Therefore, because the efficiency score is an average, it already partially allows for changed conditions at the end of the period (assuming they have in fact changed). </w:t>
      </w:r>
    </w:p>
    <w:p w:rsidR="00D1590E" w:rsidRPr="00D1590E" w:rsidRDefault="00D1590E" w:rsidP="00D1590E">
      <w:pPr>
        <w:pStyle w:val="HeadingBoldItalic"/>
      </w:pPr>
      <w:r w:rsidRPr="00D1590E">
        <w:t>Rolling forward average scores to the base year</w:t>
      </w:r>
    </w:p>
    <w:p w:rsidR="00D1590E" w:rsidRPr="00D1590E" w:rsidRDefault="00D1590E" w:rsidP="00D1590E">
      <w:r w:rsidRPr="00D1590E">
        <w:t>Because we compare average efficiency, we must 'roll forward' the average efficient opex to the 2012–13 base year, because that is the relevant starting point for estimating total forecast opex that reasonably reflects the opex criteria. We do this by applying the measured rate of change, which accounts for the difference between output, price and productivity in the 2012–13 base year and at the period average (2006 to 2013).</w:t>
      </w:r>
      <w:r w:rsidRPr="00D1590E">
        <w:rPr>
          <w:rStyle w:val="FootnoteReference"/>
        </w:rPr>
        <w:footnoteReference w:id="917"/>
      </w:r>
      <w:r w:rsidRPr="00D1590E">
        <w:t xml:space="preserve"> The rate of change value varies for each service provider due to differing growth rates.</w:t>
      </w:r>
    </w:p>
    <w:p w:rsidR="00D1590E" w:rsidRPr="00D1590E" w:rsidRDefault="00D1590E" w:rsidP="00D1590E">
      <w:r w:rsidRPr="00D1590E">
        <w:t xml:space="preserve">Rolling forward average efficiency to the 2012–13 base year allows for differences in service providers' relative opex growth rates between the average and the base year. This means that if a service provider has increased its constant price opex between the average of the period and 2012–13 by less than that which the rate of change formula allows, it would receive a smaller base year opex reduction compared to that implied by its average efficiency score. </w:t>
      </w:r>
    </w:p>
    <w:p w:rsidR="00D1590E" w:rsidRPr="00D1590E" w:rsidRDefault="00D1590E" w:rsidP="00D1590E">
      <w:r w:rsidRPr="00D1590E">
        <w:t>Conversely, if the service provider has increased its constant price opex by more than that which the rate of change formula allows, it would receive a larger base year opex reduction compared to that implied by its average efficiency score.</w:t>
      </w:r>
      <w:r w:rsidRPr="00D1590E">
        <w:rPr>
          <w:rStyle w:val="FootnoteReference"/>
        </w:rPr>
        <w:footnoteReference w:id="918"/>
      </w:r>
    </w:p>
    <w:p w:rsidR="00D1590E" w:rsidRPr="00D1590E" w:rsidRDefault="00D1590E" w:rsidP="00D1590E">
      <w:pPr>
        <w:pStyle w:val="HeadingBoldBlue"/>
      </w:pPr>
      <w:bookmarkStart w:id="421" w:name="_Toc417646357"/>
      <w:r w:rsidRPr="00D1590E">
        <w:t>Final decision adjustments</w:t>
      </w:r>
      <w:bookmarkEnd w:id="421"/>
    </w:p>
    <w:p w:rsidR="00D1590E" w:rsidRPr="00D1590E" w:rsidRDefault="00D1590E" w:rsidP="00D1590E">
      <w:r w:rsidRPr="00D1590E">
        <w:fldChar w:fldCharType="begin"/>
      </w:r>
      <w:r w:rsidRPr="00D1590E">
        <w:instrText xml:space="preserve"> REF _Ref417644244 \h </w:instrText>
      </w:r>
      <w:r w:rsidRPr="00D1590E">
        <w:fldChar w:fldCharType="separate"/>
      </w:r>
      <w:r w:rsidR="00C57342" w:rsidRPr="00D1590E">
        <w:t xml:space="preserve">Table </w:t>
      </w:r>
      <w:r w:rsidR="00C57342">
        <w:rPr>
          <w:noProof/>
        </w:rPr>
        <w:t>A</w:t>
      </w:r>
      <w:r w:rsidR="00C57342" w:rsidRPr="00D1590E">
        <w:t>.</w:t>
      </w:r>
      <w:r w:rsidR="00C57342">
        <w:rPr>
          <w:noProof/>
        </w:rPr>
        <w:t>16</w:t>
      </w:r>
      <w:r w:rsidRPr="00D1590E">
        <w:fldChar w:fldCharType="end"/>
      </w:r>
      <w:r w:rsidRPr="00D1590E">
        <w:t xml:space="preserve"> and </w:t>
      </w:r>
      <w:r w:rsidRPr="00D1590E">
        <w:fldChar w:fldCharType="begin"/>
      </w:r>
      <w:r w:rsidRPr="00D1590E">
        <w:instrText xml:space="preserve"> REF _Ref417644254 \h </w:instrText>
      </w:r>
      <w:r w:rsidRPr="00D1590E">
        <w:fldChar w:fldCharType="separate"/>
      </w:r>
      <w:r w:rsidR="00C57342" w:rsidRPr="00D1590E">
        <w:t xml:space="preserve">Table </w:t>
      </w:r>
      <w:r w:rsidR="00C57342">
        <w:rPr>
          <w:noProof/>
        </w:rPr>
        <w:t>A</w:t>
      </w:r>
      <w:r w:rsidR="00C57342" w:rsidRPr="00D1590E">
        <w:t>.</w:t>
      </w:r>
      <w:r w:rsidR="00C57342">
        <w:rPr>
          <w:noProof/>
        </w:rPr>
        <w:t>17</w:t>
      </w:r>
      <w:r w:rsidRPr="00D1590E">
        <w:fldChar w:fldCharType="end"/>
      </w:r>
      <w:r w:rsidRPr="00D1590E">
        <w:t xml:space="preserve"> demonstrate the steps involved in making the adjustments to Ausgrid's and Essential Energy's base year opex.</w:t>
      </w:r>
    </w:p>
    <w:p w:rsidR="00D1590E" w:rsidRPr="00D1590E" w:rsidRDefault="00D1590E" w:rsidP="00D1590E">
      <w:pPr>
        <w:pStyle w:val="Caption"/>
      </w:pPr>
      <w:bookmarkStart w:id="422" w:name="_Ref417644244"/>
      <w:r w:rsidRPr="00D1590E">
        <w:t xml:space="preserve">Table </w:t>
      </w:r>
      <w:fldSimple w:instr=" STYLEREF 7 \s ">
        <w:r w:rsidR="00C57342">
          <w:rPr>
            <w:noProof/>
          </w:rPr>
          <w:t>A</w:t>
        </w:r>
      </w:fldSimple>
      <w:r w:rsidRPr="00D1590E">
        <w:t>.</w:t>
      </w:r>
      <w:fldSimple w:instr=" SEQ ATable \* ARABIC \s 7 ">
        <w:r w:rsidR="00C57342">
          <w:rPr>
            <w:noProof/>
          </w:rPr>
          <w:t>16</w:t>
        </w:r>
      </w:fldSimple>
      <w:bookmarkEnd w:id="422"/>
      <w:r w:rsidRPr="00D1590E">
        <w:tab/>
        <w:t>Steps for making the adjustment to base opex – Ausgrid</w:t>
      </w:r>
    </w:p>
    <w:tbl>
      <w:tblPr>
        <w:tblStyle w:val="AERtable-text0"/>
        <w:tblW w:w="0" w:type="auto"/>
        <w:tblLayout w:type="fixed"/>
        <w:tblLook w:val="04A0" w:firstRow="1" w:lastRow="0" w:firstColumn="1" w:lastColumn="0" w:noHBand="0" w:noVBand="1"/>
      </w:tblPr>
      <w:tblGrid>
        <w:gridCol w:w="1852"/>
        <w:gridCol w:w="3785"/>
        <w:gridCol w:w="1417"/>
        <w:gridCol w:w="1639"/>
      </w:tblGrid>
      <w:tr w:rsidR="00D1590E" w:rsidTr="00D1590E">
        <w:trPr>
          <w:cnfStyle w:val="100000000000" w:firstRow="1" w:lastRow="0" w:firstColumn="0" w:lastColumn="0" w:oddVBand="0" w:evenVBand="0" w:oddHBand="0" w:evenHBand="0" w:firstRowFirstColumn="0" w:firstRowLastColumn="0" w:lastRowFirstColumn="0" w:lastRowLastColumn="0"/>
        </w:trPr>
        <w:tc>
          <w:tcPr>
            <w:tcW w:w="1852" w:type="dxa"/>
          </w:tcPr>
          <w:p w:rsidR="00D1590E" w:rsidRPr="00D1590E" w:rsidRDefault="00D1590E" w:rsidP="00D1590E"/>
        </w:tc>
        <w:tc>
          <w:tcPr>
            <w:tcW w:w="3785" w:type="dxa"/>
          </w:tcPr>
          <w:p w:rsidR="00D1590E" w:rsidRPr="00D1590E" w:rsidRDefault="00D1590E" w:rsidP="00D1590E">
            <w:r w:rsidRPr="00D1590E">
              <w:t>Description</w:t>
            </w:r>
          </w:p>
        </w:tc>
        <w:tc>
          <w:tcPr>
            <w:tcW w:w="1417" w:type="dxa"/>
          </w:tcPr>
          <w:p w:rsidR="00D1590E" w:rsidRPr="00D1590E" w:rsidRDefault="00D1590E" w:rsidP="00D1590E">
            <w:r w:rsidRPr="00D1590E">
              <w:t>Output</w:t>
            </w:r>
          </w:p>
        </w:tc>
        <w:tc>
          <w:tcPr>
            <w:tcW w:w="1639" w:type="dxa"/>
          </w:tcPr>
          <w:p w:rsidR="00D1590E" w:rsidRPr="00D1590E" w:rsidRDefault="00D1590E" w:rsidP="00D1590E">
            <w:r w:rsidRPr="00D1590E">
              <w:t>Calculation</w:t>
            </w:r>
          </w:p>
        </w:tc>
      </w:tr>
      <w:tr w:rsidR="00D1590E" w:rsidTr="00D1590E">
        <w:tc>
          <w:tcPr>
            <w:tcW w:w="1852" w:type="dxa"/>
          </w:tcPr>
          <w:p w:rsidR="00D1590E" w:rsidRPr="00D1590E" w:rsidRDefault="00D1590E" w:rsidP="00D1590E">
            <w:r w:rsidRPr="00D1590E">
              <w:t>Step 1 – Start with Ausgrid's average opex over the 2006 to 2013 period</w:t>
            </w:r>
          </w:p>
        </w:tc>
        <w:tc>
          <w:tcPr>
            <w:tcW w:w="3785" w:type="dxa"/>
          </w:tcPr>
          <w:p w:rsidR="00D1590E" w:rsidRPr="00D1590E" w:rsidRDefault="00D1590E" w:rsidP="00D1590E">
            <w:r w:rsidRPr="00D1590E">
              <w:t>Ausgrid's network services opex was, on average, $509.3 million ($2013) over the 2006 to 2013 period.</w:t>
            </w:r>
          </w:p>
        </w:tc>
        <w:tc>
          <w:tcPr>
            <w:tcW w:w="1417" w:type="dxa"/>
          </w:tcPr>
          <w:p w:rsidR="00D1590E" w:rsidRPr="00D1590E" w:rsidRDefault="00D1590E" w:rsidP="00D1590E">
            <w:r w:rsidRPr="00D1590E">
              <w:t>$509.3 million ($2013)</w:t>
            </w:r>
          </w:p>
        </w:tc>
        <w:tc>
          <w:tcPr>
            <w:tcW w:w="1639" w:type="dxa"/>
          </w:tcPr>
          <w:p w:rsidR="00D1590E" w:rsidRPr="00D1590E" w:rsidRDefault="00D1590E" w:rsidP="00D1590E">
            <w:pPr>
              <w:rPr>
                <w:rStyle w:val="AERtexthighlight"/>
              </w:rPr>
            </w:pP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852" w:type="dxa"/>
          </w:tcPr>
          <w:p w:rsidR="00D1590E" w:rsidRPr="00D1590E" w:rsidRDefault="00D1590E" w:rsidP="00D1590E">
            <w:r w:rsidRPr="00D1590E">
              <w:t xml:space="preserve">Step 2 —Calculate the raw efficiency scores using our preferred </w:t>
            </w:r>
            <w:r w:rsidRPr="00D1590E">
              <w:lastRenderedPageBreak/>
              <w:t>economic benchmarking model</w:t>
            </w:r>
          </w:p>
        </w:tc>
        <w:tc>
          <w:tcPr>
            <w:tcW w:w="3785" w:type="dxa"/>
          </w:tcPr>
          <w:p w:rsidR="00D1590E" w:rsidRPr="00D1590E" w:rsidRDefault="00D1590E" w:rsidP="00D1590E">
            <w:r w:rsidRPr="00D1590E">
              <w:lastRenderedPageBreak/>
              <w:t xml:space="preserve">Our preferred economic benchmarking model is Economic Insights’ Cobb Douglas SFA model. We use it to determine all service providers' raw </w:t>
            </w:r>
            <w:r w:rsidRPr="00D1590E">
              <w:lastRenderedPageBreak/>
              <w:t xml:space="preserve">efficiency scores. </w:t>
            </w:r>
          </w:p>
          <w:p w:rsidR="00D1590E" w:rsidRPr="00D1590E" w:rsidRDefault="00D1590E" w:rsidP="00D1590E">
            <w:r w:rsidRPr="00D1590E">
              <w:t>Based on Ausgrid's customer numbers, line length, and ratcheted maximum demand over the 2006 to 2013 period Ausgrid's raw efficiency score is 44.7 per cent.</w:t>
            </w:r>
          </w:p>
        </w:tc>
        <w:tc>
          <w:tcPr>
            <w:tcW w:w="1417" w:type="dxa"/>
          </w:tcPr>
          <w:p w:rsidR="00D1590E" w:rsidRPr="00D1590E" w:rsidRDefault="00D1590E" w:rsidP="00D1590E">
            <w:r w:rsidRPr="00D1590E">
              <w:lastRenderedPageBreak/>
              <w:t>44.7 per cent</w:t>
            </w:r>
            <w:r w:rsidRPr="00D1590E">
              <w:rPr>
                <w:rStyle w:val="FootnoteReference"/>
              </w:rPr>
              <w:footnoteReference w:id="919"/>
            </w:r>
          </w:p>
        </w:tc>
        <w:tc>
          <w:tcPr>
            <w:tcW w:w="1639" w:type="dxa"/>
          </w:tcPr>
          <w:p w:rsidR="00D1590E" w:rsidRPr="00D1590E" w:rsidRDefault="00D1590E" w:rsidP="00D1590E">
            <w:pPr>
              <w:rPr>
                <w:rStyle w:val="AERtexthighlight"/>
              </w:rPr>
            </w:pPr>
          </w:p>
        </w:tc>
      </w:tr>
      <w:tr w:rsidR="00D1590E" w:rsidTr="00D1590E">
        <w:tc>
          <w:tcPr>
            <w:tcW w:w="1852" w:type="dxa"/>
          </w:tcPr>
          <w:p w:rsidR="00D1590E" w:rsidRPr="00D1590E" w:rsidRDefault="00D1590E" w:rsidP="00D1590E">
            <w:r w:rsidRPr="00D1590E">
              <w:lastRenderedPageBreak/>
              <w:t>Step 3—Choose the comparison point</w:t>
            </w:r>
          </w:p>
        </w:tc>
        <w:tc>
          <w:tcPr>
            <w:tcW w:w="3785" w:type="dxa"/>
          </w:tcPr>
          <w:p w:rsidR="00D1590E" w:rsidRPr="00D1590E" w:rsidRDefault="00D1590E" w:rsidP="00D1590E">
            <w:r w:rsidRPr="00D1590E">
              <w:t xml:space="preserve">For the purposes of determining our alternative estimate of base opex, we did not base our estimate on the efficient opex estimated by the model. </w:t>
            </w:r>
          </w:p>
          <w:p w:rsidR="00D1590E" w:rsidRPr="00D1590E" w:rsidRDefault="00D1590E" w:rsidP="00D1590E">
            <w:r w:rsidRPr="00D1590E">
              <w:t>The comparison point we used was the lowest of the efficiency scores in the top quartile of possible scores (represented by AusNet Services). According to this model AusNet Services' opex is 76.8 per cent efficient based on its performance over the 2006 to 2013 period. Therefore to determine our substitute base we have assumed a prudent and efficient Ausgrid would be operating at an equivalent level of efficiency to AusNet Services.</w:t>
            </w:r>
          </w:p>
        </w:tc>
        <w:tc>
          <w:tcPr>
            <w:tcW w:w="1417" w:type="dxa"/>
          </w:tcPr>
          <w:p w:rsidR="00D1590E" w:rsidRPr="00D1590E" w:rsidRDefault="00D1590E" w:rsidP="00D1590E">
            <w:r w:rsidRPr="00D1590E">
              <w:t>76.8 per cent</w:t>
            </w:r>
            <w:r w:rsidRPr="00D1590E">
              <w:rPr>
                <w:rStyle w:val="FootnoteReference"/>
              </w:rPr>
              <w:footnoteReference w:id="920"/>
            </w:r>
          </w:p>
        </w:tc>
        <w:tc>
          <w:tcPr>
            <w:tcW w:w="1639" w:type="dxa"/>
          </w:tcPr>
          <w:p w:rsidR="00D1590E" w:rsidRPr="00D1590E" w:rsidRDefault="00D1590E" w:rsidP="00D1590E">
            <w:pPr>
              <w:rPr>
                <w:rStyle w:val="AERtexthighlight"/>
              </w:rPr>
            </w:pP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852" w:type="dxa"/>
          </w:tcPr>
          <w:p w:rsidR="00D1590E" w:rsidRPr="00D1590E" w:rsidRDefault="00D1590E" w:rsidP="00D1590E">
            <w:r w:rsidRPr="00D1590E">
              <w:t>Step 3— Adjust Ausgrid's raw efficiency score for operating environment factors</w:t>
            </w:r>
          </w:p>
        </w:tc>
        <w:tc>
          <w:tcPr>
            <w:tcW w:w="3785" w:type="dxa"/>
          </w:tcPr>
          <w:p w:rsidR="00D1590E" w:rsidRPr="00D1590E" w:rsidRDefault="00D1590E" w:rsidP="00D1590E">
            <w:r w:rsidRPr="00D1590E">
              <w:t xml:space="preserve">The economic benchmarking model does not capture all operating environment factors likely to affect opex incurred by a prudent and efficient Ausgrid. </w:t>
            </w:r>
          </w:p>
          <w:p w:rsidR="00D1590E" w:rsidRPr="00D1590E" w:rsidRDefault="00D1590E" w:rsidP="00D1590E">
            <w:r w:rsidRPr="00D1590E">
              <w:t xml:space="preserve">We have estimated the effect of these factors and made a further reduction to our estimate where required. We have determined an 11.7 per cent reduction to Ausgrid's comparison point based on our assessment of these factors. </w:t>
            </w:r>
          </w:p>
          <w:p w:rsidR="00D1590E" w:rsidRPr="00D1590E" w:rsidRDefault="00D1590E" w:rsidP="00D1590E">
            <w:r w:rsidRPr="00D1590E">
              <w:t>A material operating environment factor we considered was not accounted for in the model is the different subtransmission configurations in NSW.</w:t>
            </w:r>
          </w:p>
        </w:tc>
        <w:tc>
          <w:tcPr>
            <w:tcW w:w="1417" w:type="dxa"/>
          </w:tcPr>
          <w:p w:rsidR="00D1590E" w:rsidRPr="00D1590E" w:rsidRDefault="00D1590E" w:rsidP="00D1590E">
            <w:r w:rsidRPr="00D1590E">
              <w:t>68.7 per cent</w:t>
            </w:r>
          </w:p>
        </w:tc>
        <w:tc>
          <w:tcPr>
            <w:tcW w:w="1639" w:type="dxa"/>
          </w:tcPr>
          <w:p w:rsidR="00D1590E" w:rsidRPr="00D1590E" w:rsidRDefault="00D1590E" w:rsidP="00D1590E">
            <w:r w:rsidRPr="00D1590E">
              <w:t>= 0.768 / (1 + 0.117)</w:t>
            </w:r>
          </w:p>
        </w:tc>
      </w:tr>
      <w:tr w:rsidR="00D1590E" w:rsidTr="00D1590E">
        <w:tc>
          <w:tcPr>
            <w:tcW w:w="1852" w:type="dxa"/>
          </w:tcPr>
          <w:p w:rsidR="00D1590E" w:rsidRPr="00D1590E" w:rsidRDefault="00D1590E" w:rsidP="00D1590E">
            <w:r w:rsidRPr="00D1590E">
              <w:t>Step 4—Calculate the percentage reduction in opex</w:t>
            </w:r>
          </w:p>
        </w:tc>
        <w:tc>
          <w:tcPr>
            <w:tcW w:w="3785" w:type="dxa"/>
          </w:tcPr>
          <w:p w:rsidR="00D1590E" w:rsidRPr="00D1590E" w:rsidRDefault="00D1590E" w:rsidP="00D1590E">
            <w:r w:rsidRPr="00D1590E">
              <w:t>We then calculate the opex reduction by comparing Ausgrid's efficiency score with the adjusted comparison point score.</w:t>
            </w:r>
          </w:p>
        </w:tc>
        <w:tc>
          <w:tcPr>
            <w:tcW w:w="1417" w:type="dxa"/>
          </w:tcPr>
          <w:p w:rsidR="00D1590E" w:rsidRPr="00D1590E" w:rsidRDefault="00D1590E" w:rsidP="00D1590E">
            <w:r w:rsidRPr="00D1590E">
              <w:t>35.0 per cent</w:t>
            </w:r>
          </w:p>
        </w:tc>
        <w:tc>
          <w:tcPr>
            <w:tcW w:w="1639" w:type="dxa"/>
          </w:tcPr>
          <w:p w:rsidR="00D1590E" w:rsidRPr="00D1590E" w:rsidRDefault="00D1590E" w:rsidP="00D1590E">
            <w:r w:rsidRPr="00D1590E">
              <w:t>= 1 – (0.447 / 0.687)</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852" w:type="dxa"/>
          </w:tcPr>
          <w:p w:rsidR="00D1590E" w:rsidRPr="00D1590E" w:rsidRDefault="00D1590E" w:rsidP="00D1590E">
            <w:r w:rsidRPr="00D1590E">
              <w:t>Step 5—Calculate the midpoint efficient opex</w:t>
            </w:r>
          </w:p>
        </w:tc>
        <w:tc>
          <w:tcPr>
            <w:tcW w:w="3785" w:type="dxa"/>
          </w:tcPr>
          <w:p w:rsidR="00D1590E" w:rsidRPr="00D1590E" w:rsidRDefault="00D1590E" w:rsidP="00D1590E">
            <w:r w:rsidRPr="00D1590E">
              <w:t>We estimate efficient opex at the midpoint of the 2006 to 2013 period by applying the percentage reduction in opex to Ausgrid's average opex over the period.</w:t>
            </w:r>
          </w:p>
          <w:p w:rsidR="00D1590E" w:rsidRPr="00D1590E" w:rsidRDefault="00D1590E" w:rsidP="00D1590E">
            <w:r w:rsidRPr="00D1590E">
              <w:t>This represents our estimate of efficient opex at the midpoint of the 2006 to 2013 period.</w:t>
            </w:r>
          </w:p>
        </w:tc>
        <w:tc>
          <w:tcPr>
            <w:tcW w:w="1417" w:type="dxa"/>
          </w:tcPr>
          <w:p w:rsidR="00D1590E" w:rsidRPr="00D1590E" w:rsidRDefault="00D1590E" w:rsidP="00D1590E">
            <w:r w:rsidRPr="00D1590E">
              <w:t>330.9 million ($2013)</w:t>
            </w:r>
          </w:p>
        </w:tc>
        <w:tc>
          <w:tcPr>
            <w:tcW w:w="1639" w:type="dxa"/>
          </w:tcPr>
          <w:p w:rsidR="00D1590E" w:rsidRPr="00D1590E" w:rsidRDefault="00D1590E" w:rsidP="00D1590E">
            <w:r w:rsidRPr="00D1590E">
              <w:t>= (1 – 0.350)* 509.3 million</w:t>
            </w:r>
          </w:p>
        </w:tc>
      </w:tr>
      <w:tr w:rsidR="00D1590E" w:rsidTr="00D1590E">
        <w:tc>
          <w:tcPr>
            <w:tcW w:w="1852" w:type="dxa"/>
          </w:tcPr>
          <w:p w:rsidR="00D1590E" w:rsidRPr="00D1590E" w:rsidRDefault="00D1590E" w:rsidP="00D1590E">
            <w:r w:rsidRPr="00D1590E">
              <w:t>Step 6— Trend midpoint efficient opex forward to 2012–13</w:t>
            </w:r>
          </w:p>
        </w:tc>
        <w:tc>
          <w:tcPr>
            <w:tcW w:w="3785" w:type="dxa"/>
          </w:tcPr>
          <w:p w:rsidR="00D1590E" w:rsidRPr="00D1590E" w:rsidRDefault="00D1590E" w:rsidP="00D1590E">
            <w:r w:rsidRPr="00D1590E">
              <w:t>Our forecasting approach is to use a 2012–13 base year. We have trended the midpoint efficient opex forward to a 2012–13 base year based on Economic Insights’ opex partial factor productivity growth model. It estimates the growth in efficient opex based on growth in customer numbers, line length, ratcheted maximum demand and share of undergrounding.</w:t>
            </w:r>
          </w:p>
          <w:p w:rsidR="00D1590E" w:rsidRPr="00D1590E" w:rsidRDefault="00D1590E" w:rsidP="00D1590E">
            <w:r w:rsidRPr="00D1590E">
              <w:t xml:space="preserve">It estimated the growth in efficient opex based on </w:t>
            </w:r>
            <w:r w:rsidRPr="00D1590E">
              <w:lastRenderedPageBreak/>
              <w:t>Ausgrid’s growth in these inputs in this period to be 8.48 per cent.</w:t>
            </w:r>
          </w:p>
        </w:tc>
        <w:tc>
          <w:tcPr>
            <w:tcW w:w="1417" w:type="dxa"/>
          </w:tcPr>
          <w:p w:rsidR="00D1590E" w:rsidRPr="00D1590E" w:rsidRDefault="00D1590E" w:rsidP="00D1590E">
            <w:r w:rsidRPr="00D1590E">
              <w:lastRenderedPageBreak/>
              <w:t>359.0 million ($2013)</w:t>
            </w:r>
          </w:p>
        </w:tc>
        <w:tc>
          <w:tcPr>
            <w:tcW w:w="1639" w:type="dxa"/>
          </w:tcPr>
          <w:p w:rsidR="00D1590E" w:rsidRPr="00D1590E" w:rsidRDefault="00D1590E" w:rsidP="00D1590E">
            <w:r w:rsidRPr="00D1590E">
              <w:t xml:space="preserve">= 330.9 × (1+ 0.0848) </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852" w:type="dxa"/>
          </w:tcPr>
          <w:p w:rsidR="00D1590E" w:rsidRPr="00D1590E" w:rsidRDefault="00D1590E" w:rsidP="00D1590E">
            <w:r w:rsidRPr="00D1590E">
              <w:lastRenderedPageBreak/>
              <w:t>Step 7—Adjust our estimate of 2012–13 base year opex for CPI</w:t>
            </w:r>
          </w:p>
        </w:tc>
        <w:tc>
          <w:tcPr>
            <w:tcW w:w="3785" w:type="dxa"/>
          </w:tcPr>
          <w:p w:rsidR="00D1590E" w:rsidRPr="00D1590E" w:rsidRDefault="00D1590E" w:rsidP="00D1590E">
            <w:r w:rsidRPr="00D1590E">
              <w:t>The output in step 6 is in real 2013 dollars. We need to convert it to real 2013–14 dollars for the purposes of forming our substitute estimate of base opex. This reflects one and a half years of inflation. This is our estimate of base opex.</w:t>
            </w:r>
          </w:p>
        </w:tc>
        <w:tc>
          <w:tcPr>
            <w:tcW w:w="1417" w:type="dxa"/>
          </w:tcPr>
          <w:p w:rsidR="00D1590E" w:rsidRPr="00D1590E" w:rsidRDefault="00D1590E" w:rsidP="00D1590E">
            <w:r w:rsidRPr="00D1590E">
              <w:t>374.2 million ($2013–14)</w:t>
            </w:r>
          </w:p>
        </w:tc>
        <w:tc>
          <w:tcPr>
            <w:tcW w:w="1639" w:type="dxa"/>
          </w:tcPr>
          <w:p w:rsidR="00D1590E" w:rsidRPr="00D1590E" w:rsidRDefault="00D1590E" w:rsidP="00D1590E">
            <w:r w:rsidRPr="00D1590E">
              <w:t xml:space="preserve">= 359.0 × (1 + 0.042) </w:t>
            </w:r>
          </w:p>
        </w:tc>
      </w:tr>
    </w:tbl>
    <w:p w:rsidR="00D1590E" w:rsidRPr="00D1590E" w:rsidRDefault="00D1590E" w:rsidP="00D1590E">
      <w:pPr>
        <w:pStyle w:val="AERtablesource"/>
        <w:numPr>
          <w:ilvl w:val="0"/>
          <w:numId w:val="24"/>
        </w:numPr>
      </w:pPr>
      <w:r w:rsidRPr="00D1590E">
        <w:t>Source: AER analysis</w:t>
      </w:r>
      <w:bookmarkStart w:id="423" w:name="_Ref417477225"/>
    </w:p>
    <w:p w:rsidR="00D1590E" w:rsidRPr="00D1590E" w:rsidRDefault="00D1590E" w:rsidP="00D1590E">
      <w:pPr>
        <w:pStyle w:val="Caption"/>
        <w:numPr>
          <w:ilvl w:val="0"/>
          <w:numId w:val="24"/>
        </w:numPr>
      </w:pPr>
      <w:bookmarkStart w:id="424" w:name="_Ref417644254"/>
      <w:bookmarkEnd w:id="423"/>
      <w:r w:rsidRPr="00D1590E">
        <w:t xml:space="preserve">Table </w:t>
      </w:r>
      <w:fldSimple w:instr=" STYLEREF 7 \s ">
        <w:r w:rsidR="00C57342">
          <w:rPr>
            <w:noProof/>
          </w:rPr>
          <w:t>A</w:t>
        </w:r>
      </w:fldSimple>
      <w:r w:rsidRPr="00D1590E">
        <w:t>.</w:t>
      </w:r>
      <w:fldSimple w:instr=" SEQ ATable \* ARABIC \s 7 ">
        <w:r w:rsidR="00C57342">
          <w:rPr>
            <w:noProof/>
          </w:rPr>
          <w:t>17</w:t>
        </w:r>
      </w:fldSimple>
      <w:bookmarkEnd w:id="424"/>
      <w:r w:rsidRPr="00D1590E">
        <w:tab/>
        <w:t>Steps for making the adjustment to base opex – Essential Energy</w:t>
      </w:r>
    </w:p>
    <w:tbl>
      <w:tblPr>
        <w:tblStyle w:val="AERtable-text0"/>
        <w:tblW w:w="0" w:type="auto"/>
        <w:tblLayout w:type="fixed"/>
        <w:tblLook w:val="04A0" w:firstRow="1" w:lastRow="0" w:firstColumn="1" w:lastColumn="0" w:noHBand="0" w:noVBand="1"/>
      </w:tblPr>
      <w:tblGrid>
        <w:gridCol w:w="1852"/>
        <w:gridCol w:w="3785"/>
        <w:gridCol w:w="1417"/>
        <w:gridCol w:w="1639"/>
      </w:tblGrid>
      <w:tr w:rsidR="00D1590E" w:rsidTr="00D1590E">
        <w:trPr>
          <w:cnfStyle w:val="100000000000" w:firstRow="1" w:lastRow="0" w:firstColumn="0" w:lastColumn="0" w:oddVBand="0" w:evenVBand="0" w:oddHBand="0" w:evenHBand="0" w:firstRowFirstColumn="0" w:firstRowLastColumn="0" w:lastRowFirstColumn="0" w:lastRowLastColumn="0"/>
        </w:trPr>
        <w:tc>
          <w:tcPr>
            <w:tcW w:w="1852" w:type="dxa"/>
          </w:tcPr>
          <w:p w:rsidR="00D1590E" w:rsidRPr="00D1590E" w:rsidRDefault="00D1590E" w:rsidP="00D1590E"/>
        </w:tc>
        <w:tc>
          <w:tcPr>
            <w:tcW w:w="3785" w:type="dxa"/>
          </w:tcPr>
          <w:p w:rsidR="00D1590E" w:rsidRPr="00D1590E" w:rsidRDefault="00D1590E" w:rsidP="00D1590E">
            <w:r w:rsidRPr="00D1590E">
              <w:t>Description</w:t>
            </w:r>
          </w:p>
        </w:tc>
        <w:tc>
          <w:tcPr>
            <w:tcW w:w="1417" w:type="dxa"/>
          </w:tcPr>
          <w:p w:rsidR="00D1590E" w:rsidRPr="00D1590E" w:rsidRDefault="00D1590E" w:rsidP="00D1590E">
            <w:r w:rsidRPr="00D1590E">
              <w:t>Output</w:t>
            </w:r>
          </w:p>
        </w:tc>
        <w:tc>
          <w:tcPr>
            <w:tcW w:w="1639" w:type="dxa"/>
          </w:tcPr>
          <w:p w:rsidR="00D1590E" w:rsidRPr="00D1590E" w:rsidRDefault="00D1590E" w:rsidP="00D1590E">
            <w:r w:rsidRPr="00D1590E">
              <w:t>Calculation</w:t>
            </w:r>
          </w:p>
        </w:tc>
      </w:tr>
      <w:tr w:rsidR="00D1590E" w:rsidTr="00D1590E">
        <w:tc>
          <w:tcPr>
            <w:tcW w:w="1852" w:type="dxa"/>
          </w:tcPr>
          <w:p w:rsidR="00D1590E" w:rsidRPr="00D1590E" w:rsidRDefault="00D1590E" w:rsidP="00D1590E">
            <w:r w:rsidRPr="00D1590E">
              <w:t>Step 1 – Start with Essential Energy's average opex over the 2006 to 2013 period</w:t>
            </w:r>
          </w:p>
        </w:tc>
        <w:tc>
          <w:tcPr>
            <w:tcW w:w="3785" w:type="dxa"/>
          </w:tcPr>
          <w:p w:rsidR="00D1590E" w:rsidRPr="00D1590E" w:rsidRDefault="00D1590E" w:rsidP="00D1590E">
            <w:r w:rsidRPr="00D1590E">
              <w:t>Essential Energy's network services opex was, on average, $352.5 million ($2013) over the 2006 to 2013 period.</w:t>
            </w:r>
          </w:p>
        </w:tc>
        <w:tc>
          <w:tcPr>
            <w:tcW w:w="1417" w:type="dxa"/>
          </w:tcPr>
          <w:p w:rsidR="00D1590E" w:rsidRPr="00D1590E" w:rsidRDefault="00D1590E" w:rsidP="00D1590E">
            <w:r w:rsidRPr="00D1590E">
              <w:t>$352.5 million ($2013)</w:t>
            </w:r>
          </w:p>
        </w:tc>
        <w:tc>
          <w:tcPr>
            <w:tcW w:w="1639" w:type="dxa"/>
          </w:tcPr>
          <w:p w:rsidR="00D1590E" w:rsidRPr="00D1590E" w:rsidRDefault="00D1590E" w:rsidP="00D1590E">
            <w:pPr>
              <w:rPr>
                <w:rStyle w:val="AERtexthighlight"/>
              </w:rPr>
            </w:pP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852" w:type="dxa"/>
          </w:tcPr>
          <w:p w:rsidR="00D1590E" w:rsidRPr="00D1590E" w:rsidRDefault="00D1590E" w:rsidP="00D1590E">
            <w:r w:rsidRPr="00D1590E">
              <w:t>Step 2 —Calculate the raw efficiency scores using our preferred economic benchmarking model</w:t>
            </w:r>
          </w:p>
        </w:tc>
        <w:tc>
          <w:tcPr>
            <w:tcW w:w="3785" w:type="dxa"/>
          </w:tcPr>
          <w:p w:rsidR="00D1590E" w:rsidRPr="00D1590E" w:rsidRDefault="00D1590E" w:rsidP="00D1590E">
            <w:r w:rsidRPr="00D1590E">
              <w:t xml:space="preserve">Our preferred economic benchmarking model is Economic Insights’ Cobb Douglas SFA model. We use it to determine all service providers' raw efficiency scores. </w:t>
            </w:r>
          </w:p>
          <w:p w:rsidR="00D1590E" w:rsidRPr="00D1590E" w:rsidRDefault="00D1590E" w:rsidP="00D1590E">
            <w:r w:rsidRPr="00D1590E">
              <w:t>Based on Essential Energy's customer numbers, line length, and ratcheted maximum demand over the 2006 to 2013 period Essential Energy's raw efficiency score is 54.9 per cent.</w:t>
            </w:r>
          </w:p>
        </w:tc>
        <w:tc>
          <w:tcPr>
            <w:tcW w:w="1417" w:type="dxa"/>
          </w:tcPr>
          <w:p w:rsidR="00D1590E" w:rsidRPr="00D1590E" w:rsidRDefault="00D1590E" w:rsidP="00D1590E">
            <w:r w:rsidRPr="00D1590E">
              <w:t>54.9 per cent</w:t>
            </w:r>
            <w:r w:rsidRPr="00D1590E">
              <w:rPr>
                <w:rStyle w:val="FootnoteReference"/>
              </w:rPr>
              <w:footnoteReference w:id="921"/>
            </w:r>
          </w:p>
        </w:tc>
        <w:tc>
          <w:tcPr>
            <w:tcW w:w="1639" w:type="dxa"/>
          </w:tcPr>
          <w:p w:rsidR="00D1590E" w:rsidRPr="00D1590E" w:rsidRDefault="00D1590E" w:rsidP="00D1590E">
            <w:pPr>
              <w:rPr>
                <w:rStyle w:val="AERtexthighlight"/>
              </w:rPr>
            </w:pPr>
          </w:p>
        </w:tc>
      </w:tr>
      <w:tr w:rsidR="00D1590E" w:rsidTr="00D1590E">
        <w:tc>
          <w:tcPr>
            <w:tcW w:w="1852" w:type="dxa"/>
          </w:tcPr>
          <w:p w:rsidR="00D1590E" w:rsidRPr="00D1590E" w:rsidRDefault="00D1590E" w:rsidP="00D1590E">
            <w:r w:rsidRPr="00D1590E">
              <w:t>Step 3—Choose the comparison point</w:t>
            </w:r>
          </w:p>
        </w:tc>
        <w:tc>
          <w:tcPr>
            <w:tcW w:w="3785" w:type="dxa"/>
          </w:tcPr>
          <w:p w:rsidR="00D1590E" w:rsidRPr="00D1590E" w:rsidRDefault="00D1590E" w:rsidP="00D1590E">
            <w:r w:rsidRPr="00D1590E">
              <w:t xml:space="preserve">For the purposes of determining our alternative estimate of base opex, we did not base our estimate on the efficient opex estimated by the model. </w:t>
            </w:r>
          </w:p>
          <w:p w:rsidR="00D1590E" w:rsidRPr="00D1590E" w:rsidRDefault="00D1590E" w:rsidP="00D1590E">
            <w:r w:rsidRPr="00D1590E">
              <w:t>The comparison point we used was lowest of the efficiency scores in the top quartile of possible scores (represented by AusNet Services).  According to this model AusNet Services' opex is 76.8 per cent efficient based on its performance over the 2006 to 2013 period. Therefore to determine our substitute base we have assumed a prudent and efficient Essential Energy would be operating at an equivalent level of efficiency to AusNet Services.</w:t>
            </w:r>
          </w:p>
        </w:tc>
        <w:tc>
          <w:tcPr>
            <w:tcW w:w="1417" w:type="dxa"/>
          </w:tcPr>
          <w:p w:rsidR="00D1590E" w:rsidRPr="00D1590E" w:rsidRDefault="00D1590E" w:rsidP="00D1590E">
            <w:r w:rsidRPr="00D1590E">
              <w:t>76.8 per cent</w:t>
            </w:r>
            <w:r w:rsidRPr="00D1590E">
              <w:rPr>
                <w:rStyle w:val="FootnoteReference"/>
              </w:rPr>
              <w:footnoteReference w:id="922"/>
            </w:r>
          </w:p>
        </w:tc>
        <w:tc>
          <w:tcPr>
            <w:tcW w:w="1639" w:type="dxa"/>
          </w:tcPr>
          <w:p w:rsidR="00D1590E" w:rsidRPr="00D1590E" w:rsidRDefault="00D1590E" w:rsidP="00D1590E">
            <w:pPr>
              <w:rPr>
                <w:rStyle w:val="AERtexthighlight"/>
              </w:rPr>
            </w:pP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852" w:type="dxa"/>
          </w:tcPr>
          <w:p w:rsidR="00D1590E" w:rsidRPr="00D1590E" w:rsidRDefault="00D1590E" w:rsidP="00D1590E">
            <w:r w:rsidRPr="00D1590E">
              <w:t>Step 3— Adjust Essential Energy's raw efficiency score for operating environment factors</w:t>
            </w:r>
          </w:p>
        </w:tc>
        <w:tc>
          <w:tcPr>
            <w:tcW w:w="3785" w:type="dxa"/>
          </w:tcPr>
          <w:p w:rsidR="00D1590E" w:rsidRPr="00D1590E" w:rsidRDefault="00D1590E" w:rsidP="00D1590E">
            <w:r w:rsidRPr="00D1590E">
              <w:t xml:space="preserve">The economic benchmarking model does not capture all operating environment factors likely to affect opex incurred by a prudent and efficient Essential Energy. </w:t>
            </w:r>
          </w:p>
          <w:p w:rsidR="00D1590E" w:rsidRPr="00D1590E" w:rsidRDefault="00D1590E" w:rsidP="00D1590E">
            <w:r w:rsidRPr="00D1590E">
              <w:t xml:space="preserve">We have estimated the effect of these factors and made a further reduction to our estimate where required. We have determined a 10.7 per cent </w:t>
            </w:r>
            <w:r w:rsidRPr="00D1590E">
              <w:lastRenderedPageBreak/>
              <w:t xml:space="preserve">reduction to Essential Energy's comparison point based on our assessment of these factors. </w:t>
            </w:r>
          </w:p>
          <w:p w:rsidR="00D1590E" w:rsidRPr="00D1590E" w:rsidRDefault="00D1590E" w:rsidP="00D1590E">
            <w:r w:rsidRPr="00D1590E">
              <w:t>A material operating environment factor we considered was not accounted for in the model is the different subtransmission configurations in NSW.</w:t>
            </w:r>
          </w:p>
        </w:tc>
        <w:tc>
          <w:tcPr>
            <w:tcW w:w="1417" w:type="dxa"/>
          </w:tcPr>
          <w:p w:rsidR="00D1590E" w:rsidRPr="00D1590E" w:rsidRDefault="00D1590E" w:rsidP="00D1590E">
            <w:r w:rsidRPr="00D1590E">
              <w:lastRenderedPageBreak/>
              <w:t>69.4 per cent</w:t>
            </w:r>
          </w:p>
        </w:tc>
        <w:tc>
          <w:tcPr>
            <w:tcW w:w="1639" w:type="dxa"/>
          </w:tcPr>
          <w:p w:rsidR="00D1590E" w:rsidRPr="00D1590E" w:rsidRDefault="00D1590E" w:rsidP="00D1590E">
            <w:r w:rsidRPr="00D1590E">
              <w:t>= 0.768 / (1 + 0.107)</w:t>
            </w:r>
          </w:p>
        </w:tc>
      </w:tr>
      <w:tr w:rsidR="00D1590E" w:rsidTr="00D1590E">
        <w:tc>
          <w:tcPr>
            <w:tcW w:w="1852" w:type="dxa"/>
          </w:tcPr>
          <w:p w:rsidR="00D1590E" w:rsidRPr="00D1590E" w:rsidRDefault="00D1590E" w:rsidP="00D1590E">
            <w:r w:rsidRPr="00D1590E">
              <w:lastRenderedPageBreak/>
              <w:t>Step 4—Calculate the percentage reduction in opex</w:t>
            </w:r>
          </w:p>
        </w:tc>
        <w:tc>
          <w:tcPr>
            <w:tcW w:w="3785" w:type="dxa"/>
          </w:tcPr>
          <w:p w:rsidR="00D1590E" w:rsidRPr="00D1590E" w:rsidRDefault="00D1590E" w:rsidP="00D1590E">
            <w:r w:rsidRPr="00D1590E">
              <w:t>We then calculate the opex reduction by comparing Essential Energy's efficiency score with the adjusted comparison point score.</w:t>
            </w:r>
          </w:p>
        </w:tc>
        <w:tc>
          <w:tcPr>
            <w:tcW w:w="1417" w:type="dxa"/>
          </w:tcPr>
          <w:p w:rsidR="00D1590E" w:rsidRPr="00D1590E" w:rsidRDefault="00D1590E" w:rsidP="00D1590E">
            <w:r w:rsidRPr="00D1590E">
              <w:t>20.9 per cent</w:t>
            </w:r>
          </w:p>
        </w:tc>
        <w:tc>
          <w:tcPr>
            <w:tcW w:w="1639" w:type="dxa"/>
          </w:tcPr>
          <w:p w:rsidR="00D1590E" w:rsidRPr="00D1590E" w:rsidRDefault="00D1590E" w:rsidP="00D1590E">
            <w:r w:rsidRPr="00D1590E">
              <w:t>= 1 – (0.549 / 0.694)</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852" w:type="dxa"/>
          </w:tcPr>
          <w:p w:rsidR="00D1590E" w:rsidRPr="00D1590E" w:rsidRDefault="00D1590E" w:rsidP="00D1590E">
            <w:r w:rsidRPr="00D1590E">
              <w:t>Step 5—Calculate the midpoint efficient opex</w:t>
            </w:r>
          </w:p>
        </w:tc>
        <w:tc>
          <w:tcPr>
            <w:tcW w:w="3785" w:type="dxa"/>
          </w:tcPr>
          <w:p w:rsidR="00D1590E" w:rsidRPr="00D1590E" w:rsidRDefault="00D1590E" w:rsidP="00D1590E">
            <w:r w:rsidRPr="00D1590E">
              <w:t>We estimate efficient opex at the midpoint of the 2006 to 2013 period by applying the percentage reduction in opex to Essential Energy's average opex over the period.</w:t>
            </w:r>
          </w:p>
          <w:p w:rsidR="00D1590E" w:rsidRPr="00D1590E" w:rsidRDefault="00D1590E" w:rsidP="00D1590E">
            <w:r w:rsidRPr="00D1590E">
              <w:t>This represents our estimate of efficient opex at the midpoint of the 2006 to 2013 period.</w:t>
            </w:r>
          </w:p>
        </w:tc>
        <w:tc>
          <w:tcPr>
            <w:tcW w:w="1417" w:type="dxa"/>
          </w:tcPr>
          <w:p w:rsidR="00D1590E" w:rsidRPr="00D1590E" w:rsidRDefault="00D1590E" w:rsidP="00D1590E">
            <w:r w:rsidRPr="00D1590E">
              <w:t>278.8 million ($2013)</w:t>
            </w:r>
          </w:p>
        </w:tc>
        <w:tc>
          <w:tcPr>
            <w:tcW w:w="1639" w:type="dxa"/>
          </w:tcPr>
          <w:p w:rsidR="00D1590E" w:rsidRPr="00D1590E" w:rsidRDefault="00D1590E" w:rsidP="00D1590E">
            <w:r w:rsidRPr="00D1590E">
              <w:t>= (1 – 0.209)* 352.5 million</w:t>
            </w:r>
          </w:p>
        </w:tc>
      </w:tr>
      <w:tr w:rsidR="00D1590E" w:rsidTr="00D1590E">
        <w:tc>
          <w:tcPr>
            <w:tcW w:w="1852" w:type="dxa"/>
          </w:tcPr>
          <w:p w:rsidR="00D1590E" w:rsidRPr="00D1590E" w:rsidRDefault="00D1590E" w:rsidP="00D1590E">
            <w:r w:rsidRPr="00D1590E">
              <w:t>Step 6— Trend midpoint efficient opex forward to 2012–13</w:t>
            </w:r>
          </w:p>
        </w:tc>
        <w:tc>
          <w:tcPr>
            <w:tcW w:w="3785" w:type="dxa"/>
          </w:tcPr>
          <w:p w:rsidR="00D1590E" w:rsidRPr="00D1590E" w:rsidRDefault="00D1590E" w:rsidP="00D1590E">
            <w:r w:rsidRPr="00D1590E">
              <w:t>Our forecasting approach is to use a 2012–13 base year. We have trended the midpoint efficient opex forward to a 2012–13 base year based on Economic Insights’ opex partial factor productivity growth model. It estimates the growth in efficient opex based on growth in customer numbers, line length, ratcheted maximum demand and share of undergrounding.</w:t>
            </w:r>
          </w:p>
          <w:p w:rsidR="00D1590E" w:rsidRPr="00D1590E" w:rsidRDefault="00D1590E" w:rsidP="00D1590E">
            <w:r w:rsidRPr="00D1590E">
              <w:t>It estimated the growth in efficient opex based on Essential Energy’s growth in these inputs in this period to be 6.04 per cent.</w:t>
            </w:r>
          </w:p>
        </w:tc>
        <w:tc>
          <w:tcPr>
            <w:tcW w:w="1417" w:type="dxa"/>
          </w:tcPr>
          <w:p w:rsidR="00D1590E" w:rsidRPr="00D1590E" w:rsidRDefault="00D1590E" w:rsidP="00D1590E">
            <w:r w:rsidRPr="00D1590E">
              <w:t>295.7 million ($2013)</w:t>
            </w:r>
          </w:p>
        </w:tc>
        <w:tc>
          <w:tcPr>
            <w:tcW w:w="1639" w:type="dxa"/>
          </w:tcPr>
          <w:p w:rsidR="00D1590E" w:rsidRPr="00D1590E" w:rsidRDefault="00D1590E" w:rsidP="00D1590E">
            <w:r w:rsidRPr="00D1590E">
              <w:t xml:space="preserve">= 278.8 × (1+ 0.0604) </w:t>
            </w:r>
          </w:p>
        </w:tc>
      </w:tr>
      <w:tr w:rsidR="00D1590E" w:rsidTr="00D1590E">
        <w:trPr>
          <w:cnfStyle w:val="000000010000" w:firstRow="0" w:lastRow="0" w:firstColumn="0" w:lastColumn="0" w:oddVBand="0" w:evenVBand="0" w:oddHBand="0" w:evenHBand="1" w:firstRowFirstColumn="0" w:firstRowLastColumn="0" w:lastRowFirstColumn="0" w:lastRowLastColumn="0"/>
        </w:trPr>
        <w:tc>
          <w:tcPr>
            <w:tcW w:w="1852" w:type="dxa"/>
          </w:tcPr>
          <w:p w:rsidR="00D1590E" w:rsidRPr="00D1590E" w:rsidRDefault="00D1590E" w:rsidP="00D1590E">
            <w:r w:rsidRPr="00D1590E">
              <w:t>Step 7— Adjust our estimate of 2012–13 base year opex for CPI</w:t>
            </w:r>
          </w:p>
        </w:tc>
        <w:tc>
          <w:tcPr>
            <w:tcW w:w="3785" w:type="dxa"/>
          </w:tcPr>
          <w:p w:rsidR="00D1590E" w:rsidRPr="00D1590E" w:rsidRDefault="00D1590E" w:rsidP="00D1590E">
            <w:r w:rsidRPr="00D1590E">
              <w:t xml:space="preserve">The output in step 6 is in real 2013 dollars. We need to convert it to real 2013–14 dollars. This reflects one and a half years of inflation. </w:t>
            </w:r>
          </w:p>
        </w:tc>
        <w:tc>
          <w:tcPr>
            <w:tcW w:w="1417" w:type="dxa"/>
          </w:tcPr>
          <w:p w:rsidR="00D1590E" w:rsidRPr="00D1590E" w:rsidRDefault="00D1590E" w:rsidP="00D1590E">
            <w:r w:rsidRPr="00D1590E">
              <w:t>308.2 million ($2013–14)</w:t>
            </w:r>
          </w:p>
        </w:tc>
        <w:tc>
          <w:tcPr>
            <w:tcW w:w="1639" w:type="dxa"/>
          </w:tcPr>
          <w:p w:rsidR="00D1590E" w:rsidRPr="00D1590E" w:rsidRDefault="00D1590E" w:rsidP="00D1590E">
            <w:r w:rsidRPr="00D1590E">
              <w:t xml:space="preserve">= 295.7 × (1 + 0.042) </w:t>
            </w:r>
          </w:p>
        </w:tc>
      </w:tr>
      <w:tr w:rsidR="00D1590E" w:rsidTr="00D1590E">
        <w:tc>
          <w:tcPr>
            <w:tcW w:w="1852" w:type="dxa"/>
          </w:tcPr>
          <w:p w:rsidR="00D1590E" w:rsidRPr="00D1590E" w:rsidRDefault="00D1590E" w:rsidP="00D1590E">
            <w:r w:rsidRPr="00D1590E">
              <w:t>Step 8 - Convert to final year estimate</w:t>
            </w:r>
          </w:p>
        </w:tc>
        <w:tc>
          <w:tcPr>
            <w:tcW w:w="3785" w:type="dxa"/>
          </w:tcPr>
          <w:p w:rsidR="00D1590E" w:rsidRPr="00D1590E" w:rsidRDefault="00D1590E" w:rsidP="00D1590E">
            <w:r w:rsidRPr="00D1590E">
              <w:t>The guideline specifies that we will convert our estimate of base year opex into a final year estimate.</w:t>
            </w:r>
          </w:p>
          <w:p w:rsidR="00D1590E" w:rsidRPr="00D1590E" w:rsidRDefault="00D1590E" w:rsidP="00D1590E">
            <w:r w:rsidRPr="00D1590E">
              <w:t>We used the formula in the guideline to determine our unadjusted estimate of opex for 2013–14.</w:t>
            </w:r>
          </w:p>
          <w:p w:rsidR="00D1590E" w:rsidRPr="00D1590E" w:rsidRDefault="00D1590E" w:rsidP="00D1590E">
            <w:r w:rsidRPr="00D1590E">
              <w:t>We used the 2012–13 efficient opex value in step 7 to determine what the efficiency adjustment would be for 2012–13 (–26.3%), taking into account changes to Essential Energy's service classification.</w:t>
            </w:r>
          </w:p>
          <w:p w:rsidR="00D1590E" w:rsidRPr="00D1590E" w:rsidRDefault="00D1590E" w:rsidP="00D1590E">
            <w:r w:rsidRPr="00D1590E">
              <w:t>To arrive at our adjusted final year estimate, we applied the efficiency adjustment to our unadjusted estimate of 2013–14 opex.</w:t>
            </w:r>
          </w:p>
        </w:tc>
        <w:tc>
          <w:tcPr>
            <w:tcW w:w="1417" w:type="dxa"/>
          </w:tcPr>
          <w:p w:rsidR="00D1590E" w:rsidRPr="00D1590E" w:rsidRDefault="00D1590E" w:rsidP="00D1590E">
            <w:r w:rsidRPr="00D1590E">
              <w:t>311.9 million ($2013–14)</w:t>
            </w:r>
          </w:p>
        </w:tc>
        <w:tc>
          <w:tcPr>
            <w:tcW w:w="1639" w:type="dxa"/>
          </w:tcPr>
          <w:p w:rsidR="00D1590E" w:rsidRPr="00D1590E" w:rsidRDefault="00D1590E" w:rsidP="00D1590E"/>
        </w:tc>
      </w:tr>
    </w:tbl>
    <w:p w:rsidR="00D1590E" w:rsidRPr="00D1590E" w:rsidRDefault="00D1590E" w:rsidP="00D1590E"/>
    <w:p w:rsidR="00D1590E" w:rsidRDefault="00D1590E" w:rsidP="00D1590E"/>
    <w:p w:rsidR="00D1590E" w:rsidRPr="00D1590E" w:rsidRDefault="00D1590E" w:rsidP="00D1590E"/>
    <w:p w:rsidR="00B8317F" w:rsidRPr="00242761" w:rsidRDefault="00B8317F" w:rsidP="00B8317F">
      <w:pPr>
        <w:pStyle w:val="Heading7"/>
      </w:pPr>
      <w:bookmarkStart w:id="425" w:name="_Toc417659880"/>
      <w:r w:rsidRPr="00242761">
        <w:lastRenderedPageBreak/>
        <w:t>Rate of change</w:t>
      </w:r>
      <w:bookmarkEnd w:id="425"/>
    </w:p>
    <w:p w:rsidR="00B8317F" w:rsidRPr="00633548" w:rsidRDefault="00B8317F" w:rsidP="00B8317F">
      <w:pPr>
        <w:numPr>
          <w:ilvl w:val="0"/>
          <w:numId w:val="24"/>
        </w:numPr>
      </w:pPr>
      <w:r w:rsidRPr="00633548">
        <w:t xml:space="preserve">Our forecast of total opex includes an allowance to account for efficient changes in opex over time. </w:t>
      </w:r>
    </w:p>
    <w:p w:rsidR="00B8317F" w:rsidRPr="00633548" w:rsidRDefault="00B8317F" w:rsidP="00B8317F">
      <w:pPr>
        <w:numPr>
          <w:ilvl w:val="0"/>
          <w:numId w:val="24"/>
        </w:numPr>
      </w:pPr>
      <w:r w:rsidRPr="00633548">
        <w:t>There are several reasons why opex that reflects the opex criteria for each year of a regulatory control period might differ from expenditure in the base year.</w:t>
      </w:r>
    </w:p>
    <w:p w:rsidR="00B8317F" w:rsidRPr="00633548" w:rsidRDefault="00B8317F" w:rsidP="00B8317F">
      <w:pPr>
        <w:numPr>
          <w:ilvl w:val="0"/>
          <w:numId w:val="24"/>
        </w:numPr>
      </w:pPr>
      <w:r w:rsidRPr="00633548">
        <w:t>As set out in our Expenditure forecast assessment guideline (our Guideline), we have developed an opex forecast incorporating the rate of change to account for the following factors:</w:t>
      </w:r>
      <w:r w:rsidRPr="00633548">
        <w:rPr>
          <w:rStyle w:val="FootnoteReference"/>
        </w:rPr>
        <w:footnoteReference w:id="923"/>
      </w:r>
    </w:p>
    <w:p w:rsidR="00B8317F" w:rsidRPr="00633548" w:rsidRDefault="00B8317F" w:rsidP="00B8317F">
      <w:pPr>
        <w:pStyle w:val="AERbulletlistfirststyle"/>
      </w:pPr>
      <w:r w:rsidRPr="00633548">
        <w:t>price growth</w:t>
      </w:r>
    </w:p>
    <w:p w:rsidR="00B8317F" w:rsidRPr="00633548" w:rsidRDefault="00B8317F" w:rsidP="00B8317F">
      <w:pPr>
        <w:pStyle w:val="AERbulletlistfirststyle"/>
      </w:pPr>
      <w:r w:rsidRPr="00633548">
        <w:t>output growth</w:t>
      </w:r>
    </w:p>
    <w:p w:rsidR="00B8317F" w:rsidRPr="00633548" w:rsidRDefault="00B8317F" w:rsidP="00B8317F">
      <w:pPr>
        <w:pStyle w:val="AERbulletlistfirststyle"/>
      </w:pPr>
      <w:r w:rsidRPr="00633548">
        <w:t>productivity growth.</w:t>
      </w:r>
    </w:p>
    <w:p w:rsidR="00B8317F" w:rsidRPr="00633548" w:rsidRDefault="00B8317F" w:rsidP="00B8317F">
      <w:r w:rsidRPr="00633548">
        <w:t xml:space="preserve">This appendix contains our assessment of the opex rate of change for use in developing our forecast estimate of total opex.  </w:t>
      </w:r>
    </w:p>
    <w:p w:rsidR="00B8317F" w:rsidRPr="00242761" w:rsidRDefault="00B8317F" w:rsidP="007D27B1">
      <w:pPr>
        <w:pStyle w:val="Heading8"/>
        <w:numPr>
          <w:ilvl w:val="1"/>
          <w:numId w:val="28"/>
        </w:numPr>
      </w:pPr>
      <w:bookmarkStart w:id="426" w:name="_Toc417659881"/>
      <w:r w:rsidRPr="00242761">
        <w:t>Position</w:t>
      </w:r>
      <w:bookmarkEnd w:id="426"/>
    </w:p>
    <w:p w:rsidR="00B8317F" w:rsidRPr="00242761" w:rsidRDefault="00B8317F" w:rsidP="00B8317F">
      <w:r w:rsidRPr="00242761">
        <w:t xml:space="preserve">We have applied the same rate of change methodology to derive our alternative estimate of opex as we used for our draft decision. </w:t>
      </w:r>
      <w:r w:rsidR="006C7BAA">
        <w:fldChar w:fldCharType="begin"/>
      </w:r>
      <w:r w:rsidR="006C7BAA">
        <w:instrText xml:space="preserve"> REF _Ref417656861 \h </w:instrText>
      </w:r>
      <w:r w:rsidR="006C7BAA">
        <w:fldChar w:fldCharType="separate"/>
      </w:r>
      <w:r w:rsidR="00C57342" w:rsidRPr="00242761">
        <w:t xml:space="preserve">Table </w:t>
      </w:r>
      <w:r w:rsidR="00C57342">
        <w:rPr>
          <w:noProof/>
        </w:rPr>
        <w:t>B</w:t>
      </w:r>
      <w:r w:rsidR="00C57342">
        <w:t>.</w:t>
      </w:r>
      <w:r w:rsidR="00C57342">
        <w:rPr>
          <w:noProof/>
        </w:rPr>
        <w:t>1</w:t>
      </w:r>
      <w:r w:rsidR="006C7BAA">
        <w:fldChar w:fldCharType="end"/>
      </w:r>
      <w:r w:rsidRPr="00242761">
        <w:t xml:space="preserve"> shows our final position on each rate of change component and the overall rate of change in annual percentage terms. We do not agree with Endeavour Energy's criticisms of our economic benchmarking and we consider our economic benchmarking analysis produces a robust basis to forecast </w:t>
      </w:r>
      <w:r>
        <w:t>output growth</w:t>
      </w:r>
      <w:r w:rsidRPr="00242761">
        <w:t xml:space="preserve"> and productivity.</w:t>
      </w:r>
      <w:r>
        <w:t xml:space="preserve"> We consider that applying our methodology to derive an alternative estimate of opex will result in a forecast that reasonably reflects the efficient, prudent costs faced by Endeavour Energy given a realistic expectation of demand forecasts and costs inputs.</w:t>
      </w:r>
    </w:p>
    <w:p w:rsidR="00B8317F" w:rsidRPr="00242761" w:rsidRDefault="00B8317F" w:rsidP="00B8317F">
      <w:pPr>
        <w:pStyle w:val="Caption"/>
      </w:pPr>
      <w:bookmarkStart w:id="427" w:name="_Ref417656861"/>
      <w:r w:rsidRPr="00242761">
        <w:t xml:space="preserve">Table </w:t>
      </w:r>
      <w:fldSimple w:instr=" STYLEREF 7 \s ">
        <w:r w:rsidR="00C57342">
          <w:rPr>
            <w:noProof/>
          </w:rPr>
          <w:t>B</w:t>
        </w:r>
      </w:fldSimple>
      <w:r w:rsidR="009A39A7">
        <w:t>.</w:t>
      </w:r>
      <w:fldSimple w:instr=" SEQ ATable \* ARABIC \s 7 ">
        <w:r w:rsidR="00C57342">
          <w:rPr>
            <w:noProof/>
          </w:rPr>
          <w:t>1</w:t>
        </w:r>
      </w:fldSimple>
      <w:bookmarkEnd w:id="427"/>
      <w:r w:rsidRPr="00242761">
        <w:tab/>
        <w:t>Rate of change (per cent)</w:t>
      </w:r>
    </w:p>
    <w:tbl>
      <w:tblPr>
        <w:tblStyle w:val="AERtable-numbers"/>
        <w:tblW w:w="5000" w:type="pct"/>
        <w:tblLook w:val="04A0" w:firstRow="1" w:lastRow="0" w:firstColumn="1" w:lastColumn="0" w:noHBand="0" w:noVBand="1"/>
      </w:tblPr>
      <w:tblGrid>
        <w:gridCol w:w="2362"/>
        <w:gridCol w:w="1266"/>
        <w:gridCol w:w="1266"/>
        <w:gridCol w:w="1266"/>
        <w:gridCol w:w="1266"/>
        <w:gridCol w:w="1266"/>
      </w:tblGrid>
      <w:tr w:rsidR="00B8317F" w:rsidTr="002B5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tcPr>
          <w:p w:rsidR="00B8317F" w:rsidRPr="00242761" w:rsidRDefault="00B8317F" w:rsidP="00B8317F"/>
        </w:tc>
        <w:tc>
          <w:tcPr>
            <w:tcW w:w="728" w:type="pct"/>
            <w:vAlign w:val="bottom"/>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242761">
              <w:t>2014–15</w:t>
            </w:r>
          </w:p>
        </w:tc>
        <w:tc>
          <w:tcPr>
            <w:tcW w:w="728" w:type="pct"/>
            <w:vAlign w:val="bottom"/>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242761">
              <w:t>2015–16</w:t>
            </w:r>
          </w:p>
        </w:tc>
        <w:tc>
          <w:tcPr>
            <w:tcW w:w="728" w:type="pct"/>
            <w:vAlign w:val="bottom"/>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242761">
              <w:t>2016–17</w:t>
            </w:r>
          </w:p>
        </w:tc>
        <w:tc>
          <w:tcPr>
            <w:tcW w:w="728" w:type="pct"/>
            <w:vAlign w:val="bottom"/>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242761">
              <w:t>2017–18</w:t>
            </w:r>
          </w:p>
        </w:tc>
        <w:tc>
          <w:tcPr>
            <w:tcW w:w="728" w:type="pct"/>
            <w:vAlign w:val="bottom"/>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rsidRPr="00242761">
              <w:t>2018–19</w:t>
            </w:r>
          </w:p>
        </w:tc>
      </w:tr>
      <w:tr w:rsidR="00B8317F" w:rsidTr="002B5F41">
        <w:tc>
          <w:tcPr>
            <w:cnfStyle w:val="001000000000" w:firstRow="0" w:lastRow="0" w:firstColumn="1" w:lastColumn="0" w:oddVBand="0" w:evenVBand="0" w:oddHBand="0" w:evenHBand="0" w:firstRowFirstColumn="0" w:firstRowLastColumn="0" w:lastRowFirstColumn="0" w:lastRowLastColumn="0"/>
            <w:tcW w:w="1359" w:type="pct"/>
          </w:tcPr>
          <w:p w:rsidR="00B8317F" w:rsidRPr="00B8317F" w:rsidRDefault="00B8317F" w:rsidP="00B8317F">
            <w:r w:rsidRPr="00E53579">
              <w:t>Price growth</w:t>
            </w:r>
          </w:p>
        </w:tc>
        <w:tc>
          <w:tcPr>
            <w:tcW w:w="728" w:type="pct"/>
            <w:vAlign w:val="top"/>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E53579">
              <w:t>0.83</w:t>
            </w:r>
          </w:p>
        </w:tc>
        <w:tc>
          <w:tcPr>
            <w:tcW w:w="728" w:type="pct"/>
            <w:vAlign w:val="top"/>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E53579">
              <w:t>0.63</w:t>
            </w:r>
          </w:p>
        </w:tc>
        <w:tc>
          <w:tcPr>
            <w:tcW w:w="728" w:type="pct"/>
            <w:vAlign w:val="top"/>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E53579">
              <w:t>0.66</w:t>
            </w:r>
          </w:p>
        </w:tc>
        <w:tc>
          <w:tcPr>
            <w:tcW w:w="728" w:type="pct"/>
            <w:vAlign w:val="top"/>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E53579">
              <w:t>0.69</w:t>
            </w:r>
          </w:p>
        </w:tc>
        <w:tc>
          <w:tcPr>
            <w:tcW w:w="728" w:type="pct"/>
            <w:vAlign w:val="top"/>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E53579">
              <w:t>0.68</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tcPr>
          <w:p w:rsidR="00B8317F" w:rsidRPr="00B8317F" w:rsidRDefault="00B8317F" w:rsidP="00B8317F">
            <w:r>
              <w:t>Output growth</w:t>
            </w:r>
          </w:p>
        </w:tc>
        <w:tc>
          <w:tcPr>
            <w:tcW w:w="728" w:type="pct"/>
            <w:vAlign w:val="bottom"/>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242761">
              <w:t>1.34</w:t>
            </w:r>
          </w:p>
        </w:tc>
        <w:tc>
          <w:tcPr>
            <w:tcW w:w="728" w:type="pct"/>
            <w:vAlign w:val="bottom"/>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242761">
              <w:t>0.93</w:t>
            </w:r>
          </w:p>
        </w:tc>
        <w:tc>
          <w:tcPr>
            <w:tcW w:w="728" w:type="pct"/>
            <w:vAlign w:val="bottom"/>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242761">
              <w:t>0.94</w:t>
            </w:r>
          </w:p>
        </w:tc>
        <w:tc>
          <w:tcPr>
            <w:tcW w:w="728" w:type="pct"/>
            <w:vAlign w:val="bottom"/>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242761">
              <w:t>1.02</w:t>
            </w:r>
          </w:p>
        </w:tc>
        <w:tc>
          <w:tcPr>
            <w:tcW w:w="728" w:type="pct"/>
            <w:vAlign w:val="bottom"/>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242761">
              <w:t>1.23</w:t>
            </w:r>
          </w:p>
        </w:tc>
      </w:tr>
      <w:tr w:rsidR="00B8317F" w:rsidTr="002B5F41">
        <w:tc>
          <w:tcPr>
            <w:cnfStyle w:val="001000000000" w:firstRow="0" w:lastRow="0" w:firstColumn="1" w:lastColumn="0" w:oddVBand="0" w:evenVBand="0" w:oddHBand="0" w:evenHBand="0" w:firstRowFirstColumn="0" w:firstRowLastColumn="0" w:lastRowFirstColumn="0" w:lastRowLastColumn="0"/>
            <w:tcW w:w="1359" w:type="pct"/>
          </w:tcPr>
          <w:p w:rsidR="00B8317F" w:rsidRPr="00B8317F" w:rsidRDefault="00B8317F" w:rsidP="00B8317F">
            <w:r>
              <w:t>Productivity growth</w:t>
            </w:r>
          </w:p>
        </w:tc>
        <w:tc>
          <w:tcPr>
            <w:tcW w:w="728" w:type="pct"/>
            <w:vAlign w:val="bottom"/>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w:t>
            </w:r>
          </w:p>
        </w:tc>
        <w:tc>
          <w:tcPr>
            <w:tcW w:w="728" w:type="pct"/>
            <w:vAlign w:val="bottom"/>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w:t>
            </w:r>
          </w:p>
        </w:tc>
        <w:tc>
          <w:tcPr>
            <w:tcW w:w="728" w:type="pct"/>
            <w:vAlign w:val="bottom"/>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w:t>
            </w:r>
          </w:p>
        </w:tc>
        <w:tc>
          <w:tcPr>
            <w:tcW w:w="728" w:type="pct"/>
            <w:vAlign w:val="bottom"/>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w:t>
            </w:r>
          </w:p>
        </w:tc>
        <w:tc>
          <w:tcPr>
            <w:tcW w:w="728" w:type="pct"/>
            <w:vAlign w:val="bottom"/>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tcPr>
          <w:p w:rsidR="00B8317F" w:rsidRPr="00B8317F" w:rsidRDefault="00B8317F" w:rsidP="00B8317F">
            <w:r w:rsidRPr="00E53579">
              <w:t>Overall</w:t>
            </w:r>
          </w:p>
        </w:tc>
        <w:tc>
          <w:tcPr>
            <w:tcW w:w="728" w:type="pct"/>
            <w:vAlign w:val="top"/>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E53579">
              <w:t>2.19</w:t>
            </w:r>
          </w:p>
        </w:tc>
        <w:tc>
          <w:tcPr>
            <w:tcW w:w="728" w:type="pct"/>
            <w:vAlign w:val="top"/>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E53579">
              <w:t>1.56</w:t>
            </w:r>
          </w:p>
        </w:tc>
        <w:tc>
          <w:tcPr>
            <w:tcW w:w="728" w:type="pct"/>
            <w:vAlign w:val="top"/>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E53579">
              <w:t>1.61</w:t>
            </w:r>
          </w:p>
        </w:tc>
        <w:tc>
          <w:tcPr>
            <w:tcW w:w="728" w:type="pct"/>
            <w:vAlign w:val="top"/>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E53579">
              <w:t>1.72</w:t>
            </w:r>
          </w:p>
        </w:tc>
        <w:tc>
          <w:tcPr>
            <w:tcW w:w="728" w:type="pct"/>
            <w:vAlign w:val="top"/>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E53579">
              <w:t>1.92</w:t>
            </w:r>
          </w:p>
        </w:tc>
      </w:tr>
    </w:tbl>
    <w:p w:rsidR="00B8317F" w:rsidRPr="00242761" w:rsidRDefault="00B8317F" w:rsidP="00B8317F">
      <w:pPr>
        <w:pStyle w:val="Source"/>
      </w:pPr>
      <w:r w:rsidRPr="00242761">
        <w:t>Source: AER analysis</w:t>
      </w:r>
    </w:p>
    <w:p w:rsidR="00B8317F" w:rsidRPr="00242761" w:rsidRDefault="00B8317F" w:rsidP="00B8317F"/>
    <w:p w:rsidR="00B8317F" w:rsidRPr="00242761" w:rsidRDefault="00B8317F" w:rsidP="00B8317F">
      <w:pPr>
        <w:pStyle w:val="Heading8"/>
      </w:pPr>
      <w:bookmarkStart w:id="428" w:name="_Toc417659882"/>
      <w:r w:rsidRPr="00242761">
        <w:lastRenderedPageBreak/>
        <w:t>Draft position</w:t>
      </w:r>
      <w:bookmarkEnd w:id="428"/>
    </w:p>
    <w:p w:rsidR="00B8317F" w:rsidRPr="00242761" w:rsidRDefault="00B8317F" w:rsidP="00B8317F">
      <w:r w:rsidRPr="00242761">
        <w:t>In our draft decision, we did not adopt Endeavour Energy's forecast change in price, output and productivity in our forecast rate of change and thus our alternative estimate of opex. Our draft position for each rate of change component was:</w:t>
      </w:r>
    </w:p>
    <w:p w:rsidR="00B8317F" w:rsidRPr="00242761" w:rsidRDefault="00B8317F" w:rsidP="00B8317F">
      <w:pPr>
        <w:pStyle w:val="AERbulletlistfirststyle"/>
      </w:pPr>
      <w:r>
        <w:rPr>
          <w:rStyle w:val="Strong"/>
        </w:rPr>
        <w:t>Price growth</w:t>
      </w:r>
      <w:r w:rsidRPr="00242761">
        <w:rPr>
          <w:rStyle w:val="Strong"/>
        </w:rPr>
        <w:t>:</w:t>
      </w:r>
      <w:r w:rsidRPr="00242761">
        <w:t xml:space="preserve"> </w:t>
      </w:r>
      <w:r>
        <w:t>for</w:t>
      </w:r>
      <w:r w:rsidRPr="00242761">
        <w:t xml:space="preserve"> labour </w:t>
      </w:r>
      <w:r>
        <w:t>price growth</w:t>
      </w:r>
      <w:r w:rsidRPr="00242761">
        <w:t xml:space="preserve"> we adopted an average of Deloitte Access Economics' (DAE) and Independent Economics' forecast change in the wage price index (WPI) for the electricity, gas, water and waste services (EGWWS) industry. For non-labour we adopted the forecast change in the CPI. We applied Economic Insights' benchmark weightings for labour and non-labour.</w:t>
      </w:r>
    </w:p>
    <w:p w:rsidR="00B8317F" w:rsidRPr="00242761" w:rsidRDefault="00B8317F" w:rsidP="00B8317F">
      <w:pPr>
        <w:pStyle w:val="AERbulletlistfirststyle"/>
      </w:pPr>
      <w:r>
        <w:rPr>
          <w:rStyle w:val="Strong"/>
        </w:rPr>
        <w:t>Output growth</w:t>
      </w:r>
      <w:r w:rsidRPr="00242761">
        <w:t>: we applied the weighted average forecast change in customer numbers, circuit length and ratcheted maximum demand. We based the weights on Economic Insights' opex cost function analysis.</w:t>
      </w:r>
    </w:p>
    <w:p w:rsidR="00B8317F" w:rsidRPr="00242761" w:rsidRDefault="00B8317F" w:rsidP="00B8317F">
      <w:pPr>
        <w:pStyle w:val="AERbulletlistfirststyle"/>
      </w:pPr>
      <w:r>
        <w:rPr>
          <w:rStyle w:val="Strong"/>
        </w:rPr>
        <w:t>Productivity growth</w:t>
      </w:r>
      <w:r w:rsidRPr="00242761">
        <w:t xml:space="preserve">: we applied a zero per cent </w:t>
      </w:r>
      <w:r>
        <w:t>productivity growth</w:t>
      </w:r>
      <w:r w:rsidRPr="00242761">
        <w:t>. We based this on our considerations of recent productivity trends and whether this would be applicable to the forecast period. This was also consistent with Economic Insights' recommendations.</w:t>
      </w:r>
    </w:p>
    <w:p w:rsidR="00B8317F" w:rsidRPr="00242761" w:rsidRDefault="00B8317F" w:rsidP="00B8317F">
      <w:r w:rsidRPr="00242761">
        <w:t>Refer to section B.4 of attachment 7 in our draft decision for a detailed explanation of our assessment methodology and how we have applied the rate of change.</w:t>
      </w:r>
    </w:p>
    <w:p w:rsidR="00B8317F" w:rsidRPr="00242761" w:rsidRDefault="00B8317F" w:rsidP="00B8317F">
      <w:pPr>
        <w:pStyle w:val="Heading8"/>
      </w:pPr>
      <w:bookmarkStart w:id="429" w:name="_Toc417659883"/>
      <w:r w:rsidRPr="00242761">
        <w:t>Revised proposal and submissions</w:t>
      </w:r>
      <w:bookmarkEnd w:id="429"/>
    </w:p>
    <w:p w:rsidR="00B8317F" w:rsidRPr="00242761" w:rsidRDefault="00B8317F" w:rsidP="00B8317F">
      <w:r w:rsidRPr="00242761">
        <w:t xml:space="preserve">We consider our methodology for setting </w:t>
      </w:r>
      <w:r>
        <w:t>output growth</w:t>
      </w:r>
      <w:r w:rsidRPr="00242761">
        <w:t xml:space="preserve"> and </w:t>
      </w:r>
      <w:r>
        <w:t>productivity growth</w:t>
      </w:r>
      <w:r w:rsidRPr="00242761">
        <w:t xml:space="preserve"> </w:t>
      </w:r>
      <w:r>
        <w:t>is</w:t>
      </w:r>
      <w:r w:rsidRPr="00242761">
        <w:t xml:space="preserve"> the best forecast of the rate of change components for an efficient</w:t>
      </w:r>
      <w:r>
        <w:t>, prudent</w:t>
      </w:r>
      <w:r w:rsidRPr="00242761">
        <w:t xml:space="preserve"> service provider</w:t>
      </w:r>
      <w:r>
        <w:t xml:space="preserve"> given realistic expectations of demand forecasts and cost inputs</w:t>
      </w:r>
      <w:r w:rsidRPr="00242761">
        <w:t xml:space="preserve">. Our methodology takes into account the change in outputs and expected change in productivity over the forecast period. </w:t>
      </w:r>
    </w:p>
    <w:p w:rsidR="00B8317F" w:rsidRDefault="00B8317F" w:rsidP="00B8317F">
      <w:r w:rsidRPr="00242761">
        <w:t xml:space="preserve">In its revised proposal Endeavour Energy adopted our draft decision approach to setting </w:t>
      </w:r>
      <w:r>
        <w:t>price growth</w:t>
      </w:r>
      <w:r w:rsidRPr="00242761">
        <w:t xml:space="preserve"> component of the rate of change. However, Endeavour Energy did not adopt our draft decision approach to </w:t>
      </w:r>
      <w:r>
        <w:t>output growth</w:t>
      </w:r>
      <w:r w:rsidRPr="00242761">
        <w:t xml:space="preserve"> and </w:t>
      </w:r>
      <w:r>
        <w:t>productivity growth</w:t>
      </w:r>
      <w:r w:rsidRPr="00242761">
        <w:t>.</w:t>
      </w:r>
      <w:r w:rsidRPr="00242761">
        <w:rPr>
          <w:rStyle w:val="FootnoteReference"/>
        </w:rPr>
        <w:footnoteReference w:id="924"/>
      </w:r>
    </w:p>
    <w:p w:rsidR="00B8317F" w:rsidRPr="00242761" w:rsidRDefault="00B8317F" w:rsidP="00B8317F">
      <w:pPr>
        <w:pStyle w:val="HeadingBoldItalic"/>
      </w:pPr>
      <w:r>
        <w:t>Output growth</w:t>
      </w:r>
    </w:p>
    <w:p w:rsidR="00B8317F" w:rsidRDefault="00B8317F" w:rsidP="00B8317F">
      <w:r>
        <w:t>We have not adopted Endeavour Energy's output growth forecast. We consider our output growth forecast is robust for the following reasons:</w:t>
      </w:r>
    </w:p>
    <w:p w:rsidR="00B8317F" w:rsidRPr="00242761" w:rsidRDefault="00B8317F" w:rsidP="00B8317F">
      <w:r w:rsidRPr="00242761">
        <w:t xml:space="preserve">We note Endeavour Energy's </w:t>
      </w:r>
      <w:r>
        <w:t>output growth</w:t>
      </w:r>
      <w:r w:rsidRPr="00242761">
        <w:t xml:space="preserve"> assumes a three per cent annual increase in opex based on advice from its engineers.</w:t>
      </w:r>
      <w:r w:rsidRPr="00242761">
        <w:rPr>
          <w:rStyle w:val="FootnoteReference"/>
        </w:rPr>
        <w:footnoteReference w:id="925"/>
      </w:r>
      <w:r w:rsidRPr="00242761">
        <w:t xml:space="preserve"> This reflects the growth in its customer numbers, network demand and its capital and operating programs during the 2009–</w:t>
      </w:r>
      <w:r w:rsidRPr="00242761">
        <w:lastRenderedPageBreak/>
        <w:t>14.</w:t>
      </w:r>
      <w:r w:rsidRPr="00242761">
        <w:rPr>
          <w:rStyle w:val="FootnoteReference"/>
        </w:rPr>
        <w:footnoteReference w:id="926"/>
      </w:r>
      <w:r w:rsidRPr="00242761">
        <w:t xml:space="preserve"> Endeavour Energy then offsets all its output growth related opex after the first year of the forecast period as a self</w:t>
      </w:r>
      <w:r w:rsidRPr="00242761">
        <w:softHyphen/>
        <w:t>–imposed constraint by its management.</w:t>
      </w:r>
      <w:r w:rsidRPr="00242761">
        <w:rPr>
          <w:rStyle w:val="FootnoteReference"/>
        </w:rPr>
        <w:footnoteReference w:id="927"/>
      </w:r>
    </w:p>
    <w:p w:rsidR="00B8317F" w:rsidRDefault="00B8317F" w:rsidP="00B8317F">
      <w:r>
        <w:t xml:space="preserve">As discussed in attachment 7 of our draft decision, Endeavour Energy did not provide additional information to support its three per cent output growth and it is not reflective of the actual change in outputs it must meet. Endeavour Energy has not provided any further information to support this figure in its revised proposal. </w:t>
      </w:r>
    </w:p>
    <w:p w:rsidR="00B8317F" w:rsidRPr="00242761" w:rsidRDefault="00B8317F" w:rsidP="00B8317F">
      <w:r w:rsidRPr="00242761">
        <w:t xml:space="preserve">We consider Endeavour Energy's </w:t>
      </w:r>
      <w:r>
        <w:t>output growth</w:t>
      </w:r>
      <w:r w:rsidRPr="00242761">
        <w:t xml:space="preserve"> measure is subjective and does not demonstrate the relationship between changes in capex and opex. </w:t>
      </w:r>
    </w:p>
    <w:p w:rsidR="00B8317F" w:rsidRPr="00242761" w:rsidRDefault="00B8317F" w:rsidP="00B8317F">
      <w:r w:rsidRPr="00242761">
        <w:t xml:space="preserve">Endeavour Energy noted our </w:t>
      </w:r>
      <w:r>
        <w:t>output growth</w:t>
      </w:r>
      <w:r w:rsidRPr="00242761">
        <w:t xml:space="preserve"> did not recognise an increase in opex related to its pr</w:t>
      </w:r>
      <w:r>
        <w:t>oposed capex program and</w:t>
      </w:r>
      <w:r w:rsidRPr="00242761">
        <w:t xml:space="preserve"> opex-capex substitution possibilities.</w:t>
      </w:r>
      <w:r w:rsidRPr="00242761">
        <w:rPr>
          <w:rStyle w:val="FootnoteReference"/>
        </w:rPr>
        <w:footnoteReference w:id="928"/>
      </w:r>
    </w:p>
    <w:p w:rsidR="00B8317F" w:rsidRDefault="00B8317F" w:rsidP="00B8317F">
      <w:r w:rsidRPr="00242761">
        <w:t>W</w:t>
      </w:r>
      <w:r>
        <w:t xml:space="preserve">e </w:t>
      </w:r>
      <w:r w:rsidRPr="00242761">
        <w:t>note that Endeavour Energy's output growth is not relevant to opex-capex substitution. The substitution possibilities between opex and capex factor identifies where an increase in opex could offset capex or vice versa. However, Endeavour Energy has proposed an increase in opex due to an increase in capex.</w:t>
      </w:r>
      <w:r>
        <w:t xml:space="preserve"> We note that our output growth methodology includes an increase in opex for an increase in outputs. </w:t>
      </w:r>
    </w:p>
    <w:p w:rsidR="00B8317F" w:rsidRPr="00633548" w:rsidRDefault="00B8317F" w:rsidP="00B8317F">
      <w:r w:rsidRPr="00633548">
        <w:t xml:space="preserve">We also consider the direct change in a distributor's output better reflects its output growth than capex. This is because the relationship between capex and opex is subjective and it is better to use the actual observed relationship between the change in the output and opex. Further, price changes may influence capex because it is an input. </w:t>
      </w:r>
    </w:p>
    <w:p w:rsidR="00B8317F" w:rsidRPr="00242761" w:rsidRDefault="00B8317F" w:rsidP="00B8317F">
      <w:r w:rsidRPr="00242761">
        <w:t xml:space="preserve">We note Endeavour Energy did not propose any opex–capex trade–offs. </w:t>
      </w:r>
      <w:r>
        <w:t>As discussed in our draft decision section 7.4.3</w:t>
      </w:r>
      <w:r w:rsidRPr="00242761">
        <w:t xml:space="preserve"> we have considered the effect of different capitalisation policies and how this may affect opex performance under benchmarking.</w:t>
      </w:r>
    </w:p>
    <w:p w:rsidR="00B8317F" w:rsidRDefault="00B8317F" w:rsidP="00B8317F">
      <w:r w:rsidRPr="00242761">
        <w:t xml:space="preserve">Overall we note the impact of Endeavour Energy's </w:t>
      </w:r>
      <w:r>
        <w:t>output growth</w:t>
      </w:r>
      <w:r w:rsidRPr="00242761">
        <w:t xml:space="preserve"> methodology is minimised because it has offset this through management imposed constraints. This management constraint accounts for a majority of Endeavour Energy's forecast productivity.</w:t>
      </w:r>
    </w:p>
    <w:p w:rsidR="00B8317F" w:rsidRDefault="00B8317F" w:rsidP="00B8317F">
      <w:pPr>
        <w:pStyle w:val="HeadingBoldItalic"/>
      </w:pPr>
      <w:r>
        <w:t>Productivity growth</w:t>
      </w:r>
    </w:p>
    <w:p w:rsidR="00B8317F" w:rsidRPr="00242761" w:rsidRDefault="00B8317F" w:rsidP="00B8317F">
      <w:r w:rsidRPr="00242761">
        <w:t xml:space="preserve">Endeavour Energy </w:t>
      </w:r>
      <w:r>
        <w:t>stated</w:t>
      </w:r>
      <w:r w:rsidRPr="00242761">
        <w:t xml:space="preserve"> that its productivity forecast captured its efficiency programs which are in excess of the industry average. Further, it </w:t>
      </w:r>
      <w:r>
        <w:t>stated that</w:t>
      </w:r>
      <w:r w:rsidRPr="00242761">
        <w:t xml:space="preserve"> w</w:t>
      </w:r>
      <w:r>
        <w:t>e</w:t>
      </w:r>
      <w:r w:rsidRPr="00242761">
        <w:t xml:space="preserve"> have mechanically included a productivity adjustment without properly assessing its proposal.</w:t>
      </w:r>
      <w:r w:rsidRPr="00242761">
        <w:rPr>
          <w:rStyle w:val="FootnoteReference"/>
        </w:rPr>
        <w:t xml:space="preserve"> </w:t>
      </w:r>
      <w:r w:rsidRPr="00242761">
        <w:rPr>
          <w:rStyle w:val="FootnoteReference"/>
        </w:rPr>
        <w:footnoteReference w:id="929"/>
      </w:r>
    </w:p>
    <w:p w:rsidR="00B8317F" w:rsidRPr="00693428" w:rsidRDefault="00B8317F" w:rsidP="00B8317F">
      <w:r w:rsidRPr="00693428">
        <w:lastRenderedPageBreak/>
        <w:t>We note we have not mechanically included a productivity adjustment to our rate of change. We have considered the recent productivity trends for the electricity distribution industry, the likely causes of the recent decline in productivity and whether these causes will impact on forecast productivity. Based on these factors, as set out in attachment 7 of the draft decision, we concluded that a zero productivity adjustment is reasonable for a distributor on the efficient frontier.</w:t>
      </w:r>
    </w:p>
    <w:p w:rsidR="00B8317F" w:rsidRDefault="00B8317F" w:rsidP="00B8317F">
      <w:r>
        <w:t>We consider this forecast reflects the productivity expected of a distributor on the efficient frontier. We do not consider Endeavour Energy's productivity is robust. Endeavour Energy's forecast productivity offsets all of its output growth after the first year of the 2015–20 regulatory control period. This means Endeavour Energy's forecast productivity is a function of its output growth which we consider is not robust.</w:t>
      </w:r>
    </w:p>
    <w:p w:rsidR="00B8317F" w:rsidRPr="00242761" w:rsidRDefault="00B8317F" w:rsidP="00B8317F">
      <w:pPr>
        <w:pStyle w:val="HeadingBoldItalic"/>
      </w:pPr>
      <w:r w:rsidRPr="00242761">
        <w:t>Other submissions</w:t>
      </w:r>
    </w:p>
    <w:p w:rsidR="00B8317F" w:rsidRPr="00242761" w:rsidRDefault="00B8317F" w:rsidP="00B8317F">
      <w:r w:rsidRPr="00242761">
        <w:t>This section discusses other submission we received in response to our draft decision and Endeavour Energy's revised proposal.</w:t>
      </w:r>
    </w:p>
    <w:p w:rsidR="00B8317F" w:rsidRPr="00242761" w:rsidRDefault="00B8317F" w:rsidP="00B8317F">
      <w:r w:rsidRPr="00242761">
        <w:t>AusNet Services submitted that the labour and non-labour proportions should reflect a distributors' actual opex unless there is evidence that the firm is not responding to incentives.</w:t>
      </w:r>
      <w:r w:rsidRPr="00242761">
        <w:rPr>
          <w:rStyle w:val="FootnoteReference"/>
        </w:rPr>
        <w:footnoteReference w:id="930"/>
      </w:r>
    </w:p>
    <w:p w:rsidR="00B8317F" w:rsidRPr="00242761" w:rsidRDefault="00B8317F" w:rsidP="00B8317F">
      <w:r w:rsidRPr="00242761">
        <w:t xml:space="preserve">We note AusNet Services submission is not relevant to Endeavour Energy's opex weightings as it is not on the efficient frontier. Further, we consider price weightings should reflect benchmark proportions. Distributors will still have an incentive to beat the benchmark. </w:t>
      </w:r>
    </w:p>
    <w:p w:rsidR="00B8317F" w:rsidRPr="00242761" w:rsidRDefault="00B8317F" w:rsidP="00B8317F">
      <w:r w:rsidRPr="00242761">
        <w:t>The Energy Users Association of Australia (EUAA) noted that our use of the electricity, gas, water and waste services (EGWWS) industry is not appropriate and that we must ensure that the NSW distributors are not allowed to continue with their previous approach of using Enterprise Agreement (EA) outcomes as a "pass through".</w:t>
      </w:r>
      <w:r w:rsidRPr="00242761">
        <w:rPr>
          <w:rStyle w:val="FootnoteReference"/>
        </w:rPr>
        <w:footnoteReference w:id="931"/>
      </w:r>
      <w:r w:rsidRPr="00242761">
        <w:t xml:space="preserve"> The EUAA also raised the following issues regarding the rate of change:</w:t>
      </w:r>
    </w:p>
    <w:p w:rsidR="00B8317F" w:rsidRPr="00242761" w:rsidRDefault="00B8317F" w:rsidP="00B8317F">
      <w:pPr>
        <w:pStyle w:val="AERbulletlistfirststyle"/>
      </w:pPr>
      <w:r w:rsidRPr="00242761">
        <w:t xml:space="preserve">the CPI was not appropriate for non-labour </w:t>
      </w:r>
      <w:r>
        <w:t>price growth</w:t>
      </w:r>
      <w:r w:rsidRPr="00242761">
        <w:t xml:space="preserve"> because commodities prices were trending downwards</w:t>
      </w:r>
    </w:p>
    <w:p w:rsidR="00B8317F" w:rsidRPr="00242761" w:rsidRDefault="00B8317F" w:rsidP="00B8317F">
      <w:pPr>
        <w:pStyle w:val="AERbulletlistfirststyle"/>
      </w:pPr>
      <w:r w:rsidRPr="00242761">
        <w:t xml:space="preserve">it does not accept that there is a direct proportional change in opex for </w:t>
      </w:r>
      <w:r>
        <w:t>output growth</w:t>
      </w:r>
      <w:r w:rsidRPr="00242761">
        <w:t xml:space="preserve"> but disagrees with the NSW distributors approach of applying installed capacity, and</w:t>
      </w:r>
    </w:p>
    <w:p w:rsidR="00B8317F" w:rsidRPr="00242761" w:rsidRDefault="00B8317F" w:rsidP="00B8317F">
      <w:pPr>
        <w:pStyle w:val="AERbulletlistfirststyle"/>
      </w:pPr>
      <w:r w:rsidRPr="00242761">
        <w:t>it noted other asset intensive industries delivered positive productivity growth and does not accept that there is any justification for why the electricity distribution sector should be lower than these industries.</w:t>
      </w:r>
    </w:p>
    <w:p w:rsidR="00B8317F" w:rsidRPr="00242761" w:rsidRDefault="00B8317F" w:rsidP="00B8317F">
      <w:r w:rsidRPr="00242761">
        <w:lastRenderedPageBreak/>
        <w:t>We note an electricity industry labour price would be preferable to our EGWWS measure. However, there is no suitable robust measure of electricity workers only so this is why we have adopted the Australian Bureau of Statistics (ABS) measure of the EGWWS sector. We note both our draft decision and Endeavour Energy's revised proposal do not</w:t>
      </w:r>
      <w:r>
        <w:t xml:space="preserve"> directly</w:t>
      </w:r>
      <w:r w:rsidRPr="00242761">
        <w:t xml:space="preserve"> include EA outcomes.</w:t>
      </w:r>
    </w:p>
    <w:p w:rsidR="00B8317F" w:rsidRPr="00242761" w:rsidRDefault="00B8317F" w:rsidP="00B8317F">
      <w:r w:rsidRPr="00242761">
        <w:t xml:space="preserve">For non-labour </w:t>
      </w:r>
      <w:r>
        <w:t>price growth</w:t>
      </w:r>
      <w:r w:rsidRPr="00242761">
        <w:t xml:space="preserve">, we consider materials are not a significant driver of opex prices. As discussed in our draft decision the non-labour component of </w:t>
      </w:r>
      <w:r>
        <w:t>price growth</w:t>
      </w:r>
      <w:r w:rsidRPr="00242761">
        <w:t xml:space="preserve"> is made up of various producer price indices (PPIs) which are expected to move in line with the CPI. </w:t>
      </w:r>
    </w:p>
    <w:p w:rsidR="00B8317F" w:rsidRPr="00242761" w:rsidRDefault="00B8317F" w:rsidP="00B8317F">
      <w:r w:rsidRPr="00242761">
        <w:t xml:space="preserve">For our </w:t>
      </w:r>
      <w:r>
        <w:t>output growth</w:t>
      </w:r>
      <w:r w:rsidRPr="00242761">
        <w:t xml:space="preserve"> measure, the proportional change in opex for changes in outputs is used as a starting point to account for an increase or decrease in the quantity of outputs. We consider an increase in opex is reasonable when a distributor is required to provide more services. We then adjust for this in our overall productivity adjustment which includes economies of scale and technical change. </w:t>
      </w:r>
    </w:p>
    <w:p w:rsidR="00B8317F" w:rsidRPr="00242761" w:rsidRDefault="00B8317F" w:rsidP="00B8317F">
      <w:r w:rsidRPr="00242761">
        <w:t>We note the EUAA did not provide further information on industries that have experienced positive productivity from 2006–13. In determining our productivity adjustment we have accounted for recent trends and likely future trends</w:t>
      </w:r>
      <w:r>
        <w:t xml:space="preserve"> amongst distributors in the NEM</w:t>
      </w:r>
      <w:r w:rsidRPr="00242761">
        <w:t>. We do not have robust information to compare the electricity distribution industry with other industries.</w:t>
      </w:r>
    </w:p>
    <w:p w:rsidR="00B8317F" w:rsidRPr="00242761" w:rsidRDefault="00B8317F" w:rsidP="00B8317F"/>
    <w:p w:rsidR="00B8317F" w:rsidRPr="00AB31E3" w:rsidRDefault="00B8317F" w:rsidP="00B8317F">
      <w:pPr>
        <w:pStyle w:val="Heading7"/>
      </w:pPr>
      <w:bookmarkStart w:id="430" w:name="_Toc417659884"/>
      <w:r>
        <w:lastRenderedPageBreak/>
        <w:t xml:space="preserve">A </w:t>
      </w:r>
      <w:r w:rsidRPr="00AB31E3">
        <w:tab/>
        <w:t>Step changes</w:t>
      </w:r>
      <w:bookmarkEnd w:id="430"/>
      <w:r w:rsidRPr="00AB31E3">
        <w:t xml:space="preserve"> </w:t>
      </w:r>
    </w:p>
    <w:p w:rsidR="00B8317F" w:rsidRDefault="00B8317F" w:rsidP="00B8317F">
      <w:pPr>
        <w:rPr>
          <w:rStyle w:val="AERbody"/>
        </w:rPr>
      </w:pPr>
      <w:bookmarkStart w:id="431" w:name="_Toc403144136"/>
      <w:bookmarkStart w:id="432" w:name="_Toc408920956"/>
      <w:r>
        <w:rPr>
          <w:rStyle w:val="AERbody"/>
        </w:rPr>
        <w:t>In developing our alternative opex forecast, we recognise that there may be</w:t>
      </w:r>
      <w:r w:rsidRPr="003C4DCE">
        <w:rPr>
          <w:rStyle w:val="AERbody"/>
        </w:rPr>
        <w:t xml:space="preserve"> changed circumstances in the forecast period</w:t>
      </w:r>
      <w:r>
        <w:rPr>
          <w:rStyle w:val="AERbody"/>
        </w:rPr>
        <w:t xml:space="preserve"> that may impact on the expenditure requirements of a service provider. We consider those changed circumstances as potential 'step changes'. </w:t>
      </w:r>
    </w:p>
    <w:p w:rsidR="00B8317F" w:rsidRDefault="00B8317F" w:rsidP="00B8317F">
      <w:pPr>
        <w:rPr>
          <w:rStyle w:val="AERbody"/>
        </w:rPr>
      </w:pPr>
      <w:r w:rsidRPr="003C4DCE">
        <w:rPr>
          <w:rStyle w:val="AERbody"/>
        </w:rPr>
        <w:t xml:space="preserve">We typically allow step changes for changes to ongoing costs </w:t>
      </w:r>
      <w:r>
        <w:rPr>
          <w:rStyle w:val="AERbody"/>
        </w:rPr>
        <w:t>in the forecast period</w:t>
      </w:r>
      <w:r w:rsidRPr="003C4DCE">
        <w:rPr>
          <w:rStyle w:val="AERbody"/>
        </w:rPr>
        <w:t xml:space="preserve"> associated with new regulatory obligations and for efficient capex/opex </w:t>
      </w:r>
      <w:r>
        <w:rPr>
          <w:rStyle w:val="AERbody"/>
        </w:rPr>
        <w:t>trade off</w:t>
      </w:r>
      <w:r w:rsidRPr="003C4DCE">
        <w:rPr>
          <w:rStyle w:val="AERbody"/>
        </w:rPr>
        <w:t xml:space="preserve">s. Step changes may be positive or negative. </w:t>
      </w:r>
      <w:r>
        <w:rPr>
          <w:rStyle w:val="AERbody"/>
        </w:rPr>
        <w:t xml:space="preserve">We would not include a step change if the opex that would otherwise be incurred to reasonably reflect the opex criteria is already covered in another part of our alternative forecast, such as our estimate of base opex or the rate of change. </w:t>
      </w:r>
    </w:p>
    <w:p w:rsidR="00B8317F" w:rsidRPr="00AB31E3" w:rsidRDefault="00B8317F" w:rsidP="00B8317F">
      <w:pPr>
        <w:rPr>
          <w:rStyle w:val="AERbody"/>
        </w:rPr>
      </w:pPr>
      <w:r w:rsidRPr="003C4DCE">
        <w:rPr>
          <w:rStyle w:val="AERbody"/>
        </w:rPr>
        <w:t>This appendix sets out our consideration of step changes in determining our opex forecast for</w:t>
      </w:r>
      <w:r>
        <w:rPr>
          <w:rStyle w:val="AERbody"/>
        </w:rPr>
        <w:t xml:space="preserve"> Endeavour Energy</w:t>
      </w:r>
      <w:r w:rsidRPr="003C4DCE">
        <w:rPr>
          <w:rStyle w:val="AERbody"/>
        </w:rPr>
        <w:t xml:space="preserve"> for the 2014–19 period</w:t>
      </w:r>
      <w:r>
        <w:rPr>
          <w:rStyle w:val="AERbody"/>
        </w:rPr>
        <w:t>.</w:t>
      </w:r>
    </w:p>
    <w:p w:rsidR="00B8317F" w:rsidRPr="00AB31E3" w:rsidRDefault="00B8317F" w:rsidP="007D27B1">
      <w:pPr>
        <w:pStyle w:val="Heading8"/>
        <w:numPr>
          <w:ilvl w:val="1"/>
          <w:numId w:val="29"/>
        </w:numPr>
      </w:pPr>
      <w:bookmarkStart w:id="433" w:name="_Toc417659885"/>
      <w:r w:rsidRPr="00D07309">
        <w:t xml:space="preserve">Final </w:t>
      </w:r>
      <w:bookmarkEnd w:id="431"/>
      <w:bookmarkEnd w:id="432"/>
      <w:r w:rsidRPr="00AB31E3">
        <w:t>position</w:t>
      </w:r>
      <w:bookmarkEnd w:id="433"/>
    </w:p>
    <w:p w:rsidR="00B8317F" w:rsidRDefault="00B8317F" w:rsidP="00B8317F">
      <w:bookmarkStart w:id="434" w:name="_Toc403144137"/>
      <w:r w:rsidRPr="00067100">
        <w:t xml:space="preserve">We have </w:t>
      </w:r>
      <w:r>
        <w:t>not included any step changes in our alternative opex forecast.</w:t>
      </w:r>
      <w:r w:rsidRPr="00067100">
        <w:t xml:space="preserve"> </w:t>
      </w:r>
      <w:r>
        <w:t>Our position is consistent with our position outlined in our draft decision.</w:t>
      </w:r>
    </w:p>
    <w:p w:rsidR="00B8317F" w:rsidRPr="00AB31E3" w:rsidRDefault="00B8317F" w:rsidP="00B8317F">
      <w:pPr>
        <w:pStyle w:val="Heading8"/>
      </w:pPr>
      <w:bookmarkStart w:id="435" w:name="_Toc417659886"/>
      <w:bookmarkEnd w:id="434"/>
      <w:r>
        <w:t>Draft position</w:t>
      </w:r>
      <w:bookmarkEnd w:id="435"/>
    </w:p>
    <w:p w:rsidR="00B8317F" w:rsidRDefault="00B8317F" w:rsidP="00B8317F">
      <w:r>
        <w:t>In our draft decision we did not include any step changes in our alternative opex forecast.</w:t>
      </w:r>
      <w:r>
        <w:rPr>
          <w:rStyle w:val="FootnoteReference"/>
        </w:rPr>
        <w:footnoteReference w:id="932"/>
      </w:r>
    </w:p>
    <w:p w:rsidR="006C7BAA" w:rsidRDefault="00B8317F" w:rsidP="00B8317F">
      <w:r>
        <w:t>In its initial proposal Endeavour Energy proposed step changes for three categories of opex.</w:t>
      </w:r>
      <w:r>
        <w:rPr>
          <w:rStyle w:val="FootnoteReference"/>
        </w:rPr>
        <w:footnoteReference w:id="933"/>
      </w:r>
      <w:r>
        <w:t xml:space="preserve"> The amount proposed and a brief description of each proposed step change is outlined</w:t>
      </w:r>
      <w:r w:rsidR="006C7BAA">
        <w:t xml:space="preserve"> in </w:t>
      </w:r>
      <w:r w:rsidR="006C7BAA">
        <w:fldChar w:fldCharType="begin"/>
      </w:r>
      <w:r w:rsidR="006C7BAA">
        <w:instrText xml:space="preserve"> REF _Ref417656899 \h </w:instrText>
      </w:r>
      <w:r w:rsidR="006C7BAA">
        <w:fldChar w:fldCharType="separate"/>
      </w:r>
      <w:r w:rsidR="007D27B1" w:rsidRPr="006C7BAA">
        <w:t xml:space="preserve">Table </w:t>
      </w:r>
      <w:r w:rsidR="007D27B1">
        <w:rPr>
          <w:noProof/>
        </w:rPr>
        <w:t>C</w:t>
      </w:r>
      <w:r w:rsidR="007D27B1">
        <w:t>.</w:t>
      </w:r>
      <w:r w:rsidR="007D27B1">
        <w:rPr>
          <w:noProof/>
        </w:rPr>
        <w:t>1</w:t>
      </w:r>
      <w:r w:rsidR="006C7BAA">
        <w:fldChar w:fldCharType="end"/>
      </w:r>
      <w:r>
        <w:t xml:space="preserve"> below</w:t>
      </w:r>
      <w:r w:rsidRPr="008F3A8D">
        <w:t>.</w:t>
      </w:r>
    </w:p>
    <w:p w:rsidR="006C7BAA" w:rsidRDefault="006C7BAA">
      <w:pPr>
        <w:spacing w:line="240" w:lineRule="auto"/>
      </w:pPr>
      <w:r>
        <w:br w:type="page"/>
      </w:r>
    </w:p>
    <w:p w:rsidR="00B8317F" w:rsidRDefault="006C7BAA" w:rsidP="00B8317F">
      <w:pPr>
        <w:pStyle w:val="Caption"/>
      </w:pPr>
      <w:bookmarkStart w:id="436" w:name="_Ref417656899"/>
      <w:r w:rsidRPr="006C7BAA">
        <w:lastRenderedPageBreak/>
        <w:t xml:space="preserve">Table </w:t>
      </w:r>
      <w:fldSimple w:instr=" STYLEREF 7 \s ">
        <w:r w:rsidR="00C57342">
          <w:rPr>
            <w:noProof/>
          </w:rPr>
          <w:t>C</w:t>
        </w:r>
      </w:fldSimple>
      <w:r w:rsidR="009A39A7">
        <w:t>.</w:t>
      </w:r>
      <w:fldSimple w:instr=" SEQ ATable \* ARABIC \s 7 ">
        <w:r w:rsidR="00C57342">
          <w:rPr>
            <w:noProof/>
          </w:rPr>
          <w:t>1</w:t>
        </w:r>
      </w:fldSimple>
      <w:bookmarkEnd w:id="436"/>
      <w:r w:rsidR="00B8317F">
        <w:tab/>
        <w:t xml:space="preserve">Endeavour Energy proposed step changes in initial proposal </w:t>
      </w:r>
      <w:r w:rsidR="00B8317F">
        <w:br/>
        <w:t>($ million, 2013–14)</w:t>
      </w:r>
    </w:p>
    <w:tbl>
      <w:tblPr>
        <w:tblStyle w:val="AERtable-numbers"/>
        <w:tblW w:w="0" w:type="auto"/>
        <w:tblLook w:val="04A0" w:firstRow="1" w:lastRow="0" w:firstColumn="1" w:lastColumn="0" w:noHBand="0" w:noVBand="1"/>
      </w:tblPr>
      <w:tblGrid>
        <w:gridCol w:w="1671"/>
        <w:gridCol w:w="4523"/>
        <w:gridCol w:w="1162"/>
        <w:gridCol w:w="1336"/>
      </w:tblGrid>
      <w:tr w:rsidR="00B8317F" w:rsidTr="002B5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317F" w:rsidRPr="00B8317F" w:rsidRDefault="00B8317F" w:rsidP="00B8317F">
            <w:r>
              <w:t>Proposed step change</w:t>
            </w:r>
          </w:p>
        </w:tc>
        <w:tc>
          <w:tcPr>
            <w:tcW w:w="0" w:type="auto"/>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t>Description</w:t>
            </w:r>
          </w:p>
        </w:tc>
        <w:tc>
          <w:tcPr>
            <w:tcW w:w="0" w:type="auto"/>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t>Proposed amount</w:t>
            </w:r>
          </w:p>
        </w:tc>
        <w:tc>
          <w:tcPr>
            <w:tcW w:w="0" w:type="auto"/>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t xml:space="preserve">AER draft decision amount  </w:t>
            </w:r>
          </w:p>
        </w:tc>
      </w:tr>
      <w:tr w:rsidR="00B8317F" w:rsidTr="002B5F41">
        <w:tc>
          <w:tcPr>
            <w:cnfStyle w:val="001000000000" w:firstRow="0" w:lastRow="0" w:firstColumn="1" w:lastColumn="0" w:oddVBand="0" w:evenVBand="0" w:oddHBand="0" w:evenHBand="0" w:firstRowFirstColumn="0" w:firstRowLastColumn="0" w:lastRowFirstColumn="0" w:lastRowLastColumn="0"/>
            <w:tcW w:w="0" w:type="auto"/>
          </w:tcPr>
          <w:p w:rsidR="00B8317F" w:rsidRPr="00C31220" w:rsidRDefault="00B8317F" w:rsidP="00B8317F">
            <w:pPr>
              <w:numPr>
                <w:ilvl w:val="0"/>
                <w:numId w:val="24"/>
              </w:numPr>
              <w:rPr>
                <w:rStyle w:val="AERtextsize8"/>
              </w:rPr>
            </w:pPr>
            <w:r>
              <w:rPr>
                <w:rStyle w:val="AERtextsize8"/>
              </w:rPr>
              <w:t>Vegetation management</w:t>
            </w:r>
          </w:p>
        </w:tc>
        <w:tc>
          <w:tcPr>
            <w:tcW w:w="0" w:type="auto"/>
          </w:tcPr>
          <w:p w:rsidR="00B8317F" w:rsidRDefault="00B8317F" w:rsidP="00B8317F">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p>
          <w:p w:rsidR="00B8317F" w:rsidRPr="00B8317F" w:rsidRDefault="00B8317F" w:rsidP="00B8317F">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 xml:space="preserve">Increase in forecast vegetation management costs linked to new outsourced contracts and improved </w:t>
            </w:r>
            <w:r w:rsidRPr="00B8317F">
              <w:rPr>
                <w:rStyle w:val="AERtextsize8"/>
              </w:rPr>
              <w:t>compliance with vegetation management standards</w:t>
            </w:r>
          </w:p>
        </w:tc>
        <w:tc>
          <w:tcPr>
            <w:tcW w:w="0" w:type="auto"/>
          </w:tcPr>
          <w:p w:rsidR="00B8317F" w:rsidRPr="00B8317F" w:rsidRDefault="00B8317F" w:rsidP="00B8317F">
            <w:pPr>
              <w:pStyle w:val="AERtabletextright"/>
              <w:cnfStyle w:val="000000000000" w:firstRow="0" w:lastRow="0" w:firstColumn="0" w:lastColumn="0" w:oddVBand="0" w:evenVBand="0" w:oddHBand="0" w:evenHBand="0" w:firstRowFirstColumn="0" w:firstRowLastColumn="0" w:lastRowFirstColumn="0" w:lastRowLastColumn="0"/>
            </w:pPr>
            <w:r w:rsidRPr="00F3256C">
              <w:rPr>
                <w:rStyle w:val="AERtextsize8"/>
              </w:rPr>
              <w:t>130.6</w:t>
            </w:r>
            <w:r w:rsidRPr="00B8317F">
              <w:rPr>
                <w:rStyle w:val="FootnoteReference"/>
              </w:rPr>
              <w:footnoteReference w:id="934"/>
            </w:r>
          </w:p>
        </w:tc>
        <w:tc>
          <w:tcPr>
            <w:tcW w:w="0" w:type="auto"/>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317F" w:rsidRPr="00C31220" w:rsidRDefault="00B8317F" w:rsidP="00B8317F">
            <w:pPr>
              <w:numPr>
                <w:ilvl w:val="0"/>
                <w:numId w:val="24"/>
              </w:numPr>
              <w:rPr>
                <w:rStyle w:val="AERtextsize8"/>
              </w:rPr>
            </w:pPr>
            <w:r>
              <w:rPr>
                <w:rStyle w:val="AERtextsize8"/>
              </w:rPr>
              <w:t>Capex prioritisation costs</w:t>
            </w:r>
          </w:p>
        </w:tc>
        <w:tc>
          <w:tcPr>
            <w:tcW w:w="0" w:type="auto"/>
          </w:tcPr>
          <w:p w:rsidR="00B8317F" w:rsidRDefault="00B8317F" w:rsidP="00B8317F">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p>
          <w:p w:rsidR="00B8317F" w:rsidRPr="00B8317F" w:rsidRDefault="00B8317F" w:rsidP="00B8317F">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Reflects redundancy costs</w:t>
            </w:r>
            <w:r w:rsidRPr="00B8317F">
              <w:rPr>
                <w:rStyle w:val="AERtextsize8"/>
              </w:rPr>
              <w:t xml:space="preserve"> to 'align its workforce to a sustainable level'</w:t>
            </w:r>
          </w:p>
        </w:tc>
        <w:tc>
          <w:tcPr>
            <w:tcW w:w="0" w:type="auto"/>
          </w:tcPr>
          <w:p w:rsidR="00B8317F" w:rsidRPr="00B8317F" w:rsidRDefault="00B8317F" w:rsidP="00B8317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F3256C">
              <w:rPr>
                <w:rStyle w:val="AERtextsize8"/>
              </w:rPr>
              <w:t>12.</w:t>
            </w:r>
            <w:r w:rsidRPr="00B8317F">
              <w:rPr>
                <w:rStyle w:val="AERtextsize8"/>
              </w:rPr>
              <w:t>3</w:t>
            </w:r>
          </w:p>
        </w:tc>
        <w:tc>
          <w:tcPr>
            <w:tcW w:w="0" w:type="auto"/>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t>-</w:t>
            </w:r>
          </w:p>
        </w:tc>
      </w:tr>
      <w:tr w:rsidR="00B8317F" w:rsidTr="002B5F41">
        <w:tc>
          <w:tcPr>
            <w:cnfStyle w:val="001000000000" w:firstRow="0" w:lastRow="0" w:firstColumn="1" w:lastColumn="0" w:oddVBand="0" w:evenVBand="0" w:oddHBand="0" w:evenHBand="0" w:firstRowFirstColumn="0" w:firstRowLastColumn="0" w:lastRowFirstColumn="0" w:lastRowLastColumn="0"/>
            <w:tcW w:w="0" w:type="auto"/>
          </w:tcPr>
          <w:p w:rsidR="00B8317F" w:rsidRPr="00C31220" w:rsidRDefault="00B8317F" w:rsidP="00B8317F">
            <w:pPr>
              <w:numPr>
                <w:ilvl w:val="0"/>
                <w:numId w:val="24"/>
              </w:numPr>
              <w:rPr>
                <w:rStyle w:val="AERtextsize8"/>
              </w:rPr>
            </w:pPr>
            <w:r>
              <w:rPr>
                <w:rStyle w:val="AERtextsize8"/>
              </w:rPr>
              <w:t>Change in classification of services</w:t>
            </w:r>
          </w:p>
        </w:tc>
        <w:tc>
          <w:tcPr>
            <w:tcW w:w="0" w:type="auto"/>
          </w:tcPr>
          <w:p w:rsidR="00B8317F" w:rsidRDefault="00B8317F" w:rsidP="00B8317F">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p>
          <w:p w:rsidR="00B8317F" w:rsidRPr="00B8317F" w:rsidRDefault="00B8317F" w:rsidP="00B8317F">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Proposed r</w:t>
            </w:r>
            <w:r w:rsidRPr="00B8317F">
              <w:rPr>
                <w:rStyle w:val="AERtextsize8"/>
              </w:rPr>
              <w:t>eclassification of metering and ancillary network services from standard control to alternative control</w:t>
            </w:r>
          </w:p>
        </w:tc>
        <w:tc>
          <w:tcPr>
            <w:tcW w:w="0" w:type="auto"/>
          </w:tcPr>
          <w:p w:rsidR="00B8317F" w:rsidRPr="00B8317F" w:rsidRDefault="00B8317F" w:rsidP="00B8317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F3256C">
              <w:rPr>
                <w:rStyle w:val="AERtextsize8"/>
              </w:rPr>
              <w:t>–302.</w:t>
            </w:r>
            <w:r w:rsidRPr="00B8317F">
              <w:rPr>
                <w:rStyle w:val="AERtextsize8"/>
              </w:rPr>
              <w:t>7</w:t>
            </w:r>
          </w:p>
        </w:tc>
        <w:tc>
          <w:tcPr>
            <w:tcW w:w="0" w:type="auto"/>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w:t>
            </w:r>
          </w:p>
        </w:tc>
      </w:tr>
    </w:tbl>
    <w:p w:rsidR="00B8317F" w:rsidRPr="00B8317F" w:rsidRDefault="00B8317F" w:rsidP="00B8317F">
      <w:pPr>
        <w:pStyle w:val="AERtablesource"/>
        <w:rPr>
          <w:rStyle w:val="AERbody"/>
          <w:rFonts w:eastAsia="Calibri"/>
        </w:rPr>
      </w:pPr>
      <w:r>
        <w:t xml:space="preserve">Source: Endeavour Energy, </w:t>
      </w:r>
      <w:r w:rsidRPr="00960C89">
        <w:rPr>
          <w:rStyle w:val="Emphasis"/>
        </w:rPr>
        <w:t xml:space="preserve">Regulatory proposal 1 July 2015 to 30 June 2019, </w:t>
      </w:r>
      <w:r w:rsidRPr="00960C89">
        <w:rPr>
          <w:rStyle w:val="AERtextsize8"/>
        </w:rPr>
        <w:t>May 2015, p. 84</w:t>
      </w:r>
      <w:r>
        <w:rPr>
          <w:rStyle w:val="AERtextsize8"/>
        </w:rPr>
        <w:t>.</w:t>
      </w:r>
    </w:p>
    <w:p w:rsidR="00B8317F" w:rsidRPr="00AB31E3" w:rsidRDefault="00B8317F" w:rsidP="00B8317F">
      <w:pPr>
        <w:pStyle w:val="AERbulletlistfirststyle"/>
      </w:pPr>
      <w:r>
        <w:t>For the purposes of constructing our alternative estimate w</w:t>
      </w:r>
      <w:r w:rsidRPr="00AB31E3">
        <w:t>e did not consider any of these proposals to be step changes to our estimate of base opex.</w:t>
      </w:r>
      <w:r w:rsidRPr="00AB31E3">
        <w:rPr>
          <w:rStyle w:val="FootnoteReference"/>
        </w:rPr>
        <w:footnoteReference w:id="935"/>
      </w:r>
      <w:r w:rsidRPr="00AB31E3">
        <w:t xml:space="preserve">  </w:t>
      </w:r>
    </w:p>
    <w:p w:rsidR="00B8317F" w:rsidRPr="00AB31E3" w:rsidRDefault="00B8317F" w:rsidP="00B8317F">
      <w:pPr>
        <w:pStyle w:val="AERbulletlistfirststyle"/>
      </w:pPr>
      <w:r>
        <w:t>Our reasons for not accepting</w:t>
      </w:r>
      <w:r w:rsidRPr="00AB31E3">
        <w:t xml:space="preserve"> Endeavour Energy's proposals as step changes in our draft decision are outlined below.</w:t>
      </w:r>
    </w:p>
    <w:p w:rsidR="00B8317F" w:rsidRDefault="00B8317F" w:rsidP="00B8317F">
      <w:pPr>
        <w:pStyle w:val="HeadingBoldBlue"/>
      </w:pPr>
      <w:r>
        <w:t>Vegetation management</w:t>
      </w:r>
    </w:p>
    <w:p w:rsidR="00B8317F" w:rsidRDefault="00B8317F" w:rsidP="00B8317F">
      <w:r w:rsidRPr="00D35694">
        <w:t xml:space="preserve">Endeavour Energy forecast </w:t>
      </w:r>
      <w:r>
        <w:t>an increase in opex</w:t>
      </w:r>
      <w:r w:rsidRPr="00D35694">
        <w:t xml:space="preserve"> associated with new vegetation management contracts. Endeavour Energy stated that it is targeting further improvements to conform to the minimum risk standards it must meet regarding the clearance distance between mains and vegetation. It considered that this affected the price charged by outsourced providers.</w:t>
      </w:r>
      <w:r w:rsidRPr="00D35694">
        <w:rPr>
          <w:rStyle w:val="FootnoteReference"/>
        </w:rPr>
        <w:footnoteReference w:id="936"/>
      </w:r>
      <w:r w:rsidRPr="00D35694">
        <w:t xml:space="preserve"> It estimated</w:t>
      </w:r>
      <w:r>
        <w:t xml:space="preserve"> the increase in opex</w:t>
      </w:r>
      <w:r w:rsidRPr="00D35694">
        <w:t xml:space="preserve"> to be $</w:t>
      </w:r>
      <w:r>
        <w:t>130.6</w:t>
      </w:r>
      <w:r w:rsidRPr="00D35694">
        <w:t xml:space="preserve"> million ($2013–14)</w:t>
      </w:r>
      <w:r>
        <w:t xml:space="preserve"> </w:t>
      </w:r>
      <w:r w:rsidRPr="00D35694">
        <w:t>over the regulatory control period.</w:t>
      </w:r>
    </w:p>
    <w:p w:rsidR="00B8317F" w:rsidRPr="00D35694" w:rsidRDefault="00B8317F" w:rsidP="00B8317F">
      <w:r w:rsidRPr="00D35694">
        <w:t>Endeavour Energy stated that it d</w:t>
      </w:r>
      <w:r>
        <w:t>id</w:t>
      </w:r>
      <w:r w:rsidRPr="00D35694">
        <w:t xml:space="preserve"> not face any change to the minimum risk standards </w:t>
      </w:r>
      <w:r>
        <w:t>with</w:t>
      </w:r>
      <w:r w:rsidRPr="00D35694">
        <w:t xml:space="preserve"> which it much comply.</w:t>
      </w:r>
      <w:r w:rsidRPr="00D35694">
        <w:rPr>
          <w:rStyle w:val="FootnoteReference"/>
        </w:rPr>
        <w:footnoteReference w:id="937"/>
      </w:r>
      <w:r w:rsidRPr="00D35694">
        <w:t>.</w:t>
      </w:r>
    </w:p>
    <w:p w:rsidR="00B8317F" w:rsidRPr="00D35694" w:rsidRDefault="00B8317F" w:rsidP="00B8317F">
      <w:r w:rsidRPr="00D35694">
        <w:t xml:space="preserve">Without </w:t>
      </w:r>
      <w:r>
        <w:t xml:space="preserve">persuasive </w:t>
      </w:r>
      <w:r w:rsidRPr="00D35694">
        <w:t>evidence that a service provider's total historical opex was too low</w:t>
      </w:r>
      <w:r>
        <w:t xml:space="preserve"> to achieve the opex objectives</w:t>
      </w:r>
      <w:r w:rsidRPr="00D35694">
        <w:t xml:space="preserve">, we </w:t>
      </w:r>
      <w:r>
        <w:t>did</w:t>
      </w:r>
      <w:r w:rsidRPr="00D35694">
        <w:t xml:space="preserve"> not consider increased contract costs to be a reason </w:t>
      </w:r>
      <w:r>
        <w:t>to increase the</w:t>
      </w:r>
      <w:r w:rsidRPr="00D35694">
        <w:t xml:space="preserve"> </w:t>
      </w:r>
      <w:r>
        <w:t xml:space="preserve">total </w:t>
      </w:r>
      <w:r w:rsidRPr="00D35694">
        <w:t xml:space="preserve">opex </w:t>
      </w:r>
      <w:r>
        <w:t>forecast</w:t>
      </w:r>
      <w:r w:rsidRPr="00D35694">
        <w:t xml:space="preserve"> to meet</w:t>
      </w:r>
      <w:r>
        <w:t xml:space="preserve"> what are</w:t>
      </w:r>
      <w:r w:rsidRPr="00D35694">
        <w:t xml:space="preserve"> unchanged regulatory obligations.</w:t>
      </w:r>
      <w:r>
        <w:t xml:space="preserve"> We noted that Endeavour Energy does not benchmark well when compared to other service providers in the NEM.</w:t>
      </w:r>
    </w:p>
    <w:p w:rsidR="00B8317F" w:rsidRPr="00D35694" w:rsidRDefault="00B8317F" w:rsidP="00B8317F">
      <w:pPr>
        <w:numPr>
          <w:ilvl w:val="0"/>
          <w:numId w:val="24"/>
        </w:numPr>
      </w:pPr>
      <w:r w:rsidRPr="00D35694">
        <w:t>We also considered that:</w:t>
      </w:r>
    </w:p>
    <w:p w:rsidR="00B8317F" w:rsidRPr="00D35694" w:rsidRDefault="00B8317F" w:rsidP="00B8317F">
      <w:pPr>
        <w:pStyle w:val="AERbulletlistfirststyle"/>
      </w:pPr>
      <w:r w:rsidRPr="00D35694">
        <w:lastRenderedPageBreak/>
        <w:t>Endeavour Energy's proposed increase in vegetation management expenditure above its historical vegetation management expenditure was not well substantiated with evidence. We considered that further evidence was required to support its increase in expenditure if we were to include an additional amount in our alternative forecast.</w:t>
      </w:r>
    </w:p>
    <w:p w:rsidR="00B8317F" w:rsidRPr="00D35694" w:rsidRDefault="00B8317F" w:rsidP="00B8317F">
      <w:pPr>
        <w:pStyle w:val="AERbulletlistfirststyle"/>
      </w:pPr>
      <w:r w:rsidRPr="00D35694">
        <w:t>Endeavour Energy's proposal to increase its vegetation management expenditure above its historical expenditure was inconsistent with the application of the EBSS.</w:t>
      </w:r>
      <w:r>
        <w:t xml:space="preserve"> For instance, </w:t>
      </w:r>
      <w:r w:rsidRPr="00D35694">
        <w:t>Endeavour Energy has derived an EBSS carryover benefit</w:t>
      </w:r>
      <w:r>
        <w:t>, which is in part due to</w:t>
      </w:r>
      <w:r w:rsidRPr="00D35694">
        <w:t xml:space="preserve"> lower vegetation management expenditure in the 2009–14 regulatory control period. Consumers</w:t>
      </w:r>
      <w:r>
        <w:t xml:space="preserve"> </w:t>
      </w:r>
      <w:r w:rsidRPr="00D35694">
        <w:t xml:space="preserve">benefit from the EBSS when opex savings are passed through to </w:t>
      </w:r>
      <w:r>
        <w:t>them</w:t>
      </w:r>
      <w:r w:rsidRPr="00D35694">
        <w:t>. Under Endeavour Energy's approach, it propose</w:t>
      </w:r>
      <w:r>
        <w:t>d</w:t>
      </w:r>
      <w:r w:rsidRPr="00D35694">
        <w:t xml:space="preserve"> to capture the EBSS benefits arising from lower expenditure on vegetation management in 2009–14 but d</w:t>
      </w:r>
      <w:r>
        <w:t>id</w:t>
      </w:r>
      <w:r w:rsidRPr="00D35694">
        <w:t xml:space="preserve"> not propose to pass the lower opex through to </w:t>
      </w:r>
      <w:r>
        <w:t xml:space="preserve">its </w:t>
      </w:r>
      <w:r w:rsidRPr="00D35694">
        <w:t>c</w:t>
      </w:r>
      <w:r>
        <w:t>ustomers</w:t>
      </w:r>
      <w:r w:rsidRPr="00D35694">
        <w:t>. This is contrary to how the EBSS is intended to operate.</w:t>
      </w:r>
    </w:p>
    <w:p w:rsidR="00B8317F" w:rsidRPr="00D35694" w:rsidRDefault="00B8317F" w:rsidP="00B8317F">
      <w:pPr>
        <w:pStyle w:val="HeadingBoldBlue"/>
      </w:pPr>
      <w:r>
        <w:t>Redundancy costs</w:t>
      </w:r>
    </w:p>
    <w:p w:rsidR="00B8317F" w:rsidRDefault="00B8317F" w:rsidP="00B8317F">
      <w:pPr>
        <w:rPr>
          <w:rStyle w:val="AERbody"/>
        </w:rPr>
      </w:pPr>
      <w:r w:rsidRPr="00D35694">
        <w:rPr>
          <w:rStyle w:val="AERbody"/>
        </w:rPr>
        <w:t xml:space="preserve">Endeavour Energy forecast $12.3 million </w:t>
      </w:r>
      <w:r w:rsidRPr="00D35694">
        <w:t>($2013–14)</w:t>
      </w:r>
      <w:r>
        <w:t xml:space="preserve"> </w:t>
      </w:r>
      <w:r w:rsidRPr="00D35694">
        <w:rPr>
          <w:rStyle w:val="AERbody"/>
        </w:rPr>
        <w:t>of redundancy costs in 2015–16 and 2016–17 in order to 'align its workforce to a sustainable level'.</w:t>
      </w:r>
      <w:r>
        <w:rPr>
          <w:rStyle w:val="AERbody"/>
        </w:rPr>
        <w:t xml:space="preserve"> </w:t>
      </w:r>
    </w:p>
    <w:p w:rsidR="00B8317F" w:rsidRPr="00D35694" w:rsidRDefault="00B8317F" w:rsidP="00B8317F">
      <w:r w:rsidRPr="00D35694">
        <w:t>We considered that Endeavour Energy's restructure of its workforce</w:t>
      </w:r>
      <w:r>
        <w:t xml:space="preserve"> was</w:t>
      </w:r>
      <w:r w:rsidRPr="00D35694">
        <w:t xml:space="preserve"> likely only needed because it is not currently operating</w:t>
      </w:r>
      <w:r>
        <w:t xml:space="preserve"> as</w:t>
      </w:r>
      <w:r w:rsidRPr="00D35694">
        <w:t xml:space="preserve"> efficiently</w:t>
      </w:r>
      <w:r>
        <w:t xml:space="preserve"> as it could</w:t>
      </w:r>
      <w:r w:rsidRPr="00D35694">
        <w:t>. We saw no reason why Endeavour Energy's c</w:t>
      </w:r>
      <w:r>
        <w:t>ustomers</w:t>
      </w:r>
      <w:r w:rsidRPr="00D35694">
        <w:t xml:space="preserve"> should fund these costs required to transition</w:t>
      </w:r>
      <w:r>
        <w:t xml:space="preserve"> it</w:t>
      </w:r>
      <w:r w:rsidRPr="00D35694">
        <w:t xml:space="preserve"> to an efficient level. To do so, would mean Endeavour Energy's </w:t>
      </w:r>
      <w:r>
        <w:t>customers</w:t>
      </w:r>
      <w:r w:rsidRPr="00D35694">
        <w:t xml:space="preserve"> would pay for the cost of a network service in the 2014–19 period that is greater than the cost that could be achieved by a benchmark efficient service provider.</w:t>
      </w:r>
    </w:p>
    <w:p w:rsidR="00B8317F" w:rsidRPr="00D35694" w:rsidRDefault="00B8317F" w:rsidP="00B8317F">
      <w:pPr>
        <w:pStyle w:val="HeadingBoldBlue"/>
      </w:pPr>
      <w:r>
        <w:t>Change in classification of services</w:t>
      </w:r>
    </w:p>
    <w:p w:rsidR="00B8317F" w:rsidRDefault="00B8317F" w:rsidP="00B8317F">
      <w:pPr>
        <w:rPr>
          <w:rStyle w:val="AERbody"/>
        </w:rPr>
      </w:pPr>
      <w:r w:rsidRPr="00D35694">
        <w:rPr>
          <w:rStyle w:val="AERbody"/>
        </w:rPr>
        <w:t>Endeavour Energy also proposed a reduction to its base level of opex for ancillary network services and metering services that had been reclassified from standard control to alternative control. We agree</w:t>
      </w:r>
      <w:r>
        <w:rPr>
          <w:rStyle w:val="AERbody"/>
        </w:rPr>
        <w:t>d</w:t>
      </w:r>
      <w:r w:rsidRPr="00D35694">
        <w:rPr>
          <w:rStyle w:val="AERbody"/>
        </w:rPr>
        <w:t xml:space="preserve"> with this reclassification and removed these costs accordingly when forming our views of </w:t>
      </w:r>
      <w:r>
        <w:rPr>
          <w:rStyle w:val="AERbody"/>
        </w:rPr>
        <w:t>our estimate of base opex</w:t>
      </w:r>
      <w:r w:rsidRPr="00D35694">
        <w:rPr>
          <w:rStyle w:val="AERbody"/>
        </w:rPr>
        <w:t xml:space="preserve">. However, for the purposes of </w:t>
      </w:r>
      <w:r>
        <w:rPr>
          <w:rStyle w:val="AERbody"/>
        </w:rPr>
        <w:t>our assessment approach</w:t>
      </w:r>
      <w:r w:rsidRPr="00D35694">
        <w:rPr>
          <w:rStyle w:val="AERbody"/>
        </w:rPr>
        <w:t>, we consider</w:t>
      </w:r>
      <w:r>
        <w:rPr>
          <w:rStyle w:val="AERbody"/>
        </w:rPr>
        <w:t>ed</w:t>
      </w:r>
      <w:r w:rsidRPr="00D35694">
        <w:rPr>
          <w:rStyle w:val="AERbody"/>
        </w:rPr>
        <w:t xml:space="preserve"> this </w:t>
      </w:r>
      <w:r>
        <w:rPr>
          <w:rStyle w:val="AERbody"/>
        </w:rPr>
        <w:t>in forming our estimate of base opex rather than as a step change.</w:t>
      </w:r>
    </w:p>
    <w:p w:rsidR="00B8317F" w:rsidRPr="00AB31E3" w:rsidRDefault="00B8317F" w:rsidP="00B8317F">
      <w:pPr>
        <w:pStyle w:val="Heading8"/>
      </w:pPr>
      <w:bookmarkStart w:id="437" w:name="_Toc417659887"/>
      <w:r>
        <w:t>Endeavour Energy's revised proposal and submissions</w:t>
      </w:r>
      <w:bookmarkEnd w:id="437"/>
    </w:p>
    <w:p w:rsidR="00B8317F" w:rsidRDefault="00B8317F" w:rsidP="00B8317F">
      <w:r>
        <w:t xml:space="preserve">In its revised proposal, Endeavour Energy did not agree with our draft position on vegetation management costs and redundancy costs. </w:t>
      </w:r>
    </w:p>
    <w:p w:rsidR="00B8317F" w:rsidRDefault="00B8317F" w:rsidP="00B8317F">
      <w:r>
        <w:t xml:space="preserve">In commenting on our position on vegetation management Endeavour Energy considered </w:t>
      </w:r>
      <w:r w:rsidRPr="009E53F7">
        <w:t xml:space="preserve">that </w:t>
      </w:r>
      <w:r>
        <w:t>our</w:t>
      </w:r>
      <w:r w:rsidRPr="009E53F7">
        <w:t xml:space="preserve"> test of a step change is not adequate </w:t>
      </w:r>
      <w:r>
        <w:t xml:space="preserve">when dealing with </w:t>
      </w:r>
      <w:r w:rsidRPr="009E53F7">
        <w:t>non-</w:t>
      </w:r>
      <w:r w:rsidRPr="009E53F7">
        <w:lastRenderedPageBreak/>
        <w:t>compliance with an existing regulatory obligation.</w:t>
      </w:r>
      <w:r w:rsidRPr="00193C70">
        <w:t xml:space="preserve"> </w:t>
      </w:r>
      <w:r>
        <w:t>It noted that s</w:t>
      </w:r>
      <w:r>
        <w:rPr>
          <w:rStyle w:val="AERbody"/>
        </w:rPr>
        <w:t>ince 2009 it has been working with its contractors to improve compliance but in 2012–13 compliance was still only 76 per cent</w:t>
      </w:r>
      <w:r>
        <w:t>.</w:t>
      </w:r>
      <w:r w:rsidRPr="00D840A4">
        <w:rPr>
          <w:rStyle w:val="FootnoteReference"/>
        </w:rPr>
        <w:t xml:space="preserve"> </w:t>
      </w:r>
      <w:r>
        <w:rPr>
          <w:rStyle w:val="FootnoteReference"/>
        </w:rPr>
        <w:footnoteReference w:id="938"/>
      </w:r>
      <w:r>
        <w:t xml:space="preserve"> In commenting on redundancy costs</w:t>
      </w:r>
      <w:r w:rsidRPr="00E811D7">
        <w:t xml:space="preserve"> </w:t>
      </w:r>
      <w:r>
        <w:t>it considered t</w:t>
      </w:r>
      <w:r w:rsidRPr="00E811D7">
        <w:t>he term ‘step change’ is not used in the</w:t>
      </w:r>
      <w:r>
        <w:t xml:space="preserve"> </w:t>
      </w:r>
      <w:r w:rsidRPr="00E811D7">
        <w:t xml:space="preserve">Rules, and is only a concept that the AER has developed to guide its decision making. </w:t>
      </w:r>
      <w:r>
        <w:t>It did not consider we had</w:t>
      </w:r>
      <w:r w:rsidRPr="00E811D7">
        <w:t xml:space="preserve"> demonstrated that the concept can completely capture the decision making criteria in the Rules</w:t>
      </w:r>
      <w:r>
        <w:t>.</w:t>
      </w:r>
      <w:r>
        <w:rPr>
          <w:rStyle w:val="FootnoteReference"/>
        </w:rPr>
        <w:footnoteReference w:id="939"/>
      </w:r>
    </w:p>
    <w:p w:rsidR="00B8317F" w:rsidRDefault="00B8317F" w:rsidP="00B8317F">
      <w:pPr>
        <w:rPr>
          <w:rStyle w:val="AERbody"/>
        </w:rPr>
      </w:pPr>
      <w:r>
        <w:rPr>
          <w:rStyle w:val="AERbody"/>
        </w:rPr>
        <w:t>Endeavour Energy revised its forecast costs for vegetation management and redundancy costs.</w:t>
      </w:r>
    </w:p>
    <w:p w:rsidR="00B8317F" w:rsidRDefault="00B8317F" w:rsidP="00B8317F">
      <w:r>
        <w:rPr>
          <w:rStyle w:val="AERbody"/>
        </w:rPr>
        <w:t>It considered that its vegetation management costs should be higher than it originally proposed as a result of updated information on its market contracted costs. This resulted in an additional $110.1 million forecast increase for vegetation management opex over the regulatory period.</w:t>
      </w:r>
      <w:r>
        <w:rPr>
          <w:rStyle w:val="FootnoteReference"/>
        </w:rPr>
        <w:footnoteReference w:id="940"/>
      </w:r>
    </w:p>
    <w:p w:rsidR="00B8317F" w:rsidRDefault="00B8317F" w:rsidP="00B8317F">
      <w:r>
        <w:t>It forecast an additional $5 million in redundancy costs.</w:t>
      </w:r>
      <w:r>
        <w:rPr>
          <w:rStyle w:val="FootnoteReference"/>
        </w:rPr>
        <w:footnoteReference w:id="941"/>
      </w:r>
      <w:r>
        <w:t xml:space="preserve"> It considered this was due to our draft decision on capex.</w:t>
      </w:r>
      <w:r>
        <w:rPr>
          <w:rStyle w:val="FootnoteReference"/>
        </w:rPr>
        <w:footnoteReference w:id="942"/>
      </w:r>
    </w:p>
    <w:p w:rsidR="00B8317F" w:rsidRDefault="00B8317F" w:rsidP="00B8317F">
      <w:r w:rsidRPr="003C4DCE">
        <w:t>We</w:t>
      </w:r>
      <w:r>
        <w:t xml:space="preserve"> first respond to Endeavour Energy's comments on our assessment approach</w:t>
      </w:r>
      <w:r w:rsidRPr="003C4DCE">
        <w:t xml:space="preserve"> then re-assess </w:t>
      </w:r>
      <w:r>
        <w:t>its proposed vegetation management and redundancy cost step changes in light of Endeavour Energy'</w:t>
      </w:r>
      <w:r w:rsidRPr="003C4DCE">
        <w:t>s revised proposal and the submissions we received on our draft decision.</w:t>
      </w:r>
      <w:bookmarkStart w:id="438" w:name="_Toc403144138"/>
      <w:r w:rsidRPr="00D942CD">
        <w:t xml:space="preserve"> </w:t>
      </w:r>
      <w:r>
        <w:t>We note that the EUAA agreed</w:t>
      </w:r>
      <w:r w:rsidRPr="008477C4">
        <w:t xml:space="preserve"> with </w:t>
      </w:r>
      <w:r>
        <w:t>our</w:t>
      </w:r>
      <w:r w:rsidRPr="008477C4">
        <w:t xml:space="preserve"> position</w:t>
      </w:r>
      <w:r>
        <w:t xml:space="preserve"> that the NSW distributors' </w:t>
      </w:r>
      <w:r w:rsidRPr="008477C4">
        <w:t xml:space="preserve">proposed step changes </w:t>
      </w:r>
      <w:r>
        <w:t>were</w:t>
      </w:r>
      <w:r w:rsidRPr="008477C4">
        <w:t xml:space="preserve"> already accounted for in </w:t>
      </w:r>
      <w:r>
        <w:t>our</w:t>
      </w:r>
      <w:r w:rsidRPr="008477C4">
        <w:t xml:space="preserve"> </w:t>
      </w:r>
      <w:r>
        <w:t>assessment of</w:t>
      </w:r>
      <w:r w:rsidRPr="008477C4">
        <w:t xml:space="preserve"> base year opex.</w:t>
      </w:r>
      <w:r>
        <w:rPr>
          <w:rStyle w:val="FootnoteReference"/>
        </w:rPr>
        <w:footnoteReference w:id="943"/>
      </w:r>
      <w:r>
        <w:t xml:space="preserve"> </w:t>
      </w:r>
    </w:p>
    <w:p w:rsidR="00B8317F" w:rsidRPr="00AB31E3" w:rsidRDefault="00B8317F" w:rsidP="00BD28FC">
      <w:pPr>
        <w:pStyle w:val="Heading9"/>
      </w:pPr>
      <w:bookmarkStart w:id="439" w:name="_Toc417659888"/>
      <w:bookmarkEnd w:id="438"/>
      <w:r>
        <w:t>Assessment approach</w:t>
      </w:r>
      <w:bookmarkEnd w:id="439"/>
    </w:p>
    <w:p w:rsidR="00B8317F" w:rsidRDefault="00B8317F" w:rsidP="00B8317F">
      <w:pPr>
        <w:numPr>
          <w:ilvl w:val="0"/>
          <w:numId w:val="24"/>
        </w:numPr>
      </w:pPr>
      <w:r w:rsidRPr="00641734">
        <w:t xml:space="preserve">When assessing </w:t>
      </w:r>
      <w:r>
        <w:t>a service provider's</w:t>
      </w:r>
      <w:r w:rsidRPr="00641734">
        <w:t xml:space="preserve"> proposed step changes, we consider whether they are </w:t>
      </w:r>
      <w:r>
        <w:t>needed for the total opex forecast to reasonably reflect the opex criteria</w:t>
      </w:r>
      <w:r w:rsidRPr="00641734">
        <w:t>.</w:t>
      </w:r>
      <w:r w:rsidRPr="001476FB">
        <w:rPr>
          <w:rStyle w:val="AERsuperscript"/>
        </w:rPr>
        <w:footnoteReference w:id="944"/>
      </w:r>
      <w:r w:rsidRPr="00641734">
        <w:t xml:space="preserve"> </w:t>
      </w:r>
      <w:r>
        <w:t xml:space="preserve">Our assessment approach is consistent with the approach specified in our </w:t>
      </w:r>
      <w:r w:rsidRPr="001C72F9">
        <w:rPr>
          <w:rStyle w:val="AERtextitalic"/>
        </w:rPr>
        <w:t>Expenditure forecast assessment guideline</w:t>
      </w:r>
      <w:r>
        <w:rPr>
          <w:rStyle w:val="AERtextitalic"/>
        </w:rPr>
        <w:t xml:space="preserve"> </w:t>
      </w:r>
      <w:r w:rsidRPr="0056375A">
        <w:rPr>
          <w:rStyle w:val="AERbody"/>
        </w:rPr>
        <w:t>(</w:t>
      </w:r>
      <w:r w:rsidRPr="00BA709F">
        <w:rPr>
          <w:rStyle w:val="AERbody"/>
        </w:rPr>
        <w:t>Guideline</w:t>
      </w:r>
      <w:r w:rsidRPr="0056375A">
        <w:rPr>
          <w:rStyle w:val="AERbody"/>
        </w:rPr>
        <w:t>)</w:t>
      </w:r>
      <w:r w:rsidRPr="00BA709F">
        <w:rPr>
          <w:rStyle w:val="AERbody"/>
        </w:rPr>
        <w:t>.</w:t>
      </w:r>
      <w:r w:rsidRPr="003D20AA">
        <w:rPr>
          <w:rStyle w:val="AERsuperscript"/>
        </w:rPr>
        <w:footnoteReference w:id="945"/>
      </w:r>
    </w:p>
    <w:p w:rsidR="00B8317F" w:rsidRDefault="00B8317F" w:rsidP="00B8317F">
      <w:pPr>
        <w:numPr>
          <w:ilvl w:val="0"/>
          <w:numId w:val="24"/>
        </w:numPr>
      </w:pPr>
      <w:r>
        <w:t xml:space="preserve">As a starting point, we consider whether the proposed step changes in opex are already compensated through other elements of our alternative opex forecast, such as our base opex or our 'rate of change' component. Step changes should not double count costs included in </w:t>
      </w:r>
      <w:r w:rsidRPr="00EC6E85">
        <w:t xml:space="preserve">other elements of the </w:t>
      </w:r>
      <w:r>
        <w:t xml:space="preserve">opex </w:t>
      </w:r>
      <w:r w:rsidRPr="00EC6E85">
        <w:t>forecast</w:t>
      </w:r>
      <w:r>
        <w:t xml:space="preserve">. </w:t>
      </w:r>
    </w:p>
    <w:p w:rsidR="00B8317F" w:rsidRDefault="00B8317F" w:rsidP="00B8317F">
      <w:pPr>
        <w:numPr>
          <w:ilvl w:val="0"/>
          <w:numId w:val="24"/>
        </w:numPr>
      </w:pPr>
      <w:r>
        <w:lastRenderedPageBreak/>
        <w:t>We generally consider an efficient base level of opex is sufficient for a prudent and efficient service provider to meet all existing regulatory obligations. This is the same regardless of whether we forecast an efficient base level of opex based on the service provider's own costs or the efficient costs of comparable benchmark providers. We only include a step change in our alternative opex forecast if we are satisfied a prudent and efficient service provider would need an increase in its opex to reasonably reflect the opex criteria.</w:t>
      </w:r>
    </w:p>
    <w:p w:rsidR="00B8317F" w:rsidRPr="00D242B8" w:rsidRDefault="00B8317F" w:rsidP="00B8317F">
      <w:pPr>
        <w:numPr>
          <w:ilvl w:val="0"/>
          <w:numId w:val="24"/>
        </w:numPr>
      </w:pPr>
      <w:r>
        <w:t>W</w:t>
      </w:r>
      <w:r w:rsidRPr="00D242B8">
        <w:t xml:space="preserve">e forecast opex by applying an annual 'rate of change' to the base year for each year of the forecast regulatory control period. </w:t>
      </w:r>
      <w:r w:rsidRPr="00D242B8">
        <w:rPr>
          <w:rStyle w:val="AERbody"/>
        </w:rPr>
        <w:t xml:space="preserve">The annual rate of change accounts for efficient changes in opex over time. </w:t>
      </w:r>
      <w:r w:rsidRPr="00D242B8">
        <w:t>It incorporates adjustments for forecast changes in output, price and productivity. Therefore, when we assess the proposed step changes we need to ensure that the cost of the step change is not already accounted for in any of those three elements included in the annual rate of change. The following explains this principle in more detail.</w:t>
      </w:r>
    </w:p>
    <w:p w:rsidR="00B8317F" w:rsidRPr="00D242B8" w:rsidRDefault="00B8317F" w:rsidP="00B8317F">
      <w:pPr>
        <w:rPr>
          <w:rStyle w:val="AERbody"/>
        </w:rPr>
      </w:pPr>
      <w:r>
        <w:rPr>
          <w:rStyle w:val="AERbody"/>
        </w:rPr>
        <w:t>For example, a</w:t>
      </w:r>
      <w:r w:rsidRPr="00D242B8">
        <w:rPr>
          <w:rStyle w:val="AERbody"/>
        </w:rPr>
        <w:t xml:space="preserve"> step change should not double count the costs of increased volume or scale compensated through the forecast change in output. We account for output growth by applying a forecast output growth factor to the opex base year. If the output growth measure used captures all changes in output then step changes that relate to forecast changes in output will not be required. For example, a step change is not required for the maintenance costs of new office space required due to the service provider's expanding network. The opex forecast has already been increased (from the base year) to account for forecast network growth.</w:t>
      </w:r>
      <w:r w:rsidRPr="00D242B8">
        <w:rPr>
          <w:rStyle w:val="FootnoteReference"/>
        </w:rPr>
        <w:footnoteReference w:id="946"/>
      </w:r>
      <w:r w:rsidRPr="00D242B8">
        <w:rPr>
          <w:rStyle w:val="AERbody"/>
        </w:rPr>
        <w:t xml:space="preserve"> </w:t>
      </w:r>
    </w:p>
    <w:p w:rsidR="00B8317F" w:rsidRPr="00D242B8" w:rsidRDefault="00B8317F" w:rsidP="00B8317F">
      <w:pPr>
        <w:rPr>
          <w:rStyle w:val="AERbody"/>
        </w:rPr>
      </w:pPr>
      <w:r w:rsidRPr="00D242B8">
        <w:rPr>
          <w:rStyle w:val="AERbody"/>
        </w:rPr>
        <w:t>By applying the rate of change to the base year opex, we</w:t>
      </w:r>
      <w:r>
        <w:rPr>
          <w:rStyle w:val="AERbody"/>
        </w:rPr>
        <w:t xml:space="preserve"> also</w:t>
      </w:r>
      <w:r w:rsidRPr="00D242B8">
        <w:rPr>
          <w:rStyle w:val="AERbody"/>
        </w:rPr>
        <w:t xml:space="preserve"> adjust our opex forecast to account for real price increases. A step change should not double count price increases already compensated through this adjustment. Applying a step change for costs that are forecast to increase faster than CPI </w:t>
      </w:r>
      <w:r>
        <w:rPr>
          <w:rStyle w:val="AERbody"/>
        </w:rPr>
        <w:t xml:space="preserve">is </w:t>
      </w:r>
      <w:r w:rsidRPr="00D242B8">
        <w:rPr>
          <w:rStyle w:val="AERbody"/>
        </w:rPr>
        <w:t xml:space="preserve">likely </w:t>
      </w:r>
      <w:r>
        <w:rPr>
          <w:rStyle w:val="AERbody"/>
        </w:rPr>
        <w:t xml:space="preserve">to </w:t>
      </w:r>
      <w:r w:rsidRPr="00D242B8">
        <w:rPr>
          <w:rStyle w:val="AERbody"/>
        </w:rPr>
        <w:t>yield a biased forecast if we do</w:t>
      </w:r>
      <w:r>
        <w:rPr>
          <w:rStyle w:val="AERbody"/>
        </w:rPr>
        <w:t xml:space="preserve"> no</w:t>
      </w:r>
      <w:r w:rsidRPr="00D242B8">
        <w:rPr>
          <w:rStyle w:val="AERbody"/>
        </w:rPr>
        <w:t xml:space="preserve">t also apply a negative step change for costs that are increasing by less than CPI. </w:t>
      </w:r>
      <w:r w:rsidRPr="00D242B8">
        <w:t>A good example is insurance premiums.</w:t>
      </w:r>
      <w:r w:rsidRPr="00D242B8">
        <w:rPr>
          <w:rStyle w:val="AERbody"/>
        </w:rPr>
        <w:t xml:space="preserve"> A step change is not required if insurance premiums are forecast to increase faster than CPI because within total opex there will be other categories whose price is forecast to increase by less than CPI. If we add a step change to account for higher insurance premiums we might provide a more accurate forecast for the insurance category in isolation; however, our forecast for total opex as a whole will be too high. </w:t>
      </w:r>
    </w:p>
    <w:p w:rsidR="00B8317F" w:rsidRPr="00533B91" w:rsidRDefault="00B8317F" w:rsidP="00B8317F">
      <w:r>
        <w:t xml:space="preserve">Further to assessing whether step changes are captured in other elements of our opex forecast, we will assess </w:t>
      </w:r>
      <w:r w:rsidRPr="00347AB2">
        <w:t>the reasons for, and the efficient level</w:t>
      </w:r>
      <w:r>
        <w:t xml:space="preserve"> </w:t>
      </w:r>
      <w:r w:rsidRPr="00347AB2">
        <w:t>of, the incremental costs (</w:t>
      </w:r>
      <w:r>
        <w:t>relative to that funded by base opex and the rate of change</w:t>
      </w:r>
      <w:r w:rsidRPr="00347AB2">
        <w:t xml:space="preserve">) that the </w:t>
      </w:r>
      <w:r>
        <w:t>service provider has</w:t>
      </w:r>
      <w:r w:rsidRPr="00347AB2">
        <w:t xml:space="preserve"> proposed. </w:t>
      </w:r>
      <w:r>
        <w:t>In particular we have regard to</w:t>
      </w:r>
      <w:r w:rsidRPr="00533B91">
        <w:t>:</w:t>
      </w:r>
      <w:r>
        <w:rPr>
          <w:rStyle w:val="FootnoteReference"/>
        </w:rPr>
        <w:footnoteReference w:id="947"/>
      </w:r>
    </w:p>
    <w:p w:rsidR="00B8317F" w:rsidRPr="00856C00" w:rsidRDefault="00B8317F" w:rsidP="00B8317F">
      <w:pPr>
        <w:pStyle w:val="AERbulletlistfirststyle"/>
      </w:pPr>
      <w:r w:rsidRPr="00631860">
        <w:lastRenderedPageBreak/>
        <w:t xml:space="preserve">whether there is a change in </w:t>
      </w:r>
      <w:r w:rsidRPr="00856C00">
        <w:t>circumstances that affects the service provider's efficient forecast expenditure</w:t>
      </w:r>
    </w:p>
    <w:p w:rsidR="00B8317F" w:rsidRPr="00856C00" w:rsidRDefault="00B8317F" w:rsidP="00B8317F">
      <w:pPr>
        <w:pStyle w:val="AERbulletlistfirststyle"/>
      </w:pPr>
      <w:r w:rsidRPr="00631860">
        <w:t xml:space="preserve">what options were considered to </w:t>
      </w:r>
      <w:r w:rsidRPr="00856C00">
        <w:t xml:space="preserve">respond to the change in circumstances </w:t>
      </w:r>
    </w:p>
    <w:p w:rsidR="00B8317F" w:rsidRPr="00856C00" w:rsidRDefault="00B8317F" w:rsidP="00B8317F">
      <w:pPr>
        <w:pStyle w:val="AERbulletlistfirststyle"/>
      </w:pPr>
      <w:r w:rsidRPr="00631860">
        <w:t xml:space="preserve">whether the option selected was </w:t>
      </w:r>
      <w:r w:rsidRPr="00856C00">
        <w:t xml:space="preserve">the most efficient option––that is, whether the service provider took appropriate steps to minimise its expected cost of compliance </w:t>
      </w:r>
    </w:p>
    <w:p w:rsidR="00B8317F" w:rsidRPr="00856C00" w:rsidRDefault="00B8317F" w:rsidP="00B8317F">
      <w:pPr>
        <w:pStyle w:val="AERbulletlistfirststyle"/>
      </w:pPr>
      <w:r w:rsidRPr="00631860">
        <w:t>the efficient costs associated with making the step change</w:t>
      </w:r>
      <w:r w:rsidRPr="00856C00">
        <w:t xml:space="preserve"> and whether the proposal appropriately quantified all costs savings and benefits</w:t>
      </w:r>
    </w:p>
    <w:p w:rsidR="00B8317F" w:rsidRPr="00856C00" w:rsidRDefault="00B8317F" w:rsidP="00B8317F">
      <w:pPr>
        <w:pStyle w:val="AERbulletlistfirststyle"/>
      </w:pPr>
      <w:r w:rsidRPr="00631860">
        <w:t>when this change event occurs and when it is efficient to incur expenditure</w:t>
      </w:r>
      <w:r w:rsidRPr="00856C00">
        <w:t xml:space="preserve">, including whether it can be completed over the regulatory period </w:t>
      </w:r>
    </w:p>
    <w:p w:rsidR="00B8317F" w:rsidRPr="00856C00" w:rsidRDefault="00B8317F" w:rsidP="00B8317F">
      <w:pPr>
        <w:pStyle w:val="AERbulletlistfirststyle"/>
      </w:pPr>
      <w:r w:rsidRPr="00631860">
        <w:t>whether the costs can be met from existing regulatory allowances or from other elements of the expenditure forecasts.</w:t>
      </w:r>
    </w:p>
    <w:p w:rsidR="00B8317F" w:rsidRDefault="00B8317F" w:rsidP="00B8317F">
      <w:pPr>
        <w:numPr>
          <w:ilvl w:val="0"/>
          <w:numId w:val="24"/>
        </w:numPr>
      </w:pPr>
      <w:r>
        <w:t xml:space="preserve">One important consideration is </w:t>
      </w:r>
      <w:r w:rsidRPr="00641734">
        <w:t>whether each proposed step change</w:t>
      </w:r>
      <w:r>
        <w:t xml:space="preserve"> </w:t>
      </w:r>
      <w:r w:rsidRPr="00641734">
        <w:t xml:space="preserve">is driven by an external obligation (such as new legislation or regulations) or an internal management decision (such as a decision to increase maintenance opex). </w:t>
      </w:r>
      <w:r w:rsidRPr="004A4328">
        <w:t xml:space="preserve">Step changes should </w:t>
      </w:r>
      <w:r>
        <w:t xml:space="preserve">generally </w:t>
      </w:r>
      <w:r w:rsidRPr="004A4328">
        <w:t xml:space="preserve">relate to a new obligation or some change in </w:t>
      </w:r>
      <w:r>
        <w:t>the service provider's</w:t>
      </w:r>
      <w:r w:rsidRPr="004A4328">
        <w:t xml:space="preserve"> operating environment beyond its control</w:t>
      </w:r>
      <w:r>
        <w:t xml:space="preserve"> in order to be expenditure that reasonably reflects the opex criteria</w:t>
      </w:r>
      <w:r w:rsidRPr="004A4328">
        <w:t>.</w:t>
      </w:r>
      <w:r>
        <w:t xml:space="preserve"> It is not enough to simply demonstrate an efficient cost will be incurred for an activity that was not previously undertaken. As noted above, the opex forecasting approach may capture these costs elsewhere.</w:t>
      </w:r>
    </w:p>
    <w:p w:rsidR="00B8317F" w:rsidRDefault="00B8317F" w:rsidP="00B8317F">
      <w:pPr>
        <w:numPr>
          <w:ilvl w:val="0"/>
          <w:numId w:val="24"/>
        </w:numPr>
        <w:rPr>
          <w:rStyle w:val="AERbody"/>
        </w:rPr>
      </w:pPr>
      <w:r>
        <w:rPr>
          <w:rStyle w:val="AERbody"/>
        </w:rPr>
        <w:t>Usually increases in costs</w:t>
      </w:r>
      <w:r w:rsidRPr="007920BD">
        <w:rPr>
          <w:rStyle w:val="AERbody"/>
        </w:rPr>
        <w:t xml:space="preserve"> </w:t>
      </w:r>
      <w:r>
        <w:rPr>
          <w:rStyle w:val="AERbody"/>
        </w:rPr>
        <w:t>are not required for</w:t>
      </w:r>
      <w:r w:rsidRPr="007920BD">
        <w:rPr>
          <w:rStyle w:val="AERbody"/>
        </w:rPr>
        <w:t xml:space="preserve"> discretionary changes in inputs.</w:t>
      </w:r>
      <w:r>
        <w:rPr>
          <w:rStyle w:val="FootnoteReference"/>
        </w:rPr>
        <w:footnoteReference w:id="948"/>
      </w:r>
      <w:r w:rsidRPr="007920BD">
        <w:rPr>
          <w:rStyle w:val="AERbody"/>
        </w:rPr>
        <w:t xml:space="preserve"> Efficient discretionary changes in inputs (not required to increase output) should normally have a net negative impact on expenditure. </w:t>
      </w:r>
      <w:r>
        <w:rPr>
          <w:rStyle w:val="AERbody"/>
        </w:rPr>
        <w:t>For example, a service provider may choose to invest capex and opex in a new IT solution. The service provider should not be provided with an increase in its total opex to finance the new IT</w:t>
      </w:r>
      <w:r w:rsidRPr="00FE0A44">
        <w:t xml:space="preserve"> </w:t>
      </w:r>
      <w:r>
        <w:rPr>
          <w:rStyle w:val="AERbody"/>
        </w:rPr>
        <w:t xml:space="preserve">since the outlay should be at least offset by a reduction in other costs if it is efficient. This means </w:t>
      </w:r>
      <w:r>
        <w:t>w</w:t>
      </w:r>
      <w:r w:rsidRPr="00631860">
        <w:t>e will not allow step changes</w:t>
      </w:r>
      <w:r>
        <w:t xml:space="preserve"> </w:t>
      </w:r>
      <w:r w:rsidRPr="00631860">
        <w:t xml:space="preserve">for any short-term cost to </w:t>
      </w:r>
      <w:r>
        <w:t>a service provider</w:t>
      </w:r>
      <w:r w:rsidRPr="00631860">
        <w:t xml:space="preserve"> of implementing efficiency improvements. We expect </w:t>
      </w:r>
      <w:r>
        <w:t>the service provider</w:t>
      </w:r>
      <w:r w:rsidRPr="00631860">
        <w:t xml:space="preserve"> to bear such costs and thereby make efficient trade-offs between bearing these costs and achieving future efficiencies.</w:t>
      </w:r>
      <w:r>
        <w:t xml:space="preserve"> </w:t>
      </w:r>
    </w:p>
    <w:p w:rsidR="00B8317F" w:rsidRDefault="00B8317F" w:rsidP="00B8317F">
      <w:pPr>
        <w:rPr>
          <w:rStyle w:val="AERbody"/>
        </w:rPr>
      </w:pPr>
      <w:r>
        <w:rPr>
          <w:rStyle w:val="AERbody"/>
        </w:rPr>
        <w:t>One situation where a step change to total opex may be required is when a service provider chooses an operating solution to replace a capital one.</w:t>
      </w:r>
      <w:r>
        <w:rPr>
          <w:rStyle w:val="FootnoteReference"/>
        </w:rPr>
        <w:footnoteReference w:id="949"/>
      </w:r>
      <w:r>
        <w:rPr>
          <w:rStyle w:val="AERbody"/>
        </w:rPr>
        <w:t xml:space="preserve"> For example, it may choose to lease vehicles when it previously purchased them. </w:t>
      </w:r>
      <w:r w:rsidRPr="007920BD">
        <w:rPr>
          <w:rStyle w:val="AERbody"/>
        </w:rPr>
        <w:t xml:space="preserve">For </w:t>
      </w:r>
      <w:r>
        <w:rPr>
          <w:rStyle w:val="AERbody"/>
        </w:rPr>
        <w:t xml:space="preserve">these </w:t>
      </w:r>
      <w:r w:rsidRPr="007920BD">
        <w:rPr>
          <w:rStyle w:val="AERbody"/>
        </w:rPr>
        <w:t>capex/opex trade-off step changes, we will assess whether it is prudent and efficient to substitute capex for opex or vice versa.</w:t>
      </w:r>
      <w:r>
        <w:rPr>
          <w:rStyle w:val="AERbody"/>
        </w:rPr>
        <w:t xml:space="preserve"> In doing so we will assess whether the forecast opex over the life of the alternative capital solution is less than the capex in NPV terms.</w:t>
      </w:r>
    </w:p>
    <w:p w:rsidR="00B8317F" w:rsidRDefault="00B8317F" w:rsidP="00B8317F">
      <w:r>
        <w:lastRenderedPageBreak/>
        <w:t>We do not agree</w:t>
      </w:r>
      <w:r w:rsidRPr="003C4DCE">
        <w:t xml:space="preserve"> with </w:t>
      </w:r>
      <w:r>
        <w:t>Endeavour Energy</w:t>
      </w:r>
      <w:r w:rsidRPr="003C4DCE">
        <w:t xml:space="preserve"> that our assessment approach </w:t>
      </w:r>
      <w:r>
        <w:t>will not completely capture the decision making criteria in the NER</w:t>
      </w:r>
      <w:r w:rsidRPr="003C4DCE">
        <w:t xml:space="preserve">. </w:t>
      </w:r>
      <w:r>
        <w:t>As outlined in our draft decision and above, step changes are provided in our assessment approach for any additional</w:t>
      </w:r>
      <w:r w:rsidRPr="00FE1EF3">
        <w:t xml:space="preserve"> </w:t>
      </w:r>
      <w:r>
        <w:t>costs, further to our estimate of base opex and the rate of change, that are needed for the total opex forecast to reasonably reflect the opex criteria</w:t>
      </w:r>
      <w:r w:rsidRPr="00641734">
        <w:t>.</w:t>
      </w:r>
      <w:r>
        <w:t xml:space="preserve"> This is consistent with the NER.</w:t>
      </w:r>
    </w:p>
    <w:p w:rsidR="00B8317F" w:rsidRDefault="00B8317F" w:rsidP="00B8317F">
      <w:r>
        <w:t>We are open to considering all step changes that have not already been accounted for in our opex forecast through our estimate of base opex or the estimate of the rate of change. If we are presented with persuasive evidence that a service provider would incur additional opex to meet the opex criteria that is not accounted for elsewhere in our alternative opex forecast, then we will include a step change in our forecast.</w:t>
      </w:r>
    </w:p>
    <w:p w:rsidR="00B8317F" w:rsidRPr="00BD28FC" w:rsidRDefault="00B8317F" w:rsidP="00BD28FC">
      <w:pPr>
        <w:pStyle w:val="Heading9"/>
      </w:pPr>
      <w:bookmarkStart w:id="440" w:name="_Toc417659889"/>
      <w:r w:rsidRPr="00BD28FC">
        <w:t>Vegetation management</w:t>
      </w:r>
      <w:bookmarkEnd w:id="440"/>
    </w:p>
    <w:p w:rsidR="00B8317F" w:rsidRDefault="00B8317F" w:rsidP="00B8317F">
      <w:pPr>
        <w:pStyle w:val="ListParagraph"/>
        <w:numPr>
          <w:ilvl w:val="0"/>
          <w:numId w:val="24"/>
        </w:numPr>
        <w:rPr>
          <w:rStyle w:val="AERbody"/>
        </w:rPr>
      </w:pPr>
      <w:r w:rsidRPr="00D35694">
        <w:rPr>
          <w:rStyle w:val="AERbody"/>
        </w:rPr>
        <w:t>Consistent with our draft decision, our final position is not to include a step change for vegetation management in our alternative opex forecast.</w:t>
      </w:r>
      <w:r>
        <w:rPr>
          <w:rStyle w:val="AERbody"/>
        </w:rPr>
        <w:t xml:space="preserve"> </w:t>
      </w:r>
    </w:p>
    <w:p w:rsidR="00B8317F" w:rsidRDefault="00B8317F" w:rsidP="00B8317F">
      <w:pPr>
        <w:numPr>
          <w:ilvl w:val="0"/>
          <w:numId w:val="24"/>
        </w:numPr>
      </w:pPr>
      <w:r>
        <w:rPr>
          <w:rStyle w:val="AERbody"/>
        </w:rPr>
        <w:t>Endeavour Energy's</w:t>
      </w:r>
      <w:r w:rsidRPr="00D35694">
        <w:rPr>
          <w:rStyle w:val="AERbody"/>
        </w:rPr>
        <w:t xml:space="preserve"> proposed </w:t>
      </w:r>
      <w:r>
        <w:rPr>
          <w:rStyle w:val="AERbody"/>
        </w:rPr>
        <w:t>step</w:t>
      </w:r>
      <w:r w:rsidRPr="00D35694">
        <w:rPr>
          <w:rStyle w:val="AERbody"/>
        </w:rPr>
        <w:t xml:space="preserve"> change relates to </w:t>
      </w:r>
      <w:r>
        <w:rPr>
          <w:rStyle w:val="AERbody"/>
        </w:rPr>
        <w:t xml:space="preserve">its </w:t>
      </w:r>
      <w:r w:rsidRPr="00D35694">
        <w:rPr>
          <w:rStyle w:val="AERbody"/>
        </w:rPr>
        <w:t>existing regulatory obligation</w:t>
      </w:r>
      <w:r>
        <w:rPr>
          <w:rStyle w:val="AERbody"/>
        </w:rPr>
        <w:t>s</w:t>
      </w:r>
      <w:r w:rsidRPr="00D35694">
        <w:rPr>
          <w:rStyle w:val="AERbody"/>
        </w:rPr>
        <w:t xml:space="preserve">. </w:t>
      </w:r>
      <w:r>
        <w:t xml:space="preserve">We generally consider our estimate of base opex is sufficient for a prudent and efficient service provider to meet all its existing regulatory obligations in the base year. We only include a step change in our alternative opex forecast if we are satisfied an increase above this amount is necessary to reasonably reflect the opex criteria. </w:t>
      </w:r>
    </w:p>
    <w:p w:rsidR="00B8317F" w:rsidRDefault="00B8317F" w:rsidP="00B8317F">
      <w:r>
        <w:t xml:space="preserve">In considering whether we should or should not accept Endeavour Energy's actual opex in 2012–13 as the starting point for our forecast we considered what other service providers have incurred in the past in meeting their regulatory obligations. </w:t>
      </w:r>
      <w:r>
        <w:rPr>
          <w:rStyle w:val="AERbody"/>
        </w:rPr>
        <w:t xml:space="preserve">One of the opex factors we must have regard to when considering whether a forecast reasonably reflects the opex criteria is the benchmark opex of an efficient service provider. </w:t>
      </w:r>
      <w:r>
        <w:t xml:space="preserve">After taking into account a wide range of operating environment factors which would affect Endeavour Energy's opex, we are satisfied that the total amount of opex Endeavour Energy incurred in 2012–13 would reasonably reflect the opex criteria based on the regulatory obligations it faced in that year. While we were not confident that the total opex it incurred in 2012–13 was materially inefficient, our decision was marginal. </w:t>
      </w:r>
      <w:r w:rsidRPr="00095E6C">
        <w:rPr>
          <w:rStyle w:val="AERbody"/>
        </w:rPr>
        <w:t>(Appendix A.7.3)</w:t>
      </w:r>
    </w:p>
    <w:p w:rsidR="00B8317F" w:rsidRDefault="00B8317F" w:rsidP="00B8317F">
      <w:r>
        <w:t xml:space="preserve">Given our findings on the relative efficiency of Endeavour Energy's base opex, it would be inconsistent with the opex criteria for us to approve a further material increase in opex for Endeavour Energy </w:t>
      </w:r>
      <w:r w:rsidRPr="00AD3E06">
        <w:t>to meet its existing regulatory obligations.</w:t>
      </w:r>
      <w:r>
        <w:t xml:space="preserve"> For instance, Endeavour Energy's proposed increase in opex for vegetation management increased its opex forecast by more than $240 million (real 2013–14) over the 2014–19 regulatory control period.</w:t>
      </w:r>
      <w:r>
        <w:rPr>
          <w:rStyle w:val="FootnoteReference"/>
        </w:rPr>
        <w:footnoteReference w:id="950"/>
      </w:r>
      <w:r>
        <w:t xml:space="preserve"> This adds almost 20 per cent to Endeavour Energy's opex forecast. If Endeavour Energy incurred materially higher opex in 2012–13 in complying with its regulatory obligations, it would appear materially inefficient when compared to </w:t>
      </w:r>
      <w:r>
        <w:lastRenderedPageBreak/>
        <w:t xml:space="preserve">other service providers. In this case we would not be using its actual opex as the starting point for our forecast. </w:t>
      </w:r>
    </w:p>
    <w:p w:rsidR="00B8317F" w:rsidRDefault="00B8317F" w:rsidP="00B8317F">
      <w:pPr>
        <w:rPr>
          <w:rStyle w:val="AERbody"/>
        </w:rPr>
      </w:pPr>
      <w:r>
        <w:t>We have considered Endeavour Energy's reported non-compliance with its standards in 2012–13. However, we do not consider this should lead to a change in our opex forecast. In arriving at our views on Endeavour Energy's base opex we have</w:t>
      </w:r>
      <w:r>
        <w:rPr>
          <w:rStyle w:val="AERbody"/>
        </w:rPr>
        <w:t xml:space="preserve"> already considered a range of different factors likely to affect the efficient cost of complying with its regulatory obligations. For instance:</w:t>
      </w:r>
    </w:p>
    <w:p w:rsidR="00B8317F" w:rsidRDefault="00B8317F" w:rsidP="00B8317F">
      <w:pPr>
        <w:pStyle w:val="AERbulletlistfirststyle"/>
        <w:rPr>
          <w:rStyle w:val="AERbody"/>
        </w:rPr>
      </w:pPr>
      <w:r>
        <w:rPr>
          <w:rStyle w:val="AERbody"/>
        </w:rPr>
        <w:t>We considered safety and reliability metrics for all distributors (including those who form part of our benchmark comparison point).  It demonstrates that the comparator providers operate safe and reliable networks</w:t>
      </w:r>
      <w:r w:rsidRPr="00955BD1">
        <w:rPr>
          <w:rStyle w:val="AERbody"/>
        </w:rPr>
        <w:t>. (</w:t>
      </w:r>
      <w:r w:rsidRPr="00095E6C">
        <w:rPr>
          <w:rStyle w:val="AERbody"/>
        </w:rPr>
        <w:t>Appendix A.6.6</w:t>
      </w:r>
      <w:r w:rsidRPr="00955BD1">
        <w:rPr>
          <w:rStyle w:val="AERbody"/>
        </w:rPr>
        <w:t>).</w:t>
      </w:r>
    </w:p>
    <w:p w:rsidR="00B8317F" w:rsidRPr="00AB31E3" w:rsidRDefault="00B8317F" w:rsidP="00B8317F">
      <w:pPr>
        <w:pStyle w:val="AERbulletlistfirststyle"/>
        <w:rPr>
          <w:rStyle w:val="AERtexthighlight"/>
        </w:rPr>
      </w:pPr>
      <w:r>
        <w:rPr>
          <w:rStyle w:val="AERbody"/>
        </w:rPr>
        <w:t xml:space="preserve">We have considered the vegetation management obligations facing Endeavour Energy relative to providers in Victoria.  We consider the vegetation management obligations facing Victorian service providers were more stringent in the benchmark period than the obligations facing Endeavour </w:t>
      </w:r>
      <w:r w:rsidRPr="00955BD1">
        <w:rPr>
          <w:rStyle w:val="AERbody"/>
        </w:rPr>
        <w:t>Energy (</w:t>
      </w:r>
      <w:r w:rsidRPr="00095E6C">
        <w:rPr>
          <w:rStyle w:val="AERbody"/>
        </w:rPr>
        <w:t>Appendix A.6.7).</w:t>
      </w:r>
      <w:r w:rsidRPr="00F3256C">
        <w:rPr>
          <w:rStyle w:val="AERtexthighlight"/>
        </w:rPr>
        <w:t xml:space="preserve">  </w:t>
      </w:r>
    </w:p>
    <w:p w:rsidR="00B8317F" w:rsidRPr="00955BD1" w:rsidRDefault="00B8317F" w:rsidP="00B8317F">
      <w:pPr>
        <w:pStyle w:val="AERbulletlistfirststyle"/>
        <w:rPr>
          <w:rStyle w:val="AERbody"/>
        </w:rPr>
      </w:pPr>
      <w:r w:rsidRPr="00F3256C">
        <w:rPr>
          <w:rStyle w:val="AERbody"/>
        </w:rPr>
        <w:t xml:space="preserve">We have considered the division in responsibilities in </w:t>
      </w:r>
      <w:r>
        <w:rPr>
          <w:rStyle w:val="AERbody"/>
        </w:rPr>
        <w:t>managing</w:t>
      </w:r>
      <w:r w:rsidRPr="00F3256C">
        <w:rPr>
          <w:rStyle w:val="AERbody"/>
        </w:rPr>
        <w:t xml:space="preserve"> vegetation </w:t>
      </w:r>
      <w:r>
        <w:rPr>
          <w:rStyle w:val="AERbody"/>
        </w:rPr>
        <w:t>close to powerlines</w:t>
      </w:r>
      <w:r w:rsidRPr="00F3256C">
        <w:rPr>
          <w:rStyle w:val="AERbody"/>
        </w:rPr>
        <w:t xml:space="preserve"> across different </w:t>
      </w:r>
      <w:r w:rsidRPr="00955BD1">
        <w:rPr>
          <w:rStyle w:val="AERbody"/>
        </w:rPr>
        <w:t>jurisdictions</w:t>
      </w:r>
      <w:r w:rsidRPr="00095E6C">
        <w:rPr>
          <w:rStyle w:val="AERbody"/>
        </w:rPr>
        <w:t xml:space="preserve"> (Appendix A.6.8)</w:t>
      </w:r>
    </w:p>
    <w:p w:rsidR="00B8317F" w:rsidRDefault="00B8317F" w:rsidP="00B8317F">
      <w:pPr>
        <w:rPr>
          <w:rStyle w:val="AERbody"/>
        </w:rPr>
      </w:pPr>
      <w:r>
        <w:rPr>
          <w:rStyle w:val="AERbody"/>
        </w:rPr>
        <w:t>Providing a safe and reliable network service with comparable vegetation management obligations is therefore already reflected in our benchmark comparison point. Endeavour Energy's total opex in 2012–13 reasonably reflects the opex criteria when compared with this comparison point.  It does not suggest Endeavour Energy would need a further material increase in its opex.</w:t>
      </w:r>
    </w:p>
    <w:p w:rsidR="00B8317F" w:rsidRDefault="00B8317F" w:rsidP="00B8317F">
      <w:r>
        <w:t xml:space="preserve">As outlined below in </w:t>
      </w:r>
      <w:r>
        <w:fldChar w:fldCharType="begin"/>
      </w:r>
      <w:r>
        <w:instrText xml:space="preserve"> REF _Ref416697604 \h </w:instrText>
      </w:r>
      <w:r>
        <w:fldChar w:fldCharType="separate"/>
      </w:r>
      <w:r w:rsidR="00C57342" w:rsidRPr="00BD28FC">
        <w:t xml:space="preserve">Table </w:t>
      </w:r>
      <w:r w:rsidR="00C57342">
        <w:rPr>
          <w:noProof/>
        </w:rPr>
        <w:t>C</w:t>
      </w:r>
      <w:r w:rsidR="00C57342">
        <w:t>.</w:t>
      </w:r>
      <w:r w:rsidR="00C57342">
        <w:rPr>
          <w:noProof/>
        </w:rPr>
        <w:t>2</w:t>
      </w:r>
      <w:r>
        <w:fldChar w:fldCharType="end"/>
      </w:r>
      <w:r>
        <w:t xml:space="preserve"> we also note that a large proportion of Endeavour Energy's proposed increase in vegetation management relates to existing network and corporate overhead costs which are allocated to vegetation management as a result of Endeavour Energy's cost allocation methodology. </w:t>
      </w:r>
      <w:r>
        <w:rPr>
          <w:rStyle w:val="AERbody"/>
        </w:rPr>
        <w:t xml:space="preserve">Because Endeavour Energy forecasts an increase in vegetation management as a proportion of opex, and its opex increases relative to capex, overheads allocated to vegetation management have increased. </w:t>
      </w:r>
      <w:r>
        <w:t>These expenses are not directly related to vegetation management.</w:t>
      </w:r>
    </w:p>
    <w:p w:rsidR="00BD28FC" w:rsidRDefault="00BD28FC">
      <w:pPr>
        <w:spacing w:line="240" w:lineRule="auto"/>
      </w:pPr>
      <w:r>
        <w:br w:type="page"/>
      </w:r>
    </w:p>
    <w:p w:rsidR="00B8317F" w:rsidRDefault="00BD28FC" w:rsidP="00B8317F">
      <w:pPr>
        <w:pStyle w:val="Caption"/>
      </w:pPr>
      <w:bookmarkStart w:id="441" w:name="_Ref416697604"/>
      <w:r w:rsidRPr="00BD28FC">
        <w:lastRenderedPageBreak/>
        <w:t xml:space="preserve">Table </w:t>
      </w:r>
      <w:fldSimple w:instr=" STYLEREF 7 \s ">
        <w:r w:rsidR="00C57342">
          <w:rPr>
            <w:noProof/>
          </w:rPr>
          <w:t>C</w:t>
        </w:r>
      </w:fldSimple>
      <w:r w:rsidR="009A39A7">
        <w:t>.</w:t>
      </w:r>
      <w:fldSimple w:instr=" SEQ ATable \* ARABIC \s 7 ">
        <w:r w:rsidR="00C57342">
          <w:rPr>
            <w:noProof/>
          </w:rPr>
          <w:t>2</w:t>
        </w:r>
      </w:fldSimple>
      <w:bookmarkEnd w:id="441"/>
      <w:r w:rsidR="00B8317F">
        <w:tab/>
        <w:t>Endeavour Energy - Actual and forecast vegetation management expenditure ($ million, 2013–14)</w:t>
      </w:r>
    </w:p>
    <w:tbl>
      <w:tblPr>
        <w:tblStyle w:val="AERtable-numbers"/>
        <w:tblW w:w="0" w:type="auto"/>
        <w:tblLook w:val="04A0" w:firstRow="1" w:lastRow="0" w:firstColumn="1" w:lastColumn="0" w:noHBand="0" w:noVBand="1"/>
      </w:tblPr>
      <w:tblGrid>
        <w:gridCol w:w="1950"/>
        <w:gridCol w:w="986"/>
        <w:gridCol w:w="236"/>
        <w:gridCol w:w="1104"/>
        <w:gridCol w:w="1104"/>
        <w:gridCol w:w="1104"/>
        <w:gridCol w:w="1104"/>
        <w:gridCol w:w="1104"/>
      </w:tblGrid>
      <w:tr w:rsidR="00B8317F" w:rsidTr="002B5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B8317F" w:rsidRDefault="00B8317F" w:rsidP="00B8317F"/>
        </w:tc>
        <w:tc>
          <w:tcPr>
            <w:tcW w:w="986"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t>2012-13</w:t>
            </w:r>
          </w:p>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t>Base year</w:t>
            </w:r>
          </w:p>
        </w:tc>
        <w:tc>
          <w:tcPr>
            <w:tcW w:w="236" w:type="dxa"/>
          </w:tcPr>
          <w:p w:rsidR="00B8317F" w:rsidRDefault="00B8317F" w:rsidP="00B8317F">
            <w:pPr>
              <w:cnfStyle w:val="100000000000" w:firstRow="1" w:lastRow="0" w:firstColumn="0" w:lastColumn="0" w:oddVBand="0" w:evenVBand="0" w:oddHBand="0" w:evenHBand="0" w:firstRowFirstColumn="0" w:firstRowLastColumn="0" w:lastRowFirstColumn="0" w:lastRowLastColumn="0"/>
            </w:pPr>
          </w:p>
        </w:tc>
        <w:tc>
          <w:tcPr>
            <w:tcW w:w="1104"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t>2014-15</w:t>
            </w:r>
          </w:p>
        </w:tc>
        <w:tc>
          <w:tcPr>
            <w:tcW w:w="1104"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t>2015-16</w:t>
            </w:r>
          </w:p>
        </w:tc>
        <w:tc>
          <w:tcPr>
            <w:tcW w:w="1104"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t>2016-17</w:t>
            </w:r>
          </w:p>
        </w:tc>
        <w:tc>
          <w:tcPr>
            <w:tcW w:w="1104"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t>2018-19</w:t>
            </w:r>
          </w:p>
        </w:tc>
        <w:tc>
          <w:tcPr>
            <w:tcW w:w="1104" w:type="dxa"/>
          </w:tcPr>
          <w:p w:rsidR="00B8317F" w:rsidRPr="00B8317F" w:rsidRDefault="00B8317F" w:rsidP="00B8317F">
            <w:pPr>
              <w:cnfStyle w:val="100000000000" w:firstRow="1" w:lastRow="0" w:firstColumn="0" w:lastColumn="0" w:oddVBand="0" w:evenVBand="0" w:oddHBand="0" w:evenHBand="0" w:firstRowFirstColumn="0" w:firstRowLastColumn="0" w:lastRowFirstColumn="0" w:lastRowLastColumn="0"/>
            </w:pPr>
            <w:r>
              <w:t>2019-20</w:t>
            </w:r>
          </w:p>
        </w:tc>
      </w:tr>
      <w:tr w:rsidR="00B8317F" w:rsidTr="002B5F41">
        <w:tc>
          <w:tcPr>
            <w:cnfStyle w:val="001000000000" w:firstRow="0" w:lastRow="0" w:firstColumn="1" w:lastColumn="0" w:oddVBand="0" w:evenVBand="0" w:oddHBand="0" w:evenHBand="0" w:firstRowFirstColumn="0" w:firstRowLastColumn="0" w:lastRowFirstColumn="0" w:lastRowLastColumn="0"/>
            <w:tcW w:w="1951" w:type="dxa"/>
          </w:tcPr>
          <w:p w:rsidR="00B8317F" w:rsidRPr="007E1033" w:rsidRDefault="00B8317F" w:rsidP="00B8317F"/>
        </w:tc>
        <w:tc>
          <w:tcPr>
            <w:tcW w:w="98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Actual</w:t>
            </w:r>
            <w:r w:rsidRPr="00B8317F">
              <w:rPr>
                <w:rStyle w:val="FootnoteReference"/>
              </w:rPr>
              <w:footnoteReference w:id="951"/>
            </w:r>
          </w:p>
        </w:tc>
        <w:tc>
          <w:tcPr>
            <w:tcW w:w="236" w:type="dxa"/>
          </w:tcPr>
          <w:p w:rsidR="00B8317F" w:rsidRPr="007E1033" w:rsidRDefault="00B8317F" w:rsidP="00B8317F">
            <w:pPr>
              <w:cnfStyle w:val="000000000000" w:firstRow="0" w:lastRow="0" w:firstColumn="0" w:lastColumn="0" w:oddVBand="0" w:evenVBand="0" w:oddHBand="0" w:evenHBand="0" w:firstRowFirstColumn="0" w:firstRowLastColumn="0" w:lastRowFirstColumn="0" w:lastRowLastColumn="0"/>
            </w:pPr>
          </w:p>
        </w:tc>
        <w:tc>
          <w:tcPr>
            <w:tcW w:w="110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Forecast</w:t>
            </w:r>
          </w:p>
        </w:tc>
        <w:tc>
          <w:tcPr>
            <w:tcW w:w="110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Forecast</w:t>
            </w:r>
          </w:p>
        </w:tc>
        <w:tc>
          <w:tcPr>
            <w:tcW w:w="110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Forecast</w:t>
            </w:r>
          </w:p>
        </w:tc>
        <w:tc>
          <w:tcPr>
            <w:tcW w:w="110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Forecast</w:t>
            </w:r>
          </w:p>
        </w:tc>
        <w:tc>
          <w:tcPr>
            <w:tcW w:w="110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Forecast</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B8317F" w:rsidRPr="00B8317F" w:rsidRDefault="00B8317F" w:rsidP="00B8317F">
            <w:r w:rsidRPr="007E1033">
              <w:t>Vegetation management - direct costs</w:t>
            </w:r>
          </w:p>
        </w:tc>
        <w:tc>
          <w:tcPr>
            <w:tcW w:w="98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t>25.1</w:t>
            </w:r>
          </w:p>
        </w:tc>
        <w:tc>
          <w:tcPr>
            <w:tcW w:w="236" w:type="dxa"/>
          </w:tcPr>
          <w:p w:rsidR="00B8317F" w:rsidRPr="007E1033" w:rsidRDefault="00B8317F" w:rsidP="00B8317F">
            <w:pPr>
              <w:cnfStyle w:val="000000010000" w:firstRow="0" w:lastRow="0" w:firstColumn="0" w:lastColumn="0" w:oddVBand="0" w:evenVBand="0" w:oddHBand="0" w:evenHBand="1" w:firstRowFirstColumn="0" w:firstRowLastColumn="0" w:lastRowFirstColumn="0" w:lastRowLastColumn="0"/>
            </w:pPr>
          </w:p>
        </w:tc>
        <w:tc>
          <w:tcPr>
            <w:tcW w:w="1104"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7E1033">
              <w:t xml:space="preserve">40.4 </w:t>
            </w:r>
          </w:p>
        </w:tc>
        <w:tc>
          <w:tcPr>
            <w:tcW w:w="1104"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7E1033">
              <w:t xml:space="preserve">42.0 </w:t>
            </w:r>
          </w:p>
        </w:tc>
        <w:tc>
          <w:tcPr>
            <w:tcW w:w="1104"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7E1033">
              <w:t xml:space="preserve">41.9 </w:t>
            </w:r>
          </w:p>
        </w:tc>
        <w:tc>
          <w:tcPr>
            <w:tcW w:w="1104"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7E1033">
              <w:t xml:space="preserve">41.7 </w:t>
            </w:r>
          </w:p>
        </w:tc>
        <w:tc>
          <w:tcPr>
            <w:tcW w:w="1104"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7E1033">
              <w:t xml:space="preserve">41.6 </w:t>
            </w:r>
          </w:p>
        </w:tc>
      </w:tr>
      <w:tr w:rsidR="00B8317F" w:rsidTr="002B5F41">
        <w:tc>
          <w:tcPr>
            <w:cnfStyle w:val="001000000000" w:firstRow="0" w:lastRow="0" w:firstColumn="1" w:lastColumn="0" w:oddVBand="0" w:evenVBand="0" w:oddHBand="0" w:evenHBand="0" w:firstRowFirstColumn="0" w:firstRowLastColumn="0" w:lastRowFirstColumn="0" w:lastRowLastColumn="0"/>
            <w:tcW w:w="1951" w:type="dxa"/>
          </w:tcPr>
          <w:p w:rsidR="00B8317F" w:rsidRPr="00B8317F" w:rsidRDefault="00B8317F" w:rsidP="00B8317F">
            <w:r w:rsidRPr="007E1033">
              <w:t xml:space="preserve">Vegetation management - </w:t>
            </w:r>
            <w:r w:rsidRPr="00B8317F">
              <w:t>corporate and network overheads</w:t>
            </w:r>
          </w:p>
        </w:tc>
        <w:tc>
          <w:tcPr>
            <w:tcW w:w="986"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t>17.5</w:t>
            </w:r>
          </w:p>
        </w:tc>
        <w:tc>
          <w:tcPr>
            <w:tcW w:w="236" w:type="dxa"/>
          </w:tcPr>
          <w:p w:rsidR="00B8317F" w:rsidRPr="007E1033" w:rsidRDefault="00B8317F" w:rsidP="00B8317F">
            <w:pPr>
              <w:cnfStyle w:val="000000000000" w:firstRow="0" w:lastRow="0" w:firstColumn="0" w:lastColumn="0" w:oddVBand="0" w:evenVBand="0" w:oddHBand="0" w:evenHBand="0" w:firstRowFirstColumn="0" w:firstRowLastColumn="0" w:lastRowFirstColumn="0" w:lastRowLastColumn="0"/>
            </w:pPr>
          </w:p>
        </w:tc>
        <w:tc>
          <w:tcPr>
            <w:tcW w:w="110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7E1033">
              <w:t xml:space="preserve">38.0 </w:t>
            </w:r>
          </w:p>
        </w:tc>
        <w:tc>
          <w:tcPr>
            <w:tcW w:w="110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7E1033">
              <w:t xml:space="preserve">46.8 </w:t>
            </w:r>
          </w:p>
        </w:tc>
        <w:tc>
          <w:tcPr>
            <w:tcW w:w="110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7E1033">
              <w:t xml:space="preserve">46.7 </w:t>
            </w:r>
          </w:p>
        </w:tc>
        <w:tc>
          <w:tcPr>
            <w:tcW w:w="110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7E1033">
              <w:t xml:space="preserve">47.0 </w:t>
            </w:r>
          </w:p>
        </w:tc>
        <w:tc>
          <w:tcPr>
            <w:tcW w:w="1104" w:type="dxa"/>
          </w:tcPr>
          <w:p w:rsidR="00B8317F" w:rsidRPr="00B8317F" w:rsidRDefault="00B8317F" w:rsidP="00B8317F">
            <w:pPr>
              <w:cnfStyle w:val="000000000000" w:firstRow="0" w:lastRow="0" w:firstColumn="0" w:lastColumn="0" w:oddVBand="0" w:evenVBand="0" w:oddHBand="0" w:evenHBand="0" w:firstRowFirstColumn="0" w:firstRowLastColumn="0" w:lastRowFirstColumn="0" w:lastRowLastColumn="0"/>
            </w:pPr>
            <w:r w:rsidRPr="007E1033">
              <w:t xml:space="preserve">47.5 </w:t>
            </w:r>
          </w:p>
        </w:tc>
      </w:tr>
      <w:tr w:rsidR="00B8317F" w:rsidTr="002B5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B8317F" w:rsidRPr="00B8317F" w:rsidRDefault="00B8317F" w:rsidP="00B8317F">
            <w:r>
              <w:t>Total</w:t>
            </w:r>
          </w:p>
        </w:tc>
        <w:tc>
          <w:tcPr>
            <w:tcW w:w="986"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t>42.6</w:t>
            </w:r>
          </w:p>
        </w:tc>
        <w:tc>
          <w:tcPr>
            <w:tcW w:w="236" w:type="dxa"/>
          </w:tcPr>
          <w:p w:rsidR="00B8317F" w:rsidRPr="005F60FD" w:rsidRDefault="00B8317F" w:rsidP="00B8317F">
            <w:pPr>
              <w:cnfStyle w:val="000000010000" w:firstRow="0" w:lastRow="0" w:firstColumn="0" w:lastColumn="0" w:oddVBand="0" w:evenVBand="0" w:oddHBand="0" w:evenHBand="1" w:firstRowFirstColumn="0" w:firstRowLastColumn="0" w:lastRowFirstColumn="0" w:lastRowLastColumn="0"/>
            </w:pPr>
          </w:p>
        </w:tc>
        <w:tc>
          <w:tcPr>
            <w:tcW w:w="1104"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5F60FD">
              <w:t xml:space="preserve">78.4 </w:t>
            </w:r>
          </w:p>
        </w:tc>
        <w:tc>
          <w:tcPr>
            <w:tcW w:w="1104"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5F60FD">
              <w:t xml:space="preserve">88.8 </w:t>
            </w:r>
          </w:p>
        </w:tc>
        <w:tc>
          <w:tcPr>
            <w:tcW w:w="1104"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5F60FD">
              <w:t xml:space="preserve">88.5 </w:t>
            </w:r>
          </w:p>
        </w:tc>
        <w:tc>
          <w:tcPr>
            <w:tcW w:w="1104"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5F60FD">
              <w:t xml:space="preserve">88.7 </w:t>
            </w:r>
          </w:p>
        </w:tc>
        <w:tc>
          <w:tcPr>
            <w:tcW w:w="1104" w:type="dxa"/>
          </w:tcPr>
          <w:p w:rsidR="00B8317F" w:rsidRPr="00B8317F" w:rsidRDefault="00B8317F" w:rsidP="00B8317F">
            <w:pPr>
              <w:cnfStyle w:val="000000010000" w:firstRow="0" w:lastRow="0" w:firstColumn="0" w:lastColumn="0" w:oddVBand="0" w:evenVBand="0" w:oddHBand="0" w:evenHBand="1" w:firstRowFirstColumn="0" w:firstRowLastColumn="0" w:lastRowFirstColumn="0" w:lastRowLastColumn="0"/>
            </w:pPr>
            <w:r w:rsidRPr="005F60FD">
              <w:t xml:space="preserve">89.1 </w:t>
            </w:r>
          </w:p>
        </w:tc>
      </w:tr>
    </w:tbl>
    <w:p w:rsidR="00B8317F" w:rsidRPr="00AB31E3" w:rsidRDefault="00B8317F" w:rsidP="00B8317F">
      <w:pPr>
        <w:pStyle w:val="AERtablesource"/>
        <w:rPr>
          <w:rStyle w:val="AERtexthighlight"/>
        </w:rPr>
      </w:pPr>
      <w:r w:rsidRPr="00BD28FC">
        <w:t xml:space="preserve">Source: </w:t>
      </w:r>
      <w:r w:rsidRPr="00BD28FC">
        <w:tab/>
        <w:t>Endeavour</w:t>
      </w:r>
      <w:r w:rsidRPr="006D1F3F">
        <w:t xml:space="preserve"> Energy, </w:t>
      </w:r>
      <w:r w:rsidRPr="00F3256C">
        <w:rPr>
          <w:rStyle w:val="Emphasis"/>
        </w:rPr>
        <w:t>Category analysis - Regulatory Information Notice response 2012–13</w:t>
      </w:r>
      <w:r w:rsidRPr="006D1F3F">
        <w:t xml:space="preserve">; Endeavour Energy; Endeavour Energy, </w:t>
      </w:r>
      <w:r w:rsidRPr="00F3256C">
        <w:rPr>
          <w:rStyle w:val="Emphasis"/>
        </w:rPr>
        <w:t>Response to Information request AER 045</w:t>
      </w:r>
      <w:r w:rsidRPr="006D1F3F">
        <w:t>, 17 February 2015; AER analysis</w:t>
      </w:r>
      <w:r>
        <w:t>.</w:t>
      </w:r>
    </w:p>
    <w:p w:rsidR="00B8317F" w:rsidRDefault="00B8317F" w:rsidP="00B8317F">
      <w:r>
        <w:t>A large proportion of Endeavour Energy's overhead expenditure reflects internal labour costs.</w:t>
      </w:r>
      <w:r>
        <w:rPr>
          <w:rStyle w:val="FootnoteReference"/>
        </w:rPr>
        <w:footnoteReference w:id="952"/>
      </w:r>
      <w:r>
        <w:t xml:space="preserve"> </w:t>
      </w:r>
      <w:r w:rsidRPr="00D73CE9">
        <w:t xml:space="preserve"> </w:t>
      </w:r>
      <w:r>
        <w:t xml:space="preserve">There is evidence that suggests that efficient overhead expenditure should be lower than Endeavour Energy has historically incurred. For instance, in reviewing the </w:t>
      </w:r>
      <w:r w:rsidRPr="00563EA0">
        <w:t>NSW service providers' labour costs and workforce practices</w:t>
      </w:r>
      <w:r>
        <w:t xml:space="preserve"> Deloitte found:</w:t>
      </w:r>
    </w:p>
    <w:p w:rsidR="00B8317F" w:rsidRDefault="00B8317F" w:rsidP="00B8317F">
      <w:pPr>
        <w:pStyle w:val="AERbulletlistfirststyle"/>
      </w:pPr>
      <w:r>
        <w:t xml:space="preserve">Labour costs were a source of inefficiency for all NSW businesses.  It found that the NSW businesses have </w:t>
      </w:r>
      <w:r w:rsidRPr="003E269D">
        <w:t>significantly lower proportions of outsourcing (approximately 20 to 25 per cent of opex) than more efficient peers, which are as high as 90 per cent for some Victorian service providers</w:t>
      </w:r>
      <w:r>
        <w:t xml:space="preserve">. </w:t>
      </w:r>
    </w:p>
    <w:p w:rsidR="00B8317F" w:rsidRDefault="00B8317F" w:rsidP="00B8317F">
      <w:pPr>
        <w:pStyle w:val="AERbulletlistfirststyle"/>
      </w:pPr>
      <w:r>
        <w:t>B</w:t>
      </w:r>
      <w:r w:rsidRPr="00563EA0">
        <w:t xml:space="preserve">ecause the NSW service providers' employ a relatively higher proportion of their employees through enterprise bargaining agreements (EBAs), </w:t>
      </w:r>
      <w:r>
        <w:t xml:space="preserve">it found that </w:t>
      </w:r>
      <w:r w:rsidRPr="00563EA0">
        <w:t>restrictive EBA clauses have a greater impact</w:t>
      </w:r>
      <w:r>
        <w:t xml:space="preserve"> on their workforce flexibility.</w:t>
      </w:r>
      <w:r>
        <w:rPr>
          <w:rStyle w:val="FootnoteReference"/>
        </w:rPr>
        <w:footnoteReference w:id="953"/>
      </w:r>
      <w:r w:rsidRPr="00563EA0">
        <w:t xml:space="preserve"> </w:t>
      </w:r>
      <w:r>
        <w:t>It found that this has contributed to relatively large number of employees compared to other service providers.</w:t>
      </w:r>
      <w:r>
        <w:rPr>
          <w:rStyle w:val="FootnoteReference"/>
        </w:rPr>
        <w:footnoteReference w:id="954"/>
      </w:r>
    </w:p>
    <w:p w:rsidR="00B8317F" w:rsidRPr="00AB31E3" w:rsidRDefault="00B8317F" w:rsidP="00487CE9">
      <w:r>
        <w:t xml:space="preserve">It considered these factors would mean labour costs in the base year for all NSW service providers were unlikely to reflect efficient costs. </w:t>
      </w:r>
      <w:r w:rsidRPr="00AB31E3">
        <w:t xml:space="preserve">As a large proportion of overhead expenditure is for labour costs, it would be inconsistent with the opex criteria </w:t>
      </w:r>
      <w:r w:rsidRPr="00AB31E3">
        <w:lastRenderedPageBreak/>
        <w:t>to include a further increase in opex for overheads in our opex forecast for Endeavour Energy.</w:t>
      </w:r>
    </w:p>
    <w:p w:rsidR="00B8317F" w:rsidRPr="00BD28FC" w:rsidRDefault="00B8317F" w:rsidP="00666865">
      <w:pPr>
        <w:pStyle w:val="HeadingBoldBlue"/>
      </w:pPr>
      <w:r w:rsidRPr="00BD28FC">
        <w:t>Evidence to support vegetation management forecast</w:t>
      </w:r>
    </w:p>
    <w:p w:rsidR="00B8317F" w:rsidRPr="00AB31E3" w:rsidRDefault="00B8317F" w:rsidP="00487CE9">
      <w:pPr>
        <w:rPr>
          <w:rStyle w:val="AERbody"/>
        </w:rPr>
      </w:pPr>
      <w:r>
        <w:rPr>
          <w:rStyle w:val="AERbody"/>
        </w:rPr>
        <w:t xml:space="preserve">In considering Endeavour Energy's proposal, </w:t>
      </w:r>
      <w:r w:rsidRPr="00AB31E3">
        <w:rPr>
          <w:rStyle w:val="AERbody"/>
        </w:rPr>
        <w:t>we are also not confident its vegetation management opex forecast reasonably reflects the prudent and efficient costs of meeting its regulatory obligations in relation to vegetation management.</w:t>
      </w:r>
    </w:p>
    <w:p w:rsidR="00B8317F" w:rsidRPr="00AB31E3" w:rsidRDefault="00B8317F" w:rsidP="00487CE9">
      <w:pPr>
        <w:rPr>
          <w:rStyle w:val="AERbody"/>
        </w:rPr>
      </w:pPr>
      <w:r>
        <w:rPr>
          <w:rStyle w:val="AERbody"/>
        </w:rPr>
        <w:t>For instance, throughout</w:t>
      </w:r>
      <w:r w:rsidRPr="00AB31E3">
        <w:rPr>
          <w:rStyle w:val="AERbody"/>
        </w:rPr>
        <w:t xml:space="preserve"> this process we have outlined the evidence we require to support Endeavour Energy's forecast on a number of different occasions: </w:t>
      </w:r>
    </w:p>
    <w:p w:rsidR="00B8317F" w:rsidRDefault="00B8317F" w:rsidP="00B8317F">
      <w:pPr>
        <w:pStyle w:val="AERbulletlistfirststyle"/>
        <w:rPr>
          <w:rStyle w:val="AERbody"/>
        </w:rPr>
      </w:pPr>
      <w:r>
        <w:rPr>
          <w:rStyle w:val="AERbody"/>
        </w:rPr>
        <w:t>In our Guideline we stated that we require economic analysis demonstrating the efficiency and prudency of all material forecast operating and maintenance expenditure including any material change in expenditure relative to historic expenditure levels (for example any step changes).</w:t>
      </w:r>
      <w:r>
        <w:rPr>
          <w:rStyle w:val="FootnoteReference"/>
        </w:rPr>
        <w:footnoteReference w:id="955"/>
      </w:r>
      <w:r>
        <w:rPr>
          <w:rStyle w:val="AERbody"/>
        </w:rPr>
        <w:t xml:space="preserve"> </w:t>
      </w:r>
    </w:p>
    <w:p w:rsidR="00B8317F" w:rsidRPr="005B103C" w:rsidRDefault="00B8317F" w:rsidP="00B8317F">
      <w:pPr>
        <w:pStyle w:val="AERbulletlistfirststyle"/>
        <w:rPr>
          <w:rStyle w:val="AERbody"/>
        </w:rPr>
      </w:pPr>
      <w:r w:rsidRPr="005B103C">
        <w:rPr>
          <w:rStyle w:val="AERbody"/>
        </w:rPr>
        <w:t>In a Regulatory Information Notice, for all proposed step changes, we asked Endeavour Energy</w:t>
      </w:r>
      <w:r w:rsidRPr="005B103C">
        <w:t xml:space="preserve"> to provide a cost benefit analysis which demonstrated the step change </w:t>
      </w:r>
      <w:r>
        <w:t>is necessary to reflect the opex criteria</w:t>
      </w:r>
      <w:r w:rsidRPr="005B103C">
        <w:t>.</w:t>
      </w:r>
      <w:r>
        <w:rPr>
          <w:rStyle w:val="FootnoteReference"/>
        </w:rPr>
        <w:footnoteReference w:id="956"/>
      </w:r>
      <w:r w:rsidRPr="005B103C">
        <w:t xml:space="preserve"> </w:t>
      </w:r>
    </w:p>
    <w:p w:rsidR="00B8317F" w:rsidRDefault="00B8317F" w:rsidP="00B8317F">
      <w:pPr>
        <w:pStyle w:val="AERbulletlistfirststyle"/>
        <w:rPr>
          <w:rStyle w:val="AERbody"/>
        </w:rPr>
      </w:pPr>
      <w:r>
        <w:rPr>
          <w:rStyle w:val="AERbody"/>
        </w:rPr>
        <w:t>In an information request on 31 July 2014 to Endeavour Energy we asked for a business case about its proposed vegetation management expenditure.</w:t>
      </w:r>
      <w:r>
        <w:rPr>
          <w:rStyle w:val="FootnoteReference"/>
        </w:rPr>
        <w:footnoteReference w:id="957"/>
      </w:r>
    </w:p>
    <w:p w:rsidR="00B8317F" w:rsidRDefault="00B8317F" w:rsidP="00B8317F">
      <w:pPr>
        <w:pStyle w:val="AERbulletlistfirststyle"/>
        <w:rPr>
          <w:rStyle w:val="AERbody"/>
        </w:rPr>
      </w:pPr>
      <w:r>
        <w:rPr>
          <w:rStyle w:val="AERbody"/>
        </w:rPr>
        <w:t>In our draft decision we outlined our concerns about the limited evidence supporting Endeavour Energy's proposed cost increase for vegetation management.</w:t>
      </w:r>
      <w:r>
        <w:rPr>
          <w:rStyle w:val="FootnoteReference"/>
        </w:rPr>
        <w:footnoteReference w:id="958"/>
      </w:r>
    </w:p>
    <w:p w:rsidR="00B8317F" w:rsidRPr="00AB31E3" w:rsidRDefault="00B8317F" w:rsidP="00487CE9">
      <w:pPr>
        <w:rPr>
          <w:rStyle w:val="AERbody"/>
        </w:rPr>
      </w:pPr>
      <w:r>
        <w:rPr>
          <w:rStyle w:val="AERbody"/>
        </w:rPr>
        <w:t xml:space="preserve">Despite </w:t>
      </w:r>
      <w:r w:rsidRPr="00AB31E3">
        <w:rPr>
          <w:rStyle w:val="AERbody"/>
        </w:rPr>
        <w:t xml:space="preserve">requesting the above information, Endeavour Energy did not submit a cost benefit analysis or economic analysis that supported its proposed increase in expenditure relative to historical expenditure. In response to our request for a business case, Endeavour Energy only submitted </w:t>
      </w:r>
      <w:r w:rsidRPr="00AB31E3">
        <w:t>vegetation management compliance audit information and contract details relating to vegetation management services.</w:t>
      </w:r>
      <w:r w:rsidRPr="00AB31E3">
        <w:rPr>
          <w:rStyle w:val="FootnoteReference"/>
        </w:rPr>
        <w:footnoteReference w:id="959"/>
      </w:r>
    </w:p>
    <w:p w:rsidR="00B8317F" w:rsidRPr="00AB31E3" w:rsidRDefault="00B8317F" w:rsidP="00487CE9">
      <w:r>
        <w:rPr>
          <w:rStyle w:val="AERbody"/>
        </w:rPr>
        <w:t>In support of its vegetation management forecast, Endeavour Energy</w:t>
      </w:r>
      <w:r w:rsidRPr="00AB31E3">
        <w:rPr>
          <w:rStyle w:val="AERbody"/>
        </w:rPr>
        <w:t xml:space="preserve"> has relied predominantly on its view that its outsourced vegetation management contacts were subject to a competitive tender</w:t>
      </w:r>
      <w:r w:rsidRPr="00AB31E3">
        <w:t>. It considered this should provide a level of satisfaction as to the efficiency of its costs.</w:t>
      </w:r>
      <w:r w:rsidRPr="00AB31E3">
        <w:rPr>
          <w:rStyle w:val="FootnoteReference"/>
        </w:rPr>
        <w:footnoteReference w:id="960"/>
      </w:r>
      <w:r w:rsidRPr="00AB31E3">
        <w:t xml:space="preserve"> </w:t>
      </w:r>
    </w:p>
    <w:p w:rsidR="00B8317F" w:rsidRPr="00AB31E3" w:rsidRDefault="00B8317F" w:rsidP="00487CE9">
      <w:r>
        <w:t xml:space="preserve">We do not </w:t>
      </w:r>
      <w:r w:rsidRPr="00AB31E3">
        <w:t xml:space="preserve">consider that this information is sufficient to demonstrate that Endeavour Energy's proposed vegetation management forecast reasonably reflects the opex </w:t>
      </w:r>
      <w:r w:rsidRPr="00AB31E3">
        <w:lastRenderedPageBreak/>
        <w:t>criteria. A competitive process only helps in demonstrating the efficiency of the contracts that were tendered. Whether this amount reasonably reflects the prudent and efficient costs of complying with regulatory obligations will depend on whether the scope of works listed in the contracts reflects a prudent scope of works.</w:t>
      </w:r>
    </w:p>
    <w:p w:rsidR="00B8317F" w:rsidRPr="00AB31E3" w:rsidRDefault="00B8317F" w:rsidP="00487CE9">
      <w:r>
        <w:t>O</w:t>
      </w:r>
      <w:r w:rsidRPr="00AB31E3">
        <w:t xml:space="preserve">ther analysis undertaken within Networks NSW suggests that </w:t>
      </w:r>
      <w:r w:rsidRPr="00AB31E3">
        <w:rPr>
          <w:rStyle w:val="AERbody"/>
        </w:rPr>
        <w:t>Endeavour Energy's vegetation management practices are too risk averse, which are contributing to relatively high vegetation management costs.</w:t>
      </w:r>
    </w:p>
    <w:p w:rsidR="00B8317F" w:rsidRPr="00AB31E3" w:rsidRDefault="00B8317F" w:rsidP="00487CE9">
      <w:r>
        <w:t>For instance</w:t>
      </w:r>
      <w:r w:rsidRPr="00AB31E3">
        <w:t xml:space="preserve">, in its proposal, Essential Energy submitted evidence to us about a review undertaken by a Networks NSW advisory group in the second half of 2013. That review aimed to develop a NSW strategy in relation to vegetation management and line inspections. The aim of the review was to: </w:t>
      </w:r>
    </w:p>
    <w:p w:rsidR="00B8317F" w:rsidRDefault="00B8317F" w:rsidP="00B8317F">
      <w:pPr>
        <w:pStyle w:val="AERquote"/>
      </w:pPr>
      <w:r w:rsidRPr="007C5CE6">
        <w:t>create a NSW-wide vegetation management strategy based on consistent standards, practices and risk profiles. The strategy should balance the need to manage safety and reliability risks, as well as reducing costs in order to provide value for our customers.</w:t>
      </w:r>
      <w:r>
        <w:rPr>
          <w:rStyle w:val="FootnoteReference"/>
        </w:rPr>
        <w:footnoteReference w:id="961"/>
      </w:r>
    </w:p>
    <w:p w:rsidR="00B8317F" w:rsidRDefault="00B8317F" w:rsidP="00B8317F">
      <w:r>
        <w:t>We question why Endeavour Energy is proposing to increase its vegetation management costs in the 2014–19 period in light of the development of the NSW strategy which was aiming to find ways the NSW service providers could reduce their vegetation management costs.</w:t>
      </w:r>
    </w:p>
    <w:p w:rsidR="00B8317F" w:rsidRPr="005E31BF" w:rsidRDefault="00B8317F" w:rsidP="00B8317F">
      <w:r>
        <w:t>In comparing Ausgrid to Endeavour Energy the report noted that:</w:t>
      </w:r>
    </w:p>
    <w:p w:rsidR="00B8317F" w:rsidRDefault="00B8317F" w:rsidP="00B8317F">
      <w:pPr>
        <w:pStyle w:val="AERquote"/>
        <w:rPr>
          <w:rStyle w:val="AERbody"/>
        </w:rPr>
      </w:pPr>
      <w:r w:rsidRPr="005E31BF">
        <w:t>Both Ausgrid and Endeavour Energy source their contractors from the same competitive market, however, the average cutting costs are $1,230/km for Ausgrid (current costs plus 30% to reflect recent market engagement experience, no overheads) compared to $1,500/km for Endeavour (current contracts which already incorporate 30% uplift, no overheads). This $270/km difference equates to a $3.2M cost difference for the 12,000km of the Endeavour Energy network in non-fire prone areas alone.</w:t>
      </w:r>
      <w:r>
        <w:rPr>
          <w:rStyle w:val="FootnoteReference"/>
        </w:rPr>
        <w:footnoteReference w:id="962"/>
      </w:r>
      <w:r w:rsidRPr="005E31BF">
        <w:t xml:space="preserve"> </w:t>
      </w:r>
    </w:p>
    <w:p w:rsidR="00B8317F" w:rsidRDefault="00B8317F" w:rsidP="00B8317F">
      <w:pPr>
        <w:rPr>
          <w:rStyle w:val="AERbody"/>
        </w:rPr>
      </w:pPr>
      <w:r>
        <w:t>The report noted</w:t>
      </w:r>
      <w:r w:rsidRPr="005E31BF">
        <w:t xml:space="preserve"> tha</w:t>
      </w:r>
      <w:r>
        <w:t>t, in general,</w:t>
      </w:r>
      <w:r w:rsidRPr="005E31BF">
        <w:t xml:space="preserve"> responses to events such as the Victorian Bushfire Royal Commission findings are being applied across the entire NSW network, rather than being focussed on bush fire risk areas, which is having a significant impact on the effectiveness and cost of vegetation management.</w:t>
      </w:r>
      <w:r>
        <w:t xml:space="preserve"> They</w:t>
      </w:r>
      <w:r w:rsidRPr="00E93E77">
        <w:t xml:space="preserve"> </w:t>
      </w:r>
      <w:r>
        <w:t>considered</w:t>
      </w:r>
      <w:r w:rsidRPr="00E93E77">
        <w:t xml:space="preserve"> th</w:t>
      </w:r>
      <w:r>
        <w:t>at</w:t>
      </w:r>
      <w:r w:rsidRPr="00E93E77">
        <w:t xml:space="preserve"> </w:t>
      </w:r>
      <w:r w:rsidRPr="00E93E77">
        <w:rPr>
          <w:rStyle w:val="AERbody"/>
        </w:rPr>
        <w:t xml:space="preserve">while Endeavour Energy's approach to vegetation management is thorough, it 'does not discriminate based on bushfire risk areas which results in </w:t>
      </w:r>
      <w:r w:rsidRPr="00551BD3">
        <w:rPr>
          <w:rStyle w:val="AERbody"/>
        </w:rPr>
        <w:t>maintenance of full</w:t>
      </w:r>
      <w:r>
        <w:rPr>
          <w:rStyle w:val="AERbody"/>
        </w:rPr>
        <w:t xml:space="preserve"> ISSC 3 </w:t>
      </w:r>
      <w:r w:rsidRPr="00551BD3">
        <w:rPr>
          <w:rStyle w:val="AERbody"/>
        </w:rPr>
        <w:t>safety clearances in all locations throughout the year regardless of risk'.</w:t>
      </w:r>
      <w:r w:rsidRPr="00551BD3">
        <w:rPr>
          <w:rStyle w:val="FootnoteReference"/>
        </w:rPr>
        <w:footnoteReference w:id="963"/>
      </w:r>
      <w:r w:rsidRPr="00551BD3">
        <w:rPr>
          <w:rStyle w:val="AERbody"/>
        </w:rPr>
        <w:t xml:space="preserve"> </w:t>
      </w:r>
      <w:r>
        <w:rPr>
          <w:rStyle w:val="AERbody"/>
        </w:rPr>
        <w:t>This suggests that Endeavour Energy could adopt a more flexible approach to clearing vegetation in areas of lower risk.</w:t>
      </w:r>
    </w:p>
    <w:p w:rsidR="00B8317F" w:rsidRDefault="00B8317F" w:rsidP="00B8317F">
      <w:pPr>
        <w:rPr>
          <w:rStyle w:val="AERbody"/>
        </w:rPr>
      </w:pPr>
      <w:r>
        <w:rPr>
          <w:rStyle w:val="AERbody"/>
        </w:rPr>
        <w:lastRenderedPageBreak/>
        <w:t>The report</w:t>
      </w:r>
      <w:r w:rsidRPr="00551BD3">
        <w:rPr>
          <w:rStyle w:val="AERbody"/>
        </w:rPr>
        <w:t xml:space="preserve"> </w:t>
      </w:r>
      <w:r>
        <w:rPr>
          <w:rStyle w:val="AERbody"/>
        </w:rPr>
        <w:t xml:space="preserve">also questioned </w:t>
      </w:r>
      <w:r w:rsidRPr="00551BD3">
        <w:rPr>
          <w:rStyle w:val="AERbody"/>
        </w:rPr>
        <w:t xml:space="preserve">Endeavour Energy's pre-vegetation clearance scoping and post-vegetation clearance auditing practices. </w:t>
      </w:r>
      <w:r>
        <w:rPr>
          <w:rStyle w:val="AERbody"/>
        </w:rPr>
        <w:t>Endeavour Energy's approach is to:</w:t>
      </w:r>
    </w:p>
    <w:p w:rsidR="00B8317F" w:rsidRPr="00BA6FA8" w:rsidRDefault="00B8317F" w:rsidP="00B8317F">
      <w:pPr>
        <w:pStyle w:val="AERbulletlistfirststyle"/>
        <w:rPr>
          <w:rStyle w:val="AERbody"/>
        </w:rPr>
      </w:pPr>
      <w:r>
        <w:rPr>
          <w:rStyle w:val="AERbody"/>
        </w:rPr>
        <w:t>scope out 100 per cent of the required works</w:t>
      </w:r>
      <w:r w:rsidRPr="00BA6FA8">
        <w:rPr>
          <w:rStyle w:val="AERbody"/>
        </w:rPr>
        <w:t xml:space="preserve"> prior to vegetation clearance</w:t>
      </w:r>
    </w:p>
    <w:p w:rsidR="00B8317F" w:rsidRDefault="00B8317F" w:rsidP="00B8317F">
      <w:pPr>
        <w:pStyle w:val="AERbulletlistfirststyle"/>
        <w:rPr>
          <w:rStyle w:val="AERbody"/>
        </w:rPr>
      </w:pPr>
      <w:r>
        <w:rPr>
          <w:rStyle w:val="AERbody"/>
        </w:rPr>
        <w:t>audit 100 per cent of the required works following vegetation clearances</w:t>
      </w:r>
    </w:p>
    <w:p w:rsidR="00B8317F" w:rsidRDefault="00B8317F" w:rsidP="00B8317F">
      <w:pPr>
        <w:pStyle w:val="AERbulletlistfirststyle"/>
        <w:rPr>
          <w:rStyle w:val="AERbody"/>
        </w:rPr>
      </w:pPr>
      <w:r>
        <w:rPr>
          <w:rStyle w:val="AERbody"/>
        </w:rPr>
        <w:t>reward contractors based on audited outcomes.</w:t>
      </w:r>
      <w:r w:rsidRPr="00BA6FA8">
        <w:rPr>
          <w:rStyle w:val="FootnoteReference"/>
        </w:rPr>
        <w:footnoteReference w:id="964"/>
      </w:r>
    </w:p>
    <w:p w:rsidR="00B8317F" w:rsidRPr="00AB31E3" w:rsidRDefault="00B8317F" w:rsidP="00B8317F">
      <w:pPr>
        <w:rPr>
          <w:rStyle w:val="AERbody"/>
        </w:rPr>
      </w:pPr>
      <w:r>
        <w:rPr>
          <w:rStyle w:val="AERbody"/>
        </w:rPr>
        <w:t xml:space="preserve">The Networks NSW advisory group </w:t>
      </w:r>
      <w:r w:rsidRPr="00551BD3">
        <w:rPr>
          <w:rStyle w:val="AERbody"/>
        </w:rPr>
        <w:t>did not consider</w:t>
      </w:r>
      <w:r>
        <w:rPr>
          <w:rStyle w:val="AERbody"/>
        </w:rPr>
        <w:t xml:space="preserve"> pre-clearance</w:t>
      </w:r>
      <w:r w:rsidRPr="00551BD3">
        <w:rPr>
          <w:rStyle w:val="AERbody"/>
        </w:rPr>
        <w:t xml:space="preserve"> scoping to be necessary where contractors are rewarded base</w:t>
      </w:r>
      <w:r>
        <w:rPr>
          <w:rStyle w:val="AERbody"/>
        </w:rPr>
        <w:t xml:space="preserve">d on outcomes. It only considered </w:t>
      </w:r>
      <w:r w:rsidRPr="00551BD3">
        <w:rPr>
          <w:rStyle w:val="AERbody"/>
        </w:rPr>
        <w:t>auditing of 1</w:t>
      </w:r>
      <w:r>
        <w:rPr>
          <w:rStyle w:val="AERbody"/>
        </w:rPr>
        <w:t>0 per cent</w:t>
      </w:r>
      <w:r w:rsidRPr="00551BD3">
        <w:rPr>
          <w:rStyle w:val="AERbody"/>
        </w:rPr>
        <w:t xml:space="preserve"> to 1</w:t>
      </w:r>
      <w:r>
        <w:rPr>
          <w:rStyle w:val="AERbody"/>
        </w:rPr>
        <w:t>5 per cent</w:t>
      </w:r>
      <w:r w:rsidRPr="00551BD3">
        <w:rPr>
          <w:rStyle w:val="AERbody"/>
        </w:rPr>
        <w:t xml:space="preserve"> of contracts combined with pre-season bushfire inspections to be sufficient.</w:t>
      </w:r>
      <w:r w:rsidRPr="00551BD3">
        <w:rPr>
          <w:rStyle w:val="FootnoteReference"/>
        </w:rPr>
        <w:footnoteReference w:id="965"/>
      </w:r>
      <w:r>
        <w:rPr>
          <w:rStyle w:val="AERbody"/>
        </w:rPr>
        <w:t xml:space="preserve"> It stated that Endeavour Energy's pre-clearance scoping and auditing approach is also contributing to increased cutting costs by Endeavour Energy's contractors.</w:t>
      </w:r>
      <w:r>
        <w:rPr>
          <w:rStyle w:val="FootnoteReference"/>
        </w:rPr>
        <w:footnoteReference w:id="966"/>
      </w:r>
    </w:p>
    <w:p w:rsidR="00B8317F" w:rsidRPr="00BD28FC" w:rsidRDefault="00B8317F" w:rsidP="00BD28FC">
      <w:pPr>
        <w:pStyle w:val="HeadingBoldBlue"/>
      </w:pPr>
      <w:r w:rsidRPr="00BD28FC">
        <w:t>Interactions between the EBSS and Endeavour Energy's opex forecast</w:t>
      </w:r>
    </w:p>
    <w:p w:rsidR="00B8317F" w:rsidRDefault="00B8317F" w:rsidP="00B8317F">
      <w:r>
        <w:t>In reaching our decision we also considered the interactions between our opex forecasting approach and the EBSS.</w:t>
      </w:r>
    </w:p>
    <w:p w:rsidR="00B8317F" w:rsidRDefault="00B8317F" w:rsidP="00B8317F">
      <w:r>
        <w:t>One of the opex factors we must have regard to when making our assessment is whether the forecast is consistent with any incentive schemes that apply to the service provider.</w:t>
      </w:r>
      <w:r>
        <w:rPr>
          <w:rStyle w:val="FootnoteReference"/>
        </w:rPr>
        <w:footnoteReference w:id="967"/>
      </w:r>
      <w:r>
        <w:t xml:space="preserve"> This includes the EBSS.</w:t>
      </w:r>
    </w:p>
    <w:p w:rsidR="00B8317F" w:rsidRDefault="00B8317F" w:rsidP="00B8317F">
      <w:r>
        <w:t>The EBSS is intended to provide for a fair sharing of efficiency gains or losses with network users.</w:t>
      </w:r>
      <w:r>
        <w:rPr>
          <w:rStyle w:val="FootnoteReference"/>
        </w:rPr>
        <w:footnoteReference w:id="968"/>
      </w:r>
      <w:r>
        <w:t xml:space="preserve"> Where a service provider is able to reduce its opex, it benefits because it keeps the difference between its approved opex and its actual opex. This is supplemented by an EBSS reward which provides an additional incentive for a service provider to pursue efficiency improvements in opex. However, consumers only benefit from paying for EBSS carryover amounts where the lower opex a service provider has delivered is used as the basis for forecasting its opex in the next regulatory control period. If a service provider receives an EBSS carryover amount but the efficiency gain is reversed by a step up in opex in the next period, then consumers do not benefit and there is no fair sharing of any efficiency gain.  Indeed, in these circumstances the service provider receives a reward even though there is no ongoing efficiency gain. </w:t>
      </w:r>
    </w:p>
    <w:p w:rsidR="00B8317F" w:rsidRDefault="00B8317F" w:rsidP="00B8317F">
      <w:r>
        <w:t xml:space="preserve">Endeavour Energy will receive EBSS carryover amounts of $93.4 million from the application of the EBSS in the 2009–14 regulatory control period. It would be inconsistent with the objective of the EBSS for Endeavour Energy to derive EBSS benefits from reducing its opex in the 2009–14 regulatory control period while receiving </w:t>
      </w:r>
      <w:r>
        <w:lastRenderedPageBreak/>
        <w:t xml:space="preserve">additional funding in the 2014–19 period to increase its opex. Under Endeavour Energy's proposal to include a large step change for vegetation management opex, its consumers would pay for EBSS carryover amounts without benefitting from an ongoing reduction in the opex forecast.  </w:t>
      </w:r>
      <w:r w:rsidRPr="00534818">
        <w:t xml:space="preserve"> </w:t>
      </w:r>
      <w:r>
        <w:t>In implementing an EBSS, we must have regard to the need to ensure that the benefits to electricity consumers likely to result from the scheme are sufficient to warrant any reward or penalty under the scheme.</w:t>
      </w:r>
      <w:r>
        <w:rPr>
          <w:rStyle w:val="FootnoteReference"/>
        </w:rPr>
        <w:footnoteReference w:id="969"/>
      </w:r>
      <w:r>
        <w:t xml:space="preserve"> If we allowed a step change to our estimate of base opex for vegetation management, we would need to consider whether the EBSS was being applied in accordance with the NER requirements.</w:t>
      </w:r>
    </w:p>
    <w:p w:rsidR="00B8317F" w:rsidRPr="00BD28FC" w:rsidRDefault="00B8317F" w:rsidP="00BD28FC">
      <w:pPr>
        <w:pStyle w:val="Heading9"/>
      </w:pPr>
      <w:bookmarkStart w:id="442" w:name="_Toc417659890"/>
      <w:r w:rsidRPr="00BD28FC">
        <w:t>Redundancy costs</w:t>
      </w:r>
      <w:r w:rsidRPr="00BD28FC">
        <w:rPr>
          <w:rStyle w:val="AERsuperscript"/>
        </w:rPr>
        <w:footnoteReference w:id="970"/>
      </w:r>
      <w:bookmarkEnd w:id="442"/>
    </w:p>
    <w:p w:rsidR="00B8317F" w:rsidRDefault="00B8317F" w:rsidP="00B8317F">
      <w:r>
        <w:t xml:space="preserve">Consistent with our draft decision we have not included a step change in our alternative opex forecast for redundancy costs. </w:t>
      </w:r>
    </w:p>
    <w:p w:rsidR="00B8317F" w:rsidRDefault="00B8317F" w:rsidP="00B8317F">
      <w:r>
        <w:t>In our draft decision, we did not include a $12.3 million step change for redundancy payments. We considered</w:t>
      </w:r>
      <w:r w:rsidRPr="00557F8E">
        <w:t xml:space="preserve"> that Endeavour Energy's restructure of its workforce is </w:t>
      </w:r>
      <w:r>
        <w:t xml:space="preserve">likely </w:t>
      </w:r>
      <w:r w:rsidRPr="00557F8E">
        <w:t>only needed because it is not currently operating efficiently</w:t>
      </w:r>
      <w:r>
        <w:t xml:space="preserve"> as it could</w:t>
      </w:r>
      <w:r w:rsidRPr="00557F8E">
        <w:t>.</w:t>
      </w:r>
      <w:r>
        <w:rPr>
          <w:rStyle w:val="FootnoteReference"/>
        </w:rPr>
        <w:footnoteReference w:id="971"/>
      </w:r>
    </w:p>
    <w:p w:rsidR="00B8317F" w:rsidRPr="00227505" w:rsidRDefault="00B8317F" w:rsidP="00B8317F">
      <w:r w:rsidRPr="00227505">
        <w:t>Endeavour Energy did not agree with our decision not to include these costs in our alternative forecast. It considered:</w:t>
      </w:r>
    </w:p>
    <w:p w:rsidR="00B8317F" w:rsidRPr="00227505" w:rsidRDefault="00B8317F" w:rsidP="00B8317F">
      <w:pPr>
        <w:pStyle w:val="AERbulletlistfirststyle"/>
      </w:pPr>
      <w:r w:rsidRPr="00227505">
        <w:t>Redundancy costs meet the criteria of efficient costs. Termination payments relate to the excess labour resulting from efficiency programs that outweigh the costs of redundancies, and provide a net benefit to customers. It considered it would be unreasonable for the AER to incorporate efficiencies, but not allow the costs of the restructure required to achieve these efficiencies. It considered our use of the term step change led us to reject costs that were prudent and efficient.</w:t>
      </w:r>
    </w:p>
    <w:p w:rsidR="00B8317F" w:rsidRPr="00227505" w:rsidRDefault="00B8317F" w:rsidP="00B8317F">
      <w:pPr>
        <w:pStyle w:val="AERbulletlistfirststyle"/>
      </w:pPr>
      <w:r w:rsidRPr="00227505">
        <w:t>It has regulatory obligations to provide redundant employees with termination payments under existing awards certified by the Fair Work Commission in accordance with the Fair Work Act.</w:t>
      </w:r>
    </w:p>
    <w:p w:rsidR="00B8317F" w:rsidRDefault="00B8317F" w:rsidP="00B8317F">
      <w:r w:rsidRPr="00227505">
        <w:t xml:space="preserve">Consistent with our approach in our draft decision, we do not agree with </w:t>
      </w:r>
      <w:r>
        <w:t>Endeavour Energy's submission</w:t>
      </w:r>
      <w:r w:rsidRPr="00227505">
        <w:t xml:space="preserve">. </w:t>
      </w:r>
      <w:r>
        <w:t>O</w:t>
      </w:r>
      <w:r w:rsidRPr="00227505">
        <w:t xml:space="preserve">ur role is to determine a forecast that we are satisfied reasonably reflects the opex criteria. Recruitment and removal of staff are both legitimate costs that </w:t>
      </w:r>
      <w:r>
        <w:t>Endeavour Energy</w:t>
      </w:r>
      <w:r w:rsidRPr="00227505">
        <w:t xml:space="preserve"> would need to incur. However, we do not 'fund' </w:t>
      </w:r>
      <w:r>
        <w:t>Endeavour Energy</w:t>
      </w:r>
      <w:r w:rsidRPr="00227505">
        <w:t xml:space="preserve"> for these (or any specific) activities. We </w:t>
      </w:r>
      <w:r>
        <w:t xml:space="preserve">determine the total amount of opex that would </w:t>
      </w:r>
      <w:r w:rsidRPr="00227505">
        <w:t xml:space="preserve">reasonably reflect the opex a prudent and efficient (objective) service provider would require in the future to comply with its </w:t>
      </w:r>
      <w:r>
        <w:t xml:space="preserve">regulatory obligations. </w:t>
      </w:r>
    </w:p>
    <w:p w:rsidR="00B8317F" w:rsidRPr="00227505" w:rsidRDefault="00B8317F" w:rsidP="00B8317F">
      <w:r>
        <w:t>Endeavour Energy has</w:t>
      </w:r>
      <w:r w:rsidRPr="00227505">
        <w:t xml:space="preserve"> broad discretion about all contractual arrangements and the manner in which t</w:t>
      </w:r>
      <w:r>
        <w:t>hey carry out those obligations</w:t>
      </w:r>
      <w:r w:rsidRPr="00227505">
        <w:t xml:space="preserve">.  If a service provider entered into a </w:t>
      </w:r>
      <w:r w:rsidRPr="00227505">
        <w:lastRenderedPageBreak/>
        <w:t xml:space="preserve">long term inefficient contract, we </w:t>
      </w:r>
      <w:r>
        <w:t>do not consider we should</w:t>
      </w:r>
      <w:r w:rsidRPr="00227505">
        <w:t xml:space="preserve"> include the associated costs in our forecast</w:t>
      </w:r>
      <w:r>
        <w:t>.</w:t>
      </w:r>
    </w:p>
    <w:p w:rsidR="00B8317F" w:rsidRPr="00227505" w:rsidRDefault="00B8317F" w:rsidP="00B8317F">
      <w:r w:rsidRPr="00227505">
        <w:t>Deloitte's independent review of labour and workforce practices found that the</w:t>
      </w:r>
      <w:r>
        <w:t xml:space="preserve"> NSW</w:t>
      </w:r>
      <w:r w:rsidRPr="00227505">
        <w:t xml:space="preserve"> service providers relied predominantly on hiring permanent staff employed under EBAs rather than contractors.</w:t>
      </w:r>
      <w:r w:rsidRPr="00227505">
        <w:rPr>
          <w:rStyle w:val="FootnoteReference"/>
        </w:rPr>
        <w:footnoteReference w:id="972"/>
      </w:r>
      <w:r w:rsidRPr="00227505">
        <w:t xml:space="preserve"> Many of these staff were hired on a full time basis to complete the service providers' large, but temporary, capex programs in the 2009–14 period.</w:t>
      </w:r>
      <w:r w:rsidRPr="00227505">
        <w:rPr>
          <w:rStyle w:val="FootnoteReference"/>
        </w:rPr>
        <w:footnoteReference w:id="973"/>
      </w:r>
      <w:r w:rsidRPr="00227505">
        <w:t xml:space="preserve"> This is due to EBA restrictions which make it difficult for the service providers to change their resourcing arrangements quickly and flexibly. Now, due to EBA restrictions that do not allow for forced redundancies, the</w:t>
      </w:r>
      <w:r>
        <w:t xml:space="preserve"> NSW</w:t>
      </w:r>
      <w:r w:rsidRPr="00227505">
        <w:t xml:space="preserve"> service providers have stranded resources.</w:t>
      </w:r>
    </w:p>
    <w:p w:rsidR="00B8317F" w:rsidRPr="00227505" w:rsidRDefault="00B8317F" w:rsidP="00B8317F">
      <w:r w:rsidRPr="00227505">
        <w:t xml:space="preserve">Our view is that an efficient and prudent service provider would not have placed itself in this position and that the resultant redundancy costs </w:t>
      </w:r>
      <w:r>
        <w:t xml:space="preserve">incurred by the NSW service providers </w:t>
      </w:r>
      <w:r w:rsidRPr="00227505">
        <w:t>are neither prudent nor efficient. Accordingly, redundancy costs would not be included in an estimate of ong</w:t>
      </w:r>
      <w:r>
        <w:t>oing efficient and prudent opex.</w:t>
      </w:r>
    </w:p>
    <w:p w:rsidR="00B8317F" w:rsidRPr="006C62B1" w:rsidRDefault="00B8317F" w:rsidP="00B8317F">
      <w:r>
        <w:t xml:space="preserve">Rather, the need to incur redundancy costs is the outcome of Endeavour Energy's earlier decisions. </w:t>
      </w:r>
      <w:r w:rsidRPr="00227505">
        <w:t xml:space="preserve">In line with the incentive regime, it is for </w:t>
      </w:r>
      <w:r>
        <w:t>Endeavour Energy</w:t>
      </w:r>
      <w:r w:rsidRPr="00227505">
        <w:t xml:space="preserve"> to determine the appropriate response to</w:t>
      </w:r>
      <w:r>
        <w:t xml:space="preserve"> its</w:t>
      </w:r>
      <w:r w:rsidRPr="00227505">
        <w:t xml:space="preserve"> excess labour needs and to bear the costs associated with those earlier decisions. </w:t>
      </w:r>
      <w:r>
        <w:t>It could do this either within its</w:t>
      </w:r>
      <w:r w:rsidRPr="00227505">
        <w:t xml:space="preserve"> regulated forecast by prioritising expenditure programs</w:t>
      </w:r>
      <w:r>
        <w:t>,</w:t>
      </w:r>
      <w:r w:rsidRPr="00227505">
        <w:t xml:space="preserve"> or with alternative sources of funding not recovered from customers. </w:t>
      </w:r>
    </w:p>
    <w:p w:rsidR="006D71EA" w:rsidRPr="00B8317F" w:rsidRDefault="006D71EA" w:rsidP="00B8317F"/>
    <w:sectPr w:rsidR="006D71EA" w:rsidRPr="00B8317F" w:rsidSect="006D71EA">
      <w:footerReference w:type="even" r:id="rId72"/>
      <w:footerReference w:type="default" r:id="rId73"/>
      <w:footerReference w:type="first" r:id="rId74"/>
      <w:pgSz w:w="11906" w:h="16838" w:code="9"/>
      <w:pgMar w:top="1440" w:right="1701"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E75" w:rsidRPr="00290C63" w:rsidRDefault="00224E75" w:rsidP="00290C63">
      <w:r>
        <w:separator/>
      </w:r>
    </w:p>
    <w:p w:rsidR="00224E75" w:rsidRDefault="00224E75"/>
  </w:endnote>
  <w:endnote w:type="continuationSeparator" w:id="0">
    <w:p w:rsidR="00224E75" w:rsidRPr="00290C63" w:rsidRDefault="00224E75" w:rsidP="00290C63">
      <w:r>
        <w:continuationSeparator/>
      </w:r>
    </w:p>
    <w:p w:rsidR="00224E75" w:rsidRDefault="00224E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E75" w:rsidRPr="00290C63" w:rsidRDefault="00224E75"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224E75" w:rsidRDefault="00224E75"/>
  <w:p w:rsidR="00224E75" w:rsidRDefault="00224E75"/>
  <w:p w:rsidR="00224E75" w:rsidRDefault="00224E75"/>
  <w:p w:rsidR="00224E75" w:rsidRDefault="00224E75"/>
  <w:p w:rsidR="00224E75" w:rsidRDefault="00224E75"/>
  <w:p w:rsidR="00224E75" w:rsidRDefault="00224E75"/>
  <w:p w:rsidR="00224E75" w:rsidRDefault="00224E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011131"/>
      <w:docPartObj>
        <w:docPartGallery w:val="Page Numbers (Bottom of Page)"/>
        <w:docPartUnique/>
      </w:docPartObj>
    </w:sdtPr>
    <w:sdtEndPr>
      <w:rPr>
        <w:noProof/>
        <w:szCs w:val="16"/>
      </w:rPr>
    </w:sdtEndPr>
    <w:sdtContent>
      <w:p w:rsidR="00224E75" w:rsidRPr="009B6F84" w:rsidRDefault="00224E75">
        <w:pPr>
          <w:pStyle w:val="Footer"/>
          <w:rPr>
            <w:sz w:val="20"/>
          </w:rPr>
        </w:pPr>
        <w:r>
          <w:fldChar w:fldCharType="begin"/>
        </w:r>
        <w:r>
          <w:instrText xml:space="preserve"> PAGE   \* MERGEFORMAT </w:instrText>
        </w:r>
        <w:r>
          <w:fldChar w:fldCharType="separate"/>
        </w:r>
        <w:r w:rsidR="00A66A4E">
          <w:rPr>
            <w:noProof/>
          </w:rPr>
          <w:t>7-0</w:t>
        </w:r>
        <w:r>
          <w:rPr>
            <w:noProof/>
          </w:rPr>
          <w:fldChar w:fldCharType="end"/>
        </w:r>
        <w:r>
          <w:rPr>
            <w:noProof/>
          </w:rPr>
          <w:t xml:space="preserve">          Attachment 7</w:t>
        </w:r>
        <w:r w:rsidRPr="005E1582">
          <w:rPr>
            <w:noProof/>
          </w:rPr>
          <w:t xml:space="preserve"> – </w:t>
        </w:r>
        <w:r>
          <w:rPr>
            <w:noProof/>
          </w:rPr>
          <w:t xml:space="preserve">Operating expenditure </w:t>
        </w:r>
        <w:r w:rsidRPr="009B6F84">
          <w:rPr>
            <w:rFonts w:cs="Gautami"/>
            <w:noProof/>
            <w:szCs w:val="16"/>
          </w:rPr>
          <w:t xml:space="preserve">| </w:t>
        </w:r>
        <w:r>
          <w:t>Endeavour Energy</w:t>
        </w:r>
        <w:r w:rsidRPr="009B6F84">
          <w:rPr>
            <w:rFonts w:cs="Gautami"/>
            <w:noProof/>
            <w:szCs w:val="16"/>
          </w:rPr>
          <w:t xml:space="preserve"> Final decision</w:t>
        </w:r>
        <w:r>
          <w:rPr>
            <w:rFonts w:cs="Gautami"/>
            <w:noProof/>
            <w:szCs w:val="16"/>
          </w:rPr>
          <w:t xml:space="preserve"> 2015</w:t>
        </w:r>
        <w:r w:rsidRPr="005E1582">
          <w:rPr>
            <w:rFonts w:cs="Gautami"/>
            <w:noProof/>
            <w:szCs w:val="16"/>
          </w:rPr>
          <w:t>–</w:t>
        </w:r>
        <w:r>
          <w:rPr>
            <w:rFonts w:cs="Gautami"/>
            <w:noProof/>
            <w:szCs w:val="16"/>
          </w:rPr>
          <w:t>19</w:t>
        </w:r>
      </w:p>
    </w:sdtContent>
  </w:sdt>
  <w:p w:rsidR="00224E75" w:rsidRDefault="00224E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E75" w:rsidRPr="00290C63" w:rsidRDefault="00224E75"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224E75" w:rsidRDefault="00224E75">
    <w:pPr>
      <w:pStyle w:val="Footer"/>
    </w:pPr>
  </w:p>
  <w:p w:rsidR="00224E75" w:rsidRDefault="00224E75"/>
  <w:p w:rsidR="00224E75" w:rsidRDefault="00224E75"/>
  <w:p w:rsidR="00224E75" w:rsidRDefault="00224E75"/>
  <w:p w:rsidR="00224E75" w:rsidRDefault="00224E75"/>
  <w:p w:rsidR="00224E75" w:rsidRDefault="00224E75"/>
  <w:p w:rsidR="00224E75" w:rsidRDefault="00224E75"/>
  <w:p w:rsidR="00224E75" w:rsidRDefault="00224E7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E75" w:rsidRPr="00290C63" w:rsidRDefault="00224E75"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224E75" w:rsidRDefault="00224E75"/>
  <w:p w:rsidR="00224E75" w:rsidRDefault="00224E75"/>
  <w:p w:rsidR="00224E75" w:rsidRDefault="00224E75"/>
  <w:p w:rsidR="00224E75" w:rsidRDefault="00224E75"/>
  <w:p w:rsidR="00224E75" w:rsidRDefault="00224E75"/>
  <w:p w:rsidR="00224E75" w:rsidRDefault="00224E75"/>
  <w:p w:rsidR="00224E75" w:rsidRDefault="00224E7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 w:val="16"/>
        <w:szCs w:val="16"/>
      </w:rPr>
    </w:sdtEndPr>
    <w:sdtContent>
      <w:p w:rsidR="00224E75" w:rsidRDefault="00224E75">
        <w:pPr>
          <w:pStyle w:val="Footer"/>
        </w:pPr>
        <w:r>
          <w:fldChar w:fldCharType="begin"/>
        </w:r>
        <w:r>
          <w:instrText xml:space="preserve"> PAGE   \* MERGEFORMAT </w:instrText>
        </w:r>
        <w:r>
          <w:fldChar w:fldCharType="separate"/>
        </w:r>
        <w:r w:rsidR="00A66A4E">
          <w:rPr>
            <w:noProof/>
          </w:rPr>
          <w:t>7-77</w:t>
        </w:r>
        <w:r>
          <w:rPr>
            <w:noProof/>
          </w:rPr>
          <w:fldChar w:fldCharType="end"/>
        </w:r>
        <w:r>
          <w:rPr>
            <w:noProof/>
          </w:rPr>
          <w:t xml:space="preserve">          </w:t>
        </w:r>
        <w:r w:rsidRPr="008875E1">
          <w:rPr>
            <w:noProof/>
          </w:rPr>
          <w:t xml:space="preserve">Attachment 7 – Operating expenditure </w:t>
        </w:r>
        <w:r w:rsidRPr="00FD5E78">
          <w:rPr>
            <w:rFonts w:cs="Gautami"/>
            <w:noProof/>
            <w:sz w:val="16"/>
            <w:szCs w:val="16"/>
          </w:rPr>
          <w:t xml:space="preserve">| </w:t>
        </w:r>
        <w:r>
          <w:t>Endeavour Energy</w:t>
        </w:r>
        <w:r w:rsidRPr="00FD5E78">
          <w:rPr>
            <w:sz w:val="16"/>
            <w:szCs w:val="16"/>
          </w:rPr>
          <w:t xml:space="preserve"> </w:t>
        </w:r>
        <w:r>
          <w:t>f</w:t>
        </w:r>
        <w:r w:rsidRPr="0070011E">
          <w:t xml:space="preserve">inal decision </w:t>
        </w:r>
        <w:r w:rsidRPr="00FD5E78">
          <w:rPr>
            <w:rFonts w:cs="Gautami"/>
            <w:noProof/>
            <w:sz w:val="16"/>
            <w:szCs w:val="16"/>
          </w:rPr>
          <w:t>2015–</w:t>
        </w:r>
        <w:r>
          <w:rPr>
            <w:rFonts w:cs="Gautami"/>
            <w:noProof/>
            <w:sz w:val="16"/>
            <w:szCs w:val="16"/>
          </w:rPr>
          <w:t>19</w:t>
        </w:r>
      </w:p>
    </w:sdtContent>
  </w:sdt>
  <w:p w:rsidR="00224E75" w:rsidRDefault="00224E7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E75" w:rsidRPr="00290C63" w:rsidRDefault="00224E75"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224E75" w:rsidRDefault="00224E75">
    <w:pPr>
      <w:pStyle w:val="Footer"/>
    </w:pPr>
  </w:p>
  <w:p w:rsidR="00224E75" w:rsidRDefault="00224E75"/>
  <w:p w:rsidR="00224E75" w:rsidRDefault="00224E75"/>
  <w:p w:rsidR="00224E75" w:rsidRDefault="00224E75"/>
  <w:p w:rsidR="00224E75" w:rsidRDefault="00224E75"/>
  <w:p w:rsidR="00224E75" w:rsidRDefault="00224E75"/>
  <w:p w:rsidR="00224E75" w:rsidRDefault="00224E75"/>
  <w:p w:rsidR="00224E75" w:rsidRDefault="00224E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E75" w:rsidRPr="00290C63" w:rsidRDefault="00224E75" w:rsidP="00290C63">
      <w:r>
        <w:separator/>
      </w:r>
    </w:p>
    <w:p w:rsidR="00224E75" w:rsidRDefault="00224E75"/>
  </w:footnote>
  <w:footnote w:type="continuationSeparator" w:id="0">
    <w:p w:rsidR="00224E75" w:rsidRPr="00290C63" w:rsidRDefault="00224E75" w:rsidP="00290C63">
      <w:r>
        <w:continuationSeparator/>
      </w:r>
    </w:p>
    <w:p w:rsidR="00224E75" w:rsidRDefault="00224E75"/>
  </w:footnote>
  <w:footnote w:id="1">
    <w:p w:rsidR="00224E75" w:rsidRDefault="00224E75" w:rsidP="00B8317F">
      <w:pPr>
        <w:pStyle w:val="FootnoteText"/>
      </w:pPr>
      <w:r>
        <w:rPr>
          <w:rStyle w:val="FootnoteReference"/>
        </w:rPr>
        <w:footnoteRef/>
      </w:r>
      <w:r>
        <w:t xml:space="preserve"> </w:t>
      </w:r>
      <w:r>
        <w:tab/>
        <w:t>NER, clause 6.5.6(c).</w:t>
      </w:r>
    </w:p>
  </w:footnote>
  <w:footnote w:id="2">
    <w:p w:rsidR="00224E75" w:rsidRDefault="00224E75" w:rsidP="00B8317F">
      <w:pPr>
        <w:pStyle w:val="FootnoteText"/>
      </w:pPr>
      <w:r>
        <w:rPr>
          <w:rStyle w:val="FootnoteReference"/>
        </w:rPr>
        <w:footnoteRef/>
      </w:r>
      <w:r>
        <w:t xml:space="preserve"> </w:t>
      </w:r>
      <w:r>
        <w:tab/>
        <w:t>NER, clause 6.5.6(d).</w:t>
      </w:r>
    </w:p>
  </w:footnote>
  <w:footnote w:id="3">
    <w:p w:rsidR="00224E75" w:rsidRDefault="00224E75" w:rsidP="00B8317F">
      <w:pPr>
        <w:pStyle w:val="FootnoteText"/>
      </w:pPr>
      <w:r>
        <w:rPr>
          <w:rStyle w:val="FootnoteReference"/>
        </w:rPr>
        <w:footnoteRef/>
      </w:r>
      <w:r>
        <w:t xml:space="preserve"> </w:t>
      </w:r>
      <w:r>
        <w:tab/>
        <w:t>NER, clause 6.12.1(4)(ii).</w:t>
      </w:r>
    </w:p>
  </w:footnote>
  <w:footnote w:id="4">
    <w:p w:rsidR="00224E75" w:rsidRDefault="00224E75" w:rsidP="00B8317F">
      <w:pPr>
        <w:pStyle w:val="FootnoteText"/>
      </w:pPr>
      <w:r>
        <w:rPr>
          <w:rStyle w:val="FootnoteReference"/>
        </w:rPr>
        <w:footnoteRef/>
      </w:r>
      <w:r>
        <w:t xml:space="preserve"> </w:t>
      </w:r>
      <w:r>
        <w:tab/>
        <w:t>Note that this graph only refers to opex on standard control services.  In the 2014–19 period, Endeavour Energy is reallocating metering and ancillary network services from standard control services to alternative control services. In its initial proposal it forecast the impact of this to be $302.7 million ($2013–14).  When the effect of reclassified services are included in the forecast period, Endeavour Energy's and our forecast of its opex will be higher</w:t>
      </w:r>
    </w:p>
  </w:footnote>
  <w:footnote w:id="5">
    <w:p w:rsidR="00224E75" w:rsidRDefault="00224E75" w:rsidP="00B8317F">
      <w:pPr>
        <w:pStyle w:val="FootnoteText"/>
      </w:pPr>
      <w:r>
        <w:rPr>
          <w:rStyle w:val="FootnoteReference"/>
        </w:rPr>
        <w:footnoteRef/>
      </w:r>
      <w:r>
        <w:t xml:space="preserve"> </w:t>
      </w:r>
      <w:r>
        <w:tab/>
        <w:t>Endeavour Energy Regulatory proposal to the AER, 1 July 2015–30 June 2019, June 2014, p.82.</w:t>
      </w:r>
    </w:p>
  </w:footnote>
  <w:footnote w:id="6">
    <w:p w:rsidR="00224E75" w:rsidRDefault="00224E75" w:rsidP="00B8317F">
      <w:pPr>
        <w:pStyle w:val="FootnoteText"/>
      </w:pPr>
      <w:r>
        <w:rPr>
          <w:rStyle w:val="FootnoteReference"/>
        </w:rPr>
        <w:footnoteRef/>
      </w:r>
      <w:r>
        <w:t xml:space="preserve"> </w:t>
      </w:r>
      <w:r>
        <w:tab/>
        <w:t>Endeavour Energy, Revised regulatory proposal to the AER 1 July 2014–30 June 2019, January 2015, p. 143.</w:t>
      </w:r>
    </w:p>
  </w:footnote>
  <w:footnote w:id="7">
    <w:p w:rsidR="00224E75" w:rsidRDefault="00224E75" w:rsidP="00B8317F">
      <w:pPr>
        <w:pStyle w:val="FootnoteText"/>
      </w:pPr>
      <w:r>
        <w:rPr>
          <w:rStyle w:val="FootnoteReference"/>
        </w:rPr>
        <w:footnoteRef/>
      </w:r>
      <w:r>
        <w:t xml:space="preserve"> </w:t>
      </w:r>
      <w:r>
        <w:tab/>
        <w:t>Endeavour Energy, Revised regulatory proposal to the AER 1 July 2014–30 June 2019, January 2015, p. 157.</w:t>
      </w:r>
    </w:p>
  </w:footnote>
  <w:footnote w:id="8">
    <w:p w:rsidR="00224E75" w:rsidRDefault="00224E75" w:rsidP="00B8317F">
      <w:pPr>
        <w:pStyle w:val="FootnoteText"/>
      </w:pPr>
      <w:r>
        <w:rPr>
          <w:rStyle w:val="FootnoteReference"/>
        </w:rPr>
        <w:footnoteRef/>
      </w:r>
      <w:r>
        <w:t xml:space="preserve"> </w:t>
      </w:r>
      <w:r>
        <w:tab/>
        <w:t>Endeavour Energy, Revised regulatory proposal to the AER 1 July 2014–30 June 2019, January 2015, p. 157.</w:t>
      </w:r>
    </w:p>
  </w:footnote>
  <w:footnote w:id="9">
    <w:p w:rsidR="00224E75" w:rsidRDefault="00224E75" w:rsidP="00B8317F">
      <w:pPr>
        <w:pStyle w:val="FootnoteText"/>
      </w:pPr>
      <w:r>
        <w:rPr>
          <w:rStyle w:val="FootnoteReference"/>
        </w:rPr>
        <w:footnoteRef/>
      </w:r>
      <w:r>
        <w:t xml:space="preserve"> </w:t>
      </w:r>
      <w:r>
        <w:tab/>
        <w:t>Endeavour Energy, Revised regulatory proposal to the AER 1 July 2014–30 June 2019, January 2015, p. 157.</w:t>
      </w:r>
    </w:p>
  </w:footnote>
  <w:footnote w:id="10">
    <w:p w:rsidR="00224E75" w:rsidRDefault="00224E75" w:rsidP="00B8317F">
      <w:pPr>
        <w:pStyle w:val="FootnoteText"/>
      </w:pPr>
      <w:r>
        <w:rPr>
          <w:rStyle w:val="FootnoteReference"/>
        </w:rPr>
        <w:footnoteRef/>
      </w:r>
      <w:r>
        <w:t xml:space="preserve"> </w:t>
      </w:r>
      <w:r>
        <w:tab/>
        <w:t>Endeavour Energy, Revised regulatory proposal to the AER 1 July 2014–30 June 2019, January 2015, p. 187.</w:t>
      </w:r>
    </w:p>
  </w:footnote>
  <w:footnote w:id="11">
    <w:p w:rsidR="00224E75" w:rsidRDefault="00224E75" w:rsidP="00B8317F">
      <w:pPr>
        <w:pStyle w:val="FootnoteText"/>
      </w:pPr>
      <w:r>
        <w:rPr>
          <w:rStyle w:val="FootnoteReference"/>
        </w:rPr>
        <w:footnoteRef/>
      </w:r>
      <w:r>
        <w:t xml:space="preserve"> </w:t>
      </w:r>
      <w:r>
        <w:tab/>
        <w:t>We did not apply the DEA benchmarking technique. We outline the reasons why we did not apply this technique in section A.4 of our base opex appendix.</w:t>
      </w:r>
    </w:p>
  </w:footnote>
  <w:footnote w:id="12">
    <w:p w:rsidR="00224E75" w:rsidRDefault="00224E75" w:rsidP="00B8317F">
      <w:pPr>
        <w:pStyle w:val="FootnoteText"/>
      </w:pPr>
      <w:r>
        <w:rPr>
          <w:rStyle w:val="FootnoteReference"/>
        </w:rPr>
        <w:footnoteRef/>
      </w:r>
      <w:r>
        <w:t xml:space="preserve"> </w:t>
      </w:r>
      <w:r>
        <w:tab/>
        <w:t xml:space="preserve">AER, </w:t>
      </w:r>
      <w:r>
        <w:rPr>
          <w:rStyle w:val="AERtextitalic"/>
        </w:rPr>
        <w:t>Expenditure forecasting assessment guideline</w:t>
      </w:r>
      <w:r>
        <w:t>, November 2013.</w:t>
      </w:r>
    </w:p>
  </w:footnote>
  <w:footnote w:id="13">
    <w:p w:rsidR="00224E75" w:rsidRDefault="00224E75" w:rsidP="00B8317F">
      <w:pPr>
        <w:pStyle w:val="FootnoteText"/>
      </w:pPr>
      <w:r>
        <w:rPr>
          <w:rStyle w:val="FootnoteReference"/>
        </w:rPr>
        <w:footnoteRef/>
      </w:r>
      <w:r>
        <w:t xml:space="preserve"> </w:t>
      </w:r>
      <w:r>
        <w:tab/>
        <w:t>NER, clause 6.5.6(c).</w:t>
      </w:r>
    </w:p>
  </w:footnote>
  <w:footnote w:id="14">
    <w:p w:rsidR="00224E75" w:rsidRDefault="00224E75" w:rsidP="00B8317F">
      <w:pPr>
        <w:pStyle w:val="FootnoteText"/>
      </w:pPr>
      <w:r>
        <w:rPr>
          <w:rStyle w:val="FootnoteReference"/>
        </w:rPr>
        <w:footnoteRef/>
      </w:r>
      <w:r>
        <w:t xml:space="preserve"> </w:t>
      </w:r>
      <w:r>
        <w:tab/>
        <w:t>NER, clause 6.5.6(d).</w:t>
      </w:r>
    </w:p>
  </w:footnote>
  <w:footnote w:id="15">
    <w:p w:rsidR="00224E75" w:rsidRDefault="00224E75" w:rsidP="00B8317F">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vii.</w:t>
      </w:r>
    </w:p>
  </w:footnote>
  <w:footnote w:id="16">
    <w:p w:rsidR="00224E75" w:rsidRDefault="00224E75" w:rsidP="00B8317F">
      <w:pPr>
        <w:pStyle w:val="FootnoteText"/>
      </w:pPr>
      <w:r>
        <w:rPr>
          <w:rStyle w:val="FootnoteReference"/>
        </w:rPr>
        <w:footnoteRef/>
      </w:r>
      <w:r>
        <w:t xml:space="preserve"> </w:t>
      </w:r>
      <w:r>
        <w:tab/>
        <w:t>NER, clause 6.5.6(a).</w:t>
      </w:r>
    </w:p>
  </w:footnote>
  <w:footnote w:id="17">
    <w:p w:rsidR="00224E75" w:rsidRDefault="00224E75" w:rsidP="00B8317F">
      <w:pPr>
        <w:pStyle w:val="FootnoteText"/>
      </w:pPr>
      <w:r>
        <w:rPr>
          <w:rStyle w:val="FootnoteReference"/>
        </w:rPr>
        <w:footnoteRef/>
      </w:r>
      <w:r>
        <w:t xml:space="preserve"> </w:t>
      </w:r>
      <w:r>
        <w:tab/>
        <w:t>NER, clause 6.5.6(c).</w:t>
      </w:r>
    </w:p>
  </w:footnote>
  <w:footnote w:id="18">
    <w:p w:rsidR="00224E75" w:rsidRDefault="00224E75" w:rsidP="00B8317F">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113.</w:t>
      </w:r>
    </w:p>
  </w:footnote>
  <w:footnote w:id="19">
    <w:p w:rsidR="00224E75" w:rsidRDefault="00224E75" w:rsidP="00B8317F">
      <w:pPr>
        <w:pStyle w:val="FootnoteText"/>
      </w:pPr>
      <w:r>
        <w:rPr>
          <w:rStyle w:val="FootnoteReference"/>
        </w:rPr>
        <w:footnoteRef/>
      </w:r>
      <w:r>
        <w:t xml:space="preserve"> </w:t>
      </w:r>
      <w:r>
        <w:tab/>
        <w:t>NER, clause 6.5.6(e).</w:t>
      </w:r>
    </w:p>
  </w:footnote>
  <w:footnote w:id="20">
    <w:p w:rsidR="00224E75" w:rsidRDefault="00224E75" w:rsidP="00B8317F">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115.</w:t>
      </w:r>
    </w:p>
  </w:footnote>
  <w:footnote w:id="21">
    <w:p w:rsidR="00224E75" w:rsidRDefault="00224E75" w:rsidP="00B8317F">
      <w:pPr>
        <w:pStyle w:val="FootnoteText"/>
      </w:pPr>
      <w:r>
        <w:rPr>
          <w:rStyle w:val="FootnoteReference"/>
        </w:rPr>
        <w:footnoteRef/>
      </w:r>
      <w:r>
        <w:t xml:space="preserve"> </w:t>
      </w:r>
      <w:r>
        <w:tab/>
        <w:t>This is consistent with the approach we outlined in the explanatory statement to our Expenditure Forecast Assessment Guideline. See, for example, p. 131.</w:t>
      </w:r>
    </w:p>
  </w:footnote>
  <w:footnote w:id="22">
    <w:p w:rsidR="00224E75" w:rsidRDefault="00224E75" w:rsidP="00B8317F">
      <w:pPr>
        <w:pStyle w:val="FootnoteText"/>
      </w:pPr>
      <w:r>
        <w:rPr>
          <w:rStyle w:val="FootnoteReference"/>
        </w:rPr>
        <w:footnoteRef/>
      </w:r>
      <w:r>
        <w:t xml:space="preserve"> </w:t>
      </w:r>
      <w:r>
        <w:tab/>
        <w:t>NEL, s. 16(2); s. 7A.</w:t>
      </w:r>
    </w:p>
  </w:footnote>
  <w:footnote w:id="23">
    <w:p w:rsidR="00224E75" w:rsidRDefault="00224E75" w:rsidP="00B8317F">
      <w:pPr>
        <w:pStyle w:val="FootnoteText"/>
      </w:pPr>
      <w:r>
        <w:rPr>
          <w:rStyle w:val="FootnoteReference"/>
        </w:rPr>
        <w:footnoteRef/>
      </w:r>
      <w:r>
        <w:t xml:space="preserve"> </w:t>
      </w:r>
      <w:r>
        <w:tab/>
        <w:t xml:space="preserve">AER, </w:t>
      </w:r>
      <w:r>
        <w:rPr>
          <w:rStyle w:val="AERtextitalic"/>
        </w:rPr>
        <w:t>Expenditure forecasting assessment guideline - explanatory statement</w:t>
      </w:r>
      <w:r>
        <w:t>, November 2013.</w:t>
      </w:r>
    </w:p>
  </w:footnote>
  <w:footnote w:id="24">
    <w:p w:rsidR="00224E75" w:rsidRDefault="00224E75" w:rsidP="00B8317F">
      <w:pPr>
        <w:pStyle w:val="FootnoteText"/>
      </w:pPr>
      <w:r>
        <w:rPr>
          <w:rStyle w:val="FootnoteReference"/>
        </w:rPr>
        <w:footnoteRef/>
      </w:r>
      <w:r>
        <w:t xml:space="preserve"> </w:t>
      </w:r>
      <w:r>
        <w:tab/>
        <w:t>NER, clause 6.5.6.</w:t>
      </w:r>
    </w:p>
  </w:footnote>
  <w:footnote w:id="25">
    <w:p w:rsidR="00224E75" w:rsidRDefault="00224E75" w:rsidP="00B8317F">
      <w:pPr>
        <w:pStyle w:val="FootnoteText"/>
      </w:pPr>
      <w:r>
        <w:rPr>
          <w:rStyle w:val="FootnoteReference"/>
        </w:rPr>
        <w:footnoteRef/>
      </w:r>
      <w:r>
        <w:t xml:space="preserve"> </w:t>
      </w:r>
      <w:r>
        <w:tab/>
        <w:t xml:space="preserve"> We did not apply the DEA benchmarking technique . We outline the reasons why we did not apply this technique in section A.4 of our base opex appendix. </w:t>
      </w:r>
    </w:p>
  </w:footnote>
  <w:footnote w:id="26">
    <w:p w:rsidR="00224E75" w:rsidRDefault="00224E75" w:rsidP="00B8317F">
      <w:pPr>
        <w:pStyle w:val="FootnoteText"/>
      </w:pPr>
      <w:r>
        <w:rPr>
          <w:rStyle w:val="FootnoteReference"/>
        </w:rPr>
        <w:footnoteRef/>
      </w:r>
      <w:r>
        <w:t xml:space="preserve"> </w:t>
      </w:r>
      <w:r>
        <w:tab/>
        <w:t xml:space="preserve">AER, </w:t>
      </w:r>
      <w:r w:rsidRPr="00D118A0">
        <w:rPr>
          <w:rStyle w:val="AERtextitalic"/>
        </w:rPr>
        <w:t xml:space="preserve">Stage 2 Framework and approach - NSW </w:t>
      </w:r>
      <w:r>
        <w:rPr>
          <w:rStyle w:val="AERtextitalic"/>
        </w:rPr>
        <w:t>electricity distribution network service providers</w:t>
      </w:r>
      <w:r>
        <w:t xml:space="preserve">, </w:t>
      </w:r>
      <w:r w:rsidRPr="00D118A0">
        <w:t>January 2014</w:t>
      </w:r>
      <w:r>
        <w:t>, p. 50.</w:t>
      </w:r>
    </w:p>
  </w:footnote>
  <w:footnote w:id="27">
    <w:p w:rsidR="00224E75" w:rsidRDefault="00224E75" w:rsidP="00B8317F">
      <w:pPr>
        <w:pStyle w:val="FootnoteText"/>
      </w:pPr>
      <w:r>
        <w:rPr>
          <w:rStyle w:val="FootnoteReference"/>
        </w:rPr>
        <w:footnoteRef/>
      </w:r>
      <w:r>
        <w:t xml:space="preserve"> </w:t>
      </w:r>
      <w:r>
        <w:tab/>
        <w:t xml:space="preserve">AER, </w:t>
      </w:r>
      <w:r>
        <w:rPr>
          <w:rStyle w:val="AERtextitalic"/>
        </w:rPr>
        <w:t>Expenditure forecast assessment guideline</w:t>
      </w:r>
      <w:r>
        <w:t>, November 2013, p. 7.</w:t>
      </w:r>
    </w:p>
  </w:footnote>
  <w:footnote w:id="28">
    <w:p w:rsidR="00224E75" w:rsidRDefault="00224E75" w:rsidP="00B8317F">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29">
    <w:p w:rsidR="00224E75" w:rsidRDefault="00224E75" w:rsidP="00B8317F">
      <w:pPr>
        <w:pStyle w:val="FootnoteText"/>
      </w:pPr>
      <w:r>
        <w:rPr>
          <w:rStyle w:val="FootnoteReference"/>
        </w:rPr>
        <w:footnoteRef/>
      </w:r>
      <w:r>
        <w:t xml:space="preserve"> </w:t>
      </w:r>
      <w:r>
        <w:tab/>
        <w:t>NER, clause 6.5.6(c).</w:t>
      </w:r>
    </w:p>
  </w:footnote>
  <w:footnote w:id="30">
    <w:p w:rsidR="00224E75" w:rsidRDefault="00224E75" w:rsidP="00B8317F">
      <w:pPr>
        <w:pStyle w:val="FootnoteText"/>
      </w:pPr>
      <w:r>
        <w:rPr>
          <w:rStyle w:val="FootnoteReference"/>
        </w:rPr>
        <w:footnoteRef/>
      </w:r>
      <w:r>
        <w:t xml:space="preserve"> </w:t>
      </w:r>
      <w:r>
        <w:tab/>
        <w:t>NER, clause 6.12.1(3)(ii).</w:t>
      </w:r>
    </w:p>
  </w:footnote>
  <w:footnote w:id="31">
    <w:p w:rsidR="00224E75" w:rsidRDefault="00224E75" w:rsidP="00B8317F">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32">
    <w:p w:rsidR="00224E75" w:rsidRDefault="00224E75" w:rsidP="00B8317F">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33">
    <w:p w:rsidR="00224E75" w:rsidRDefault="00224E75" w:rsidP="00B8317F">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34">
    <w:p w:rsidR="00224E75" w:rsidRDefault="00224E75" w:rsidP="00B8317F">
      <w:pPr>
        <w:pStyle w:val="FootnoteText"/>
      </w:pPr>
      <w:r>
        <w:rPr>
          <w:rStyle w:val="FootnoteReference"/>
        </w:rPr>
        <w:footnoteRef/>
      </w:r>
      <w:r>
        <w:t xml:space="preserve"> </w:t>
      </w:r>
      <w:r>
        <w:tab/>
      </w:r>
      <w:r w:rsidRPr="004500B9">
        <w:t>The benchmarking mod</w:t>
      </w:r>
      <w:r>
        <w:t>els are discussed in detail in a</w:t>
      </w:r>
      <w:r w:rsidRPr="004500B9">
        <w:t>ppendix A, which details our assessment of base opex.</w:t>
      </w:r>
    </w:p>
  </w:footnote>
  <w:footnote w:id="35">
    <w:p w:rsidR="00224E75" w:rsidRDefault="00224E75" w:rsidP="00B8317F">
      <w:pPr>
        <w:pStyle w:val="FootnoteText"/>
      </w:pPr>
      <w:r>
        <w:rPr>
          <w:rStyle w:val="FootnoteReference"/>
        </w:rPr>
        <w:footnoteRef/>
      </w:r>
      <w:r>
        <w:t xml:space="preserve"> </w:t>
      </w:r>
      <w:r>
        <w:tab/>
        <w:t xml:space="preserve">AER, </w:t>
      </w:r>
      <w:r w:rsidRPr="003A12CC">
        <w:rPr>
          <w:rStyle w:val="AERtextitalic"/>
        </w:rPr>
        <w:t>Expenditure forecast assessment guideline</w:t>
      </w:r>
      <w:r>
        <w:t>, November 2013, p. 24.</w:t>
      </w:r>
    </w:p>
  </w:footnote>
  <w:footnote w:id="36">
    <w:p w:rsidR="00224E75" w:rsidRDefault="00224E75" w:rsidP="00B8317F">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37">
    <w:p w:rsidR="00224E75" w:rsidRDefault="00224E75" w:rsidP="00B8317F">
      <w:pPr>
        <w:pStyle w:val="FootnoteText"/>
      </w:pPr>
      <w:r>
        <w:rPr>
          <w:rStyle w:val="FootnoteReference"/>
        </w:rPr>
        <w:footnoteRef/>
      </w:r>
      <w:r>
        <w:t xml:space="preserve"> </w:t>
      </w:r>
      <w:r>
        <w:tab/>
        <w:t xml:space="preserve">AER, </w:t>
      </w:r>
      <w:r w:rsidRPr="003A12CC">
        <w:rPr>
          <w:rStyle w:val="AERtextitalic"/>
        </w:rPr>
        <w:t>Expenditure forecast assessment guideline</w:t>
      </w:r>
      <w:r>
        <w:rPr>
          <w:rStyle w:val="AERtextitalic"/>
        </w:rPr>
        <w:t xml:space="preserve"> - Explanatory statement</w:t>
      </w:r>
      <w:r>
        <w:t>, November 2013, p. 23.</w:t>
      </w:r>
    </w:p>
  </w:footnote>
  <w:footnote w:id="38">
    <w:p w:rsidR="00224E75" w:rsidRDefault="00224E75" w:rsidP="00B8317F">
      <w:pPr>
        <w:pStyle w:val="FootnoteText"/>
      </w:pPr>
      <w:r>
        <w:rPr>
          <w:rStyle w:val="FootnoteReference"/>
        </w:rPr>
        <w:footnoteRef/>
      </w:r>
      <w:r>
        <w:t xml:space="preserve"> </w:t>
      </w:r>
      <w:r>
        <w:tab/>
        <w:t>Provisions reflect liabilities of uncertain timing or amount. In 2012–13, Endeavour Energy's provisions for long service leave were revalued which affected its reported opex. Our preferred approach is to remove the effect of the provisions from reported opex in the base year so that underlying opex reflects the cost incurred in settling the liability in the base year. This approach ensures our forecast is not subject to accounting adjustments.</w:t>
      </w:r>
    </w:p>
  </w:footnote>
  <w:footnote w:id="39">
    <w:p w:rsidR="00224E75" w:rsidRDefault="00224E75" w:rsidP="00B8317F">
      <w:pPr>
        <w:pStyle w:val="FootnoteText"/>
      </w:pPr>
      <w:r>
        <w:rPr>
          <w:rStyle w:val="FootnoteReference"/>
        </w:rPr>
        <w:footnoteRef/>
      </w:r>
      <w:r>
        <w:t xml:space="preserve"> </w:t>
      </w:r>
      <w:r>
        <w:tab/>
        <w:t xml:space="preserve">For each of these areas, other than our forecasting method assessment, our analysis is supported by an appendix. </w:t>
      </w:r>
    </w:p>
  </w:footnote>
  <w:footnote w:id="40">
    <w:p w:rsidR="00224E75" w:rsidRDefault="00224E75" w:rsidP="00B8317F">
      <w:pPr>
        <w:pStyle w:val="FootnoteText"/>
      </w:pPr>
      <w:r>
        <w:rPr>
          <w:rStyle w:val="FootnoteReference"/>
        </w:rPr>
        <w:footnoteRef/>
      </w:r>
      <w:r>
        <w:t xml:space="preserve"> </w:t>
      </w:r>
      <w:r>
        <w:tab/>
        <w:t xml:space="preserve">AER, </w:t>
      </w:r>
      <w:r w:rsidRPr="000D3454">
        <w:rPr>
          <w:rStyle w:val="AERtextitalic"/>
        </w:rPr>
        <w:t>Draft decision: Endeavour Energy distribution determination 2014–19</w:t>
      </w:r>
      <w:r>
        <w:t xml:space="preserve">, Attachment 7, </w:t>
      </w:r>
      <w:r w:rsidRPr="000D3454">
        <w:t>November 2014</w:t>
      </w:r>
      <w:r>
        <w:t>, pp. 161–166.</w:t>
      </w:r>
    </w:p>
  </w:footnote>
  <w:footnote w:id="41">
    <w:p w:rsidR="00224E75" w:rsidRDefault="00224E75" w:rsidP="00B8317F">
      <w:pPr>
        <w:pStyle w:val="FootnoteText"/>
      </w:pPr>
      <w:r>
        <w:rPr>
          <w:rStyle w:val="FootnoteReference"/>
        </w:rPr>
        <w:footnoteRef/>
      </w:r>
      <w:r>
        <w:t xml:space="preserve"> </w:t>
      </w:r>
      <w:r>
        <w:tab/>
      </w:r>
      <w:r w:rsidRPr="00DC40E2">
        <w:rPr>
          <w:rStyle w:val="AERtextsize8"/>
        </w:rPr>
        <w:t xml:space="preserve">Deloitte Access Economics, </w:t>
      </w:r>
      <w:r w:rsidRPr="005A35DD">
        <w:rPr>
          <w:rStyle w:val="Emphasis"/>
        </w:rPr>
        <w:t>NSW distribution network service providers labour analysis: addendum to 2014 report</w:t>
      </w:r>
      <w:r w:rsidRPr="00DC40E2">
        <w:rPr>
          <w:rStyle w:val="AERtextsize8"/>
        </w:rPr>
        <w:t>, April 2015, pp. ii–vii; Deloitte, NSW Distribution Network Service Providers Labour Analysis, November 2014, pp. i-v.</w:t>
      </w:r>
    </w:p>
  </w:footnote>
  <w:footnote w:id="42">
    <w:p w:rsidR="00224E75" w:rsidRDefault="00224E75" w:rsidP="00B8317F">
      <w:pPr>
        <w:pStyle w:val="FootnoteText"/>
      </w:pPr>
      <w:r>
        <w:rPr>
          <w:rStyle w:val="FootnoteReference"/>
        </w:rPr>
        <w:footnoteRef/>
      </w:r>
      <w:r>
        <w:t xml:space="preserve"> </w:t>
      </w:r>
      <w:r>
        <w:tab/>
        <w:t xml:space="preserve">Stochastic frontier analysis (SFA) can directly estimate efficiency scores and has superior statistical properties. Economic Insights, </w:t>
      </w:r>
      <w:r w:rsidRPr="00C5001E">
        <w:t>Economic Benchmarking Assessment of Operating Expenditure for NSW and ACT Electricity DNSPs</w:t>
      </w:r>
      <w:r>
        <w:t>, November 2014, p. v.</w:t>
      </w:r>
    </w:p>
  </w:footnote>
  <w:footnote w:id="43">
    <w:p w:rsidR="00224E75" w:rsidRDefault="00224E75" w:rsidP="00B8317F">
      <w:pPr>
        <w:pStyle w:val="FootnoteText"/>
      </w:pPr>
      <w:r>
        <w:rPr>
          <w:rStyle w:val="FootnoteReference"/>
        </w:rPr>
        <w:footnoteRef/>
      </w:r>
      <w:r>
        <w:t xml:space="preserve"> </w:t>
      </w:r>
      <w:r>
        <w:tab/>
        <w:t xml:space="preserve">We used the reset RIN data to calculate the annual percentage change in Endeavour Energy's initial proposal. Endeavour Energy was not required to provide an update to its reset RIN in its revised proposal. </w:t>
      </w:r>
    </w:p>
  </w:footnote>
  <w:footnote w:id="44">
    <w:p w:rsidR="00224E75" w:rsidRDefault="00224E75" w:rsidP="00B8317F">
      <w:pPr>
        <w:pStyle w:val="FootnoteText"/>
      </w:pPr>
      <w:r>
        <w:rPr>
          <w:rStyle w:val="FootnoteReference"/>
        </w:rPr>
        <w:footnoteRef/>
      </w:r>
      <w:r>
        <w:t xml:space="preserve"> </w:t>
      </w:r>
      <w:r>
        <w:tab/>
        <w:t xml:space="preserve">Endeavour Energy, </w:t>
      </w:r>
      <w:r w:rsidRPr="00BA5570">
        <w:rPr>
          <w:rStyle w:val="AERtextitalic"/>
        </w:rPr>
        <w:t>Regulatory Proposal</w:t>
      </w:r>
      <w:r>
        <w:t>, p. 78.</w:t>
      </w:r>
    </w:p>
  </w:footnote>
  <w:footnote w:id="45">
    <w:p w:rsidR="00224E75" w:rsidRDefault="00224E75" w:rsidP="00B8317F">
      <w:pPr>
        <w:pStyle w:val="FootnoteText"/>
      </w:pPr>
      <w:r>
        <w:rPr>
          <w:rStyle w:val="FootnoteReference"/>
        </w:rPr>
        <w:footnoteRef/>
      </w:r>
      <w:r>
        <w:t xml:space="preserve"> </w:t>
      </w:r>
      <w:r>
        <w:tab/>
        <w:t xml:space="preserve">TransGrid, </w:t>
      </w:r>
      <w:r w:rsidRPr="00800801">
        <w:rPr>
          <w:rStyle w:val="AERtextitalic"/>
        </w:rPr>
        <w:t>Revised revenue proposal</w:t>
      </w:r>
      <w:r>
        <w:t xml:space="preserve">, January 2015, p. 107. </w:t>
      </w:r>
    </w:p>
  </w:footnote>
  <w:footnote w:id="46">
    <w:p w:rsidR="00224E75" w:rsidRDefault="00224E75" w:rsidP="002B5F41">
      <w:pPr>
        <w:pStyle w:val="FootnoteText"/>
      </w:pPr>
      <w:r>
        <w:rPr>
          <w:rStyle w:val="FootnoteReference"/>
        </w:rPr>
        <w:footnoteRef/>
      </w:r>
      <w:r>
        <w:t xml:space="preserve"> </w:t>
      </w:r>
      <w:r>
        <w:tab/>
        <w:t xml:space="preserve">Ausgrid, </w:t>
      </w:r>
      <w:r w:rsidRPr="003A1A06">
        <w:rPr>
          <w:rStyle w:val="AERtextitalic"/>
        </w:rPr>
        <w:t>Revised Regulatory Proposal</w:t>
      </w:r>
      <w:r>
        <w:t xml:space="preserve">, January 2015, pp. 28-36; </w:t>
      </w:r>
      <w:r w:rsidRPr="00330381">
        <w:t xml:space="preserve">Networks NSW, </w:t>
      </w:r>
      <w:r w:rsidRPr="003A1A06">
        <w:rPr>
          <w:rStyle w:val="AERtextitalic"/>
        </w:rPr>
        <w:t>NSW DNSPs' submission on the AER's draft determinations</w:t>
      </w:r>
      <w:r w:rsidRPr="00330381">
        <w:t>, 13 February 2015, pp. 6-9</w:t>
      </w:r>
      <w:r>
        <w:t>.</w:t>
      </w:r>
    </w:p>
  </w:footnote>
  <w:footnote w:id="47">
    <w:p w:rsidR="00224E75" w:rsidRDefault="00224E75" w:rsidP="002B5F41">
      <w:pPr>
        <w:pStyle w:val="FootnoteText"/>
      </w:pPr>
      <w:r>
        <w:rPr>
          <w:rStyle w:val="FootnoteReference"/>
        </w:rPr>
        <w:footnoteRef/>
      </w:r>
      <w:r>
        <w:t xml:space="preserve"> </w:t>
      </w:r>
      <w:r>
        <w:tab/>
        <w:t xml:space="preserve">Ausgrid, </w:t>
      </w:r>
      <w:r w:rsidRPr="003A1A06">
        <w:rPr>
          <w:rStyle w:val="AERtextitalic"/>
        </w:rPr>
        <w:t>Revised Regulatory Proposal</w:t>
      </w:r>
      <w:r w:rsidRPr="003A1A06">
        <w:t>, January 2015</w:t>
      </w:r>
      <w:r>
        <w:t>, pp. 153, 163-164</w:t>
      </w:r>
      <w:r w:rsidRPr="00BE62C4">
        <w:t>; Essential Energy, Revised regulatory proposal, pp. 213–214; Endeavour Energy, Revised regulatory proposal, p. 195.</w:t>
      </w:r>
    </w:p>
  </w:footnote>
  <w:footnote w:id="48">
    <w:p w:rsidR="00224E75" w:rsidRDefault="00224E75" w:rsidP="002B5F41">
      <w:pPr>
        <w:pStyle w:val="FootnoteText"/>
      </w:pPr>
      <w:r>
        <w:rPr>
          <w:rStyle w:val="FootnoteReference"/>
        </w:rPr>
        <w:footnoteRef/>
      </w:r>
      <w:r>
        <w:t xml:space="preserve"> </w:t>
      </w:r>
      <w:r>
        <w:tab/>
      </w:r>
      <w:r w:rsidRPr="000F1862">
        <w:t xml:space="preserve">Ausgrid, </w:t>
      </w:r>
      <w:r w:rsidRPr="003A1A06">
        <w:rPr>
          <w:rStyle w:val="AERtextitalic"/>
        </w:rPr>
        <w:t>Revised Regulatory Proposal</w:t>
      </w:r>
      <w:r w:rsidRPr="003A1A06">
        <w:t>, January 2015</w:t>
      </w:r>
      <w:r>
        <w:t>,</w:t>
      </w:r>
      <w:r w:rsidRPr="000F1862">
        <w:t xml:space="preserve"> p. 162</w:t>
      </w:r>
      <w:r w:rsidRPr="00F15B7D">
        <w:t>; Essential Energy, revised regulatory proposal, pp. 207–208; Endeavour Energy, Revised regulatory proposal, p. 190</w:t>
      </w:r>
      <w:r>
        <w:t>.</w:t>
      </w:r>
    </w:p>
  </w:footnote>
  <w:footnote w:id="49">
    <w:p w:rsidR="00224E75" w:rsidRDefault="00224E75" w:rsidP="002B5F41">
      <w:pPr>
        <w:pStyle w:val="FootnoteText"/>
      </w:pPr>
      <w:r>
        <w:rPr>
          <w:rStyle w:val="FootnoteReference"/>
        </w:rPr>
        <w:footnoteRef/>
      </w:r>
      <w:r>
        <w:t xml:space="preserve"> </w:t>
      </w:r>
      <w:r>
        <w:tab/>
        <w:t>This issue was raised more substantially by Ergon Energy in submissions to the NSW and ACT draft decisions, and by ActewAGL. This issue is, however, relevant to all service providers. ActewAGL, Revised Regulatory Proposal, pp. 257-267; Ergon Energy, Submissions on the draft decisions: NSW and ACT distribution determinations 2014-15 to 2018-19, 13 February 2015, pp. 23-27.</w:t>
      </w:r>
    </w:p>
  </w:footnote>
  <w:footnote w:id="50">
    <w:p w:rsidR="00224E75" w:rsidRDefault="00224E75" w:rsidP="002B5F41">
      <w:pPr>
        <w:pStyle w:val="FootnoteText"/>
      </w:pPr>
      <w:r>
        <w:rPr>
          <w:rStyle w:val="FootnoteReference"/>
        </w:rPr>
        <w:footnoteRef/>
      </w:r>
      <w:r>
        <w:t xml:space="preserve"> </w:t>
      </w:r>
      <w:r>
        <w:tab/>
      </w:r>
      <w:r w:rsidRPr="00F15B7D">
        <w:t>Ausgrid, Revised Regulatory Proposal, pp. 151–153; Essential Energy, Revised regulatory proposal, pp. 192–193; Endeavour Energy, Revised regulatory proposal, pp. 179–180.</w:t>
      </w:r>
    </w:p>
  </w:footnote>
  <w:footnote w:id="51">
    <w:p w:rsidR="00224E75" w:rsidRDefault="00224E75" w:rsidP="002B5F41">
      <w:pPr>
        <w:pStyle w:val="FootnoteText"/>
      </w:pPr>
      <w:r>
        <w:rPr>
          <w:rStyle w:val="FootnoteReference"/>
        </w:rPr>
        <w:footnoteRef/>
      </w:r>
      <w:r>
        <w:t xml:space="preserve"> </w:t>
      </w:r>
      <w:r>
        <w:tab/>
      </w:r>
      <w:r w:rsidRPr="00EE63C8">
        <w:t>For example, Ausgrid, Revised Regulatory Proposal, pp. 123-126.</w:t>
      </w:r>
    </w:p>
  </w:footnote>
  <w:footnote w:id="52">
    <w:p w:rsidR="00224E75" w:rsidRDefault="00224E75" w:rsidP="002B5F41">
      <w:pPr>
        <w:pStyle w:val="FootnoteText"/>
      </w:pPr>
      <w:r>
        <w:rPr>
          <w:rStyle w:val="FootnoteReference"/>
        </w:rPr>
        <w:footnoteRef/>
      </w:r>
      <w:r>
        <w:t xml:space="preserve"> </w:t>
      </w:r>
      <w:r>
        <w:tab/>
        <w:t xml:space="preserve">While we have lowered the comparison point to AusNet Services in this decision, the comparison point for the operating environment factors is the customer weight average of the service providers that score equal to or above the benchmark comparison point. </w:t>
      </w:r>
    </w:p>
  </w:footnote>
  <w:footnote w:id="53">
    <w:p w:rsidR="00224E75" w:rsidRDefault="00224E75" w:rsidP="00B8317F">
      <w:pPr>
        <w:pStyle w:val="FootnoteText"/>
      </w:pPr>
      <w:r>
        <w:rPr>
          <w:rStyle w:val="FootnoteReference"/>
        </w:rPr>
        <w:footnoteRef/>
      </w:r>
      <w:r>
        <w:t xml:space="preserve"> </w:t>
      </w:r>
      <w:r>
        <w:tab/>
        <w:t xml:space="preserve">For example, Endeavour Energy, </w:t>
      </w:r>
      <w:r w:rsidRPr="00B40498">
        <w:t>Attachment 1.</w:t>
      </w:r>
      <w:r>
        <w:t>08</w:t>
      </w:r>
      <w:r w:rsidRPr="00B40498">
        <w:t xml:space="preserve"> Statement of Chief Operating Officer</w:t>
      </w:r>
      <w:r>
        <w:t xml:space="preserve">; </w:t>
      </w:r>
      <w:r w:rsidRPr="00B40498">
        <w:t>Attachment 1.</w:t>
      </w:r>
      <w:r>
        <w:t>09</w:t>
      </w:r>
      <w:r w:rsidRPr="00B40498">
        <w:t xml:space="preserve"> </w:t>
      </w:r>
      <w:r>
        <w:t xml:space="preserve">R2A </w:t>
      </w:r>
      <w:r w:rsidRPr="00B40498">
        <w:t>Asset System Failure Safety Risk Assessment</w:t>
      </w:r>
      <w:r>
        <w:t xml:space="preserve">; Ausgrid, Attachment 1.02 Statement of Chief Operating Officer; Attachment 1.13 </w:t>
      </w:r>
      <w:r w:rsidRPr="008B7AB7">
        <w:t>R2A Asset System Failure Safety Risk Assessment</w:t>
      </w:r>
      <w:r>
        <w:t>.</w:t>
      </w:r>
    </w:p>
  </w:footnote>
  <w:footnote w:id="54">
    <w:p w:rsidR="00224E75" w:rsidRDefault="00224E75" w:rsidP="002B5F41">
      <w:pPr>
        <w:pStyle w:val="FootnoteText"/>
      </w:pPr>
      <w:r>
        <w:rPr>
          <w:rStyle w:val="FootnoteReference"/>
        </w:rPr>
        <w:footnoteRef/>
      </w:r>
      <w:r>
        <w:t xml:space="preserve"> </w:t>
      </w:r>
      <w:r>
        <w:tab/>
      </w:r>
      <w:r w:rsidRPr="00F15B7D">
        <w:t>Ausgrid, Revised regulatory proposal, p. 152; Endeavour Energy, Revised Regulatory Proposal, p. 109 (citing Endeavour - Attachment 1.09, R2A Asset System Failure Safety Risk Assessment at p 4); Essential Energy, Revised regulatory proposal, p. 192.</w:t>
      </w:r>
    </w:p>
  </w:footnote>
  <w:footnote w:id="55">
    <w:p w:rsidR="00224E75" w:rsidRDefault="00224E75" w:rsidP="002B5F41">
      <w:pPr>
        <w:pStyle w:val="FootnoteText"/>
      </w:pPr>
      <w:r>
        <w:rPr>
          <w:rStyle w:val="FootnoteReference"/>
        </w:rPr>
        <w:footnoteRef/>
      </w:r>
      <w:r>
        <w:t xml:space="preserve"> </w:t>
      </w:r>
      <w:r>
        <w:tab/>
      </w:r>
      <w:r w:rsidRPr="00F15B7D">
        <w:t>Ausgrid, Revised Regulatory Proposal p 31; Endeavour Energy, Revised regulatory proposal, p. 34; Essential Energy, Revised regulatory proposal, p. 38.</w:t>
      </w:r>
    </w:p>
  </w:footnote>
  <w:footnote w:id="56">
    <w:p w:rsidR="00224E75" w:rsidRDefault="00224E75" w:rsidP="002B5F41">
      <w:pPr>
        <w:pStyle w:val="FootnoteText"/>
      </w:pPr>
      <w:r>
        <w:rPr>
          <w:rStyle w:val="FootnoteReference"/>
        </w:rPr>
        <w:footnoteRef/>
      </w:r>
      <w:r>
        <w:t xml:space="preserve"> </w:t>
      </w:r>
      <w:r>
        <w:tab/>
      </w:r>
      <w:r w:rsidRPr="00F15B7D">
        <w:t>Endeavour Energy, Revised Regulatory Proposal, p. 9; Ausgrid, Revised Regulatory Proposal, p. 31;</w:t>
      </w:r>
    </w:p>
  </w:footnote>
  <w:footnote w:id="57">
    <w:p w:rsidR="00224E75" w:rsidRDefault="00224E75" w:rsidP="002B5F41">
      <w:pPr>
        <w:pStyle w:val="FootnoteText"/>
      </w:pPr>
      <w:r>
        <w:rPr>
          <w:rStyle w:val="FootnoteReference"/>
        </w:rPr>
        <w:footnoteRef/>
      </w:r>
      <w:r>
        <w:t xml:space="preserve"> </w:t>
      </w:r>
      <w:r>
        <w:tab/>
      </w:r>
      <w:r w:rsidRPr="00F15B7D">
        <w:t>Essential Energy, Revised Regulatory Proposal, p. 194.</w:t>
      </w:r>
    </w:p>
  </w:footnote>
  <w:footnote w:id="58">
    <w:p w:rsidR="00224E75" w:rsidRDefault="00224E75" w:rsidP="002B5F41">
      <w:pPr>
        <w:pStyle w:val="FootnoteText"/>
      </w:pPr>
      <w:r>
        <w:rPr>
          <w:rStyle w:val="FootnoteReference"/>
        </w:rPr>
        <w:footnoteRef/>
      </w:r>
      <w:r>
        <w:t xml:space="preserve"> </w:t>
      </w:r>
      <w:r>
        <w:tab/>
      </w:r>
      <w:r w:rsidRPr="00F15B7D">
        <w:t>Ausgrid, Attachment 1.07, Expert Report of David Newbery, p. 14.</w:t>
      </w:r>
    </w:p>
  </w:footnote>
  <w:footnote w:id="59">
    <w:p w:rsidR="00224E75" w:rsidRDefault="00224E75" w:rsidP="002B5F41">
      <w:pPr>
        <w:pStyle w:val="FootnoteText"/>
      </w:pPr>
      <w:r>
        <w:rPr>
          <w:rStyle w:val="FootnoteReference"/>
        </w:rPr>
        <w:footnoteRef/>
      </w:r>
      <w:r>
        <w:t xml:space="preserve"> </w:t>
      </w:r>
      <w:r>
        <w:tab/>
      </w:r>
      <w:r w:rsidRPr="00F15B7D">
        <w:t>Endeavour - Attachment 1.09, R2A Asset System Failure Safety Risk Assessment, p. 15.</w:t>
      </w:r>
    </w:p>
  </w:footnote>
  <w:footnote w:id="60">
    <w:p w:rsidR="00224E75" w:rsidRDefault="00224E75" w:rsidP="002B5F41">
      <w:pPr>
        <w:pStyle w:val="FootnoteText"/>
      </w:pPr>
      <w:r>
        <w:rPr>
          <w:rStyle w:val="FootnoteReference"/>
        </w:rPr>
        <w:footnoteRef/>
      </w:r>
      <w:r>
        <w:t xml:space="preserve"> </w:t>
      </w:r>
      <w:r>
        <w:tab/>
      </w:r>
      <w:r w:rsidRPr="00F15B7D">
        <w:t>Endeavour - Attachment 1.09, R2A Asset System Failure Safety Risk Assessment, p. 27.</w:t>
      </w:r>
    </w:p>
  </w:footnote>
  <w:footnote w:id="61">
    <w:p w:rsidR="00224E75" w:rsidRDefault="00224E75" w:rsidP="002B5F41">
      <w:pPr>
        <w:pStyle w:val="FootnoteText"/>
      </w:pPr>
      <w:r>
        <w:rPr>
          <w:rStyle w:val="FootnoteReference"/>
        </w:rPr>
        <w:footnoteRef/>
      </w:r>
      <w:r>
        <w:t xml:space="preserve"> </w:t>
      </w:r>
      <w:r>
        <w:tab/>
      </w:r>
      <w:r w:rsidRPr="00563A57">
        <w:rPr>
          <w:rStyle w:val="AERtexthighlight"/>
          <w:shd w:val="clear" w:color="auto" w:fill="auto"/>
        </w:rPr>
        <w:t>Ausgrid, Attachment 1.14 AON Insurance Advice Repor</w:t>
      </w:r>
      <w:r w:rsidRPr="00F15B7D">
        <w:t>t, p. 4.</w:t>
      </w:r>
    </w:p>
  </w:footnote>
  <w:footnote w:id="62">
    <w:p w:rsidR="00224E75" w:rsidRDefault="00224E75" w:rsidP="002B5F41">
      <w:pPr>
        <w:pStyle w:val="FootnoteText"/>
      </w:pPr>
      <w:r>
        <w:rPr>
          <w:rStyle w:val="FootnoteReference"/>
        </w:rPr>
        <w:footnoteRef/>
      </w:r>
      <w:r>
        <w:t xml:space="preserve"> </w:t>
      </w:r>
      <w:r>
        <w:tab/>
        <w:t>AEMC</w:t>
      </w:r>
      <w:r w:rsidRPr="001C0CAD">
        <w:t>, Final Rule Determination: National Electricity Amendment (Economic Regulation of Network Service Providers) Rul</w:t>
      </w:r>
      <w:r>
        <w:t>e 2012, 29 November 2012, p 182</w:t>
      </w:r>
    </w:p>
  </w:footnote>
  <w:footnote w:id="63">
    <w:p w:rsidR="00224E75" w:rsidRDefault="00224E75" w:rsidP="002B5F41">
      <w:pPr>
        <w:pStyle w:val="FootnoteText"/>
      </w:pPr>
      <w:r>
        <w:rPr>
          <w:rStyle w:val="FootnoteReference"/>
        </w:rPr>
        <w:footnoteRef/>
      </w:r>
      <w:r>
        <w:t xml:space="preserve"> </w:t>
      </w:r>
      <w:r>
        <w:tab/>
        <w:t>AEMC</w:t>
      </w:r>
      <w:r w:rsidRPr="001C0CAD">
        <w:t>, Final Rule Determination: National Electricity Amendment (Economic Regulation of Network Service Providers) Rul</w:t>
      </w:r>
      <w:r>
        <w:t>e 2012, 29 November 2012, p 182 - 183</w:t>
      </w:r>
    </w:p>
  </w:footnote>
  <w:footnote w:id="64">
    <w:p w:rsidR="00224E75" w:rsidRDefault="00224E75" w:rsidP="002B5F41">
      <w:pPr>
        <w:pStyle w:val="FootnoteText"/>
      </w:pPr>
      <w:r>
        <w:rPr>
          <w:rStyle w:val="FootnoteReference"/>
        </w:rPr>
        <w:footnoteRef/>
      </w:r>
      <w:r>
        <w:t xml:space="preserve"> </w:t>
      </w:r>
      <w:r>
        <w:tab/>
      </w:r>
      <w:r w:rsidRPr="00003D74">
        <w:t xml:space="preserve">AEMC, Final Rule Determination: National Electricity Amendment (Economic Regulation of Network Service Providers) Rule 2012, 29 November 2012, p </w:t>
      </w:r>
      <w:r>
        <w:t>73</w:t>
      </w:r>
    </w:p>
  </w:footnote>
  <w:footnote w:id="65">
    <w:p w:rsidR="00224E75" w:rsidRDefault="00224E75" w:rsidP="002B5F41">
      <w:pPr>
        <w:pStyle w:val="FootnoteText"/>
      </w:pPr>
      <w:r>
        <w:rPr>
          <w:rStyle w:val="FootnoteReference"/>
        </w:rPr>
        <w:footnoteRef/>
      </w:r>
      <w:r>
        <w:t xml:space="preserve"> </w:t>
      </w:r>
      <w:r>
        <w:tab/>
        <w:t>Essential Energy Revised Regulatory Proposal, January 2015, p 15</w:t>
      </w:r>
    </w:p>
  </w:footnote>
  <w:footnote w:id="66">
    <w:p w:rsidR="00224E75" w:rsidRDefault="00224E75" w:rsidP="002B5F41">
      <w:pPr>
        <w:pStyle w:val="FootnoteText"/>
      </w:pPr>
      <w:r>
        <w:rPr>
          <w:rStyle w:val="FootnoteReference"/>
        </w:rPr>
        <w:footnoteRef/>
      </w:r>
      <w:r>
        <w:t xml:space="preserve"> </w:t>
      </w:r>
      <w:r>
        <w:tab/>
        <w:t>Ausgrid Attachment 1.01 - Jacobs - Reliability Impact Assessment p 12</w:t>
      </w:r>
    </w:p>
  </w:footnote>
  <w:footnote w:id="67">
    <w:p w:rsidR="00224E75" w:rsidRDefault="00224E75" w:rsidP="002B5F41">
      <w:pPr>
        <w:pStyle w:val="FootnoteText"/>
      </w:pPr>
      <w:r>
        <w:rPr>
          <w:rStyle w:val="FootnoteReference"/>
        </w:rPr>
        <w:footnoteRef/>
      </w:r>
      <w:r>
        <w:t xml:space="preserve"> </w:t>
      </w:r>
      <w:r>
        <w:tab/>
        <w:t>For example, ActewAGL,</w:t>
      </w:r>
      <w:r w:rsidRPr="0059089E">
        <w:t xml:space="preserve"> Submission on the AER's Draft decision ActewAGL distribution determination 2015-16 to 2018-19</w:t>
      </w:r>
      <w:r>
        <w:t>, 13 February 2015,  pp. 11-12; Ausgrid, Revised Regulatory Proposal, pp. 31-33.</w:t>
      </w:r>
    </w:p>
  </w:footnote>
  <w:footnote w:id="68">
    <w:p w:rsidR="00224E75" w:rsidRDefault="00224E75" w:rsidP="002B5F41">
      <w:pPr>
        <w:pStyle w:val="FootnoteText"/>
      </w:pPr>
      <w:r>
        <w:rPr>
          <w:rStyle w:val="FootnoteReference"/>
        </w:rPr>
        <w:footnoteRef/>
      </w:r>
      <w:r>
        <w:t xml:space="preserve"> </w:t>
      </w:r>
      <w:r>
        <w:tab/>
        <w:t xml:space="preserve">Letter from Ms Claudia Huertas, Director of Operations and Programs, </w:t>
      </w:r>
      <w:r w:rsidRPr="0098494A">
        <w:t>Department of Trade &amp; Investment, Resources and Energy</w:t>
      </w:r>
      <w:r>
        <w:t xml:space="preserve"> to AER dated 20 March 2015. </w:t>
      </w:r>
    </w:p>
  </w:footnote>
  <w:footnote w:id="69">
    <w:p w:rsidR="00224E75" w:rsidRDefault="00224E75" w:rsidP="002B5F41">
      <w:pPr>
        <w:pStyle w:val="FootnoteText"/>
      </w:pPr>
      <w:r>
        <w:rPr>
          <w:rStyle w:val="FootnoteReference"/>
        </w:rPr>
        <w:footnoteRef/>
      </w:r>
      <w:r>
        <w:t xml:space="preserve"> </w:t>
      </w:r>
      <w:r>
        <w:tab/>
        <w:t>Letter from M Tooma of Norton Rose Fulbright to Mr Peter Holden of ActewAGL, 6 January 2015.</w:t>
      </w:r>
    </w:p>
  </w:footnote>
  <w:footnote w:id="70">
    <w:p w:rsidR="00224E75" w:rsidRDefault="00224E75" w:rsidP="002B5F41">
      <w:pPr>
        <w:pStyle w:val="FootnoteText"/>
      </w:pPr>
      <w:r>
        <w:rPr>
          <w:rStyle w:val="FootnoteReference"/>
        </w:rPr>
        <w:footnoteRef/>
      </w:r>
      <w:r>
        <w:t xml:space="preserve"> </w:t>
      </w:r>
      <w:r>
        <w:tab/>
        <w:t>Ausgrid,Revised Regulatory Proposal,  p. 32, citing R2A report.</w:t>
      </w:r>
    </w:p>
  </w:footnote>
  <w:footnote w:id="71">
    <w:p w:rsidR="00224E75" w:rsidRDefault="00224E75" w:rsidP="002B5F41">
      <w:pPr>
        <w:pStyle w:val="FootnoteText"/>
      </w:pPr>
      <w:r>
        <w:rPr>
          <w:rStyle w:val="FootnoteReference"/>
        </w:rPr>
        <w:footnoteRef/>
      </w:r>
      <w:r>
        <w:t xml:space="preserve"> </w:t>
      </w:r>
      <w:r>
        <w:tab/>
        <w:t>Ausgrid, Revised Regulatory Proposal, attachment 1.02.</w:t>
      </w:r>
    </w:p>
  </w:footnote>
  <w:footnote w:id="72">
    <w:p w:rsidR="00224E75" w:rsidRDefault="00224E75" w:rsidP="002B5F41">
      <w:pPr>
        <w:pStyle w:val="FootnoteText"/>
      </w:pPr>
      <w:r>
        <w:rPr>
          <w:rStyle w:val="FootnoteReference"/>
        </w:rPr>
        <w:footnoteRef/>
      </w:r>
      <w:r>
        <w:t xml:space="preserve"> </w:t>
      </w:r>
      <w:r>
        <w:tab/>
      </w:r>
      <w:r w:rsidRPr="0032584F">
        <w:t xml:space="preserve">Endeavour, </w:t>
      </w:r>
      <w:r w:rsidRPr="00F15B7D">
        <w:t>Revised Regulatory Proposal</w:t>
      </w:r>
      <w:r>
        <w:t>,</w:t>
      </w:r>
      <w:r w:rsidRPr="00F15B7D">
        <w:t xml:space="preserve"> </w:t>
      </w:r>
      <w:r w:rsidRPr="0032584F">
        <w:t>Attachment 1.09 -  R2A Endeavour Energy Asset/System Failure Safety Risk</w:t>
      </w:r>
      <w:r>
        <w:t xml:space="preserve"> Assessment January 2015, page 22-24</w:t>
      </w:r>
    </w:p>
  </w:footnote>
  <w:footnote w:id="73">
    <w:p w:rsidR="00224E75" w:rsidRDefault="00224E75" w:rsidP="002B5F41">
      <w:pPr>
        <w:pStyle w:val="FootnoteText"/>
      </w:pPr>
      <w:r>
        <w:rPr>
          <w:rStyle w:val="FootnoteReference"/>
        </w:rPr>
        <w:footnoteRef/>
      </w:r>
      <w:r>
        <w:t xml:space="preserve"> </w:t>
      </w:r>
      <w:r>
        <w:tab/>
        <w:t>Ausgrid Revised Regulatory Proposal pp 33-34</w:t>
      </w:r>
      <w:r w:rsidRPr="00F15B7D">
        <w:t>; Endeavour Energy, Revised regulatory proposal, pp. 37–38; Essential Energy, Revised regulatory proposal, p. 41.</w:t>
      </w:r>
    </w:p>
  </w:footnote>
  <w:footnote w:id="74">
    <w:p w:rsidR="00224E75" w:rsidRDefault="00224E75" w:rsidP="002B5F41">
      <w:pPr>
        <w:pStyle w:val="FootnoteText"/>
      </w:pPr>
      <w:r>
        <w:rPr>
          <w:rStyle w:val="FootnoteReference"/>
        </w:rPr>
        <w:footnoteRef/>
      </w:r>
      <w:r>
        <w:t xml:space="preserve"> </w:t>
      </w:r>
      <w:r>
        <w:tab/>
        <w:t xml:space="preserve">AON </w:t>
      </w:r>
      <w:r w:rsidRPr="003F4616">
        <w:t>Insurance costs an</w:t>
      </w:r>
      <w:r>
        <w:t xml:space="preserve">d coverage impacts arising from </w:t>
      </w:r>
      <w:r w:rsidRPr="003F4616">
        <w:t>cuts in vegetation management expenditure for the</w:t>
      </w:r>
      <w:r>
        <w:t xml:space="preserve"> </w:t>
      </w:r>
      <w:r w:rsidRPr="003F4616">
        <w:t>2014-2019 regulatory period</w:t>
      </w:r>
      <w:r>
        <w:t>, 13 January 2015.</w:t>
      </w:r>
    </w:p>
  </w:footnote>
  <w:footnote w:id="75">
    <w:p w:rsidR="00224E75" w:rsidRDefault="00224E75" w:rsidP="002B5F41">
      <w:pPr>
        <w:pStyle w:val="FootnoteText"/>
      </w:pPr>
      <w:r>
        <w:rPr>
          <w:rStyle w:val="FootnoteReference"/>
        </w:rPr>
        <w:footnoteRef/>
      </w:r>
      <w:r>
        <w:t xml:space="preserve"> </w:t>
      </w:r>
      <w:r>
        <w:tab/>
        <w:t xml:space="preserve">AON </w:t>
      </w:r>
      <w:r w:rsidRPr="003F4616">
        <w:t>Insurance costs an</w:t>
      </w:r>
      <w:r>
        <w:t xml:space="preserve">d coverage impacts arising from </w:t>
      </w:r>
      <w:r w:rsidRPr="003F4616">
        <w:t>cuts in vegetation management expenditure for the</w:t>
      </w:r>
      <w:r>
        <w:t xml:space="preserve"> </w:t>
      </w:r>
      <w:r w:rsidRPr="003F4616">
        <w:t>2014-2019 regulatory period</w:t>
      </w:r>
      <w:r>
        <w:t>, 13 January 2015, p 4.</w:t>
      </w:r>
    </w:p>
  </w:footnote>
  <w:footnote w:id="76">
    <w:p w:rsidR="00224E75" w:rsidRDefault="00224E75" w:rsidP="002B5F41">
      <w:pPr>
        <w:pStyle w:val="FootnoteText"/>
      </w:pPr>
      <w:r>
        <w:rPr>
          <w:rStyle w:val="FootnoteReference"/>
        </w:rPr>
        <w:footnoteRef/>
      </w:r>
      <w:r>
        <w:t xml:space="preserve"> </w:t>
      </w:r>
      <w:r>
        <w:tab/>
        <w:t>Essential Energy Revised Regulatory Proposal, January 2015, p 15</w:t>
      </w:r>
    </w:p>
  </w:footnote>
  <w:footnote w:id="77">
    <w:p w:rsidR="00224E75" w:rsidRDefault="00224E75" w:rsidP="002B5F41">
      <w:pPr>
        <w:pStyle w:val="FootnoteText"/>
      </w:pPr>
      <w:r>
        <w:rPr>
          <w:rStyle w:val="FootnoteReference"/>
        </w:rPr>
        <w:footnoteRef/>
      </w:r>
      <w:r>
        <w:t xml:space="preserve"> </w:t>
      </w:r>
      <w:r>
        <w:tab/>
        <w:t>Ausgrid Attachment 1.01 - Jacobs - Reliability Impact Assessment, p 12</w:t>
      </w:r>
    </w:p>
  </w:footnote>
  <w:footnote w:id="78">
    <w:p w:rsidR="00224E75" w:rsidRDefault="00224E75" w:rsidP="002B5F41">
      <w:pPr>
        <w:pStyle w:val="FootnoteText"/>
      </w:pPr>
      <w:r>
        <w:rPr>
          <w:rStyle w:val="FootnoteReference"/>
        </w:rPr>
        <w:footnoteRef/>
      </w:r>
      <w:r>
        <w:t xml:space="preserve"> </w:t>
      </w:r>
      <w:r>
        <w:tab/>
        <w:t>Ausgrid, Revised Regulatory Proposal, pp. 153, 163-164</w:t>
      </w:r>
      <w:r w:rsidRPr="00F15B7D">
        <w:t>; Essential Energy, Revised regulatory proposal, pp. 213–214; Endeavour Energy, Revised regulatory proposal, p. 195.</w:t>
      </w:r>
    </w:p>
  </w:footnote>
  <w:footnote w:id="79">
    <w:p w:rsidR="00224E75" w:rsidRDefault="00224E75" w:rsidP="002B5F41">
      <w:pPr>
        <w:pStyle w:val="FootnoteText"/>
      </w:pPr>
      <w:r>
        <w:rPr>
          <w:rStyle w:val="FootnoteReference"/>
        </w:rPr>
        <w:footnoteRef/>
      </w:r>
      <w:r>
        <w:t xml:space="preserve"> </w:t>
      </w:r>
      <w:r>
        <w:tab/>
      </w:r>
      <w:r w:rsidRPr="000F1862">
        <w:t xml:space="preserve">Ausgrid, </w:t>
      </w:r>
      <w:r w:rsidRPr="004C3754">
        <w:t xml:space="preserve">Revised Regulatory Proposal, </w:t>
      </w:r>
      <w:r w:rsidRPr="000F1862">
        <w:t>p. 162</w:t>
      </w:r>
      <w:r w:rsidRPr="00F15B7D">
        <w:t>; Essential Energy, revised regulatory proposal, pp. 207–208; Endeavour Energy, Revised regulatory proposal, p. 190.</w:t>
      </w:r>
    </w:p>
  </w:footnote>
  <w:footnote w:id="80">
    <w:p w:rsidR="00224E75" w:rsidRDefault="00224E75" w:rsidP="002B5F41">
      <w:pPr>
        <w:pStyle w:val="FootnoteText"/>
      </w:pPr>
      <w:r>
        <w:rPr>
          <w:rStyle w:val="FootnoteReference"/>
        </w:rPr>
        <w:footnoteRef/>
      </w:r>
      <w:r>
        <w:t xml:space="preserve"> </w:t>
      </w:r>
      <w:r>
        <w:tab/>
      </w:r>
      <w:r w:rsidRPr="004C3754">
        <w:t>This issue was raised more substantially by Ergon Energy in submissions to the NSW and ACT draft decisions, and by ActewAGL. This issue is, however, relevant to all service providers. ActewAGL, Revised Regulatory Proposal, pp. 257-267; Ergon Energy, Submissions on the draft decisions: NSW and ACT distribution determinations 2014-15 to 2018-19, 13 February 2015, pp. 23-27.</w:t>
      </w:r>
    </w:p>
  </w:footnote>
  <w:footnote w:id="81">
    <w:p w:rsidR="00224E75" w:rsidRDefault="00224E75" w:rsidP="002B5F41">
      <w:pPr>
        <w:pStyle w:val="FootnoteText"/>
      </w:pPr>
      <w:r>
        <w:rPr>
          <w:rStyle w:val="FootnoteReference"/>
        </w:rPr>
        <w:footnoteRef/>
      </w:r>
      <w:r>
        <w:t xml:space="preserve"> </w:t>
      </w:r>
      <w:r>
        <w:tab/>
        <w:t>NER, clause 6.5.6(c)(3).</w:t>
      </w:r>
    </w:p>
  </w:footnote>
  <w:footnote w:id="82">
    <w:p w:rsidR="00224E75" w:rsidRDefault="00224E75" w:rsidP="002B5F41">
      <w:pPr>
        <w:pStyle w:val="FootnoteText"/>
      </w:pPr>
      <w:r>
        <w:rPr>
          <w:rStyle w:val="FootnoteReference"/>
        </w:rPr>
        <w:footnoteRef/>
      </w:r>
      <w:r>
        <w:t xml:space="preserve"> </w:t>
      </w:r>
      <w:r>
        <w:tab/>
        <w:t>To this end, our approach is to apply a 'rate of change' to base opex that incorporates such factors including the demand for electricity, input prices and output growth.</w:t>
      </w:r>
    </w:p>
  </w:footnote>
  <w:footnote w:id="83">
    <w:p w:rsidR="00224E75" w:rsidRDefault="00224E75" w:rsidP="002B5F41">
      <w:pPr>
        <w:pStyle w:val="FootnoteText"/>
      </w:pPr>
      <w:r>
        <w:rPr>
          <w:rStyle w:val="FootnoteReference"/>
        </w:rPr>
        <w:footnoteRef/>
      </w:r>
      <w:r>
        <w:t xml:space="preserve"> </w:t>
      </w:r>
      <w:r>
        <w:tab/>
      </w:r>
      <w:r w:rsidRPr="00D64E84">
        <w:t xml:space="preserve">Ergon Energy, </w:t>
      </w:r>
      <w:r w:rsidRPr="002C5E2F">
        <w:rPr>
          <w:rStyle w:val="AERtextitalic"/>
        </w:rPr>
        <w:t>Submission on the Queensland Electricity Distribution Regulatory Proposals 2015–16 to 2019–20 Issues Paper</w:t>
      </w:r>
      <w:r w:rsidRPr="00D64E84">
        <w:t>, 30 January 2015, pp. 10-14.</w:t>
      </w:r>
    </w:p>
  </w:footnote>
  <w:footnote w:id="84">
    <w:p w:rsidR="00224E75" w:rsidRDefault="00224E75" w:rsidP="002B5F41">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85">
    <w:p w:rsidR="00224E75" w:rsidRDefault="00224E75" w:rsidP="002B5F41">
      <w:pPr>
        <w:pStyle w:val="FootnoteText"/>
      </w:pPr>
      <w:r>
        <w:rPr>
          <w:rStyle w:val="FootnoteReference"/>
        </w:rPr>
        <w:footnoteRef/>
      </w:r>
      <w:r>
        <w:t xml:space="preserve"> </w:t>
      </w:r>
      <w:r>
        <w:tab/>
        <w:t xml:space="preserve">Ausgrid, </w:t>
      </w:r>
      <w:r w:rsidRPr="00BB291B">
        <w:t xml:space="preserve">Revised Regulatory Proposal, </w:t>
      </w:r>
      <w:r>
        <w:t>p. 162</w:t>
      </w:r>
      <w:r w:rsidRPr="00F15B7D">
        <w:t>; Essential Energy, Revised regulatory proposal, p. 208; Endeavour Energy, Revised regulatory proposal, p. 190.</w:t>
      </w:r>
    </w:p>
  </w:footnote>
  <w:footnote w:id="86">
    <w:p w:rsidR="00224E75" w:rsidRDefault="00224E75" w:rsidP="002B5F41">
      <w:pPr>
        <w:pStyle w:val="FootnoteText"/>
      </w:pPr>
      <w:r>
        <w:rPr>
          <w:rStyle w:val="FootnoteReference"/>
        </w:rPr>
        <w:footnoteRef/>
      </w:r>
      <w:r>
        <w:t xml:space="preserve"> </w:t>
      </w:r>
      <w:r>
        <w:tab/>
        <w:t xml:space="preserve">Ausgrid, </w:t>
      </w:r>
      <w:r w:rsidRPr="00BB291B">
        <w:t xml:space="preserve">Revised Regulatory Proposal, </w:t>
      </w:r>
      <w:r>
        <w:t>p. 162</w:t>
      </w:r>
      <w:r w:rsidRPr="00F15B7D">
        <w:t>; Essential Energy, Revised regulatory proposal, p. 208; Endeavour Energy, Revised regulatory proposal, p. 190.</w:t>
      </w:r>
    </w:p>
  </w:footnote>
  <w:footnote w:id="87">
    <w:p w:rsidR="00224E75" w:rsidRDefault="00224E75" w:rsidP="002B5F41">
      <w:pPr>
        <w:pStyle w:val="FootnoteText"/>
      </w:pPr>
      <w:r>
        <w:rPr>
          <w:rStyle w:val="FootnoteReference"/>
        </w:rPr>
        <w:footnoteRef/>
      </w:r>
      <w:r>
        <w:t xml:space="preserve"> </w:t>
      </w:r>
      <w:r>
        <w:tab/>
      </w:r>
      <w:r w:rsidRPr="00F15B7D">
        <w:t>Ausgrid, Revised regulatory proposal, p. 5; Essential Energy, Revised Regulatory Proposal, pp. 207-208; Endeavour Energy, Revised regulatory proposal, p. 190.</w:t>
      </w:r>
    </w:p>
  </w:footnote>
  <w:footnote w:id="88">
    <w:p w:rsidR="00224E75" w:rsidRDefault="00224E75" w:rsidP="002B5F41">
      <w:pPr>
        <w:pStyle w:val="FootnoteText"/>
      </w:pPr>
      <w:r>
        <w:rPr>
          <w:rStyle w:val="FootnoteReference"/>
        </w:rPr>
        <w:footnoteRef/>
      </w:r>
      <w:r>
        <w:t xml:space="preserve"> </w:t>
      </w:r>
      <w:r>
        <w:tab/>
      </w:r>
      <w:r w:rsidRPr="00F15B7D">
        <w:t>Ausgrid, Revised regulatory proposal, p. 12; Essential Energy, Revised Regulatory Proposal, p. 15; Endeavour Energy, Revised regulatory proposal, p. 11.</w:t>
      </w:r>
    </w:p>
  </w:footnote>
  <w:footnote w:id="89">
    <w:p w:rsidR="00224E75" w:rsidRDefault="00224E75" w:rsidP="002B5F41">
      <w:pPr>
        <w:pStyle w:val="FootnoteText"/>
      </w:pPr>
      <w:r>
        <w:rPr>
          <w:rStyle w:val="FootnoteReference"/>
        </w:rPr>
        <w:footnoteRef/>
      </w:r>
      <w:r>
        <w:t xml:space="preserve"> </w:t>
      </w:r>
      <w:r>
        <w:tab/>
        <w:t xml:space="preserve">Deloitte Access Economics, </w:t>
      </w:r>
      <w:r w:rsidRPr="0066009B">
        <w:t>NSW Distribution Network Service Providers Labour Analysis</w:t>
      </w:r>
      <w:r>
        <w:t>–Addendum, April 2015, p. 31.</w:t>
      </w:r>
    </w:p>
  </w:footnote>
  <w:footnote w:id="90">
    <w:p w:rsidR="00224E75" w:rsidRDefault="00224E75" w:rsidP="002B5F41">
      <w:pPr>
        <w:pStyle w:val="FootnoteText"/>
      </w:pPr>
      <w:r>
        <w:rPr>
          <w:rStyle w:val="FootnoteReference"/>
        </w:rPr>
        <w:footnoteRef/>
      </w:r>
      <w:r>
        <w:t xml:space="preserve"> </w:t>
      </w:r>
      <w:r>
        <w:tab/>
        <w:t xml:space="preserve">Deloitte Access Economics, </w:t>
      </w:r>
      <w:r w:rsidRPr="0066009B">
        <w:t>NSW Distribution Network Service Providers Labour Analysis</w:t>
      </w:r>
      <w:r>
        <w:t>–Addendum, April 2015, p. 31.</w:t>
      </w:r>
    </w:p>
  </w:footnote>
  <w:footnote w:id="91">
    <w:p w:rsidR="00224E75" w:rsidRDefault="00224E75" w:rsidP="002B5F41">
      <w:pPr>
        <w:pStyle w:val="FootnoteText"/>
      </w:pPr>
      <w:r>
        <w:rPr>
          <w:rStyle w:val="FootnoteReference"/>
        </w:rPr>
        <w:footnoteRef/>
      </w:r>
      <w:r>
        <w:t xml:space="preserve"> </w:t>
      </w:r>
      <w:r>
        <w:tab/>
        <w:t xml:space="preserve">For example, </w:t>
      </w:r>
      <w:r w:rsidRPr="00D64E84">
        <w:t>Ergon Energy, Submission on the Queensland Electricity Distribution Regulatory Proposals 2015–16 to 2019–20 Issues Paper, 30 January 2015, pp. 10-14</w:t>
      </w:r>
      <w:r>
        <w:t>; ActewAGL, Revised Regulatory Proposal, pp. 257-267; Ergon Energy, Submissions on the draft decisions: NSW and ACT distribution determinations 2014-15 to 2018-19, 13 February 2015, pp. 23-27.</w:t>
      </w:r>
    </w:p>
  </w:footnote>
  <w:footnote w:id="92">
    <w:p w:rsidR="00224E75" w:rsidRDefault="00224E75" w:rsidP="002B5F41">
      <w:pPr>
        <w:pStyle w:val="FootnoteText"/>
      </w:pPr>
      <w:r>
        <w:rPr>
          <w:rStyle w:val="FootnoteReference"/>
        </w:rPr>
        <w:footnoteRef/>
      </w:r>
      <w:r>
        <w:t xml:space="preserve"> </w:t>
      </w:r>
      <w:r>
        <w:tab/>
      </w:r>
      <w:r w:rsidRPr="00D64E84">
        <w:t>Ergon Energy, Submission on the Queensland Electricity Distribution Regulatory Proposals 2015–16 to 2019–20 Issues Paper, 30 January 2015, pp. 10-14</w:t>
      </w:r>
      <w:r>
        <w:t>; ActewAGL, Revised Regulatory Proposal, pp. 257-267.</w:t>
      </w:r>
    </w:p>
  </w:footnote>
  <w:footnote w:id="93">
    <w:p w:rsidR="00224E75" w:rsidRDefault="00224E75" w:rsidP="002B5F41">
      <w:pPr>
        <w:pStyle w:val="FootnoteText"/>
      </w:pPr>
      <w:r>
        <w:rPr>
          <w:rStyle w:val="FootnoteReference"/>
        </w:rPr>
        <w:footnoteRef/>
      </w:r>
      <w:r>
        <w:t xml:space="preserve"> </w:t>
      </w:r>
      <w:r>
        <w:tab/>
      </w:r>
      <w:r w:rsidRPr="00F15B7D">
        <w:t>Ausgrid, Revised Regulatory Proposal, p. 12; Essential Energy, Revised regulatory proposal, p. 16; Endeavour Energy, Revised regulatory proposal, p. 12.</w:t>
      </w:r>
    </w:p>
  </w:footnote>
  <w:footnote w:id="94">
    <w:p w:rsidR="00224E75" w:rsidRDefault="00224E75" w:rsidP="002B5F41">
      <w:pPr>
        <w:pStyle w:val="FootnoteText"/>
      </w:pPr>
      <w:r>
        <w:rPr>
          <w:rStyle w:val="FootnoteReference"/>
        </w:rPr>
        <w:footnoteRef/>
      </w:r>
      <w:r>
        <w:t xml:space="preserve"> </w:t>
      </w:r>
      <w:r>
        <w:tab/>
        <w:t xml:space="preserve">Ausgrid, </w:t>
      </w:r>
      <w:r w:rsidRPr="008F705A">
        <w:t xml:space="preserve">Revised Regulatory Proposal, </w:t>
      </w:r>
      <w:r>
        <w:t xml:space="preserve">p. 164; </w:t>
      </w:r>
      <w:r w:rsidRPr="00330381">
        <w:t>Networks NSW, NSW DNSPs' submission on the AER's draft determinations, 13 February 2015, pp. 6-9</w:t>
      </w:r>
      <w:r>
        <w:t>.</w:t>
      </w:r>
    </w:p>
  </w:footnote>
  <w:footnote w:id="95">
    <w:p w:rsidR="00224E75" w:rsidRDefault="00224E75" w:rsidP="002B5F41">
      <w:pPr>
        <w:pStyle w:val="FootnoteText"/>
      </w:pPr>
      <w:r>
        <w:rPr>
          <w:rStyle w:val="FootnoteReference"/>
        </w:rPr>
        <w:footnoteRef/>
      </w:r>
      <w:r>
        <w:t xml:space="preserve"> </w:t>
      </w:r>
      <w:r>
        <w:tab/>
        <w:t>Origin Energy, Submission to AER draft determination for NSW electricity service providers, 13 February 2015, pp. 7-8; EnergyAustralia, Submission  to Australian Energy Regulator - Determination of allowable revenue for NSW electricity distribution networks, 13 February 2015, p. 6; CCP, Response t</w:t>
      </w:r>
      <w:r w:rsidRPr="000910E4">
        <w:t xml:space="preserve">o </w:t>
      </w:r>
      <w:r>
        <w:t>AER</w:t>
      </w:r>
      <w:r w:rsidRPr="000910E4">
        <w:t xml:space="preserve"> Draft Determination Re: Actew</w:t>
      </w:r>
      <w:r>
        <w:t>AGL</w:t>
      </w:r>
      <w:r w:rsidRPr="000910E4">
        <w:t xml:space="preserve"> Regulatory Proposa</w:t>
      </w:r>
      <w:r>
        <w:t>l, 2</w:t>
      </w:r>
      <w:r w:rsidRPr="000910E4">
        <w:t>014-19</w:t>
      </w:r>
      <w:r>
        <w:t xml:space="preserve">; p. 10, 35-36; CCP, </w:t>
      </w:r>
      <w:r w:rsidRPr="009316A6">
        <w:t>Submission on NSW DNSPs regulatory proposals 2014-19</w:t>
      </w:r>
      <w:r>
        <w:t>,</w:t>
      </w:r>
      <w:r w:rsidRPr="009316A6">
        <w:t>15 August 2014</w:t>
      </w:r>
      <w:r>
        <w:t>, p. 3; CCP, Submission to AER–</w:t>
      </w:r>
      <w:r w:rsidRPr="009316A6">
        <w:t xml:space="preserve"> Responding to NSW draft determinations and revised proposals from electricity distribution networks</w:t>
      </w:r>
      <w:r>
        <w:t>, February 2015, p. 55; EUAA, Submission to Energex Revenue Proposal (2015/16 to 2019/20), 30 January 2015, pp, 22-29; EUAA, Submission to Ergon Energy (Ergon) Revenue Proposal (2015/16 to 2019/20), 30 January 2015, pp, 22-29; QCOSS, Understanding the long term interests of electricity consumers – Submission to the AER’s Queensland electricity distribution determination 2015-2020, pp. 57-69; Far North Queensland Regional Organisation of Councils, AER Issues Paper - Queensland Electricity Distribution Regulatory Proposals 2015-16 to 2019-20, 30 January 2015, pp. 3-4; Australian PV Institute, APVI Submission to the AER on the Issues Paper on Ergon’s and Energex’s Network’s Regulatory Proposals, December 2014, pp. 5-6.</w:t>
      </w:r>
    </w:p>
  </w:footnote>
  <w:footnote w:id="96">
    <w:p w:rsidR="00224E75" w:rsidRDefault="00224E75" w:rsidP="002B5F41">
      <w:pPr>
        <w:pStyle w:val="FootnoteText"/>
      </w:pPr>
      <w:r>
        <w:rPr>
          <w:rStyle w:val="FootnoteReference"/>
        </w:rPr>
        <w:footnoteRef/>
      </w:r>
      <w:r>
        <w:t xml:space="preserve"> </w:t>
      </w:r>
      <w:r>
        <w:tab/>
        <w:t>Young and McClelland, ActewAGL Distribution - AER draft decision on operating expenditure for 2015 to 2019 regulatory control period - memorandum of advice, 13 February 2015, paras 95-105.</w:t>
      </w:r>
    </w:p>
  </w:footnote>
  <w:footnote w:id="97">
    <w:p w:rsidR="00224E75" w:rsidRDefault="00224E75" w:rsidP="002B5F41">
      <w:pPr>
        <w:pStyle w:val="FootnoteText"/>
      </w:pPr>
      <w:r>
        <w:rPr>
          <w:rStyle w:val="FootnoteReference"/>
        </w:rPr>
        <w:footnoteRef/>
      </w:r>
      <w:r>
        <w:t xml:space="preserve"> </w:t>
      </w:r>
      <w:r>
        <w:tab/>
        <w:t>Young and McClelland, ActewAGL Distribution - AER draft decision on operating expenditure for 2015 to 2019 regulatory control period - memorandum of advice, 13 February 2015, paras 68-94.</w:t>
      </w:r>
    </w:p>
  </w:footnote>
  <w:footnote w:id="98">
    <w:p w:rsidR="00224E75" w:rsidRDefault="00224E75" w:rsidP="002B5F41">
      <w:pPr>
        <w:pStyle w:val="FootnoteText"/>
      </w:pPr>
      <w:r>
        <w:rPr>
          <w:rStyle w:val="FootnoteReference"/>
        </w:rPr>
        <w:footnoteRef/>
      </w:r>
      <w:r>
        <w:t xml:space="preserve"> </w:t>
      </w:r>
      <w:r>
        <w:tab/>
      </w:r>
      <w:r w:rsidRPr="00770E9E">
        <w:t>Second reading speech, National Electricity (South Australia) (National Electricity Law—Miscellaneous Amendments) Amendment Bill 2007, p 6.</w:t>
      </w:r>
    </w:p>
  </w:footnote>
  <w:footnote w:id="99">
    <w:p w:rsidR="00224E75" w:rsidRDefault="00224E75" w:rsidP="00B8317F">
      <w:pPr>
        <w:pStyle w:val="FootnoteText"/>
      </w:pPr>
      <w:r>
        <w:rPr>
          <w:rStyle w:val="FootnoteReference"/>
        </w:rPr>
        <w:footnoteRef/>
      </w:r>
      <w:r>
        <w:t xml:space="preserve"> </w:t>
      </w:r>
      <w:r>
        <w:tab/>
        <w:t>Ausgrid, Revised Regulatory Proposal, Attachment 1.07; Endeavour Energy, Revised Regulatory Proposal, Attachment 1.06; Essential Energy, Revised Regulatory Proposal, Attachment 1.6.</w:t>
      </w:r>
    </w:p>
  </w:footnote>
  <w:footnote w:id="100">
    <w:p w:rsidR="00224E75" w:rsidRDefault="00224E75" w:rsidP="00B8317F">
      <w:pPr>
        <w:pStyle w:val="FootnoteText"/>
      </w:pPr>
      <w:r>
        <w:rPr>
          <w:rStyle w:val="FootnoteReference"/>
        </w:rPr>
        <w:footnoteRef/>
      </w:r>
      <w:r>
        <w:t xml:space="preserve"> </w:t>
      </w:r>
      <w:r>
        <w:tab/>
        <w:t xml:space="preserve">CEPA, </w:t>
      </w:r>
      <w:r w:rsidR="00731E65" w:rsidRPr="00731E65">
        <w:t>Benchmarking and setting efficiency targets for the Australian DNSPs, (ActewAGL)</w:t>
      </w:r>
      <w:r>
        <w:t>, 19 January 2015,</w:t>
      </w:r>
      <w:r w:rsidRPr="00FF657E">
        <w:t xml:space="preserve"> </w:t>
      </w:r>
      <w:r>
        <w:t xml:space="preserve">p. 55; </w:t>
      </w:r>
      <w:r w:rsidR="00731E65">
        <w:t>Ashurst</w:t>
      </w:r>
      <w:r>
        <w:t xml:space="preserve">, </w:t>
      </w:r>
      <w:r w:rsidRPr="00FF657E">
        <w:t>Networks NSW–AER draft determination</w:t>
      </w:r>
      <w:r>
        <w:t>–</w:t>
      </w:r>
      <w:r w:rsidRPr="00FF657E">
        <w:t>Ashurst Australia</w:t>
      </w:r>
      <w:r>
        <w:t>, 1</w:t>
      </w:r>
      <w:r w:rsidRPr="00FF657E">
        <w:t>6 January 2015</w:t>
      </w:r>
      <w:r>
        <w:t>,</w:t>
      </w:r>
      <w:r w:rsidRPr="00FF657E">
        <w:t xml:space="preserve"> </w:t>
      </w:r>
      <w:r>
        <w:t>pp. 14-15.</w:t>
      </w:r>
    </w:p>
  </w:footnote>
  <w:footnote w:id="101">
    <w:p w:rsidR="00224E75" w:rsidRDefault="00224E75" w:rsidP="00B8317F">
      <w:pPr>
        <w:pStyle w:val="FootnoteText"/>
      </w:pPr>
      <w:r>
        <w:rPr>
          <w:rStyle w:val="FootnoteReference"/>
        </w:rPr>
        <w:footnoteRef/>
      </w:r>
      <w:r>
        <w:t xml:space="preserve"> </w:t>
      </w:r>
      <w:r>
        <w:tab/>
        <w:t xml:space="preserve">CEPA, </w:t>
      </w:r>
      <w:r w:rsidR="00731E65" w:rsidRPr="00731E65">
        <w:t>Benchmarking and setting efficiency targets for the Australian DNSPs, (ActewAGL)</w:t>
      </w:r>
      <w:r>
        <w:t>, 19 January 2015, pp. ix-x.</w:t>
      </w:r>
    </w:p>
  </w:footnote>
  <w:footnote w:id="102">
    <w:p w:rsidR="00224E75" w:rsidRDefault="00224E75" w:rsidP="00B8317F">
      <w:pPr>
        <w:pStyle w:val="FootnoteText"/>
      </w:pPr>
      <w:r>
        <w:rPr>
          <w:rStyle w:val="FootnoteReference"/>
        </w:rPr>
        <w:footnoteRef/>
      </w:r>
      <w:r>
        <w:t xml:space="preserve"> </w:t>
      </w:r>
      <w:r>
        <w:tab/>
        <w:t>For example, Ausgrid, Revised Regulatory Proposal, pp. 37-38; Endeavour Energy, Revised Regulatory Proposal, pp. 41-43, 195; Essential Energy, Revised Regulatory Proposal, pp. 44-46, 213-214.</w:t>
      </w:r>
    </w:p>
  </w:footnote>
  <w:footnote w:id="103">
    <w:p w:rsidR="00224E75" w:rsidRDefault="00224E75" w:rsidP="00B8317F">
      <w:pPr>
        <w:pStyle w:val="FootnoteText"/>
      </w:pPr>
      <w:r>
        <w:rPr>
          <w:rStyle w:val="FootnoteReference"/>
        </w:rPr>
        <w:footnoteRef/>
      </w:r>
      <w:r>
        <w:t xml:space="preserve"> </w:t>
      </w:r>
      <w:r>
        <w:tab/>
        <w:t xml:space="preserve">For example, Essential: </w:t>
      </w:r>
      <w:r w:rsidRPr="00B40498">
        <w:t>Attachment 1.1 [CONFIDENTIAL] Statement of Gary Humphreys Chief Operating Officer Essential Energy</w:t>
      </w:r>
      <w:r>
        <w:t xml:space="preserve">; </w:t>
      </w:r>
      <w:r w:rsidRPr="00B40498">
        <w:t>Attachment 1.2 Asset System Failure Safety Risk Assessment</w:t>
      </w:r>
      <w:r>
        <w:t xml:space="preserve">; </w:t>
      </w:r>
      <w:r w:rsidRPr="00B40498">
        <w:t>Attachment 1.9 Potential AER Impacts</w:t>
      </w:r>
    </w:p>
  </w:footnote>
  <w:footnote w:id="104">
    <w:p w:rsidR="00224E75" w:rsidRDefault="00224E75" w:rsidP="00B8317F">
      <w:pPr>
        <w:pStyle w:val="FootnoteText"/>
      </w:pPr>
      <w:r>
        <w:rPr>
          <w:rStyle w:val="FootnoteReference"/>
        </w:rPr>
        <w:footnoteRef/>
      </w:r>
      <w:r>
        <w:t xml:space="preserve"> </w:t>
      </w:r>
      <w:r>
        <w:tab/>
        <w:t>NER, clause 6.5.6(e).</w:t>
      </w:r>
    </w:p>
  </w:footnote>
  <w:footnote w:id="105">
    <w:p w:rsidR="00224E75" w:rsidRDefault="00224E75" w:rsidP="00B8317F">
      <w:pPr>
        <w:pStyle w:val="FootnoteText"/>
      </w:pPr>
      <w:r>
        <w:rPr>
          <w:rStyle w:val="FootnoteReference"/>
        </w:rPr>
        <w:footnoteRef/>
      </w:r>
      <w:r>
        <w:t xml:space="preserve"> </w:t>
      </w:r>
      <w:r>
        <w:tab/>
        <w:t>NER, clause 6.5.6(e)(12).</w:t>
      </w:r>
    </w:p>
  </w:footnote>
  <w:footnote w:id="106">
    <w:p w:rsidR="00224E75" w:rsidRDefault="00224E75" w:rsidP="00D1590E">
      <w:pPr>
        <w:pStyle w:val="FootnoteText"/>
      </w:pPr>
      <w:r>
        <w:rPr>
          <w:rStyle w:val="FootnoteReference"/>
        </w:rPr>
        <w:footnoteRef/>
      </w:r>
      <w:r>
        <w:t xml:space="preserve"> </w:t>
      </w:r>
      <w:r>
        <w:tab/>
        <w:t xml:space="preserve">As we </w:t>
      </w:r>
      <w:r w:rsidRPr="00402441">
        <w:t xml:space="preserve">explain in </w:t>
      </w:r>
      <w:r>
        <w:t>the opex attachment</w:t>
      </w:r>
      <w:r w:rsidRPr="00402441">
        <w:t xml:space="preserve">, </w:t>
      </w:r>
      <w:r>
        <w:t>this is the</w:t>
      </w:r>
      <w:r w:rsidRPr="00402441">
        <w:t xml:space="preserve"> </w:t>
      </w:r>
      <w:r>
        <w:t xml:space="preserve">efficient </w:t>
      </w:r>
      <w:r w:rsidRPr="00402441">
        <w:t>total forecast opex we consider</w:t>
      </w:r>
      <w:r>
        <w:t xml:space="preserve"> a </w:t>
      </w:r>
      <w:r w:rsidRPr="00402441">
        <w:t>prudent service provider would require to achieve the opex objectives in the forthcoming period.</w:t>
      </w:r>
    </w:p>
  </w:footnote>
  <w:footnote w:id="107">
    <w:p w:rsidR="00224E75" w:rsidRDefault="00224E75" w:rsidP="00D1590E">
      <w:pPr>
        <w:pStyle w:val="FootnoteText"/>
      </w:pPr>
      <w:r>
        <w:rPr>
          <w:rStyle w:val="FootnoteReference"/>
        </w:rPr>
        <w:footnoteRef/>
      </w:r>
      <w:r>
        <w:t xml:space="preserve"> </w:t>
      </w:r>
      <w:r>
        <w:tab/>
        <w:t>NER, clauses 6.5.6(c) and (d) and 6.12.1(4).</w:t>
      </w:r>
    </w:p>
  </w:footnote>
  <w:footnote w:id="108">
    <w:p w:rsidR="00224E75" w:rsidRDefault="00224E75" w:rsidP="00D1590E">
      <w:pPr>
        <w:pStyle w:val="FootnoteText"/>
      </w:pPr>
      <w:r>
        <w:rPr>
          <w:rStyle w:val="FootnoteReference"/>
        </w:rPr>
        <w:footnoteRef/>
      </w:r>
      <w:r>
        <w:t xml:space="preserve"> </w:t>
      </w:r>
      <w:r>
        <w:tab/>
        <w:t>AER, Expenditure forecast assessment guideline, November 2013, p 7; AEMC</w:t>
      </w:r>
      <w:r w:rsidRPr="00E659FE">
        <w:t xml:space="preserve">, Final Rule Determination: National Electricity Amendment (Economic Regulation of Network Service Providers) Rule 2012, 29 November 2012, p. </w:t>
      </w:r>
      <w:r>
        <w:t>112.</w:t>
      </w:r>
      <w:r w:rsidRPr="00E659FE">
        <w:t xml:space="preserve"> </w:t>
      </w:r>
      <w:r>
        <w:t xml:space="preserve"> </w:t>
      </w:r>
    </w:p>
  </w:footnote>
  <w:footnote w:id="109">
    <w:p w:rsidR="00224E75" w:rsidRDefault="00224E75" w:rsidP="00D1590E">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pp. 7-8.</w:t>
      </w:r>
    </w:p>
  </w:footnote>
  <w:footnote w:id="110">
    <w:p w:rsidR="00224E75" w:rsidRDefault="00224E75" w:rsidP="00D1590E">
      <w:pPr>
        <w:pStyle w:val="FootnoteText"/>
      </w:pPr>
      <w:r>
        <w:rPr>
          <w:rStyle w:val="FootnoteReference"/>
        </w:rPr>
        <w:footnoteRef/>
      </w:r>
      <w:r>
        <w:t xml:space="preserve"> </w:t>
      </w:r>
      <w:r>
        <w:tab/>
        <w:t xml:space="preserve">Economic Insights, </w:t>
      </w:r>
      <w:r w:rsidRPr="00C5001E">
        <w:t>Economic Benchmarking Assessment of Operating Expenditure for NSW and ACT Electricity DNSPs</w:t>
      </w:r>
      <w:r>
        <w:t>, November 2014, p. v.</w:t>
      </w:r>
    </w:p>
  </w:footnote>
  <w:footnote w:id="111">
    <w:p w:rsidR="00224E75" w:rsidRDefault="00224E75" w:rsidP="00D1590E">
      <w:pPr>
        <w:pStyle w:val="FootnoteText"/>
      </w:pPr>
      <w:r>
        <w:rPr>
          <w:rStyle w:val="FootnoteReference"/>
        </w:rPr>
        <w:footnoteRef/>
      </w:r>
      <w:r>
        <w:t xml:space="preserve"> </w:t>
      </w:r>
      <w:r>
        <w:tab/>
        <w:t xml:space="preserve">Economic Insights, </w:t>
      </w:r>
      <w:r w:rsidRPr="000A7001">
        <w:t>Response to Consultants’ Reports on Economic Benchmarking of Electricity DNSPs</w:t>
      </w:r>
      <w:r>
        <w:t>, April 2015.</w:t>
      </w:r>
    </w:p>
  </w:footnote>
  <w:footnote w:id="112">
    <w:p w:rsidR="00224E75" w:rsidRDefault="00224E75" w:rsidP="00D1590E">
      <w:pPr>
        <w:pStyle w:val="FootnoteText"/>
      </w:pPr>
      <w:r>
        <w:rPr>
          <w:rStyle w:val="FootnoteReference"/>
        </w:rPr>
        <w:footnoteRef/>
      </w:r>
      <w:r>
        <w:t xml:space="preserve"> </w:t>
      </w:r>
      <w:r>
        <w:tab/>
        <w:t>AER, Electricity distribution network service providers–annual benchmarking report, November 2014, Appendix A.</w:t>
      </w:r>
    </w:p>
  </w:footnote>
  <w:footnote w:id="113">
    <w:p w:rsidR="00224E75" w:rsidRDefault="00224E75" w:rsidP="00D1590E">
      <w:pPr>
        <w:pStyle w:val="FootnoteText"/>
      </w:pPr>
      <w:r>
        <w:rPr>
          <w:rStyle w:val="FootnoteReference"/>
        </w:rPr>
        <w:footnoteRef/>
      </w:r>
      <w:r>
        <w:t xml:space="preserve"> </w:t>
      </w:r>
      <w:r>
        <w:tab/>
        <w:t>Ausgrid, Regulatory Proposal, p. 59; Essential, Regulatory Proposal, p. 78; Networks NSW, Submission on AER issues paper, pp. 12-16; Networks NSW, Submission on AER issues paper, pp. 12-16.</w:t>
      </w:r>
    </w:p>
  </w:footnote>
  <w:footnote w:id="114">
    <w:p w:rsidR="00224E75" w:rsidRPr="00DD6554" w:rsidRDefault="00224E75" w:rsidP="00D1590E">
      <w:pPr>
        <w:pStyle w:val="FootnoteText"/>
      </w:pPr>
      <w:r>
        <w:rPr>
          <w:rStyle w:val="FootnoteReference"/>
        </w:rPr>
        <w:footnoteRef/>
      </w:r>
      <w:r>
        <w:t xml:space="preserve"> </w:t>
      </w:r>
      <w:r>
        <w:tab/>
        <w:t xml:space="preserve">Essential Energy, </w:t>
      </w:r>
      <w:r>
        <w:rPr>
          <w:rStyle w:val="AERtextitalic"/>
        </w:rPr>
        <w:t xml:space="preserve">Regulatory Proposal, </w:t>
      </w:r>
      <w:r w:rsidRPr="00DD6554">
        <w:rPr>
          <w:rStyle w:val="AERbody"/>
          <w:sz w:val="16"/>
        </w:rPr>
        <w:t>p. 73</w:t>
      </w:r>
      <w:r>
        <w:rPr>
          <w:rStyle w:val="AERbody"/>
        </w:rPr>
        <w:t xml:space="preserve">; </w:t>
      </w:r>
      <w:r>
        <w:t>Essential Energy, Regulatory proposal appendix item 6.2 – Vegetation management review findings, p. 13.</w:t>
      </w:r>
    </w:p>
  </w:footnote>
  <w:footnote w:id="115">
    <w:p w:rsidR="00224E75" w:rsidRDefault="00224E75" w:rsidP="00D1590E">
      <w:pPr>
        <w:pStyle w:val="FootnoteText"/>
      </w:pPr>
      <w:r>
        <w:rPr>
          <w:rStyle w:val="FootnoteReference"/>
        </w:rPr>
        <w:footnoteRef/>
      </w:r>
      <w:r>
        <w:t xml:space="preserve"> </w:t>
      </w:r>
      <w:r>
        <w:tab/>
        <w:t xml:space="preserve">See, for example, NSW service provider responses to annual RINs for 2012-13.  </w:t>
      </w:r>
    </w:p>
  </w:footnote>
  <w:footnote w:id="116">
    <w:p w:rsidR="00224E75" w:rsidRDefault="00224E75" w:rsidP="00D1590E">
      <w:pPr>
        <w:pStyle w:val="FootnoteText"/>
      </w:pPr>
      <w:r>
        <w:rPr>
          <w:rStyle w:val="FootnoteReference"/>
        </w:rPr>
        <w:footnoteRef/>
      </w:r>
      <w:r>
        <w:t xml:space="preserve"> </w:t>
      </w:r>
      <w:r>
        <w:tab/>
        <w:t xml:space="preserve">Deloitte </w:t>
      </w:r>
      <w:r w:rsidRPr="0016105D">
        <w:t>Access Economics</w:t>
      </w:r>
      <w:r>
        <w:t xml:space="preserve">, </w:t>
      </w:r>
      <w:r w:rsidRPr="0016105D">
        <w:t>NSW distribution network service providers labour analysis: addendum to 2014 report, April 2015</w:t>
      </w:r>
      <w:r>
        <w:t>, pp. ii-vii.</w:t>
      </w:r>
    </w:p>
  </w:footnote>
  <w:footnote w:id="117">
    <w:p w:rsidR="00224E75" w:rsidRDefault="00224E75" w:rsidP="00D1590E">
      <w:pPr>
        <w:pStyle w:val="FootnoteText"/>
      </w:pPr>
      <w:r>
        <w:rPr>
          <w:rStyle w:val="FootnoteReference"/>
        </w:rPr>
        <w:footnoteRef/>
      </w:r>
      <w:r>
        <w:t xml:space="preserve"> </w:t>
      </w:r>
      <w:r>
        <w:tab/>
      </w:r>
      <w:r w:rsidRPr="0016105D">
        <w:t>Deloitte Access Economics, NSW distribution network service providers labour analysis: addendum to 2014 report, April 2015, pp. ii–vii; Deloitte Access Economics, NSW Distribution Network Service Providers Labour Analysis, November 2014, pp. i-v.</w:t>
      </w:r>
    </w:p>
  </w:footnote>
  <w:footnote w:id="118">
    <w:p w:rsidR="00224E75" w:rsidRDefault="00224E75" w:rsidP="00D1590E">
      <w:pPr>
        <w:pStyle w:val="FootnoteText"/>
      </w:pPr>
      <w:r>
        <w:rPr>
          <w:rStyle w:val="FootnoteReference"/>
        </w:rPr>
        <w:footnoteRef/>
      </w:r>
      <w:r>
        <w:t xml:space="preserve"> </w:t>
      </w:r>
      <w:r>
        <w:tab/>
      </w:r>
      <w:r w:rsidRPr="000A2D54">
        <w:t xml:space="preserve">Deloitte, NSW Distribution Network Service Providers Labour Analysis, </w:t>
      </w:r>
      <w:r>
        <w:t xml:space="preserve">November 2014, </w:t>
      </w:r>
      <w:r w:rsidRPr="000A2D54">
        <w:t xml:space="preserve">pp. i-v. </w:t>
      </w:r>
      <w:r>
        <w:t xml:space="preserve"> </w:t>
      </w:r>
    </w:p>
  </w:footnote>
  <w:footnote w:id="119">
    <w:p w:rsidR="00224E75" w:rsidRDefault="00224E75" w:rsidP="00D1590E">
      <w:pPr>
        <w:pStyle w:val="FootnoteText"/>
      </w:pPr>
      <w:r>
        <w:rPr>
          <w:rStyle w:val="FootnoteReference"/>
        </w:rPr>
        <w:footnoteRef/>
      </w:r>
      <w:r>
        <w:t xml:space="preserve"> </w:t>
      </w:r>
      <w:r>
        <w:tab/>
      </w:r>
      <w:r w:rsidRPr="00144027">
        <w:t>See, for example, Vince Graham, Selling off electricity networks will give NSW cheaper power bills, The Australian, 20 August 2014, p. 12; Angela Macdonald-Smith, Networks CEO attacks unions, makes threat on outsourcing, Sydney Morning</w:t>
      </w:r>
      <w:r>
        <w:t xml:space="preserve"> Herald, 20 October 2014, p. 25; </w:t>
      </w:r>
      <w:r w:rsidRPr="00144027">
        <w:t xml:space="preserve"> Australian Financial Review, NSW power network boss backs sale</w:t>
      </w:r>
      <w:r>
        <w:t xml:space="preserve">, 11 February 2015, p. 11; </w:t>
      </w:r>
      <w:r w:rsidRPr="00144027">
        <w:t>The Daily Telegraph, Power perks dri</w:t>
      </w:r>
      <w:r>
        <w:t xml:space="preserve">ving prices, 9 March 2015, p. 3; </w:t>
      </w:r>
      <w:r w:rsidRPr="00144027">
        <w:t>The Daily Telegraph, Privatising poles and wires network will end the union-negotiated rorts, 9 March 2015, p. 78.</w:t>
      </w:r>
    </w:p>
  </w:footnote>
  <w:footnote w:id="120">
    <w:p w:rsidR="00224E75" w:rsidRDefault="00224E75" w:rsidP="00D1590E">
      <w:pPr>
        <w:pStyle w:val="FootnoteText"/>
      </w:pPr>
      <w:r>
        <w:rPr>
          <w:rStyle w:val="FootnoteReference"/>
        </w:rPr>
        <w:footnoteRef/>
      </w:r>
      <w:r>
        <w:t xml:space="preserve"> </w:t>
      </w:r>
      <w:r>
        <w:tab/>
        <w:t>Our review of Essential Energy's vegetation management does not apply to Endeavour Energy or Ausgrid in any way.</w:t>
      </w:r>
    </w:p>
  </w:footnote>
  <w:footnote w:id="121">
    <w:p w:rsidR="00224E75" w:rsidRDefault="00224E75" w:rsidP="00D1590E">
      <w:pPr>
        <w:pStyle w:val="FootnoteText"/>
      </w:pPr>
      <w:r>
        <w:rPr>
          <w:rStyle w:val="FootnoteReference"/>
        </w:rPr>
        <w:footnoteRef/>
      </w:r>
      <w:r>
        <w:t xml:space="preserve"> </w:t>
      </w:r>
      <w:r>
        <w:tab/>
        <w:t xml:space="preserve">Essential, </w:t>
      </w:r>
      <w:r w:rsidRPr="00866DBF">
        <w:rPr>
          <w:rStyle w:val="AERtextitalic"/>
        </w:rPr>
        <w:t>Regulatory Proposal</w:t>
      </w:r>
      <w:r>
        <w:t xml:space="preserve">, 2014, p. 73; Essential Energy, </w:t>
      </w:r>
      <w:r w:rsidRPr="00866DBF">
        <w:rPr>
          <w:rStyle w:val="AERtextitalic"/>
        </w:rPr>
        <w:t>Vegetation Management Strategy and Implementation Plan for Additional Expenditure – FY 2013 to 14</w:t>
      </w:r>
      <w:r>
        <w:t>, February 2013; Select Solutions, Review of Essential Energy Vegetation Management Strategy–Final Report, 22 March 2013.</w:t>
      </w:r>
    </w:p>
  </w:footnote>
  <w:footnote w:id="122">
    <w:p w:rsidR="00224E75" w:rsidRDefault="00224E75" w:rsidP="00D1590E">
      <w:pPr>
        <w:pStyle w:val="FootnoteText"/>
      </w:pPr>
      <w:r>
        <w:rPr>
          <w:rStyle w:val="FootnoteReference"/>
        </w:rPr>
        <w:footnoteRef/>
      </w:r>
      <w:r>
        <w:t xml:space="preserve"> </w:t>
      </w:r>
      <w:r>
        <w:tab/>
        <w:t xml:space="preserve">Essential Energy, </w:t>
      </w:r>
      <w:r w:rsidRPr="00866DBF">
        <w:rPr>
          <w:rStyle w:val="AERtextitalic"/>
        </w:rPr>
        <w:t>Vegetation Management Strategy and Implementation Plan for Additional Expenditure – FY 2013 to 14</w:t>
      </w:r>
      <w:r>
        <w:t>, February 2013, p. 13.</w:t>
      </w:r>
    </w:p>
  </w:footnote>
  <w:footnote w:id="123">
    <w:p w:rsidR="00224E75" w:rsidRDefault="00224E75" w:rsidP="00D1590E">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124">
    <w:p w:rsidR="00224E75" w:rsidRDefault="00224E75" w:rsidP="00D1590E">
      <w:pPr>
        <w:pStyle w:val="FootnoteText"/>
      </w:pPr>
      <w:r>
        <w:rPr>
          <w:rStyle w:val="FootnoteReference"/>
        </w:rPr>
        <w:footnoteRef/>
      </w:r>
      <w:r>
        <w:t xml:space="preserve"> </w:t>
      </w:r>
      <w:r>
        <w:tab/>
      </w:r>
      <w:r w:rsidRPr="003F0850">
        <w:t>Economic Insights, Economic Benchmarking Assessment of Operating Expenditure for NSW and ACT Electricity DNSPs, November 2014, p. v.</w:t>
      </w:r>
    </w:p>
  </w:footnote>
  <w:footnote w:id="125">
    <w:p w:rsidR="00224E75" w:rsidRDefault="00224E75" w:rsidP="00D1590E">
      <w:pPr>
        <w:pStyle w:val="FootnoteText"/>
      </w:pPr>
      <w:r>
        <w:rPr>
          <w:rStyle w:val="FootnoteReference"/>
        </w:rPr>
        <w:footnoteRef/>
      </w:r>
      <w:r>
        <w:t xml:space="preserve"> </w:t>
      </w:r>
      <w:r>
        <w:tab/>
        <w:t>This differs slightly from the rate of change we apply in Appendix B. While the approach is the same, to trend base opex forward over the forecast period, we apply forecast growth. When rolling forward average efficient opex, we apply measured growth because we can observe what has actually changed between the period average and the base year.</w:t>
      </w:r>
    </w:p>
  </w:footnote>
  <w:footnote w:id="126">
    <w:p w:rsidR="00224E75" w:rsidRDefault="00224E75" w:rsidP="00D1590E">
      <w:pPr>
        <w:pStyle w:val="FootnoteText"/>
      </w:pPr>
      <w:r>
        <w:rPr>
          <w:rStyle w:val="FootnoteReference"/>
        </w:rPr>
        <w:footnoteRef/>
      </w:r>
      <w:r>
        <w:t xml:space="preserve"> </w:t>
      </w:r>
      <w:r>
        <w:tab/>
        <w:t xml:space="preserve">Economic Insights, </w:t>
      </w:r>
      <w:r w:rsidRPr="00E60BCB">
        <w:t>Response to Consultants’ Reports on Economic B</w:t>
      </w:r>
      <w:r>
        <w:t xml:space="preserve">enchmarking of Electricity DNSPs, </w:t>
      </w:r>
      <w:r w:rsidRPr="00E60BCB">
        <w:t xml:space="preserve"> </w:t>
      </w:r>
      <w:r>
        <w:t>April 2015, section 4.</w:t>
      </w:r>
    </w:p>
  </w:footnote>
  <w:footnote w:id="127">
    <w:p w:rsidR="00224E75" w:rsidRDefault="00224E75" w:rsidP="00AF23F8">
      <w:pPr>
        <w:pStyle w:val="FootnoteText"/>
      </w:pPr>
      <w:r>
        <w:rPr>
          <w:rStyle w:val="FootnoteReference"/>
        </w:rPr>
        <w:footnoteRef/>
      </w:r>
      <w:r>
        <w:t xml:space="preserve"> </w:t>
      </w:r>
      <w:r>
        <w:tab/>
        <w:t xml:space="preserve">Ausgrid, Revised Regulatory Proposal, pp. </w:t>
      </w:r>
      <w:r w:rsidRPr="009520B1">
        <w:t xml:space="preserve">23-24, </w:t>
      </w:r>
      <w:r>
        <w:t>129-138; Endeavour Energy, Revised Regulatory Proposal, pp. 25-26, 157-163; Essential Energy, Revised Regulatory Proposal, pp.29-30, 168-175.</w:t>
      </w:r>
    </w:p>
  </w:footnote>
  <w:footnote w:id="128">
    <w:p w:rsidR="00224E75" w:rsidRDefault="00224E75" w:rsidP="00D1590E">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129">
    <w:p w:rsidR="00224E75" w:rsidRDefault="00224E75" w:rsidP="00D1590E">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Tribunal has endorsed this approach and indicated a similar preference: see for example </w:t>
      </w:r>
      <w:r w:rsidRPr="000D32BC">
        <w:t>Application by Ergon Energy Corporation Limited (Labour Cost Escalators) (No 3) [2010] ACompT 11</w:t>
      </w:r>
      <w:r>
        <w:t xml:space="preserve"> at [61] to [62].</w:t>
      </w:r>
    </w:p>
  </w:footnote>
  <w:footnote w:id="130">
    <w:p w:rsidR="00224E75" w:rsidRDefault="00224E75" w:rsidP="00D1590E">
      <w:pPr>
        <w:pStyle w:val="FootnoteText"/>
      </w:pPr>
      <w:r>
        <w:rPr>
          <w:rStyle w:val="FootnoteReference"/>
        </w:rPr>
        <w:footnoteRef/>
      </w:r>
      <w:r>
        <w:t xml:space="preserve"> </w:t>
      </w:r>
      <w:r>
        <w:tab/>
        <w:t>Ausgrid, Revised Regulatory Proposal, pp. 129-153;</w:t>
      </w:r>
      <w:r w:rsidRPr="00404201">
        <w:t xml:space="preserve"> </w:t>
      </w:r>
      <w:r>
        <w:t>Endeavour Energy, Revised Regulatory Proposal, pp. 157-179; Essential Energy, Revised Regulatory Proposal, pp. 168-192.</w:t>
      </w:r>
    </w:p>
  </w:footnote>
  <w:footnote w:id="131">
    <w:p w:rsidR="00224E75" w:rsidRDefault="00224E75" w:rsidP="00D1590E">
      <w:pPr>
        <w:pStyle w:val="FootnoteText"/>
      </w:pPr>
      <w:r>
        <w:rPr>
          <w:rStyle w:val="FootnoteReference"/>
        </w:rPr>
        <w:footnoteRef/>
      </w:r>
      <w:r>
        <w:t xml:space="preserve"> </w:t>
      </w:r>
      <w:r>
        <w:tab/>
        <w:t xml:space="preserve">Economic Insights, </w:t>
      </w:r>
      <w:r w:rsidRPr="00E60BCB">
        <w:t xml:space="preserve">Response to Consultants’ Reports on Economic Benchmarking of Electricity DNSPs, </w:t>
      </w:r>
      <w:r>
        <w:t>April 2015, section 3.2.</w:t>
      </w:r>
    </w:p>
  </w:footnote>
  <w:footnote w:id="132">
    <w:p w:rsidR="00224E75" w:rsidRDefault="00224E75" w:rsidP="00D1590E">
      <w:pPr>
        <w:pStyle w:val="FootnoteText"/>
      </w:pPr>
      <w:r>
        <w:rPr>
          <w:rStyle w:val="FootnoteReference"/>
        </w:rPr>
        <w:footnoteRef/>
      </w:r>
      <w:r>
        <w:t xml:space="preserve"> </w:t>
      </w:r>
      <w:r>
        <w:tab/>
        <w:t xml:space="preserve">Economic Insights, </w:t>
      </w:r>
      <w:r w:rsidRPr="00E60BCB">
        <w:t xml:space="preserve">Response to Consultants’ Reports on Economic Benchmarking of Electricity DNSPs, </w:t>
      </w:r>
      <w:r>
        <w:t>April 2015, section 3.10.</w:t>
      </w:r>
    </w:p>
  </w:footnote>
  <w:footnote w:id="133">
    <w:p w:rsidR="00224E75" w:rsidRDefault="00224E75" w:rsidP="00AF23F8">
      <w:pPr>
        <w:pStyle w:val="FootnoteText"/>
      </w:pPr>
      <w:r>
        <w:rPr>
          <w:rStyle w:val="FootnoteReference"/>
        </w:rPr>
        <w:footnoteRef/>
      </w:r>
      <w:r>
        <w:t xml:space="preserve"> </w:t>
      </w:r>
      <w:r>
        <w:tab/>
        <w:t xml:space="preserve">Ausgrid, </w:t>
      </w:r>
      <w:r w:rsidRPr="00E60BCB">
        <w:t>Revised Regulatory Proposal</w:t>
      </w:r>
      <w:r>
        <w:t>,</w:t>
      </w:r>
      <w:r w:rsidRPr="00E60BCB">
        <w:t xml:space="preserve"> </w:t>
      </w:r>
      <w:r>
        <w:t xml:space="preserve">pp. 134-139; Endeavour Energy, Revised Regulatory Proposal, pp. 159-163; Essential Energy, Revised Regulatory Proposal, pp.170-175; </w:t>
      </w:r>
      <w:r w:rsidRPr="001D75DC">
        <w:t>Networks NSW, NSW DNSPs' submission on the AER's draft determinations, 13 February 2015, pp. 6-9.</w:t>
      </w:r>
    </w:p>
  </w:footnote>
  <w:footnote w:id="134">
    <w:p w:rsidR="00224E75" w:rsidRDefault="00224E75" w:rsidP="00D1590E">
      <w:pPr>
        <w:pStyle w:val="FootnoteText"/>
      </w:pPr>
      <w:r>
        <w:rPr>
          <w:rStyle w:val="FootnoteReference"/>
        </w:rPr>
        <w:footnoteRef/>
      </w:r>
      <w:r>
        <w:t xml:space="preserve"> </w:t>
      </w:r>
      <w:r>
        <w:tab/>
      </w:r>
      <w:r w:rsidRPr="00E01871">
        <w:t xml:space="preserve">AEMC, Final Rule Determination: National Electricity Amendment (Economic Regulation of Network Service Providers) Rule 2012, 29 November 2012, </w:t>
      </w:r>
      <w:r>
        <w:t xml:space="preserve">p. 113. See also </w:t>
      </w:r>
      <w:r w:rsidRPr="00E01871">
        <w:t xml:space="preserve">pp. </w:t>
      </w:r>
      <w:r>
        <w:t>viii, 25, 98, 107-108.</w:t>
      </w:r>
    </w:p>
  </w:footnote>
  <w:footnote w:id="135">
    <w:p w:rsidR="00224E75" w:rsidRDefault="00224E75" w:rsidP="00D1590E">
      <w:pPr>
        <w:pStyle w:val="FootnoteText"/>
      </w:pPr>
      <w:r>
        <w:rPr>
          <w:rStyle w:val="FootnoteReference"/>
        </w:rPr>
        <w:footnoteRef/>
      </w:r>
      <w:r>
        <w:t xml:space="preserve"> </w:t>
      </w:r>
      <w:r>
        <w:tab/>
        <w:t>Productivity Commission, Electricity Network Regulatory Frameworks, inquiry report no. 62, 2013, p. 65.</w:t>
      </w:r>
    </w:p>
  </w:footnote>
  <w:footnote w:id="136">
    <w:p w:rsidR="00224E75" w:rsidRDefault="00224E75" w:rsidP="00D1590E">
      <w:pPr>
        <w:pStyle w:val="FootnoteText"/>
      </w:pPr>
      <w:r>
        <w:rPr>
          <w:rStyle w:val="FootnoteReference"/>
        </w:rPr>
        <w:footnoteRef/>
      </w:r>
      <w:r>
        <w:t xml:space="preserve"> </w:t>
      </w:r>
      <w:r>
        <w:tab/>
        <w:t>ACCC, Submission to the Productivity Commission’s inquiry into the economic regulation of airport services, March 2011, p. 8.</w:t>
      </w:r>
    </w:p>
  </w:footnote>
  <w:footnote w:id="137">
    <w:p w:rsidR="00224E75" w:rsidRDefault="00224E75" w:rsidP="00D1590E">
      <w:pPr>
        <w:pStyle w:val="FootnoteText"/>
      </w:pPr>
      <w:r>
        <w:rPr>
          <w:rStyle w:val="FootnoteReference"/>
        </w:rPr>
        <w:footnoteRef/>
      </w:r>
      <w:r>
        <w:t xml:space="preserve"> </w:t>
      </w:r>
      <w:r>
        <w:tab/>
        <w:t>Productivity Commission, Electricity Network Regulatory Frameworks, inquiry report no. 62, 2013, p. 65.</w:t>
      </w:r>
    </w:p>
  </w:footnote>
  <w:footnote w:id="138">
    <w:p w:rsidR="00224E75" w:rsidRDefault="00224E75" w:rsidP="00D1590E">
      <w:pPr>
        <w:pStyle w:val="FootnoteText"/>
      </w:pPr>
      <w:r>
        <w:rPr>
          <w:rStyle w:val="FootnoteReference"/>
        </w:rPr>
        <w:footnoteRef/>
      </w:r>
      <w:r>
        <w:t xml:space="preserve"> </w:t>
      </w:r>
      <w:r>
        <w:tab/>
        <w:t>Productivity Commission, Electricity Network Regulatory Frameworks, inquiry report no. 62, 2013, p. 190.</w:t>
      </w:r>
    </w:p>
  </w:footnote>
  <w:footnote w:id="139">
    <w:p w:rsidR="00224E75" w:rsidRDefault="00224E75" w:rsidP="00D1590E">
      <w:pPr>
        <w:pStyle w:val="FootnoteText"/>
      </w:pPr>
      <w:r>
        <w:rPr>
          <w:rStyle w:val="FootnoteReference"/>
        </w:rPr>
        <w:footnoteRef/>
      </w:r>
      <w:r>
        <w:t xml:space="preserve"> </w:t>
      </w:r>
      <w:r>
        <w:tab/>
        <w:t>Clause 6.2.6(a) of the NER states that f</w:t>
      </w:r>
      <w:r w:rsidRPr="0006396D">
        <w:t>or standard control services, the control mechanism must be of the prospective CPI minus X form, or some incentive-based variant of the prospective CPI minus X form, in accordance with Part C</w:t>
      </w:r>
      <w:r>
        <w:t xml:space="preserve"> (Building Block Determinations for standard control services)</w:t>
      </w:r>
      <w:r w:rsidRPr="0006396D">
        <w:t>.</w:t>
      </w:r>
      <w:r>
        <w:t xml:space="preserve"> Further, the RPPs state a regulated network service provider should be provided with effective incentives in order to promote economic efficiency with respect to direct control network services the operator provides.</w:t>
      </w:r>
    </w:p>
  </w:footnote>
  <w:footnote w:id="140">
    <w:p w:rsidR="00224E75" w:rsidRDefault="00224E75" w:rsidP="00D1590E">
      <w:pPr>
        <w:pStyle w:val="FootnoteText"/>
      </w:pPr>
      <w:r>
        <w:rPr>
          <w:rStyle w:val="FootnoteReference"/>
        </w:rPr>
        <w:footnoteRef/>
      </w:r>
      <w:r>
        <w:t xml:space="preserve"> </w:t>
      </w:r>
      <w:r>
        <w:tab/>
        <w:t xml:space="preserve">AEMC, Consultation paper: </w:t>
      </w:r>
      <w:r w:rsidRPr="003E75B2">
        <w:t>National Electricity Amendment (Demand Management Incentive Scheme) Rule 2015</w:t>
      </w:r>
      <w:r>
        <w:t>, February 2015, p. 3.</w:t>
      </w:r>
    </w:p>
  </w:footnote>
  <w:footnote w:id="141">
    <w:p w:rsidR="00224E75" w:rsidRDefault="00224E75" w:rsidP="00D1590E">
      <w:pPr>
        <w:pStyle w:val="FootnoteText"/>
      </w:pPr>
      <w:r>
        <w:rPr>
          <w:rStyle w:val="FootnoteReference"/>
        </w:rPr>
        <w:footnoteRef/>
      </w:r>
      <w:r>
        <w:t xml:space="preserve"> </w:t>
      </w:r>
      <w:r>
        <w:tab/>
        <w:t>Productivity Commission, Electricity Network Regulatory Frameworks, inquiry report no. 62, 2013, p. 188.</w:t>
      </w:r>
    </w:p>
  </w:footnote>
  <w:footnote w:id="142">
    <w:p w:rsidR="00224E75" w:rsidRDefault="00224E75" w:rsidP="00D1590E">
      <w:pPr>
        <w:pStyle w:val="FootnoteText"/>
      </w:pPr>
      <w:r>
        <w:rPr>
          <w:rStyle w:val="FootnoteReference"/>
        </w:rPr>
        <w:footnoteRef/>
      </w:r>
      <w:r>
        <w:t xml:space="preserve"> </w:t>
      </w:r>
      <w:r>
        <w:tab/>
        <w:t>Put simply, it is assumed that shareholders want the business to maximise profits because the greater the profits, the greater their income.</w:t>
      </w:r>
    </w:p>
  </w:footnote>
  <w:footnote w:id="143">
    <w:p w:rsidR="00224E75" w:rsidRDefault="00224E75" w:rsidP="00D1590E">
      <w:pPr>
        <w:pStyle w:val="FootnoteText"/>
      </w:pPr>
      <w:r>
        <w:rPr>
          <w:rStyle w:val="FootnoteReference"/>
        </w:rPr>
        <w:footnoteRef/>
      </w:r>
      <w:r>
        <w:t xml:space="preserve"> </w:t>
      </w:r>
      <w:r>
        <w:tab/>
        <w:t>As stated by the AER in its Expenditure Forecast Assessment Guideline explanatory statement, ‘t</w:t>
      </w:r>
      <w:r w:rsidRPr="004A4813">
        <w:t xml:space="preserve">he ex-ante incentive regime provides an incentive to improve efficiency (that is, by spending less than the AER's </w:t>
      </w:r>
      <w:r>
        <w:t>forecast</w:t>
      </w:r>
      <w:r w:rsidRPr="004A4813">
        <w:t xml:space="preserve">) because </w:t>
      </w:r>
      <w:r>
        <w:t>network businesses</w:t>
      </w:r>
      <w:r w:rsidRPr="004A4813">
        <w:t xml:space="preserve"> can retain a portion of cost savings made during the regulatory control period.</w:t>
      </w:r>
      <w:r>
        <w:t>’ (p. 42)</w:t>
      </w:r>
    </w:p>
  </w:footnote>
  <w:footnote w:id="144">
    <w:p w:rsidR="00224E75" w:rsidRDefault="00224E75" w:rsidP="00D1590E">
      <w:pPr>
        <w:pStyle w:val="FootnoteText"/>
      </w:pPr>
      <w:r>
        <w:rPr>
          <w:rStyle w:val="FootnoteReference"/>
        </w:rPr>
        <w:footnoteRef/>
      </w:r>
      <w:r>
        <w:t xml:space="preserve"> </w:t>
      </w:r>
      <w:r>
        <w:tab/>
      </w:r>
      <w:r w:rsidRPr="00827780">
        <w:t xml:space="preserve">This takes into account the realistic expectations of demand forecasts and cost inputs, to meet and manage the demand for </w:t>
      </w:r>
      <w:r>
        <w:t xml:space="preserve">network businesses' </w:t>
      </w:r>
      <w:r w:rsidRPr="00827780">
        <w:t xml:space="preserve">services, comply with </w:t>
      </w:r>
      <w:r>
        <w:t>their</w:t>
      </w:r>
      <w:r w:rsidRPr="00827780">
        <w:t xml:space="preserve"> regulatory obligations and maintain the safety of the system.</w:t>
      </w:r>
    </w:p>
  </w:footnote>
  <w:footnote w:id="145">
    <w:p w:rsidR="00224E75" w:rsidRDefault="00224E75" w:rsidP="00D1590E">
      <w:pPr>
        <w:pStyle w:val="FootnoteText"/>
      </w:pPr>
      <w:r>
        <w:rPr>
          <w:rStyle w:val="FootnoteReference"/>
        </w:rPr>
        <w:footnoteRef/>
      </w:r>
      <w:r>
        <w:t xml:space="preserve"> </w:t>
      </w:r>
      <w:r>
        <w:tab/>
        <w:t>Productivity Commission, Electricity Network Regulatory Frameworks, inquiry report no. 62, 2013, p. 192.</w:t>
      </w:r>
    </w:p>
  </w:footnote>
  <w:footnote w:id="146">
    <w:p w:rsidR="00224E75" w:rsidRDefault="00224E75" w:rsidP="00D1590E">
      <w:pPr>
        <w:pStyle w:val="FootnoteText"/>
      </w:pPr>
      <w:r>
        <w:rPr>
          <w:rStyle w:val="FootnoteReference"/>
        </w:rPr>
        <w:footnoteRef/>
      </w:r>
      <w:r>
        <w:t xml:space="preserve"> </w:t>
      </w:r>
      <w:r>
        <w:tab/>
        <w:t>Productivity Commission, Electricity Network Regulatory Frameworks, inquiry report no. 62, 2013, p. 190.</w:t>
      </w:r>
    </w:p>
  </w:footnote>
  <w:footnote w:id="147">
    <w:p w:rsidR="00224E75" w:rsidRDefault="00224E75" w:rsidP="00D1590E">
      <w:pPr>
        <w:pStyle w:val="FootnoteText"/>
      </w:pPr>
      <w:r>
        <w:rPr>
          <w:rStyle w:val="FootnoteReference"/>
        </w:rPr>
        <w:footnoteRef/>
      </w:r>
      <w:r>
        <w:t xml:space="preserve"> </w:t>
      </w:r>
      <w:r>
        <w:tab/>
        <w:t>ACCC &amp; Public Utility Research Centre University of Florida, Infrastructure regulation and market reform: Principles and practice, May 1998, p. 39.</w:t>
      </w:r>
    </w:p>
  </w:footnote>
  <w:footnote w:id="148">
    <w:p w:rsidR="00224E75" w:rsidRDefault="00224E75" w:rsidP="00D1590E">
      <w:pPr>
        <w:pStyle w:val="FootnoteText"/>
      </w:pPr>
      <w:r>
        <w:rPr>
          <w:rStyle w:val="FootnoteReference"/>
        </w:rPr>
        <w:footnoteRef/>
      </w:r>
      <w:r>
        <w:t xml:space="preserve"> </w:t>
      </w:r>
      <w:r>
        <w:tab/>
        <w:t>Joskow finds incentive-based regulation applies</w:t>
      </w:r>
      <w:r w:rsidRPr="006A2C9E">
        <w:t xml:space="preserve"> elements of cost of service regulation</w:t>
      </w:r>
      <w:r>
        <w:t xml:space="preserve"> in practice: ‘</w:t>
      </w:r>
      <w:r w:rsidRPr="00640EC0">
        <w:t>This basic price-cap regulatory mechanism used to regulate electricity, gas and water distribution and transmission companies in the UK, is often contrasted with characterizations of cost-of-service or “cost plus” regulation that developed in the U.S. during the 20th century. However, I believe that there is less difference than may first meet the eye. The UK’s implementation of a price cap based regulatory framework is best characterized as a combination of cost-of-service regulation, the application of a high powered incentive scheme for operating costs for a fixed period of time, followed by a cost-contingent price ratchet to establish a new starting value for prices.</w:t>
      </w:r>
      <w:r>
        <w:t xml:space="preserve"> (Joskow, Incentive regulation in theory and practice: electricity distribution and transmission networks, 2005, pp. 70–71.) </w:t>
      </w:r>
    </w:p>
  </w:footnote>
  <w:footnote w:id="149">
    <w:p w:rsidR="00224E75" w:rsidRDefault="00224E75" w:rsidP="00D1590E">
      <w:pPr>
        <w:pStyle w:val="FootnoteText"/>
      </w:pPr>
      <w:r>
        <w:rPr>
          <w:rStyle w:val="FootnoteReference"/>
        </w:rPr>
        <w:footnoteRef/>
      </w:r>
      <w:r>
        <w:t xml:space="preserve"> </w:t>
      </w:r>
      <w:r>
        <w:tab/>
        <w:t xml:space="preserve">AER, </w:t>
      </w:r>
      <w:r w:rsidRPr="00900867">
        <w:t>Overview of the Better Regulation reform package</w:t>
      </w:r>
      <w:r>
        <w:t>, April 2014, p. 4.</w:t>
      </w:r>
    </w:p>
  </w:footnote>
  <w:footnote w:id="150">
    <w:p w:rsidR="00224E75" w:rsidRDefault="00224E75" w:rsidP="00D1590E">
      <w:pPr>
        <w:pStyle w:val="FootnoteText"/>
      </w:pPr>
      <w:r>
        <w:rPr>
          <w:rStyle w:val="FootnoteReference"/>
        </w:rPr>
        <w:footnoteRef/>
      </w:r>
      <w:r>
        <w:t xml:space="preserve"> </w:t>
      </w:r>
      <w:r>
        <w:tab/>
        <w:t>Joskow, Incentive regulation in theory and practice: electricity distribution and transmission networks, 2005, pp. 10–11.</w:t>
      </w:r>
    </w:p>
  </w:footnote>
  <w:footnote w:id="151">
    <w:p w:rsidR="00224E75" w:rsidRDefault="00224E75" w:rsidP="00D1590E">
      <w:pPr>
        <w:pStyle w:val="FootnoteText"/>
      </w:pPr>
      <w:r>
        <w:rPr>
          <w:rStyle w:val="FootnoteReference"/>
        </w:rPr>
        <w:footnoteRef/>
      </w:r>
      <w:r>
        <w:t xml:space="preserve"> </w:t>
      </w:r>
      <w:r>
        <w:tab/>
        <w:t>AEMC, Rule Determination: National Electricity Amendment (Economic Regulation of Transmission Services) Rule 2006 no. 18, November 2006, p. 93.</w:t>
      </w:r>
    </w:p>
  </w:footnote>
  <w:footnote w:id="152">
    <w:p w:rsidR="00224E75" w:rsidRDefault="00224E75" w:rsidP="00D1590E">
      <w:pPr>
        <w:pStyle w:val="FootnoteText"/>
      </w:pPr>
      <w:r>
        <w:rPr>
          <w:rStyle w:val="FootnoteReference"/>
        </w:rPr>
        <w:footnoteRef/>
      </w:r>
      <w:r>
        <w:t xml:space="preserve"> </w:t>
      </w:r>
      <w:r>
        <w:tab/>
        <w:t>ACCC, Submission to the Productivity Commission’s inquiry into the economic regulation of airport services, March 2011, pp. 8–9.</w:t>
      </w:r>
    </w:p>
  </w:footnote>
  <w:footnote w:id="153">
    <w:p w:rsidR="00224E75" w:rsidRDefault="00224E75" w:rsidP="00D1590E">
      <w:pPr>
        <w:pStyle w:val="FootnoteText"/>
      </w:pPr>
      <w:r>
        <w:rPr>
          <w:rStyle w:val="FootnoteReference"/>
        </w:rPr>
        <w:footnoteRef/>
      </w:r>
      <w:r>
        <w:t xml:space="preserve"> </w:t>
      </w:r>
      <w:r>
        <w:tab/>
      </w:r>
      <w:r w:rsidRPr="0040601D">
        <w:t xml:space="preserve">AEMC, </w:t>
      </w:r>
      <w:r>
        <w:t xml:space="preserve">Rule Determination: </w:t>
      </w:r>
      <w:r w:rsidRPr="00900867">
        <w:t>Economic Regulation of Network Service Providers</w:t>
      </w:r>
      <w:r w:rsidRPr="0040601D">
        <w:t>, November 2012,</w:t>
      </w:r>
      <w:r>
        <w:t xml:space="preserve"> p. 34.</w:t>
      </w:r>
    </w:p>
  </w:footnote>
  <w:footnote w:id="154">
    <w:p w:rsidR="00224E75" w:rsidRDefault="00224E75" w:rsidP="00D1590E">
      <w:pPr>
        <w:pStyle w:val="FootnoteText"/>
      </w:pPr>
      <w:r>
        <w:rPr>
          <w:rStyle w:val="FootnoteReference"/>
        </w:rPr>
        <w:footnoteRef/>
      </w:r>
      <w:r>
        <w:t xml:space="preserve"> </w:t>
      </w:r>
      <w:r>
        <w:tab/>
      </w:r>
      <w:r w:rsidRPr="0040601D">
        <w:t xml:space="preserve">AEMC, </w:t>
      </w:r>
      <w:r>
        <w:t xml:space="preserve">Rule Determination: </w:t>
      </w:r>
      <w:r w:rsidRPr="00900867">
        <w:t>Economic Regulation of Network Service Providers</w:t>
      </w:r>
      <w:r w:rsidRPr="0040601D">
        <w:t xml:space="preserve">, November 2012, </w:t>
      </w:r>
      <w:r>
        <w:t>p. 73.</w:t>
      </w:r>
    </w:p>
  </w:footnote>
  <w:footnote w:id="155">
    <w:p w:rsidR="00224E75" w:rsidRDefault="00224E75" w:rsidP="00D1590E">
      <w:pPr>
        <w:pStyle w:val="FootnoteText"/>
      </w:pPr>
      <w:r>
        <w:rPr>
          <w:rStyle w:val="FootnoteReference"/>
        </w:rPr>
        <w:footnoteRef/>
      </w:r>
      <w:r>
        <w:t xml:space="preserve"> </w:t>
      </w:r>
      <w:r>
        <w:tab/>
        <w:t xml:space="preserve">Ofgem, </w:t>
      </w:r>
      <w:r w:rsidRPr="007310E2">
        <w:t>Regulating Energy Networks for the Future: RPI-X@20</w:t>
      </w:r>
      <w:r>
        <w:t xml:space="preserve">: </w:t>
      </w:r>
      <w:r w:rsidRPr="007310E2">
        <w:t>Emerging Thinking – Embedding financeability in a new regulatory framework</w:t>
      </w:r>
      <w:r>
        <w:t xml:space="preserve">, </w:t>
      </w:r>
      <w:r w:rsidRPr="007310E2">
        <w:t>Parallel consultation paper</w:t>
      </w:r>
      <w:r>
        <w:t>, 20 January 2010, p. 4.</w:t>
      </w:r>
    </w:p>
  </w:footnote>
  <w:footnote w:id="156">
    <w:p w:rsidR="00224E75" w:rsidRDefault="00224E75" w:rsidP="00D1590E">
      <w:pPr>
        <w:pStyle w:val="FootnoteText"/>
      </w:pPr>
      <w:r>
        <w:rPr>
          <w:rStyle w:val="FootnoteReference"/>
        </w:rPr>
        <w:footnoteRef/>
      </w:r>
      <w:r>
        <w:t xml:space="preserve"> </w:t>
      </w:r>
      <w:r>
        <w:tab/>
        <w:t>AER, Expenditure Forecast Assessment Guideline for Electricity Distribution, 2013, pp. 22–24.</w:t>
      </w:r>
    </w:p>
  </w:footnote>
  <w:footnote w:id="157">
    <w:p w:rsidR="00224E75" w:rsidRDefault="00224E75" w:rsidP="00D1590E">
      <w:pPr>
        <w:pStyle w:val="FootnoteText"/>
      </w:pPr>
      <w:r>
        <w:rPr>
          <w:rStyle w:val="FootnoteReference"/>
        </w:rPr>
        <w:footnoteRef/>
      </w:r>
      <w:r>
        <w:t xml:space="preserve"> </w:t>
      </w:r>
      <w:r>
        <w:tab/>
        <w:t>AER, Expenditure Forecast Assessment Guideline explanatory statement, 2013, p. 42.</w:t>
      </w:r>
    </w:p>
  </w:footnote>
  <w:footnote w:id="158">
    <w:p w:rsidR="00224E75" w:rsidRDefault="00224E75" w:rsidP="00D1590E">
      <w:pPr>
        <w:pStyle w:val="FootnoteText"/>
      </w:pPr>
      <w:r>
        <w:rPr>
          <w:rStyle w:val="FootnoteReference"/>
        </w:rPr>
        <w:footnoteRef/>
      </w:r>
      <w:r>
        <w:t xml:space="preserve"> </w:t>
      </w:r>
      <w:r>
        <w:tab/>
        <w:t>Productivity Commission, Electricity Network Regulatory Frameworks, inquiry report no. 62, 2013, pp. 27–28.</w:t>
      </w:r>
    </w:p>
  </w:footnote>
  <w:footnote w:id="159">
    <w:p w:rsidR="00224E75" w:rsidRDefault="00224E75" w:rsidP="00D1590E">
      <w:pPr>
        <w:pStyle w:val="FootnoteText"/>
      </w:pPr>
      <w:r>
        <w:rPr>
          <w:rStyle w:val="FootnoteReference"/>
        </w:rPr>
        <w:footnoteRef/>
      </w:r>
      <w:r>
        <w:t xml:space="preserve"> </w:t>
      </w:r>
      <w:r>
        <w:tab/>
        <w:t xml:space="preserve">The NER require us to be </w:t>
      </w:r>
      <w:r w:rsidRPr="000B18D2">
        <w:t>satisfied that a business’ total opex forecast reasonably reflects the expenditure criteria</w:t>
      </w:r>
      <w:r>
        <w:t xml:space="preserve"> (NER, cl. 6.5(c)). Further, we must consider </w:t>
      </w:r>
      <w:r w:rsidRPr="00ED0D67">
        <w:t>the actual and expected expenditure of the service provider during preceding regulatory control periods</w:t>
      </w:r>
      <w:r>
        <w:t>,</w:t>
      </w:r>
      <w:r w:rsidRPr="00ED0D67">
        <w:t xml:space="preserve"> and whether expenditure is consis</w:t>
      </w:r>
      <w:r>
        <w:t xml:space="preserve">tent with our incentive schemes (NER, </w:t>
      </w:r>
      <w:r w:rsidRPr="00ED0D67">
        <w:t>cl.</w:t>
      </w:r>
      <w:r>
        <w:t> </w:t>
      </w:r>
      <w:r w:rsidRPr="00ED0D67">
        <w:t>6.5.6(e)(5) and (8)</w:t>
      </w:r>
      <w:r>
        <w:t>).</w:t>
      </w:r>
    </w:p>
  </w:footnote>
  <w:footnote w:id="160">
    <w:p w:rsidR="00224E75" w:rsidRDefault="00224E75" w:rsidP="00D1590E">
      <w:pPr>
        <w:pStyle w:val="FootnoteText"/>
      </w:pPr>
      <w:r>
        <w:rPr>
          <w:rStyle w:val="FootnoteReference"/>
        </w:rPr>
        <w:footnoteRef/>
      </w:r>
      <w:r>
        <w:t xml:space="preserve"> </w:t>
      </w:r>
      <w:r>
        <w:tab/>
        <w:t>ACCC &amp; Public Utility Research Centre University of Florida, Infrastructure regulation and market reform: Principles and practice, May 1998, p. 39.</w:t>
      </w:r>
    </w:p>
  </w:footnote>
  <w:footnote w:id="161">
    <w:p w:rsidR="00224E75" w:rsidRDefault="00224E75" w:rsidP="00D1590E">
      <w:pPr>
        <w:pStyle w:val="FootnoteText"/>
      </w:pPr>
      <w:r>
        <w:rPr>
          <w:rStyle w:val="FootnoteReference"/>
        </w:rPr>
        <w:footnoteRef/>
      </w:r>
      <w:r>
        <w:t xml:space="preserve"> </w:t>
      </w:r>
      <w:r>
        <w:tab/>
        <w:t>AER, Expenditure Forecast Assessment Guideline explanatory statement, 2013, p. 93.</w:t>
      </w:r>
    </w:p>
  </w:footnote>
  <w:footnote w:id="162">
    <w:p w:rsidR="00224E75" w:rsidRDefault="00224E75" w:rsidP="00D1590E">
      <w:pPr>
        <w:pStyle w:val="FootnoteText"/>
      </w:pPr>
      <w:r>
        <w:rPr>
          <w:rStyle w:val="FootnoteReference"/>
        </w:rPr>
        <w:footnoteRef/>
      </w:r>
      <w:r>
        <w:t xml:space="preserve"> </w:t>
      </w:r>
      <w:r>
        <w:tab/>
        <w:t>Productivity Commission, Electricity Network Regulatory Frameworks, inquiry report no. 62, 2013, p. 27.</w:t>
      </w:r>
    </w:p>
  </w:footnote>
  <w:footnote w:id="163">
    <w:p w:rsidR="00224E75" w:rsidRDefault="00224E75" w:rsidP="00D1590E">
      <w:pPr>
        <w:pStyle w:val="FootnoteText"/>
      </w:pPr>
      <w:r>
        <w:rPr>
          <w:rStyle w:val="FootnoteReference"/>
        </w:rPr>
        <w:footnoteRef/>
      </w:r>
      <w:r>
        <w:t xml:space="preserve"> </w:t>
      </w:r>
      <w:r>
        <w:tab/>
        <w:t xml:space="preserve">AEMC, Rule Determination: </w:t>
      </w:r>
      <w:r w:rsidRPr="00900867">
        <w:t>Economic Regulation of Network Service Providers</w:t>
      </w:r>
      <w:r w:rsidRPr="0040601D">
        <w:t>, November 2012</w:t>
      </w:r>
      <w:r>
        <w:t>.</w:t>
      </w:r>
    </w:p>
  </w:footnote>
  <w:footnote w:id="164">
    <w:p w:rsidR="00224E75" w:rsidRDefault="00224E75" w:rsidP="00D1590E">
      <w:pPr>
        <w:pStyle w:val="FootnoteText"/>
      </w:pPr>
      <w:r>
        <w:rPr>
          <w:rStyle w:val="FootnoteReference"/>
        </w:rPr>
        <w:footnoteRef/>
      </w:r>
      <w:r>
        <w:t xml:space="preserve"> </w:t>
      </w:r>
      <w:r>
        <w:tab/>
        <w:t xml:space="preserve">AEMC, Rule Determination: </w:t>
      </w:r>
      <w:r w:rsidRPr="00900867">
        <w:t>Economic Regulation of Network Service Providers</w:t>
      </w:r>
      <w:r w:rsidRPr="0040601D">
        <w:t>, November 2012</w:t>
      </w:r>
      <w:r>
        <w:t>, p. 112.</w:t>
      </w:r>
    </w:p>
  </w:footnote>
  <w:footnote w:id="165">
    <w:p w:rsidR="00224E75" w:rsidRDefault="00224E75" w:rsidP="00D1590E">
      <w:pPr>
        <w:pStyle w:val="FootnoteText"/>
      </w:pPr>
      <w:r>
        <w:rPr>
          <w:rStyle w:val="FootnoteReference"/>
        </w:rPr>
        <w:footnoteRef/>
      </w:r>
      <w:r>
        <w:t xml:space="preserve"> </w:t>
      </w:r>
      <w:r>
        <w:tab/>
        <w:t>Productivity Commission, Electricity Network Regulatory Frameworks, inquiry report no. 62, 2013, pp. 170–171.</w:t>
      </w:r>
    </w:p>
  </w:footnote>
  <w:footnote w:id="166">
    <w:p w:rsidR="00224E75" w:rsidRDefault="00224E75" w:rsidP="00D1590E">
      <w:pPr>
        <w:pStyle w:val="FootnoteText"/>
      </w:pPr>
      <w:r>
        <w:rPr>
          <w:rStyle w:val="FootnoteReference"/>
        </w:rPr>
        <w:footnoteRef/>
      </w:r>
      <w:r>
        <w:t xml:space="preserve"> </w:t>
      </w:r>
      <w:r>
        <w:tab/>
      </w:r>
      <w:r w:rsidRPr="00FD20BE">
        <w:t>In a competitive market environment, various forces keep managers from deviating from profit-maximising objectives behaviour. If a competitive business is run inefficiently and unprofitably, it could be driven out of business or taken over by rivals</w:t>
      </w:r>
      <w:r>
        <w:t>/new entrants</w:t>
      </w:r>
      <w:r w:rsidRPr="00FD20BE">
        <w:t xml:space="preserve"> that do maximise profits. Managers who lose their jobs in these circumstances can find it difficult to obtain new jobs. Incentives such as stock ownership and other </w:t>
      </w:r>
      <w:r>
        <w:t xml:space="preserve">performance </w:t>
      </w:r>
      <w:r w:rsidRPr="00FD20BE">
        <w:t>bonuses also motivate managers to maximise profits.</w:t>
      </w:r>
    </w:p>
  </w:footnote>
  <w:footnote w:id="167">
    <w:p w:rsidR="00224E75" w:rsidRDefault="00224E75" w:rsidP="00D1590E">
      <w:pPr>
        <w:pStyle w:val="FootnoteText"/>
      </w:pPr>
      <w:r>
        <w:rPr>
          <w:rStyle w:val="FootnoteReference"/>
        </w:rPr>
        <w:footnoteRef/>
      </w:r>
      <w:r>
        <w:t xml:space="preserve"> </w:t>
      </w:r>
      <w:r>
        <w:tab/>
        <w:t>AER, Expenditure Forecast Assessment Guideline explanatory statement, 2013, p. 42.</w:t>
      </w:r>
    </w:p>
  </w:footnote>
  <w:footnote w:id="168">
    <w:p w:rsidR="00224E75" w:rsidRDefault="00224E75" w:rsidP="00D1590E">
      <w:pPr>
        <w:pStyle w:val="FootnoteText"/>
      </w:pPr>
      <w:r>
        <w:rPr>
          <w:rStyle w:val="FootnoteReference"/>
        </w:rPr>
        <w:footnoteRef/>
      </w:r>
      <w:r>
        <w:t xml:space="preserve"> </w:t>
      </w:r>
      <w:r>
        <w:tab/>
        <w:t xml:space="preserve">ACCC/AER, </w:t>
      </w:r>
      <w:r w:rsidRPr="00E92A18">
        <w:t>Benchmarking Opex and Capex in Energy Networks, ACCC/AER Working Paper no. 6, May</w:t>
      </w:r>
      <w:r>
        <w:t xml:space="preserve"> 2012</w:t>
      </w:r>
      <w:r w:rsidRPr="00E92A18">
        <w:t>.</w:t>
      </w:r>
    </w:p>
  </w:footnote>
  <w:footnote w:id="169">
    <w:p w:rsidR="00224E75" w:rsidRDefault="00224E75" w:rsidP="00D1590E">
      <w:pPr>
        <w:pStyle w:val="FootnoteText"/>
      </w:pPr>
      <w:r>
        <w:rPr>
          <w:rStyle w:val="FootnoteReference"/>
        </w:rPr>
        <w:footnoteRef/>
      </w:r>
      <w:r>
        <w:t xml:space="preserve"> </w:t>
      </w:r>
      <w:r>
        <w:tab/>
        <w:t>ACCC/AER, Regulatory Practices in Other Countries: Benchmarking Opex and Capex in Energy Networks, May 2012.</w:t>
      </w:r>
    </w:p>
  </w:footnote>
  <w:footnote w:id="170">
    <w:p w:rsidR="00224E75" w:rsidRDefault="00224E75" w:rsidP="00D1590E">
      <w:pPr>
        <w:pStyle w:val="FootnoteText"/>
      </w:pPr>
      <w:r>
        <w:rPr>
          <w:rStyle w:val="FootnoteReference"/>
        </w:rPr>
        <w:footnoteRef/>
      </w:r>
      <w:r>
        <w:t xml:space="preserve"> </w:t>
      </w:r>
      <w:r>
        <w:tab/>
      </w:r>
      <w:r w:rsidRPr="00E92A18">
        <w:t xml:space="preserve">Schweinsberg, </w:t>
      </w:r>
      <w:r>
        <w:t>Stronzik, and Wissner</w:t>
      </w:r>
      <w:r w:rsidRPr="00E92A18">
        <w:t>, Cost Benchmarking in Energy Regulation in European Countries, Wik Consult</w:t>
      </w:r>
      <w:r>
        <w:t>, December 2011.</w:t>
      </w:r>
    </w:p>
  </w:footnote>
  <w:footnote w:id="171">
    <w:p w:rsidR="00224E75" w:rsidRDefault="00224E75" w:rsidP="00D1590E">
      <w:pPr>
        <w:pStyle w:val="FootnoteText"/>
      </w:pPr>
      <w:r>
        <w:rPr>
          <w:rStyle w:val="FootnoteReference"/>
        </w:rPr>
        <w:footnoteRef/>
      </w:r>
      <w:r>
        <w:t xml:space="preserve"> </w:t>
      </w:r>
      <w:r>
        <w:tab/>
        <w:t>Productivity Commission, Electricity Network Regulatory Frameworks, inquiry report no. 62, 2013, p. 148.</w:t>
      </w:r>
    </w:p>
  </w:footnote>
  <w:footnote w:id="172">
    <w:p w:rsidR="00224E75" w:rsidRDefault="00224E75" w:rsidP="00D1590E">
      <w:pPr>
        <w:pStyle w:val="FootnoteText"/>
      </w:pPr>
      <w:r>
        <w:rPr>
          <w:rStyle w:val="FootnoteReference"/>
        </w:rPr>
        <w:footnoteRef/>
      </w:r>
      <w:r>
        <w:t xml:space="preserve"> </w:t>
      </w:r>
      <w:r>
        <w:tab/>
        <w:t>Productivity Commission, Electricity Network Regulatory Frameworks, inquiry report no. 62, 2013, p. 148.</w:t>
      </w:r>
    </w:p>
  </w:footnote>
  <w:footnote w:id="173">
    <w:p w:rsidR="00224E75" w:rsidRDefault="00224E75" w:rsidP="00D1590E">
      <w:pPr>
        <w:pStyle w:val="FootnoteText"/>
      </w:pPr>
      <w:r>
        <w:rPr>
          <w:rStyle w:val="FootnoteReference"/>
        </w:rPr>
        <w:footnoteRef/>
      </w:r>
      <w:r>
        <w:t xml:space="preserve"> </w:t>
      </w:r>
      <w:r>
        <w:tab/>
        <w:t xml:space="preserve">Bain &amp; Company, </w:t>
      </w:r>
      <w:r w:rsidRPr="007C156B">
        <w:t>Sustained cost reduction for utilities</w:t>
      </w:r>
      <w:r>
        <w:t>, 2013, p. 2.</w:t>
      </w:r>
    </w:p>
  </w:footnote>
  <w:footnote w:id="174">
    <w:p w:rsidR="00224E75" w:rsidRDefault="00224E75" w:rsidP="00D1590E">
      <w:pPr>
        <w:pStyle w:val="FootnoteText"/>
      </w:pPr>
      <w:r>
        <w:rPr>
          <w:rStyle w:val="FootnoteReference"/>
        </w:rPr>
        <w:footnoteRef/>
      </w:r>
      <w:r>
        <w:t xml:space="preserve"> </w:t>
      </w:r>
      <w:r>
        <w:tab/>
        <w:t>AER, Expenditure Forecast Assessment Guideline explanatory statement, 2013, p. 132.</w:t>
      </w:r>
    </w:p>
  </w:footnote>
  <w:footnote w:id="175">
    <w:p w:rsidR="00224E75" w:rsidRDefault="00224E75" w:rsidP="00D1590E">
      <w:pPr>
        <w:pStyle w:val="FootnoteText"/>
      </w:pPr>
      <w:r>
        <w:rPr>
          <w:rStyle w:val="FootnoteReference"/>
        </w:rPr>
        <w:footnoteRef/>
      </w:r>
      <w:r>
        <w:t xml:space="preserve"> </w:t>
      </w:r>
      <w:r>
        <w:tab/>
      </w:r>
      <w:r w:rsidRPr="008468C6">
        <w:t>Coelli</w:t>
      </w:r>
      <w:r>
        <w:t>, Estache, Perelman, Trujillo,</w:t>
      </w:r>
      <w:r w:rsidRPr="008468C6">
        <w:t xml:space="preserve"> A Pr</w:t>
      </w:r>
      <w:r>
        <w:t>i</w:t>
      </w:r>
      <w:r w:rsidRPr="008468C6">
        <w:t>mer on Efficiency Measurement for Utilities and Transport</w:t>
      </w:r>
      <w:r>
        <w:t xml:space="preserve"> Regulators</w:t>
      </w:r>
      <w:r w:rsidRPr="008468C6">
        <w:t>,</w:t>
      </w:r>
      <w:r>
        <w:t xml:space="preserve"> 2003,</w:t>
      </w:r>
      <w:r w:rsidRPr="008468C6">
        <w:t xml:space="preserve"> p. 11.</w:t>
      </w:r>
    </w:p>
  </w:footnote>
  <w:footnote w:id="176">
    <w:p w:rsidR="00224E75" w:rsidRDefault="00224E75" w:rsidP="00D1590E">
      <w:pPr>
        <w:pStyle w:val="FootnoteText"/>
      </w:pPr>
      <w:r>
        <w:rPr>
          <w:rStyle w:val="FootnoteReference"/>
        </w:rPr>
        <w:footnoteRef/>
      </w:r>
      <w:r>
        <w:t xml:space="preserve"> </w:t>
      </w:r>
      <w:r>
        <w:tab/>
        <w:t>AER, Expenditure Forecast Assessment Guideline explanatory statement, 2013, p. 132.</w:t>
      </w:r>
    </w:p>
  </w:footnote>
  <w:footnote w:id="177">
    <w:p w:rsidR="00224E75" w:rsidRDefault="00224E75" w:rsidP="00D1590E">
      <w:pPr>
        <w:pStyle w:val="FootnoteText"/>
      </w:pPr>
      <w:r>
        <w:rPr>
          <w:rStyle w:val="FootnoteReference"/>
        </w:rPr>
        <w:footnoteRef/>
      </w:r>
      <w:r>
        <w:t xml:space="preserve"> </w:t>
      </w:r>
      <w:r>
        <w:tab/>
        <w:t>NER 6.5.6(c), considered in more detail below</w:t>
      </w:r>
    </w:p>
  </w:footnote>
  <w:footnote w:id="178">
    <w:p w:rsidR="00224E75" w:rsidRDefault="00224E75" w:rsidP="00D1590E">
      <w:pPr>
        <w:pStyle w:val="FootnoteText"/>
      </w:pPr>
      <w:r>
        <w:rPr>
          <w:rStyle w:val="FootnoteReference"/>
        </w:rPr>
        <w:footnoteRef/>
      </w:r>
      <w:r>
        <w:t xml:space="preserve"> </w:t>
      </w:r>
      <w:r>
        <w:tab/>
        <w:t>NER 6.5.6(d),</w:t>
      </w:r>
      <w:r w:rsidRPr="00A81724">
        <w:t xml:space="preserve"> </w:t>
      </w:r>
      <w:r>
        <w:t>considered in more detail below</w:t>
      </w:r>
    </w:p>
  </w:footnote>
  <w:footnote w:id="179">
    <w:p w:rsidR="00224E75" w:rsidRDefault="00224E75" w:rsidP="00D1590E">
      <w:pPr>
        <w:pStyle w:val="FootnoteText"/>
      </w:pPr>
      <w:r>
        <w:rPr>
          <w:rStyle w:val="FootnoteReference"/>
        </w:rPr>
        <w:footnoteRef/>
      </w:r>
      <w:r>
        <w:t xml:space="preserve"> </w:t>
      </w:r>
      <w:r>
        <w:tab/>
      </w:r>
      <w:r w:rsidRPr="0060720C">
        <w:t xml:space="preserve">Ausgrid, Regulatory proposal, 2014, p. 53; Endeavour Energy, Regulatory proposal to the Australian Energy Regulator, 2014, p. 83; Essential Energy, Regulatory proposal, 2014, p. 71. </w:t>
      </w:r>
      <w:r>
        <w:t xml:space="preserve"> </w:t>
      </w:r>
    </w:p>
  </w:footnote>
  <w:footnote w:id="180">
    <w:p w:rsidR="00224E75" w:rsidRDefault="00224E75" w:rsidP="00D1590E">
      <w:pPr>
        <w:pStyle w:val="FootnoteText"/>
      </w:pPr>
      <w:r>
        <w:rPr>
          <w:rStyle w:val="FootnoteReference"/>
        </w:rPr>
        <w:footnoteRef/>
      </w:r>
      <w:r>
        <w:t xml:space="preserve"> </w:t>
      </w:r>
      <w:r>
        <w:tab/>
      </w:r>
      <w:r w:rsidRPr="00F936BA">
        <w:t>AER, Expenditure forecast assessment guideline, November 2013, p. 22</w:t>
      </w:r>
    </w:p>
  </w:footnote>
  <w:footnote w:id="181">
    <w:p w:rsidR="00224E75" w:rsidRDefault="00224E75" w:rsidP="00D1590E">
      <w:pPr>
        <w:pStyle w:val="FootnoteText"/>
      </w:pPr>
      <w:r>
        <w:rPr>
          <w:rStyle w:val="FootnoteReference"/>
        </w:rPr>
        <w:footnoteRef/>
      </w:r>
      <w:r>
        <w:t xml:space="preserve"> </w:t>
      </w:r>
      <w:r>
        <w:tab/>
      </w:r>
      <w:r w:rsidRPr="00FC2D75">
        <w:t>AEMC, Final Rule Determination: National Electricity Amendment (Economic Regulation of Network Service Providers) Rule 2012, 29 November 2012, p. 97.</w:t>
      </w:r>
    </w:p>
  </w:footnote>
  <w:footnote w:id="182">
    <w:p w:rsidR="00224E75" w:rsidRDefault="00224E75" w:rsidP="00D1590E">
      <w:pPr>
        <w:pStyle w:val="FootnoteText"/>
      </w:pPr>
      <w:r>
        <w:rPr>
          <w:rStyle w:val="FootnoteReference"/>
        </w:rPr>
        <w:footnoteRef/>
      </w:r>
      <w:r>
        <w:t xml:space="preserve"> </w:t>
      </w:r>
      <w:r>
        <w:tab/>
      </w:r>
      <w:r w:rsidRPr="00FC2D75">
        <w:t>AEMC, Final Rule Determination, 29 November 2012, pp. 112–113.</w:t>
      </w:r>
    </w:p>
  </w:footnote>
  <w:footnote w:id="183">
    <w:p w:rsidR="00224E75" w:rsidRDefault="00224E75" w:rsidP="00D1590E">
      <w:pPr>
        <w:pStyle w:val="FootnoteText"/>
      </w:pPr>
      <w:r>
        <w:rPr>
          <w:rStyle w:val="FootnoteReference"/>
        </w:rPr>
        <w:footnoteRef/>
      </w:r>
      <w:r>
        <w:t xml:space="preserve"> </w:t>
      </w:r>
      <w:r>
        <w:tab/>
      </w:r>
      <w:r w:rsidRPr="00F82CB3">
        <w:t>Economic Insights, 2014, p. iv</w:t>
      </w:r>
    </w:p>
  </w:footnote>
  <w:footnote w:id="184">
    <w:p w:rsidR="00224E75" w:rsidRDefault="00224E75" w:rsidP="00D1590E">
      <w:pPr>
        <w:pStyle w:val="FootnoteText"/>
      </w:pPr>
      <w:r>
        <w:rPr>
          <w:rStyle w:val="FootnoteReference"/>
        </w:rPr>
        <w:footnoteRef/>
      </w:r>
      <w:r>
        <w:t xml:space="preserve"> </w:t>
      </w:r>
      <w:r>
        <w:tab/>
      </w:r>
      <w:r w:rsidRPr="00F936BA">
        <w:t xml:space="preserve">AER, Expenditure forecast assessment guideline, November 2013, p. </w:t>
      </w:r>
      <w:r>
        <w:t>32</w:t>
      </w:r>
      <w:r w:rsidRPr="00FC2D75">
        <w:t>–</w:t>
      </w:r>
      <w:r>
        <w:t>33.</w:t>
      </w:r>
    </w:p>
  </w:footnote>
  <w:footnote w:id="185">
    <w:p w:rsidR="00224E75" w:rsidRDefault="00224E75" w:rsidP="00D1590E">
      <w:pPr>
        <w:pStyle w:val="FootnoteText"/>
      </w:pPr>
      <w:r>
        <w:rPr>
          <w:rStyle w:val="FootnoteReference"/>
        </w:rPr>
        <w:footnoteRef/>
      </w:r>
      <w:r>
        <w:t xml:space="preserve"> </w:t>
      </w:r>
      <w:r>
        <w:tab/>
        <w:t xml:space="preserve">This approach is a departure from our draft decision approach to determining the benchmark comparison point. We discuss this further in section </w:t>
      </w:r>
      <w:r>
        <w:fldChar w:fldCharType="begin"/>
      </w:r>
      <w:r>
        <w:instrText xml:space="preserve"> REF _Ref416803943 \r \h </w:instrText>
      </w:r>
      <w:r>
        <w:fldChar w:fldCharType="separate"/>
      </w:r>
      <w:r>
        <w:t>A.7</w:t>
      </w:r>
      <w:r>
        <w:fldChar w:fldCharType="end"/>
      </w:r>
      <w:r>
        <w:t>.</w:t>
      </w:r>
    </w:p>
  </w:footnote>
  <w:footnote w:id="186">
    <w:p w:rsidR="00224E75" w:rsidRDefault="00224E75" w:rsidP="00D1590E">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187">
    <w:p w:rsidR="00224E75" w:rsidRDefault="00224E75" w:rsidP="00D1590E">
      <w:pPr>
        <w:pStyle w:val="FootnoteText"/>
      </w:pPr>
      <w:r>
        <w:rPr>
          <w:rStyle w:val="FootnoteReference"/>
        </w:rPr>
        <w:footnoteRef/>
      </w:r>
      <w:r>
        <w:t xml:space="preserve"> </w:t>
      </w:r>
      <w:r>
        <w:tab/>
        <w:t xml:space="preserve">For example. </w:t>
      </w:r>
      <w:r w:rsidRPr="0066706A">
        <w:t>Huegin Consulting, Submission on the AER Expenditure Guidelines: A Review of the Benchmarking Techniques Proposed, 20 September 2013, p. 10 and p. 13.</w:t>
      </w:r>
    </w:p>
  </w:footnote>
  <w:footnote w:id="188">
    <w:p w:rsidR="00224E75" w:rsidRPr="004B76D8" w:rsidRDefault="00224E75" w:rsidP="00D1590E">
      <w:pPr>
        <w:pStyle w:val="FootnoteText"/>
        <w:rPr>
          <w:shd w:val="clear" w:color="auto" w:fill="FFFF00"/>
        </w:rPr>
      </w:pPr>
      <w:r>
        <w:rPr>
          <w:rStyle w:val="FootnoteReference"/>
        </w:rPr>
        <w:footnoteRef/>
      </w:r>
      <w:r>
        <w:t xml:space="preserve"> </w:t>
      </w:r>
      <w:r>
        <w:tab/>
      </w:r>
      <w:r w:rsidRPr="00974242">
        <w:t>For example, in the explanatory statement to our expenditure forecast assessment guideline, we  ask no less than 24 questions on economic benchmarking. In their submission on the explanatory statement the NSW distributors did not address any of these questions despite having multiple reports that were relevant. AER, Better Regulation, Expenditure forecast assessment guidelines for electricity distribution and transmission, Issues paper, December 2012, pp 88–91.</w:t>
      </w:r>
    </w:p>
  </w:footnote>
  <w:footnote w:id="189">
    <w:p w:rsidR="00224E75" w:rsidRDefault="00224E75" w:rsidP="00D1590E">
      <w:pPr>
        <w:pStyle w:val="FootnoteText"/>
      </w:pPr>
      <w:r>
        <w:rPr>
          <w:rStyle w:val="FootnoteReference"/>
        </w:rPr>
        <w:footnoteRef/>
      </w:r>
      <w:r>
        <w:t xml:space="preserve"> </w:t>
      </w:r>
      <w:r>
        <w:tab/>
        <w:t xml:space="preserve">For example:  </w:t>
      </w:r>
      <w:r w:rsidRPr="00974242">
        <w:t xml:space="preserve">Evans &amp; Peck, Review of factors contributing to variations in operating and capital costs structures of Australia </w:t>
      </w:r>
      <w:r>
        <w:t xml:space="preserve">distributors, Final Report, November 2012; </w:t>
      </w:r>
      <w:r w:rsidRPr="00974242">
        <w:t>Huegin</w:t>
      </w:r>
      <w:r>
        <w:t xml:space="preserve"> Consulting </w:t>
      </w:r>
      <w:r w:rsidRPr="00974242">
        <w:t>, Distribution benchmarking study, 2012</w:t>
      </w:r>
    </w:p>
  </w:footnote>
  <w:footnote w:id="190">
    <w:p w:rsidR="00224E75" w:rsidRDefault="00224E75" w:rsidP="00D1590E">
      <w:pPr>
        <w:pStyle w:val="FootnoteText"/>
      </w:pPr>
      <w:r>
        <w:rPr>
          <w:rStyle w:val="FootnoteReference"/>
        </w:rPr>
        <w:footnoteRef/>
      </w:r>
      <w:r>
        <w:t xml:space="preserve"> </w:t>
      </w:r>
      <w:r>
        <w:tab/>
      </w:r>
      <w:r w:rsidRPr="004B76D8">
        <w:t>Application by Ergon Energy Corporation Limited (Labour Cost Escalators) (No 3) [2010] ACompT 11</w:t>
      </w:r>
      <w:r>
        <w:t xml:space="preserve"> at [69]</w:t>
      </w:r>
    </w:p>
  </w:footnote>
  <w:footnote w:id="191">
    <w:p w:rsidR="00224E75" w:rsidRDefault="00224E75" w:rsidP="00D1590E">
      <w:pPr>
        <w:pStyle w:val="FootnoteText"/>
      </w:pPr>
      <w:r>
        <w:rPr>
          <w:rStyle w:val="FootnoteReference"/>
        </w:rPr>
        <w:footnoteRef/>
      </w:r>
      <w:r>
        <w:t xml:space="preserve"> </w:t>
      </w:r>
      <w:r>
        <w:tab/>
        <w:t>The opex criteria broadly reflect the NEO as noted by the</w:t>
      </w:r>
      <w:r w:rsidRPr="001B3605">
        <w:t xml:space="preserve"> AEMC, Final Rule Determination: National Electricity Amendment (Economic Regulation of Network Service Providers) Rul</w:t>
      </w:r>
      <w:r>
        <w:t>e 2012, 29 November 2012, p. 113</w:t>
      </w:r>
      <w:r w:rsidRPr="001B3605">
        <w:t xml:space="preserve">. </w:t>
      </w:r>
    </w:p>
  </w:footnote>
  <w:footnote w:id="192">
    <w:p w:rsidR="00224E75" w:rsidRDefault="00224E75" w:rsidP="00D1590E"/>
  </w:footnote>
  <w:footnote w:id="193">
    <w:p w:rsidR="00224E75" w:rsidRDefault="00224E75" w:rsidP="00D1590E">
      <w:pPr>
        <w:pStyle w:val="FootnoteText"/>
      </w:pPr>
      <w:r>
        <w:rPr>
          <w:rStyle w:val="FootnoteReference"/>
        </w:rPr>
        <w:footnoteRef/>
      </w:r>
      <w:r>
        <w:t xml:space="preserve"> </w:t>
      </w:r>
      <w:r>
        <w:tab/>
        <w:t xml:space="preserve">The Tribunal has applied the term in this fashion in at least the following matters: </w:t>
      </w:r>
      <w:r w:rsidRPr="00196E52">
        <w:t>Application by Ergon Energy Corporation Limited (Non-system property capital expen</w:t>
      </w:r>
      <w:r>
        <w:t xml:space="preserve">diture) (No 4) [2010] ACompT 12; </w:t>
      </w:r>
      <w:r w:rsidRPr="00196E52">
        <w:t xml:space="preserve">Application by EnergyAustralia and Others </w:t>
      </w:r>
      <w:r>
        <w:t xml:space="preserve">[2009] ACompT 8; </w:t>
      </w:r>
      <w:r w:rsidRPr="00196E52">
        <w:t>Application by Ergon Energy Corporation Limited (Labour Cost Esca</w:t>
      </w:r>
      <w:r>
        <w:t xml:space="preserve">lators) (No 3) [2010] ACompT 11; </w:t>
      </w:r>
      <w:r w:rsidRPr="00196E52">
        <w:t xml:space="preserve">Application by DBNGP (WA) Transmission </w:t>
      </w:r>
      <w:r>
        <w:t xml:space="preserve">Pty Ltd (No 3) [2012] ACompT 14; </w:t>
      </w:r>
      <w:r w:rsidRPr="00196E52">
        <w:t>Application by United Energy Distribut</w:t>
      </w:r>
      <w:r>
        <w:t xml:space="preserve">ion Pty Limited [2012] ACompT 1; </w:t>
      </w:r>
      <w:r w:rsidRPr="00196E52">
        <w:t xml:space="preserve">Re: Application by ElectraNet Pty </w:t>
      </w:r>
      <w:r>
        <w:t xml:space="preserve">Limited (No 3) [2008] ACompT 3 ; </w:t>
      </w:r>
      <w:r w:rsidRPr="00196E52">
        <w:t>Application by DBNGP (WA) Transmission Pty Ltd [2012] ACompT 6</w:t>
      </w:r>
    </w:p>
  </w:footnote>
  <w:footnote w:id="194">
    <w:p w:rsidR="00224E75" w:rsidRDefault="00224E75" w:rsidP="00D1590E">
      <w:pPr>
        <w:pStyle w:val="FootnoteText"/>
      </w:pPr>
      <w:r>
        <w:rPr>
          <w:rStyle w:val="FootnoteReference"/>
        </w:rPr>
        <w:footnoteRef/>
      </w:r>
      <w:r>
        <w:t xml:space="preserve"> </w:t>
      </w:r>
      <w:r>
        <w:tab/>
        <w:t xml:space="preserve">AEMC, </w:t>
      </w:r>
      <w:r w:rsidRPr="00EE7EC0">
        <w:t>Draft</w:t>
      </w:r>
      <w:r w:rsidRPr="00B2272D">
        <w:t xml:space="preserve"> rule determination</w:t>
      </w:r>
      <w:r>
        <w:t>:</w:t>
      </w:r>
      <w:r w:rsidRPr="00EE7EC0">
        <w:t xml:space="preserve"> National Electricity Amendment (Economic Regulation of Network Service Providers) Rule 2012,</w:t>
      </w:r>
      <w:r>
        <w:t xml:space="preserve"> </w:t>
      </w:r>
      <w:r w:rsidRPr="00EE7EC0">
        <w:t>p 76</w:t>
      </w:r>
      <w:r>
        <w:t>.</w:t>
      </w:r>
    </w:p>
  </w:footnote>
  <w:footnote w:id="195">
    <w:p w:rsidR="00224E75" w:rsidRDefault="00224E75" w:rsidP="00D1590E">
      <w:pPr>
        <w:pStyle w:val="FootnoteText"/>
      </w:pPr>
      <w:r>
        <w:rPr>
          <w:rStyle w:val="FootnoteReference"/>
        </w:rPr>
        <w:footnoteRef/>
      </w:r>
      <w:r>
        <w:t xml:space="preserve"> </w:t>
      </w:r>
      <w:r>
        <w:tab/>
      </w:r>
      <w:r w:rsidRPr="00196E52">
        <w:t>Application by ElectraNet Pty Limited (No 3) [2008] ACompT 3</w:t>
      </w:r>
      <w:r>
        <w:t xml:space="preserve"> at 199; </w:t>
      </w:r>
      <w:r w:rsidRPr="00196E52">
        <w:rPr>
          <w:rStyle w:val="FootnoteReference"/>
        </w:rPr>
        <w:footnoteRef/>
      </w:r>
      <w:r w:rsidRPr="00196E52">
        <w:t xml:space="preserve">  Application by EnergyAustralia and Others [2009] ACompT 8 at 141, citing reports prepared by service providers and the NER from 2008.</w:t>
      </w:r>
      <w:r>
        <w:t xml:space="preserve"> </w:t>
      </w:r>
    </w:p>
  </w:footnote>
  <w:footnote w:id="196">
    <w:p w:rsidR="00224E75" w:rsidRDefault="00224E75" w:rsidP="00D1590E">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 113.</w:t>
      </w:r>
      <w:r w:rsidRPr="00B2272D">
        <w:t xml:space="preserve">  </w:t>
      </w:r>
      <w:r>
        <w:t xml:space="preserve">See also </w:t>
      </w:r>
      <w:r w:rsidRPr="00E01871">
        <w:t xml:space="preserve">pp. </w:t>
      </w:r>
      <w:r>
        <w:t>viii, 25, 98, 107-108.</w:t>
      </w:r>
    </w:p>
  </w:footnote>
  <w:footnote w:id="197">
    <w:p w:rsidR="00224E75" w:rsidRDefault="00224E75" w:rsidP="00D1590E">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198">
    <w:p w:rsidR="00224E75" w:rsidRDefault="00224E75" w:rsidP="00D1590E">
      <w:pPr>
        <w:pStyle w:val="FootnoteText"/>
      </w:pPr>
      <w:r>
        <w:rPr>
          <w:rStyle w:val="FootnoteReference"/>
        </w:rPr>
        <w:footnoteRef/>
      </w:r>
      <w:r>
        <w:t xml:space="preserve"> </w:t>
      </w:r>
      <w:r>
        <w:tab/>
        <w:t>NER 6.5.6(a)</w:t>
      </w:r>
    </w:p>
  </w:footnote>
  <w:footnote w:id="199">
    <w:p w:rsidR="00224E75" w:rsidRDefault="00224E75" w:rsidP="00D1590E">
      <w:pPr>
        <w:pStyle w:val="FootnoteText"/>
      </w:pPr>
      <w:r>
        <w:rPr>
          <w:rStyle w:val="FootnoteReference"/>
        </w:rPr>
        <w:footnoteRef/>
      </w:r>
      <w:r>
        <w:t xml:space="preserve"> </w:t>
      </w:r>
      <w:r>
        <w:tab/>
      </w:r>
      <w:r w:rsidRPr="002D1E18">
        <w:t>AEMC, National Electricity Amendment (Economic Regulation of Network Service Providers) Rule 2012 No.9</w:t>
      </w:r>
      <w:r>
        <w:t xml:space="preserve"> at 93</w:t>
      </w:r>
    </w:p>
  </w:footnote>
  <w:footnote w:id="200">
    <w:p w:rsidR="00224E75" w:rsidRDefault="00224E75" w:rsidP="00D1590E">
      <w:pPr>
        <w:pStyle w:val="FootnoteText"/>
      </w:pPr>
      <w:r>
        <w:rPr>
          <w:rStyle w:val="FootnoteReference"/>
        </w:rPr>
        <w:footnoteRef/>
      </w:r>
      <w:r>
        <w:t xml:space="preserve"> </w:t>
      </w:r>
      <w:r>
        <w:tab/>
      </w:r>
      <w:r w:rsidRPr="00B2272D">
        <w:t>AEMC, Final Rule Determination: National Electricity Amendment (Economic Regulation of Network Service Providers) Rule 2012, 29 November 2012, p</w:t>
      </w:r>
      <w:r>
        <w:t xml:space="preserve">p 165, </w:t>
      </w:r>
    </w:p>
  </w:footnote>
  <w:footnote w:id="201">
    <w:p w:rsidR="00224E75" w:rsidRDefault="00224E75" w:rsidP="00D1590E">
      <w:pPr>
        <w:pStyle w:val="FootnoteText"/>
      </w:pPr>
      <w:r>
        <w:rPr>
          <w:rStyle w:val="FootnoteReference"/>
        </w:rPr>
        <w:footnoteRef/>
      </w:r>
      <w:r>
        <w:t xml:space="preserve">  </w:t>
      </w:r>
      <w:r>
        <w:tab/>
      </w:r>
      <w:r w:rsidRPr="009A5C4A">
        <w:t>Application by  Envestra  Limited (No 2) [2012] ACompT 3 at [146] , approved of in Application by  APA GasNet Australia  (Operations) Pty Limited (No 2) [2013] ACompT 8 at [232]</w:t>
      </w:r>
    </w:p>
  </w:footnote>
  <w:footnote w:id="202">
    <w:p w:rsidR="00224E75" w:rsidRDefault="00224E75" w:rsidP="00D1590E">
      <w:pPr>
        <w:pStyle w:val="FootnoteText"/>
      </w:pPr>
      <w:r>
        <w:rPr>
          <w:rStyle w:val="FootnoteReference"/>
        </w:rPr>
        <w:footnoteRef/>
      </w:r>
      <w:r>
        <w:t xml:space="preserve"> </w:t>
      </w:r>
      <w:r>
        <w:tab/>
      </w:r>
      <w:r w:rsidRPr="00317693">
        <w:t>AEMC, Economic Regulation of Transmission Services, Rule Determination, 16 November 2006</w:t>
      </w:r>
      <w:r>
        <w:t xml:space="preserve"> at </w:t>
      </w:r>
      <w:r w:rsidRPr="00317693">
        <w:t>50, 52, 53</w:t>
      </w:r>
    </w:p>
  </w:footnote>
  <w:footnote w:id="203">
    <w:p w:rsidR="00224E75" w:rsidRDefault="00224E75" w:rsidP="00D1590E">
      <w:pPr>
        <w:pStyle w:val="FootnoteText"/>
      </w:pPr>
      <w:r>
        <w:rPr>
          <w:rStyle w:val="FootnoteReference"/>
        </w:rPr>
        <w:footnoteRef/>
      </w:r>
      <w:r>
        <w:t xml:space="preserve"> </w:t>
      </w:r>
      <w:r>
        <w:tab/>
        <w:t>NER 6.5.6(1)</w:t>
      </w:r>
    </w:p>
  </w:footnote>
  <w:footnote w:id="204">
    <w:p w:rsidR="00224E75" w:rsidRDefault="00224E75" w:rsidP="00D1590E">
      <w:pPr>
        <w:pStyle w:val="FootnoteText"/>
      </w:pPr>
      <w:r>
        <w:rPr>
          <w:rStyle w:val="FootnoteReference"/>
        </w:rPr>
        <w:footnoteRef/>
      </w:r>
      <w:r>
        <w:t xml:space="preserve"> </w:t>
      </w:r>
      <w:r>
        <w:tab/>
        <w:t>NEL 7A(2)(b)</w:t>
      </w:r>
    </w:p>
  </w:footnote>
  <w:footnote w:id="205">
    <w:p w:rsidR="00224E75" w:rsidRDefault="00224E75" w:rsidP="00D1590E">
      <w:pPr>
        <w:pStyle w:val="FootnoteText"/>
      </w:pPr>
      <w:r>
        <w:rPr>
          <w:rStyle w:val="FootnoteReference"/>
        </w:rPr>
        <w:footnoteRef/>
      </w:r>
      <w:r>
        <w:t xml:space="preserve"> </w:t>
      </w:r>
      <w:r>
        <w:tab/>
      </w:r>
      <w:r w:rsidRPr="00B346A7">
        <w:t>NER ch</w:t>
      </w:r>
      <w:r>
        <w:t>apter</w:t>
      </w:r>
      <w:r w:rsidRPr="00B346A7">
        <w:t xml:space="preserve"> 10</w:t>
      </w:r>
      <w:r>
        <w:t>,</w:t>
      </w:r>
      <w:r w:rsidRPr="00B346A7">
        <w:t xml:space="preserve"> definition of 'regulatory obligation or requirement' and NEL, s2D.</w:t>
      </w:r>
    </w:p>
  </w:footnote>
  <w:footnote w:id="206">
    <w:p w:rsidR="00224E75" w:rsidRDefault="00224E75" w:rsidP="00D1590E">
      <w:pPr>
        <w:pStyle w:val="FootnoteText"/>
      </w:pPr>
      <w:r>
        <w:rPr>
          <w:rStyle w:val="FootnoteReference"/>
        </w:rPr>
        <w:footnoteRef/>
      </w:r>
      <w:r>
        <w:t xml:space="preserve"> </w:t>
      </w:r>
      <w:r>
        <w:tab/>
        <w:t>NEL s 5. This means that only jurisdictions which have passed a version of the NEL are participating jurisdictions.</w:t>
      </w:r>
    </w:p>
  </w:footnote>
  <w:footnote w:id="207">
    <w:p w:rsidR="00224E75" w:rsidRDefault="00224E75" w:rsidP="00D1590E">
      <w:pPr>
        <w:pStyle w:val="FootnoteText"/>
      </w:pPr>
      <w:r>
        <w:rPr>
          <w:rStyle w:val="FootnoteReference"/>
        </w:rPr>
        <w:footnoteRef/>
      </w:r>
      <w:r>
        <w:t xml:space="preserve"> </w:t>
      </w:r>
      <w:r>
        <w:tab/>
        <w:t xml:space="preserve">See Second reading speech, </w:t>
      </w:r>
      <w:r w:rsidRPr="007121DD">
        <w:t xml:space="preserve">National Electricity (South Australia) </w:t>
      </w:r>
      <w:r>
        <w:t xml:space="preserve">(NEL -Miscellaneous Amendments) Bill </w:t>
      </w:r>
      <w:r w:rsidRPr="007121DD">
        <w:t>1996</w:t>
      </w:r>
      <w:r>
        <w:t>, p 6.</w:t>
      </w:r>
    </w:p>
  </w:footnote>
  <w:footnote w:id="208">
    <w:p w:rsidR="00224E75" w:rsidRDefault="00224E75" w:rsidP="00D1590E">
      <w:pPr>
        <w:pStyle w:val="FootnoteText"/>
      </w:pPr>
      <w:r>
        <w:rPr>
          <w:rStyle w:val="FootnoteReference"/>
        </w:rPr>
        <w:footnoteRef/>
      </w:r>
      <w:r>
        <w:t xml:space="preserve"> </w:t>
      </w:r>
      <w:r>
        <w:tab/>
        <w:t>Although these obligations may be informed by other requirements that do meet the definition.</w:t>
      </w:r>
    </w:p>
  </w:footnote>
  <w:footnote w:id="209">
    <w:p w:rsidR="00224E75" w:rsidRDefault="00224E75" w:rsidP="00D1590E">
      <w:pPr>
        <w:pStyle w:val="FootnoteText"/>
      </w:pPr>
      <w:r>
        <w:rPr>
          <w:rStyle w:val="FootnoteReference"/>
        </w:rPr>
        <w:footnoteRef/>
      </w:r>
      <w:r>
        <w:t xml:space="preserve"> </w:t>
      </w:r>
      <w:r>
        <w:tab/>
        <w:t>Schedule 2 to the Competition and Consumer Act 2010 (Cth), various equivalents in state legislation identical terms.</w:t>
      </w:r>
    </w:p>
  </w:footnote>
  <w:footnote w:id="210">
    <w:p w:rsidR="00224E75" w:rsidRDefault="00224E75" w:rsidP="00D1590E">
      <w:pPr>
        <w:pStyle w:val="FootnoteText"/>
      </w:pPr>
      <w:r>
        <w:rPr>
          <w:rStyle w:val="FootnoteReference"/>
        </w:rPr>
        <w:footnoteRef/>
      </w:r>
      <w:r>
        <w:t xml:space="preserve"> </w:t>
      </w:r>
      <w:r>
        <w:tab/>
        <w:t xml:space="preserve">For example, ActewAGL Revised proposal at 2, 4. </w:t>
      </w:r>
    </w:p>
  </w:footnote>
  <w:footnote w:id="211">
    <w:p w:rsidR="00224E75" w:rsidRDefault="00224E75" w:rsidP="00D1590E">
      <w:pPr>
        <w:pStyle w:val="FootnoteText"/>
      </w:pPr>
      <w:r>
        <w:rPr>
          <w:rStyle w:val="FootnoteReference"/>
        </w:rPr>
        <w:footnoteRef/>
      </w:r>
      <w:r>
        <w:t xml:space="preserve"> </w:t>
      </w:r>
      <w:r>
        <w:tab/>
        <w:t xml:space="preserve">Pursuant to the </w:t>
      </w:r>
      <w:r w:rsidRPr="00726A7C">
        <w:rPr>
          <w:rStyle w:val="AERtextitalic"/>
        </w:rPr>
        <w:t>Fair Work Act 2009 (Cth)</w:t>
      </w:r>
      <w:r>
        <w:t>.</w:t>
      </w:r>
    </w:p>
  </w:footnote>
  <w:footnote w:id="212">
    <w:p w:rsidR="00224E75" w:rsidRDefault="00224E75" w:rsidP="00D1590E">
      <w:pPr>
        <w:pStyle w:val="FootnoteText"/>
      </w:pPr>
      <w:r>
        <w:rPr>
          <w:rStyle w:val="FootnoteReference"/>
        </w:rPr>
        <w:footnoteRef/>
      </w:r>
      <w:r>
        <w:t xml:space="preserve"> </w:t>
      </w:r>
      <w:r>
        <w:tab/>
        <w:t>Ausgrid, Revised Regulatory Proposal, p. 5; Endeavour Energy, Revised Regulatory Proposal, p. 3; Essential Energy, Revised Regulatory Proposal, p. 7; also implied by ActewAGL, Revised Regulatory Proposal, p . 68.</w:t>
      </w:r>
    </w:p>
  </w:footnote>
  <w:footnote w:id="213">
    <w:p w:rsidR="00224E75" w:rsidRDefault="00224E75" w:rsidP="00D1590E">
      <w:pPr>
        <w:pStyle w:val="FootnoteText"/>
      </w:pPr>
      <w:r>
        <w:rPr>
          <w:rStyle w:val="FootnoteReference"/>
        </w:rPr>
        <w:footnoteRef/>
      </w:r>
      <w:r>
        <w:t xml:space="preserve"> </w:t>
      </w:r>
      <w:r>
        <w:tab/>
        <w:t>The Commonwealth has not passed a version of the NEL so it is not a participating jurisdiction for the purposes of section 5 (and hence, section 2D) of the NEL. Commonwealth laws are 'regulatory obligations or requirements' if they fall within section 2D(1)(a). These relate to safety duties, reliability and service standards. However, commonwealth laws that fall within section 2D(1)(b), insofar as it refers to a 'participating jurisdiction', do not.</w:t>
      </w:r>
    </w:p>
  </w:footnote>
  <w:footnote w:id="214">
    <w:p w:rsidR="00224E75" w:rsidRDefault="00224E75" w:rsidP="00D1590E">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215">
    <w:p w:rsidR="00224E75" w:rsidRDefault="00224E75" w:rsidP="00D1590E">
      <w:pPr>
        <w:pStyle w:val="FootnoteText"/>
      </w:pPr>
      <w:r>
        <w:rPr>
          <w:rStyle w:val="FootnoteReference"/>
        </w:rPr>
        <w:footnoteRef/>
      </w:r>
      <w:r>
        <w:t xml:space="preserve"> </w:t>
      </w:r>
      <w:r>
        <w:tab/>
        <w:t>AEMC</w:t>
      </w:r>
      <w:r w:rsidRPr="00B2272D">
        <w:t>, Final Rule Determination: National Electricity Amendment (Economic Regulation of Network Service Providers) Rule 2012, 29 November 2012, pp 10</w:t>
      </w:r>
      <w:r>
        <w:t>1</w:t>
      </w:r>
      <w:r w:rsidRPr="00B2272D">
        <w:t xml:space="preserve">.  </w:t>
      </w:r>
    </w:p>
  </w:footnote>
  <w:footnote w:id="216">
    <w:p w:rsidR="00224E75" w:rsidRDefault="00224E75" w:rsidP="00D1590E">
      <w:pPr>
        <w:pStyle w:val="FootnoteText"/>
      </w:pPr>
      <w:r>
        <w:rPr>
          <w:rStyle w:val="FootnoteReference"/>
        </w:rPr>
        <w:footnoteRef/>
      </w:r>
      <w:r>
        <w:t xml:space="preserve"> </w:t>
      </w:r>
      <w:r>
        <w:tab/>
        <w:t>AER, Expenditure Forecast Assessment Guideline–Explanatory Statement, November 2013, p. 131.</w:t>
      </w:r>
    </w:p>
  </w:footnote>
  <w:footnote w:id="217">
    <w:p w:rsidR="00224E75" w:rsidRDefault="00224E75" w:rsidP="00D1590E">
      <w:pPr>
        <w:pStyle w:val="FootnoteText"/>
      </w:pPr>
      <w:r>
        <w:rPr>
          <w:rStyle w:val="FootnoteReference"/>
        </w:rPr>
        <w:footnoteRef/>
      </w:r>
      <w:r>
        <w:t xml:space="preserve">  </w:t>
      </w:r>
      <w:r>
        <w:tab/>
      </w:r>
      <w:r w:rsidRPr="00352D2C">
        <w:t xml:space="preserve">AEMC , Final Rule Determination: National Electricity Amendment (Economic Regulation of Network Service Providers) Rule 2012, 29 November 2012, pp 101.  </w:t>
      </w:r>
    </w:p>
  </w:footnote>
  <w:footnote w:id="218">
    <w:p w:rsidR="00224E75" w:rsidRDefault="00224E75" w:rsidP="00D1590E">
      <w:pPr>
        <w:pStyle w:val="FootnoteText"/>
      </w:pPr>
      <w:r>
        <w:rPr>
          <w:rStyle w:val="FootnoteReference"/>
        </w:rPr>
        <w:footnoteRef/>
      </w:r>
      <w:r>
        <w:t xml:space="preserve"> </w:t>
      </w:r>
      <w:r>
        <w:tab/>
      </w:r>
      <w:r w:rsidRPr="00A557BE">
        <w:t>AEMC, Final Rule Determination: National Electricity Amendment (Economic Regulation of Network Service Providers) Rule 2012, 29 November 2012, pp 1</w:t>
      </w:r>
      <w:r>
        <w:t>15</w:t>
      </w:r>
    </w:p>
  </w:footnote>
  <w:footnote w:id="219">
    <w:p w:rsidR="00224E75" w:rsidRDefault="00224E75" w:rsidP="00D1590E">
      <w:pPr>
        <w:pStyle w:val="FootnoteText"/>
      </w:pPr>
      <w:r>
        <w:rPr>
          <w:rStyle w:val="FootnoteReference"/>
        </w:rPr>
        <w:footnoteRef/>
      </w:r>
      <w:r>
        <w:t xml:space="preserve"> </w:t>
      </w:r>
      <w:r>
        <w:tab/>
        <w:t xml:space="preserve">Ausgrid, Revised Regulatory Proposal, pp. </w:t>
      </w:r>
      <w:r w:rsidRPr="009520B1">
        <w:t xml:space="preserve">23-24, </w:t>
      </w:r>
      <w:r>
        <w:t>129-138; Endeavour Energy, Revised Regulatory Proposal, pp. 25-26, 157-163; Essential Energy, Revised Regulatory Proposal, pp.29-30, 168-175.</w:t>
      </w:r>
    </w:p>
  </w:footnote>
  <w:footnote w:id="220">
    <w:p w:rsidR="00224E75" w:rsidRDefault="00224E75" w:rsidP="00D1590E">
      <w:pPr>
        <w:pStyle w:val="FootnoteText"/>
      </w:pPr>
      <w:r>
        <w:rPr>
          <w:rStyle w:val="FootnoteReference"/>
        </w:rPr>
        <w:footnoteRef/>
      </w:r>
      <w:r>
        <w:t xml:space="preserve"> </w:t>
      </w:r>
      <w:r>
        <w:tab/>
        <w:t xml:space="preserve">Ausgrid, Revised Regulatory Proposal, pp. </w:t>
      </w:r>
      <w:r w:rsidRPr="009520B1">
        <w:t xml:space="preserve">23-24, </w:t>
      </w:r>
      <w:r>
        <w:t>129-138; Endeavour Energy, Revised Regulatory Proposal, pp. 25-26, 157-163; Essential Energy, Revised Regulatory Proposal, pp.29-30, 168-175.</w:t>
      </w:r>
    </w:p>
  </w:footnote>
  <w:footnote w:id="221">
    <w:p w:rsidR="00224E75" w:rsidRDefault="00224E75" w:rsidP="00D1590E">
      <w:pPr>
        <w:pStyle w:val="FootnoteText"/>
      </w:pPr>
      <w:r>
        <w:rPr>
          <w:rStyle w:val="FootnoteReference"/>
        </w:rPr>
        <w:footnoteRef/>
      </w:r>
      <w:r>
        <w:t xml:space="preserve"> </w:t>
      </w:r>
      <w:r>
        <w:tab/>
        <w:t>Ausgrid, Revised Proposal, January 2015, p. 126; Endeavour Energy, Revised Regulatory Proposal, January 2015, p. 100; Essential Energy, Revised Regulatory Proposal, January 2015, p. 107.</w:t>
      </w:r>
    </w:p>
  </w:footnote>
  <w:footnote w:id="222">
    <w:p w:rsidR="00224E75" w:rsidRDefault="00224E75" w:rsidP="00D1590E">
      <w:pPr>
        <w:pStyle w:val="FootnoteText"/>
      </w:pPr>
      <w:r>
        <w:rPr>
          <w:rStyle w:val="FootnoteReference"/>
        </w:rPr>
        <w:footnoteRef/>
      </w:r>
      <w:r>
        <w:t xml:space="preserve"> </w:t>
      </w:r>
      <w:r>
        <w:tab/>
      </w:r>
      <w:r w:rsidRPr="00D15B3D">
        <w:t>AEMC, Final Rule Determination: National Electricity Amendment (Economic Regulation of Network Service Providers) Rule 2012, 29 November 2012, p. 115.</w:t>
      </w:r>
    </w:p>
  </w:footnote>
  <w:footnote w:id="223">
    <w:p w:rsidR="00224E75" w:rsidRDefault="00224E75" w:rsidP="00D1590E">
      <w:pPr>
        <w:pStyle w:val="FootnoteText"/>
      </w:pPr>
      <w:r>
        <w:rPr>
          <w:rStyle w:val="FootnoteReference"/>
        </w:rPr>
        <w:footnoteRef/>
      </w:r>
      <w:r>
        <w:t xml:space="preserve"> </w:t>
      </w:r>
      <w:r>
        <w:tab/>
        <w:t>AER, Draft Decision, Attachment 7,November 2014, pp. 7-10 to 7-11.</w:t>
      </w:r>
    </w:p>
  </w:footnote>
  <w:footnote w:id="224">
    <w:p w:rsidR="00224E75" w:rsidRDefault="00224E75" w:rsidP="00D1590E">
      <w:pPr>
        <w:pStyle w:val="FootnoteText"/>
      </w:pPr>
      <w:r>
        <w:rPr>
          <w:rStyle w:val="FootnoteReference"/>
        </w:rPr>
        <w:footnoteRef/>
      </w:r>
      <w:r>
        <w:t xml:space="preserve"> </w:t>
      </w:r>
      <w:r>
        <w:tab/>
        <w:t>AER, Expenditure Forecast Assessment Guideline–Explanatory Statement, November 2013, p. 22.</w:t>
      </w:r>
    </w:p>
  </w:footnote>
  <w:footnote w:id="225">
    <w:p w:rsidR="00224E75" w:rsidRDefault="00224E75" w:rsidP="00D1590E">
      <w:pPr>
        <w:pStyle w:val="FootnoteText"/>
      </w:pPr>
      <w:r>
        <w:rPr>
          <w:rStyle w:val="FootnoteReference"/>
        </w:rPr>
        <w:footnoteRef/>
      </w:r>
      <w:r>
        <w:t xml:space="preserve"> </w:t>
      </w:r>
      <w:r>
        <w:tab/>
        <w:t>For example,</w:t>
      </w:r>
      <w:r w:rsidRPr="00865DF9">
        <w:t xml:space="preserve"> </w:t>
      </w:r>
      <w:r w:rsidRPr="00EC7E78">
        <w:t>Consumer Challenge Panel, CCP1 Submission to AER Responding to NSW draft determinations and revised proposals from electricity distribution networks, 2 January 2015, pp. 9, 49-53; PIAC, A missed opportunity? Submission to the Australian Energy Regulator’s Draft Determination for Ausgrid, Endeavour Energy and Essential Energy, 13 February 2015, pp. 8-9, 26-32</w:t>
      </w:r>
      <w:r>
        <w:t xml:space="preserve">; </w:t>
      </w:r>
      <w:r w:rsidRPr="00865DF9">
        <w:t>Origin Energy, Submission to Queensland Electricity Distributors’ Regulatory Proposals, 30 January 2015, pp. 11-15; AGL, Energex Regulatory Proposal: July 2015 to June 2020 - AGL submission to the Australian Energy Regulator, 30 January 2015, pp. 7-9; Consumer Challenge Panel, CCP2 Panel Submission on Energex and Ergon Energy Capex and Opex Proposals, 30 January 2015, pp. 16-26.</w:t>
      </w:r>
    </w:p>
  </w:footnote>
  <w:footnote w:id="226">
    <w:p w:rsidR="00224E75" w:rsidRDefault="00224E75" w:rsidP="00D1590E">
      <w:pPr>
        <w:pStyle w:val="FootnoteText"/>
      </w:pPr>
      <w:r>
        <w:rPr>
          <w:rStyle w:val="FootnoteReference"/>
        </w:rPr>
        <w:footnoteRef/>
      </w:r>
      <w:r>
        <w:t xml:space="preserve"> </w:t>
      </w:r>
      <w:r>
        <w:tab/>
      </w:r>
      <w:r w:rsidRPr="001C3972">
        <w:t>Productivity Commission, Electricity network regulatory frameworks – inquiry report, Volume 1, 9 April 2013, pp. 2–3, 187</w:t>
      </w:r>
      <w:r>
        <w:t>.</w:t>
      </w:r>
    </w:p>
  </w:footnote>
  <w:footnote w:id="227">
    <w:p w:rsidR="00224E75" w:rsidRDefault="00224E75" w:rsidP="00D1590E">
      <w:pPr>
        <w:pStyle w:val="FootnoteText"/>
      </w:pPr>
      <w:r>
        <w:rPr>
          <w:rStyle w:val="FootnoteReference"/>
        </w:rPr>
        <w:footnoteRef/>
      </w:r>
      <w:r>
        <w:t xml:space="preserve"> </w:t>
      </w:r>
      <w:r>
        <w:tab/>
      </w:r>
      <w:r w:rsidRPr="001C3972">
        <w:t>Australian Government, The Australian Government response to the Productivity Commission inquiry report – Electricity Network Regulatory Frameworks, June 2013, pp. i–ii, 3–9.</w:t>
      </w:r>
    </w:p>
  </w:footnote>
  <w:footnote w:id="228">
    <w:p w:rsidR="00224E75" w:rsidRDefault="00224E75" w:rsidP="00D1590E">
      <w:pPr>
        <w:pStyle w:val="FootnoteText"/>
      </w:pPr>
      <w:r>
        <w:rPr>
          <w:rStyle w:val="FootnoteReference"/>
        </w:rPr>
        <w:footnoteRef/>
      </w:r>
      <w:r>
        <w:t xml:space="preserve"> </w:t>
      </w:r>
      <w:r>
        <w:tab/>
      </w:r>
      <w:r w:rsidRPr="001C3972">
        <w:t>AEMC, Final Rule Determination: National Electricity Amendment (Economic Regulation of Network Service Providers) Rule 2012, 29 November 2012, p</w:t>
      </w:r>
      <w:r>
        <w:t>p</w:t>
      </w:r>
      <w:r w:rsidRPr="001C3972">
        <w:t xml:space="preserve">. </w:t>
      </w:r>
      <w:r>
        <w:t>viii, 107, 113</w:t>
      </w:r>
      <w:r w:rsidRPr="001C3972">
        <w:t>.</w:t>
      </w:r>
    </w:p>
  </w:footnote>
  <w:footnote w:id="229">
    <w:p w:rsidR="00224E75" w:rsidRDefault="00224E75" w:rsidP="00D1590E">
      <w:pPr>
        <w:pStyle w:val="FootnoteText"/>
      </w:pPr>
      <w:r>
        <w:rPr>
          <w:rStyle w:val="FootnoteReference"/>
        </w:rPr>
        <w:footnoteRef/>
      </w:r>
      <w:r>
        <w:t xml:space="preserve"> </w:t>
      </w:r>
      <w:r>
        <w:tab/>
        <w:t xml:space="preserve">For example, Frontier Economics, </w:t>
      </w:r>
      <w:r w:rsidRPr="00DD76BD">
        <w:t xml:space="preserve">Review of the AER’s econometric benchmarking models and their application in the draft determinations for Networks </w:t>
      </w:r>
      <w:r>
        <w:t>NSW, January 2015, p 10</w:t>
      </w:r>
    </w:p>
  </w:footnote>
  <w:footnote w:id="230">
    <w:p w:rsidR="00224E75" w:rsidRDefault="00224E75" w:rsidP="00D1590E">
      <w:pPr>
        <w:pStyle w:val="FootnoteText"/>
      </w:pPr>
      <w:r>
        <w:rPr>
          <w:rStyle w:val="FootnoteReference"/>
        </w:rPr>
        <w:footnoteRef/>
      </w:r>
      <w:r>
        <w:t xml:space="preserve"> </w:t>
      </w:r>
      <w:r>
        <w:tab/>
        <w:t xml:space="preserve">e.g. ActewAGL </w:t>
      </w:r>
      <w:r w:rsidRPr="00834A5F">
        <w:t xml:space="preserve">Revised Regulatory Proposal, </w:t>
      </w:r>
      <w:r>
        <w:t xml:space="preserve"> 2.3.1, when read with section 2.2.4.</w:t>
      </w:r>
    </w:p>
  </w:footnote>
  <w:footnote w:id="231">
    <w:p w:rsidR="00224E75" w:rsidRDefault="00224E75" w:rsidP="00D1590E">
      <w:pPr>
        <w:pStyle w:val="FootnoteText"/>
      </w:pPr>
      <w:r>
        <w:rPr>
          <w:rStyle w:val="FootnoteReference"/>
        </w:rPr>
        <w:footnoteRef/>
      </w:r>
      <w:r>
        <w:t xml:space="preserve"> </w:t>
      </w:r>
      <w:r>
        <w:tab/>
        <w:t>NER, clause 6.5.6(c).</w:t>
      </w:r>
    </w:p>
  </w:footnote>
  <w:footnote w:id="232">
    <w:p w:rsidR="00224E75" w:rsidRDefault="00224E75" w:rsidP="00D1590E">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233">
    <w:p w:rsidR="00224E75" w:rsidRDefault="00224E75" w:rsidP="00D1590E">
      <w:pPr>
        <w:pStyle w:val="FootnoteText"/>
      </w:pPr>
      <w:r>
        <w:rPr>
          <w:rStyle w:val="FootnoteReference"/>
        </w:rPr>
        <w:footnoteRef/>
      </w:r>
      <w:r>
        <w:t xml:space="preserve"> </w:t>
      </w:r>
      <w:r>
        <w:tab/>
        <w:t xml:space="preserve">See </w:t>
      </w:r>
      <w:r w:rsidRPr="003B1B2C">
        <w:t>AER, Explanatory Statement, Expenditure Forecast Assessment Guideline, p</w:t>
      </w:r>
      <w:r>
        <w:t xml:space="preserve"> 11.</w:t>
      </w:r>
    </w:p>
  </w:footnote>
  <w:footnote w:id="234">
    <w:p w:rsidR="00224E75" w:rsidRDefault="00224E75" w:rsidP="00D1590E">
      <w:pPr>
        <w:pStyle w:val="FootnoteText"/>
      </w:pPr>
      <w:r>
        <w:rPr>
          <w:rStyle w:val="FootnoteReference"/>
        </w:rPr>
        <w:footnoteRef/>
      </w:r>
      <w:r>
        <w:t xml:space="preserve"> </w:t>
      </w:r>
      <w:r>
        <w:tab/>
        <w:t xml:space="preserve">For example, PEG, Statistical Benchmarking for NSW Power Distributors, 19 January 2015, p 64 </w:t>
      </w:r>
    </w:p>
  </w:footnote>
  <w:footnote w:id="235">
    <w:p w:rsidR="00224E75" w:rsidRDefault="00224E75" w:rsidP="00D1590E">
      <w:pPr>
        <w:pStyle w:val="FootnoteText"/>
      </w:pPr>
      <w:r>
        <w:rPr>
          <w:rStyle w:val="FootnoteReference"/>
        </w:rPr>
        <w:footnoteRef/>
      </w:r>
      <w:r>
        <w:t xml:space="preserve"> </w:t>
      </w:r>
      <w:r>
        <w:tab/>
        <w:t>For example, Essential, Revised Regulatory Proposal p 29; ActewAGL, Revised Regulatory Proposal p 50.</w:t>
      </w:r>
    </w:p>
  </w:footnote>
  <w:footnote w:id="236">
    <w:p w:rsidR="00224E75" w:rsidRDefault="00224E75" w:rsidP="00D1590E">
      <w:pPr>
        <w:pStyle w:val="FootnoteText"/>
      </w:pPr>
      <w:r>
        <w:rPr>
          <w:rStyle w:val="FootnoteReference"/>
        </w:rPr>
        <w:footnoteRef/>
      </w:r>
      <w:r>
        <w:t xml:space="preserve"> </w:t>
      </w:r>
      <w:r>
        <w:tab/>
        <w:t>See, for example, AER, Draft Decision, Attachment 7, section A.3; AER, 2014 Annual Benchmarking Report, November 2014.</w:t>
      </w:r>
    </w:p>
  </w:footnote>
  <w:footnote w:id="237">
    <w:p w:rsidR="00224E75" w:rsidRDefault="00224E75" w:rsidP="00D1590E">
      <w:pPr>
        <w:pStyle w:val="FootnoteText"/>
      </w:pPr>
      <w:r>
        <w:rPr>
          <w:rStyle w:val="FootnoteReference"/>
        </w:rPr>
        <w:footnoteRef/>
      </w:r>
      <w:r>
        <w:t xml:space="preserve"> </w:t>
      </w:r>
      <w:r>
        <w:tab/>
        <w:t xml:space="preserve">ActewAGL, Revised Regulatory Proposal p 50; </w:t>
      </w:r>
      <w:r w:rsidRPr="00793BB3">
        <w:t>Ergon Energy Submission on Draft Decision p 9</w:t>
      </w:r>
      <w:r>
        <w:t xml:space="preserve">. </w:t>
      </w:r>
    </w:p>
  </w:footnote>
  <w:footnote w:id="238">
    <w:p w:rsidR="00224E75" w:rsidRDefault="00224E75" w:rsidP="00D1590E">
      <w:pPr>
        <w:pStyle w:val="FootnoteText"/>
      </w:pPr>
      <w:r>
        <w:rPr>
          <w:rStyle w:val="FootnoteReference"/>
        </w:rPr>
        <w:footnoteRef/>
      </w:r>
      <w:r>
        <w:t xml:space="preserve"> </w:t>
      </w:r>
      <w:r>
        <w:tab/>
        <w:t xml:space="preserve">See </w:t>
      </w:r>
      <w:r w:rsidRPr="00710307">
        <w:t>Application by Ergon Energy Corporation Limited (Labour Cost Escalators) (No 3) [2010] ACompT 11 at</w:t>
      </w:r>
      <w:r>
        <w:t xml:space="preserve"> [194](d) </w:t>
      </w:r>
    </w:p>
  </w:footnote>
  <w:footnote w:id="239">
    <w:p w:rsidR="00224E75" w:rsidRDefault="00224E75" w:rsidP="00D1590E">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Tribunal has endorsed this approach and indicated a similar preference: see for example </w:t>
      </w:r>
      <w:r w:rsidRPr="000D32BC">
        <w:t>Application by Ergon Energy Corporation Limited (Labour Cost Escalators) (No 3) [2010] ACompT 11</w:t>
      </w:r>
      <w:r>
        <w:t xml:space="preserve"> at [61] to [62].</w:t>
      </w:r>
    </w:p>
  </w:footnote>
  <w:footnote w:id="240">
    <w:p w:rsidR="00224E75" w:rsidRDefault="00224E75">
      <w:pPr>
        <w:pStyle w:val="FootnoteText"/>
      </w:pPr>
      <w:r>
        <w:rPr>
          <w:rStyle w:val="FootnoteReference"/>
        </w:rPr>
        <w:footnoteRef/>
      </w:r>
      <w:r>
        <w:t xml:space="preserve"> </w:t>
      </w:r>
      <w:r>
        <w:tab/>
        <w:t xml:space="preserve">Ausgrid, </w:t>
      </w:r>
      <w:r w:rsidRPr="00E60BCB">
        <w:t>Revised Regulatory Proposal</w:t>
      </w:r>
      <w:r>
        <w:t>,</w:t>
      </w:r>
      <w:r w:rsidRPr="00E60BCB">
        <w:t xml:space="preserve"> </w:t>
      </w:r>
      <w:r>
        <w:t xml:space="preserve">pp. 134-139; Endeavour Energy, Revised Regulatory Proposal, pp. 159-163; Essential Energy, Revised Regulatory Proposal, pp.170-175; </w:t>
      </w:r>
      <w:r w:rsidRPr="001D75DC">
        <w:t>Networks NSW, NSW DNSPs' submission on the AER's draft determinations, 13 February 2015, pp. 6-9.</w:t>
      </w:r>
    </w:p>
  </w:footnote>
  <w:footnote w:id="241">
    <w:p w:rsidR="00224E75" w:rsidRDefault="00224E75" w:rsidP="00D1590E">
      <w:pPr>
        <w:pStyle w:val="FootnoteText"/>
      </w:pPr>
      <w:r>
        <w:rPr>
          <w:rStyle w:val="FootnoteReference"/>
        </w:rPr>
        <w:footnoteRef/>
      </w:r>
      <w:r>
        <w:t xml:space="preserve"> </w:t>
      </w:r>
      <w:r>
        <w:tab/>
      </w:r>
      <w:r w:rsidRPr="001C0CAD">
        <w:t>AEMC, Final Rule Determination: National Electricity Amendment (Economic Regulation of Network Service Providers) Rul</w:t>
      </w:r>
      <w:r>
        <w:t xml:space="preserve">e 2012, 29 November 2012, pp 90, 95, 96, 111,   See also: AER, Explanatory Statement, </w:t>
      </w:r>
      <w:r w:rsidRPr="001C0CAD">
        <w:t>Expenditure Forecast Assessment Guideline</w:t>
      </w:r>
      <w:r>
        <w:t>, p 7.</w:t>
      </w:r>
    </w:p>
  </w:footnote>
  <w:footnote w:id="242">
    <w:p w:rsidR="00224E75" w:rsidRDefault="00224E75" w:rsidP="00D1590E">
      <w:pPr>
        <w:pStyle w:val="FootnoteText"/>
      </w:pPr>
      <w:r>
        <w:rPr>
          <w:rStyle w:val="FootnoteReference"/>
        </w:rPr>
        <w:footnoteRef/>
      </w:r>
      <w:r>
        <w:t xml:space="preserve"> </w:t>
      </w:r>
      <w:r>
        <w:tab/>
      </w:r>
      <w:r w:rsidRPr="00F83632">
        <w:t xml:space="preserve">AER, Expenditure Forecast Assessment Guideline–Explanatory Statement, November 2013, </w:t>
      </w:r>
      <w:r>
        <w:t>p</w:t>
      </w:r>
      <w:r w:rsidRPr="00F83632">
        <w:t>p. 2</w:t>
      </w:r>
      <w:r>
        <w:t>7-</w:t>
      </w:r>
      <w:r w:rsidRPr="00F83632">
        <w:t>2</w:t>
      </w:r>
      <w:r>
        <w:t>8</w:t>
      </w:r>
      <w:r w:rsidRPr="00F83632">
        <w:t>.</w:t>
      </w:r>
    </w:p>
  </w:footnote>
  <w:footnote w:id="243">
    <w:p w:rsidR="00224E75" w:rsidRDefault="00224E75" w:rsidP="00D1590E">
      <w:pPr>
        <w:pStyle w:val="FootnoteText"/>
      </w:pPr>
      <w:r>
        <w:rPr>
          <w:rStyle w:val="FootnoteReference"/>
        </w:rPr>
        <w:footnoteRef/>
      </w:r>
      <w:r>
        <w:t xml:space="preserve"> </w:t>
      </w:r>
      <w:r>
        <w:tab/>
      </w:r>
      <w:r w:rsidRPr="00F83632">
        <w:t xml:space="preserve">AEMC, Final Rule Determination: National Electricity Amendment (Economic Regulation of Network Service Providers) Rule 2012, 29 November 2012, pp. </w:t>
      </w:r>
      <w:r>
        <w:t>111-112</w:t>
      </w:r>
      <w:r w:rsidRPr="00F83632">
        <w:t>.</w:t>
      </w:r>
    </w:p>
  </w:footnote>
  <w:footnote w:id="244">
    <w:p w:rsidR="00224E75" w:rsidRDefault="00224E75" w:rsidP="00D1590E">
      <w:pPr>
        <w:pStyle w:val="FootnoteText"/>
      </w:pPr>
      <w:r>
        <w:rPr>
          <w:rStyle w:val="FootnoteReference"/>
        </w:rPr>
        <w:footnoteRef/>
      </w:r>
      <w:r>
        <w:t xml:space="preserve"> </w:t>
      </w:r>
      <w:r>
        <w:tab/>
      </w:r>
      <w:r w:rsidRPr="00E01871">
        <w:t xml:space="preserve">AEMC, Final Rule Determination: National Electricity Amendment (Economic Regulation of Network Service Providers) Rule 2012, 29 November 2012, </w:t>
      </w:r>
      <w:r>
        <w:t xml:space="preserve">p. 113. See also </w:t>
      </w:r>
      <w:r w:rsidRPr="00E01871">
        <w:t xml:space="preserve">pp. </w:t>
      </w:r>
      <w:r>
        <w:t>viii, 25, 98, 107-108.</w:t>
      </w:r>
    </w:p>
  </w:footnote>
  <w:footnote w:id="245">
    <w:p w:rsidR="00224E75" w:rsidRDefault="00224E75" w:rsidP="00D1590E">
      <w:pPr>
        <w:pStyle w:val="FootnoteText"/>
      </w:pPr>
      <w:r>
        <w:rPr>
          <w:rStyle w:val="FootnoteReference"/>
        </w:rPr>
        <w:footnoteRef/>
      </w:r>
      <w:r>
        <w:t xml:space="preserve"> </w:t>
      </w:r>
      <w:r>
        <w:tab/>
        <w:t>Depending on the technique, we account for line length, customer density, energy density, demand density, reliability, degree of undergrounding etc.</w:t>
      </w:r>
    </w:p>
  </w:footnote>
  <w:footnote w:id="246">
    <w:p w:rsidR="00224E75" w:rsidRDefault="00224E75" w:rsidP="00D1590E">
      <w:pPr>
        <w:pStyle w:val="FootnoteText"/>
      </w:pPr>
      <w:r>
        <w:rPr>
          <w:rStyle w:val="FootnoteReference"/>
        </w:rPr>
        <w:footnoteRef/>
      </w:r>
      <w:r>
        <w:t xml:space="preserve"> </w:t>
      </w:r>
      <w:r>
        <w:tab/>
      </w:r>
      <w:r w:rsidRPr="00B2272D">
        <w:t xml:space="preserve">AEMC, Final Rule Determination: National Electricity Amendment (Economic Regulation of Network Service Providers) Rule 2012, 29 November 2012, pp 10.  </w:t>
      </w:r>
    </w:p>
  </w:footnote>
  <w:footnote w:id="247">
    <w:p w:rsidR="00224E75" w:rsidRDefault="00224E75" w:rsidP="00D1590E">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248">
    <w:p w:rsidR="00224E75" w:rsidRDefault="00224E75" w:rsidP="00D1590E">
      <w:pPr>
        <w:pStyle w:val="FootnoteText"/>
      </w:pPr>
      <w:r>
        <w:rPr>
          <w:rStyle w:val="FootnoteReference"/>
        </w:rPr>
        <w:footnoteRef/>
      </w:r>
      <w:r>
        <w:t xml:space="preserve"> </w:t>
      </w:r>
      <w:r>
        <w:tab/>
        <w:t>For example, ActewAGL, letter to Paula Conboy, 4 March 2015, p. 2.</w:t>
      </w:r>
    </w:p>
  </w:footnote>
  <w:footnote w:id="249">
    <w:p w:rsidR="00224E75" w:rsidRDefault="00224E75" w:rsidP="00D1590E">
      <w:pPr>
        <w:pStyle w:val="FootnoteText"/>
      </w:pPr>
      <w:r>
        <w:rPr>
          <w:rStyle w:val="FootnoteReference"/>
        </w:rPr>
        <w:footnoteRef/>
      </w:r>
      <w:r>
        <w:t xml:space="preserve"> </w:t>
      </w:r>
      <w:r>
        <w:tab/>
        <w:t xml:space="preserve">HoustonKemp, AER Determination for ActewAGL Distribution - Contribution to NEO and preferable NEO decision, 13 February 2015, pp. 26-27. </w:t>
      </w:r>
    </w:p>
  </w:footnote>
  <w:footnote w:id="250">
    <w:p w:rsidR="00224E75" w:rsidRDefault="00224E75" w:rsidP="00D1590E">
      <w:pPr>
        <w:pStyle w:val="FootnoteText"/>
      </w:pPr>
      <w:r>
        <w:rPr>
          <w:rStyle w:val="FootnoteReference"/>
        </w:rPr>
        <w:footnoteRef/>
      </w:r>
      <w:r>
        <w:t xml:space="preserve"> </w:t>
      </w:r>
      <w:r>
        <w:tab/>
        <w:t xml:space="preserve">HoustonKemp, AER Determination for ActewAGL Distribution - Contribution to NEO and preferable NEO decision, 13 February 2015, pp. 26-27. </w:t>
      </w:r>
    </w:p>
  </w:footnote>
  <w:footnote w:id="251">
    <w:p w:rsidR="00224E75" w:rsidRDefault="00224E75" w:rsidP="00D1590E">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252">
    <w:p w:rsidR="00224E75" w:rsidRDefault="00224E75" w:rsidP="00D1590E">
      <w:pPr>
        <w:pStyle w:val="FootnoteText"/>
      </w:pPr>
      <w:r>
        <w:rPr>
          <w:rStyle w:val="FootnoteReference"/>
        </w:rPr>
        <w:footnoteRef/>
      </w:r>
      <w:r>
        <w:t xml:space="preserve"> </w:t>
      </w:r>
      <w:r>
        <w:tab/>
        <w:t>For example, Ausgrid, Revised Regulatory Proposal, pp. 129-153;</w:t>
      </w:r>
      <w:r w:rsidRPr="00404201">
        <w:t xml:space="preserve"> </w:t>
      </w:r>
      <w:r>
        <w:t>Endeavour Energy, Revised Regulatory Proposal, pp. 157-179; Essential Energy, Revised Regulatory Proposal, pp. 168-192.</w:t>
      </w:r>
    </w:p>
  </w:footnote>
  <w:footnote w:id="253">
    <w:p w:rsidR="00224E75" w:rsidRDefault="00224E75" w:rsidP="00D1590E">
      <w:pPr>
        <w:pStyle w:val="FootnoteText"/>
      </w:pPr>
      <w:r>
        <w:rPr>
          <w:rStyle w:val="FootnoteReference"/>
        </w:rPr>
        <w:footnoteRef/>
      </w:r>
      <w:r>
        <w:t xml:space="preserve"> </w:t>
      </w:r>
      <w:r>
        <w:tab/>
        <w:t xml:space="preserve">Economic Insights, </w:t>
      </w:r>
      <w:r w:rsidRPr="00AB2088">
        <w:t xml:space="preserve">Response to Consultants’ Reports on Economic Benchmarking of Electricity DNSPs, </w:t>
      </w:r>
      <w:r>
        <w:t>April 2015, section 3</w:t>
      </w:r>
      <w:r w:rsidRPr="00AB2088">
        <w:t>.</w:t>
      </w:r>
    </w:p>
  </w:footnote>
  <w:footnote w:id="254">
    <w:p w:rsidR="00224E75" w:rsidRDefault="00224E75" w:rsidP="00D1590E">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 xml:space="preserve"> p vii.</w:t>
      </w:r>
    </w:p>
  </w:footnote>
  <w:footnote w:id="255">
    <w:p w:rsidR="00224E75" w:rsidRDefault="00224E75" w:rsidP="00D1590E">
      <w:pPr>
        <w:pStyle w:val="FootnoteText"/>
      </w:pPr>
      <w:r>
        <w:rPr>
          <w:rStyle w:val="FootnoteReference"/>
        </w:rPr>
        <w:footnoteRef/>
      </w:r>
      <w:r>
        <w:t xml:space="preserve"> </w:t>
      </w:r>
      <w:r>
        <w:tab/>
        <w:t xml:space="preserve">Huegin, </w:t>
      </w:r>
      <w:r w:rsidRPr="000F6EE6">
        <w:t>Huegin’s response to Draft Determination on behalf of NNSW and ActewAGL Technical response to the application of benchmarking by the AER</w:t>
      </w:r>
      <w:r>
        <w:t>, 16 January 2015, pp. 7, 13</w:t>
      </w:r>
    </w:p>
  </w:footnote>
  <w:footnote w:id="256">
    <w:p w:rsidR="00224E75" w:rsidRDefault="00224E75" w:rsidP="00D1590E">
      <w:pPr>
        <w:pStyle w:val="FootnoteText"/>
      </w:pPr>
      <w:r>
        <w:rPr>
          <w:rStyle w:val="FootnoteReference"/>
        </w:rPr>
        <w:footnoteRef/>
      </w:r>
      <w:r>
        <w:t xml:space="preserve"> </w:t>
      </w:r>
      <w:r>
        <w:tab/>
        <w:t xml:space="preserve">Huegin, </w:t>
      </w:r>
      <w:r w:rsidRPr="00A56342">
        <w:t>Huegin’s response to Draft Determination on behalf of NNSW and ActewAGL Technical response to the application of benchmarking by the AER, 16 January 2015</w:t>
      </w:r>
      <w:r>
        <w:t>, p 11</w:t>
      </w:r>
    </w:p>
  </w:footnote>
  <w:footnote w:id="257">
    <w:p w:rsidR="00224E75" w:rsidRDefault="00224E75" w:rsidP="00D1590E">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w:t>
      </w:r>
    </w:p>
  </w:footnote>
  <w:footnote w:id="258">
    <w:p w:rsidR="00224E75" w:rsidRDefault="00224E75" w:rsidP="00D1590E">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 xml:space="preserve"> pp vii, ix.</w:t>
      </w:r>
    </w:p>
  </w:footnote>
  <w:footnote w:id="259">
    <w:p w:rsidR="00224E75" w:rsidRDefault="00224E75" w:rsidP="00D1590E">
      <w:pPr>
        <w:pStyle w:val="FootnoteText"/>
      </w:pPr>
      <w:r>
        <w:rPr>
          <w:rStyle w:val="FootnoteReference"/>
        </w:rPr>
        <w:footnoteRef/>
      </w:r>
      <w:r>
        <w:t xml:space="preserve"> </w:t>
      </w:r>
      <w:r>
        <w:tab/>
        <w:t xml:space="preserve">Endeavour Energy, </w:t>
      </w:r>
      <w:r w:rsidRPr="00834A5F">
        <w:t>Revised Regulatory Proposal</w:t>
      </w:r>
      <w:r>
        <w:t xml:space="preserve">, p. 179. </w:t>
      </w:r>
      <w:r w:rsidRPr="009F4402">
        <w:t>Aus</w:t>
      </w:r>
      <w:r>
        <w:t>g</w:t>
      </w:r>
      <w:r w:rsidRPr="009F4402">
        <w:t xml:space="preserve">rid, </w:t>
      </w:r>
      <w:r w:rsidRPr="00834A5F">
        <w:t>Revised Regulatory Proposal</w:t>
      </w:r>
      <w:r w:rsidRPr="009F4402">
        <w:t>, p</w:t>
      </w:r>
      <w:r>
        <w:t>p</w:t>
      </w:r>
      <w:r w:rsidRPr="009F4402">
        <w:t xml:space="preserve">. </w:t>
      </w:r>
      <w:r>
        <w:t>150–153</w:t>
      </w:r>
      <w:r w:rsidRPr="009F4402">
        <w:t>.</w:t>
      </w:r>
      <w:r>
        <w:t xml:space="preserve"> Essential Energy, </w:t>
      </w:r>
      <w:r w:rsidRPr="00834A5F">
        <w:t>Revised Regulatory Proposal</w:t>
      </w:r>
      <w:r>
        <w:t>, p. 189.</w:t>
      </w:r>
    </w:p>
  </w:footnote>
  <w:footnote w:id="260">
    <w:p w:rsidR="00224E75" w:rsidRDefault="00224E75" w:rsidP="00D1590E">
      <w:pPr>
        <w:pStyle w:val="FootnoteText"/>
      </w:pPr>
      <w:r>
        <w:rPr>
          <w:rStyle w:val="FootnoteReference"/>
        </w:rPr>
        <w:footnoteRef/>
      </w:r>
      <w:r>
        <w:t xml:space="preserve"> </w:t>
      </w:r>
      <w:r>
        <w:tab/>
      </w:r>
      <w:r w:rsidRPr="002068F3">
        <w:t xml:space="preserve">Economic Insights, Economic Benchmarking of NSW and ACT </w:t>
      </w:r>
      <w:r>
        <w:t>distributor</w:t>
      </w:r>
      <w:r w:rsidRPr="002068F3">
        <w:t xml:space="preserve"> Opex, 17 November 2014 at </w:t>
      </w:r>
      <w:r>
        <w:t>29</w:t>
      </w:r>
      <w:r w:rsidRPr="002068F3">
        <w:t>.</w:t>
      </w:r>
    </w:p>
  </w:footnote>
  <w:footnote w:id="261">
    <w:p w:rsidR="00224E75" w:rsidRDefault="00224E75" w:rsidP="00D1590E">
      <w:pPr>
        <w:pStyle w:val="FootnoteText"/>
      </w:pPr>
      <w:r>
        <w:rPr>
          <w:rStyle w:val="FootnoteReference"/>
        </w:rPr>
        <w:footnoteRef/>
      </w:r>
      <w:r>
        <w:t xml:space="preserve"> </w:t>
      </w:r>
      <w:r>
        <w:tab/>
        <w:t xml:space="preserve">Economic Insights, </w:t>
      </w:r>
      <w:r w:rsidRPr="002068F3">
        <w:t xml:space="preserve">Economic Benchmarking of NSW and ACT </w:t>
      </w:r>
      <w:r>
        <w:t>distributor</w:t>
      </w:r>
      <w:r w:rsidRPr="002068F3">
        <w:t xml:space="preserve"> Opex</w:t>
      </w:r>
      <w:r>
        <w:t xml:space="preserve">, </w:t>
      </w:r>
      <w:r w:rsidRPr="002068F3">
        <w:t>17 November 2014</w:t>
      </w:r>
      <w:r>
        <w:t xml:space="preserve"> at 32.</w:t>
      </w:r>
    </w:p>
  </w:footnote>
  <w:footnote w:id="262">
    <w:p w:rsidR="00224E75" w:rsidRDefault="00224E75">
      <w:pPr>
        <w:pStyle w:val="FootnoteText"/>
      </w:pPr>
      <w:r>
        <w:rPr>
          <w:rStyle w:val="FootnoteReference"/>
        </w:rPr>
        <w:footnoteRef/>
      </w:r>
      <w:r>
        <w:t xml:space="preserve"> </w:t>
      </w:r>
      <w:r>
        <w:tab/>
        <w:t xml:space="preserve">Ausgrid, Revised Regulatory Proposal, pp. 9, 143; Endeavour Energy, </w:t>
      </w:r>
      <w:r w:rsidRPr="00834A5F">
        <w:t>Revised Regulatory Proposal</w:t>
      </w:r>
      <w:r>
        <w:t xml:space="preserve">, pp. 8, 169; Essential Energy, </w:t>
      </w:r>
      <w:r w:rsidRPr="00834A5F">
        <w:t>Revised Regulatory Proposal</w:t>
      </w:r>
      <w:r>
        <w:t>, p. 12, 181.</w:t>
      </w:r>
    </w:p>
  </w:footnote>
  <w:footnote w:id="263">
    <w:p w:rsidR="00224E75" w:rsidRDefault="00224E75" w:rsidP="00D1590E">
      <w:pPr>
        <w:pStyle w:val="FootnoteText"/>
      </w:pPr>
      <w:r>
        <w:rPr>
          <w:rStyle w:val="FootnoteReference"/>
        </w:rPr>
        <w:footnoteRef/>
      </w:r>
      <w:r>
        <w:t xml:space="preserve"> </w:t>
      </w:r>
      <w:r>
        <w:tab/>
        <w:t xml:space="preserve">NER </w:t>
      </w:r>
      <w:r w:rsidRPr="00326353">
        <w:t>6.27(a)</w:t>
      </w:r>
    </w:p>
  </w:footnote>
  <w:footnote w:id="264">
    <w:p w:rsidR="00224E75" w:rsidRDefault="00224E75" w:rsidP="00D1590E">
      <w:pPr>
        <w:pStyle w:val="FootnoteText"/>
      </w:pPr>
      <w:r>
        <w:rPr>
          <w:rStyle w:val="FootnoteReference"/>
        </w:rPr>
        <w:footnoteRef/>
      </w:r>
      <w:r>
        <w:t xml:space="preserve"> </w:t>
      </w:r>
      <w:r>
        <w:tab/>
        <w:t xml:space="preserve">NER </w:t>
      </w:r>
      <w:r w:rsidRPr="00B52DFD">
        <w:t>6.27(a)</w:t>
      </w:r>
      <w:r>
        <w:t xml:space="preserve"> required the chapter to be published by 30 September 2014</w:t>
      </w:r>
    </w:p>
  </w:footnote>
  <w:footnote w:id="265">
    <w:p w:rsidR="00224E75" w:rsidRDefault="00224E75" w:rsidP="00D1590E">
      <w:pPr>
        <w:pStyle w:val="FootnoteText"/>
      </w:pPr>
      <w:r>
        <w:rPr>
          <w:rStyle w:val="FootnoteReference"/>
        </w:rPr>
        <w:footnoteRef/>
      </w:r>
      <w:r>
        <w:t xml:space="preserve"> </w:t>
      </w:r>
      <w:r>
        <w:tab/>
        <w:t xml:space="preserve">NER </w:t>
      </w:r>
      <w:r w:rsidRPr="00502AFB">
        <w:t>6.6.5(e)(4)</w:t>
      </w:r>
    </w:p>
  </w:footnote>
  <w:footnote w:id="266">
    <w:p w:rsidR="00224E75" w:rsidRDefault="00224E75" w:rsidP="00D1590E">
      <w:pPr>
        <w:pStyle w:val="FootnoteText"/>
      </w:pPr>
      <w:r>
        <w:rPr>
          <w:rStyle w:val="FootnoteReference"/>
        </w:rPr>
        <w:footnoteRef/>
      </w:r>
      <w:r>
        <w:t xml:space="preserve"> </w:t>
      </w:r>
      <w:r>
        <w:tab/>
        <w:t>NER 6.27(a)</w:t>
      </w:r>
    </w:p>
  </w:footnote>
  <w:footnote w:id="267">
    <w:p w:rsidR="00224E75" w:rsidRDefault="00224E75" w:rsidP="00D1590E">
      <w:pPr>
        <w:pStyle w:val="FootnoteText"/>
      </w:pPr>
      <w:r>
        <w:rPr>
          <w:rStyle w:val="FootnoteReference"/>
        </w:rPr>
        <w:footnoteRef/>
      </w:r>
      <w:r>
        <w:t xml:space="preserve"> </w:t>
      </w:r>
      <w:r>
        <w:tab/>
        <w:t>NER 6.5.2(e)(12)</w:t>
      </w:r>
    </w:p>
  </w:footnote>
  <w:footnote w:id="268">
    <w:p w:rsidR="00224E75" w:rsidRDefault="00224E75" w:rsidP="00D1590E">
      <w:pPr>
        <w:pStyle w:val="FootnoteText"/>
      </w:pPr>
      <w:r>
        <w:rPr>
          <w:rStyle w:val="FootnoteReference"/>
        </w:rPr>
        <w:footnoteRef/>
      </w:r>
      <w:r>
        <w:t xml:space="preserve"> </w:t>
      </w:r>
      <w:r>
        <w:tab/>
        <w:t xml:space="preserve">Ausgrid, Revised Regulatory Proposal, pp. 9, 143; Endeavour Energy, </w:t>
      </w:r>
      <w:r w:rsidRPr="00834A5F">
        <w:t>Revised Regulatory Proposal</w:t>
      </w:r>
      <w:r>
        <w:t xml:space="preserve">, pp. 8, 169; Essential Energy, </w:t>
      </w:r>
      <w:r w:rsidRPr="00834A5F">
        <w:t>Revised Regulatory Proposal</w:t>
      </w:r>
      <w:r>
        <w:t>, p. 12, 181; ActewAG</w:t>
      </w:r>
      <w:r w:rsidRPr="00B52DFD">
        <w:t xml:space="preserve">L </w:t>
      </w:r>
      <w:r>
        <w:t xml:space="preserve">Revised proposal pp </w:t>
      </w:r>
      <w:r w:rsidRPr="00B52DFD">
        <w:t>81</w:t>
      </w:r>
      <w:r>
        <w:t>, 106-107.</w:t>
      </w:r>
    </w:p>
  </w:footnote>
  <w:footnote w:id="269">
    <w:p w:rsidR="00224E75" w:rsidRDefault="00224E75" w:rsidP="00D1590E">
      <w:pPr>
        <w:pStyle w:val="FootnoteText"/>
      </w:pPr>
      <w:r>
        <w:rPr>
          <w:rStyle w:val="FootnoteReference"/>
        </w:rPr>
        <w:footnoteRef/>
      </w:r>
      <w:r>
        <w:t xml:space="preserve"> </w:t>
      </w:r>
      <w:r>
        <w:tab/>
      </w:r>
      <w:r w:rsidRPr="001A448C">
        <w:t>CPCF v Minister for Immigration and Border Protection [2015] HCA 1</w:t>
      </w:r>
      <w:r>
        <w:t xml:space="preserve"> at [306]</w:t>
      </w:r>
    </w:p>
  </w:footnote>
  <w:footnote w:id="270">
    <w:p w:rsidR="00224E75" w:rsidRDefault="00224E75" w:rsidP="00D1590E">
      <w:pPr>
        <w:pStyle w:val="FootnoteText"/>
      </w:pPr>
      <w:r>
        <w:rPr>
          <w:rStyle w:val="FootnoteReference"/>
        </w:rPr>
        <w:footnoteRef/>
      </w:r>
      <w:r>
        <w:t xml:space="preserve"> </w:t>
      </w:r>
      <w:r>
        <w:tab/>
        <w:t>Economic Insights</w:t>
      </w:r>
      <w:r w:rsidRPr="00C21495">
        <w:t xml:space="preserve">, </w:t>
      </w:r>
      <w:r w:rsidRPr="00C23FF2">
        <w:t>Economic benchmarking assessment of operating expenditure for NSW and ACT Electricity DNSPs, 17 November 2014</w:t>
      </w:r>
      <w:r w:rsidRPr="00C21495">
        <w:t>, p.</w:t>
      </w:r>
      <w:r>
        <w:t xml:space="preserve"> 28.</w:t>
      </w:r>
    </w:p>
  </w:footnote>
  <w:footnote w:id="271">
    <w:p w:rsidR="00224E75" w:rsidRDefault="00224E75" w:rsidP="002C43C7">
      <w:pPr>
        <w:pStyle w:val="FootnoteText"/>
      </w:pPr>
      <w:r>
        <w:rPr>
          <w:rStyle w:val="FootnoteReference"/>
        </w:rPr>
        <w:footnoteRef/>
      </w:r>
      <w:r>
        <w:t xml:space="preserve"> </w:t>
      </w:r>
      <w:r>
        <w:tab/>
        <w:t xml:space="preserve">Ausgrid, Revised Regulatory Proposal, p. 9; Endeavour Energy, </w:t>
      </w:r>
      <w:r w:rsidRPr="00834A5F">
        <w:t>Revised Regulatory Proposal</w:t>
      </w:r>
      <w:r>
        <w:t xml:space="preserve">, p. 8; Essential Energy, </w:t>
      </w:r>
      <w:r w:rsidRPr="00834A5F">
        <w:t>Revised Regulatory Proposal</w:t>
      </w:r>
      <w:r>
        <w:t>, p. 12.</w:t>
      </w:r>
    </w:p>
  </w:footnote>
  <w:footnote w:id="272">
    <w:p w:rsidR="00224E75" w:rsidRDefault="00224E75" w:rsidP="00D1590E">
      <w:pPr>
        <w:pStyle w:val="FootnoteText"/>
      </w:pPr>
      <w:r>
        <w:rPr>
          <w:rStyle w:val="FootnoteReference"/>
        </w:rPr>
        <w:footnoteRef/>
      </w:r>
      <w:r>
        <w:t xml:space="preserve"> </w:t>
      </w:r>
      <w:r>
        <w:tab/>
        <w:t>These include our partial performance indicators, opex MPFP, and Econometric models.</w:t>
      </w:r>
    </w:p>
  </w:footnote>
  <w:footnote w:id="273">
    <w:p w:rsidR="00224E75" w:rsidRDefault="00224E75" w:rsidP="00D1590E">
      <w:pPr>
        <w:pStyle w:val="FootnoteText"/>
      </w:pPr>
      <w:r>
        <w:rPr>
          <w:rStyle w:val="FootnoteReference"/>
        </w:rPr>
        <w:footnoteRef/>
      </w:r>
      <w:r>
        <w:t xml:space="preserve"> </w:t>
      </w:r>
      <w:r>
        <w:tab/>
        <w:t xml:space="preserve">Economic Insights, </w:t>
      </w:r>
      <w:r w:rsidRPr="008A410E">
        <w:t>Response to Consultants’ Reports on Economic Benchmarking of Electricity DNSPs</w:t>
      </w:r>
      <w:r>
        <w:t>, April 2015, p. 53. (Economic Insights, 2015).</w:t>
      </w:r>
    </w:p>
  </w:footnote>
  <w:footnote w:id="274">
    <w:p w:rsidR="00224E75" w:rsidRDefault="00224E75" w:rsidP="00D1590E">
      <w:pPr>
        <w:pStyle w:val="FootnoteText"/>
      </w:pPr>
      <w:r>
        <w:rPr>
          <w:rStyle w:val="FootnoteReference"/>
        </w:rPr>
        <w:footnoteRef/>
      </w:r>
      <w:r>
        <w:t xml:space="preserve"> </w:t>
      </w:r>
      <w:r>
        <w:tab/>
        <w:t xml:space="preserve">Economic Insights, 2015 </w:t>
      </w:r>
    </w:p>
  </w:footnote>
  <w:footnote w:id="275">
    <w:p w:rsidR="00224E75" w:rsidRDefault="00224E75" w:rsidP="00D1590E">
      <w:pPr>
        <w:pStyle w:val="FootnoteText"/>
      </w:pPr>
      <w:r>
        <w:rPr>
          <w:rStyle w:val="FootnoteReference"/>
        </w:rPr>
        <w:footnoteRef/>
      </w:r>
      <w:r>
        <w:t xml:space="preserve"> </w:t>
      </w:r>
      <w:r>
        <w:tab/>
        <w:t>Ausgrid, Revised Regulatory Proposal, pp. 130-142; ActewAGL, Revised Regulatory Proposal, pp. 125-134, attachment C12.</w:t>
      </w:r>
    </w:p>
  </w:footnote>
  <w:footnote w:id="276">
    <w:p w:rsidR="00224E75" w:rsidRDefault="00224E75" w:rsidP="00D1590E">
      <w:pPr>
        <w:pStyle w:val="FootnoteText"/>
      </w:pPr>
      <w:r>
        <w:rPr>
          <w:rStyle w:val="FootnoteReference"/>
        </w:rPr>
        <w:footnoteRef/>
      </w:r>
      <w:r>
        <w:t xml:space="preserve"> </w:t>
      </w:r>
      <w:r>
        <w:tab/>
        <w:t>Ausgrid, Revised Regulatory Proposal, p. 143; ActewAGL Revised Regulatory Proposal, pp. 150-153.</w:t>
      </w:r>
    </w:p>
  </w:footnote>
  <w:footnote w:id="277">
    <w:p w:rsidR="00224E75" w:rsidRDefault="00224E75" w:rsidP="00D1590E">
      <w:pPr>
        <w:pStyle w:val="FootnoteText"/>
      </w:pPr>
      <w:r>
        <w:rPr>
          <w:rStyle w:val="FootnoteReference"/>
        </w:rPr>
        <w:footnoteRef/>
      </w:r>
      <w:r>
        <w:t xml:space="preserve"> </w:t>
      </w:r>
      <w:r>
        <w:tab/>
        <w:t>Ausgrid, Revised Regulatory Proposal, p. 143; ActewAGL Revised Regulatory Proposal, pp. 146-149, 175-181.</w:t>
      </w:r>
    </w:p>
  </w:footnote>
  <w:footnote w:id="278">
    <w:p w:rsidR="00224E75" w:rsidRDefault="00224E75" w:rsidP="00D1590E">
      <w:pPr>
        <w:pStyle w:val="FootnoteText"/>
      </w:pPr>
      <w:r>
        <w:rPr>
          <w:rStyle w:val="FootnoteReference"/>
        </w:rPr>
        <w:footnoteRef/>
      </w:r>
      <w:r>
        <w:t xml:space="preserve"> </w:t>
      </w:r>
      <w:r>
        <w:tab/>
        <w:t>Ausgrid, Revised Regulatory Proposal, pp. 143-144.</w:t>
      </w:r>
    </w:p>
  </w:footnote>
  <w:footnote w:id="279">
    <w:p w:rsidR="00224E75" w:rsidRDefault="00224E75" w:rsidP="00D1590E">
      <w:pPr>
        <w:pStyle w:val="FootnoteText"/>
      </w:pPr>
      <w:r>
        <w:rPr>
          <w:rStyle w:val="FootnoteReference"/>
        </w:rPr>
        <w:footnoteRef/>
      </w:r>
      <w:r>
        <w:t xml:space="preserve"> </w:t>
      </w:r>
      <w:r>
        <w:tab/>
        <w:t>Ausgrid, Revised Regulatory Proposal, pp. 144-147; Herbert Smith Freehills, AER Draft Decision – Forecast Operating Expenditure (confidential), 13 February 2015, pp. 8-9.</w:t>
      </w:r>
    </w:p>
  </w:footnote>
  <w:footnote w:id="280">
    <w:p w:rsidR="00224E75" w:rsidRDefault="00224E75" w:rsidP="00D1590E">
      <w:pPr>
        <w:pStyle w:val="FootnoteText"/>
      </w:pPr>
      <w:r>
        <w:rPr>
          <w:rStyle w:val="FootnoteReference"/>
        </w:rPr>
        <w:footnoteRef/>
      </w:r>
      <w:r>
        <w:t xml:space="preserve"> </w:t>
      </w:r>
      <w:r>
        <w:tab/>
        <w:t>Ausgrid, Revised Regulatory Proposal, p. 147.</w:t>
      </w:r>
    </w:p>
  </w:footnote>
  <w:footnote w:id="281">
    <w:p w:rsidR="00224E75" w:rsidRDefault="00224E75" w:rsidP="00D1590E">
      <w:pPr>
        <w:pStyle w:val="FootnoteText"/>
      </w:pPr>
      <w:r>
        <w:rPr>
          <w:rStyle w:val="FootnoteReference"/>
        </w:rPr>
        <w:footnoteRef/>
      </w:r>
      <w:r>
        <w:t xml:space="preserve"> </w:t>
      </w:r>
      <w:r>
        <w:tab/>
        <w:t>Ausgrid, Revised Regulatory Proposal, pp. 143-150 and Herbert Smith Freehills, AER Draft Decision – Forecast Operating Expenditure (confidential), 13 February 2015, pp. 10-11; ActewAGL, Revised Regulatory Proposal, pp. 140-146.</w:t>
      </w:r>
    </w:p>
  </w:footnote>
  <w:footnote w:id="282">
    <w:p w:rsidR="00224E75" w:rsidRDefault="00224E75" w:rsidP="00D1590E">
      <w:pPr>
        <w:pStyle w:val="FootnoteText"/>
      </w:pPr>
      <w:r>
        <w:rPr>
          <w:rStyle w:val="FootnoteReference"/>
        </w:rPr>
        <w:footnoteRef/>
      </w:r>
      <w:r>
        <w:t xml:space="preserve"> </w:t>
      </w:r>
      <w:r>
        <w:tab/>
        <w:t>Ausgrid, Revised Regulatory Proposal, p. 150; ActewAGL Revised Regulatory Proposal, pp. 153-166.</w:t>
      </w:r>
    </w:p>
  </w:footnote>
  <w:footnote w:id="283">
    <w:p w:rsidR="00224E75" w:rsidRDefault="00224E75" w:rsidP="00D1590E">
      <w:pPr>
        <w:pStyle w:val="FootnoteText"/>
      </w:pPr>
      <w:r>
        <w:rPr>
          <w:rStyle w:val="FootnoteReference"/>
        </w:rPr>
        <w:footnoteRef/>
      </w:r>
      <w:r>
        <w:t xml:space="preserve"> </w:t>
      </w:r>
      <w:r>
        <w:tab/>
        <w:t>Ausgrid, Revised Regulatory Proposal, p. 151;Herbert Smith Freehills, AER Draft Decision – Forecast Operating Expenditure (confidential), 13 February 2015, p. 9.</w:t>
      </w:r>
    </w:p>
  </w:footnote>
  <w:footnote w:id="284">
    <w:p w:rsidR="00224E75" w:rsidRDefault="00224E75" w:rsidP="00D1590E">
      <w:pPr>
        <w:pStyle w:val="FootnoteText"/>
      </w:pPr>
      <w:r>
        <w:rPr>
          <w:rStyle w:val="FootnoteReference"/>
        </w:rPr>
        <w:footnoteRef/>
      </w:r>
      <w:r>
        <w:t xml:space="preserve"> </w:t>
      </w:r>
      <w:r>
        <w:tab/>
        <w:t>Herbert Smith Freehills, AER Draft Decision – Forecast Operating Expenditure (confidential), 13 February 2015, pp. 6-8.</w:t>
      </w:r>
    </w:p>
  </w:footnote>
  <w:footnote w:id="285">
    <w:p w:rsidR="00224E75" w:rsidRDefault="00224E75" w:rsidP="00D1590E">
      <w:pPr>
        <w:pStyle w:val="FootnoteText"/>
      </w:pPr>
      <w:r>
        <w:rPr>
          <w:rStyle w:val="FootnoteReference"/>
        </w:rPr>
        <w:footnoteRef/>
      </w:r>
      <w:r>
        <w:t xml:space="preserve"> </w:t>
      </w:r>
      <w:r>
        <w:tab/>
        <w:t>Economic Insights, 2015, pp. 20, 26.</w:t>
      </w:r>
    </w:p>
  </w:footnote>
  <w:footnote w:id="286">
    <w:p w:rsidR="00224E75" w:rsidRDefault="00224E75" w:rsidP="00D1590E">
      <w:pPr>
        <w:pStyle w:val="FootnoteText"/>
      </w:pPr>
      <w:r>
        <w:rPr>
          <w:rStyle w:val="FootnoteReference"/>
        </w:rPr>
        <w:footnoteRef/>
      </w:r>
      <w:r>
        <w:t xml:space="preserve"> </w:t>
      </w:r>
      <w:r>
        <w:tab/>
        <w:t>ActewAGL, Revised Regulatory Proposal, pp. 181-187.</w:t>
      </w:r>
    </w:p>
  </w:footnote>
  <w:footnote w:id="287">
    <w:p w:rsidR="00224E75" w:rsidRDefault="00224E75" w:rsidP="00D1590E">
      <w:pPr>
        <w:pStyle w:val="FootnoteText"/>
      </w:pPr>
      <w:r>
        <w:rPr>
          <w:rStyle w:val="FootnoteReference"/>
        </w:rPr>
        <w:footnoteRef/>
      </w:r>
      <w:r>
        <w:t xml:space="preserve"> </w:t>
      </w:r>
      <w:r>
        <w:tab/>
        <w:t>Essential revised proposal, pp. 201-202.</w:t>
      </w:r>
    </w:p>
  </w:footnote>
  <w:footnote w:id="288">
    <w:p w:rsidR="00224E75" w:rsidRDefault="00224E75" w:rsidP="00D1590E">
      <w:pPr>
        <w:pStyle w:val="FootnoteText"/>
      </w:pPr>
      <w:r>
        <w:rPr>
          <w:rStyle w:val="FootnoteReference"/>
        </w:rPr>
        <w:footnoteRef/>
      </w:r>
      <w:r>
        <w:t xml:space="preserve"> </w:t>
      </w:r>
      <w:r>
        <w:tab/>
        <w:t>Economic Insights, 2014, p. 7.</w:t>
      </w:r>
    </w:p>
  </w:footnote>
  <w:footnote w:id="289">
    <w:p w:rsidR="00224E75" w:rsidRDefault="00224E75" w:rsidP="00D1590E">
      <w:pPr>
        <w:pStyle w:val="FootnoteText"/>
      </w:pPr>
      <w:r>
        <w:rPr>
          <w:rStyle w:val="FootnoteReference"/>
        </w:rPr>
        <w:footnoteRef/>
      </w:r>
      <w:r>
        <w:t xml:space="preserve"> </w:t>
      </w:r>
      <w:r>
        <w:tab/>
        <w:t>Economic Insights, 2014, pp. 46-47.</w:t>
      </w:r>
    </w:p>
  </w:footnote>
  <w:footnote w:id="290">
    <w:p w:rsidR="00224E75" w:rsidRDefault="00224E75" w:rsidP="00D1590E">
      <w:pPr>
        <w:pStyle w:val="FootnoteText"/>
      </w:pPr>
      <w:r>
        <w:rPr>
          <w:rStyle w:val="FootnoteReference"/>
        </w:rPr>
        <w:footnoteRef/>
      </w:r>
      <w:r>
        <w:t xml:space="preserve"> </w:t>
      </w:r>
      <w:r>
        <w:tab/>
        <w:t>Economic Insights, 2014, p. 46–47.</w:t>
      </w:r>
    </w:p>
  </w:footnote>
  <w:footnote w:id="291">
    <w:p w:rsidR="00224E75" w:rsidRDefault="00224E75" w:rsidP="00D1590E">
      <w:pPr>
        <w:pStyle w:val="FootnoteText"/>
      </w:pPr>
      <w:r>
        <w:rPr>
          <w:rStyle w:val="FootnoteReference"/>
        </w:rPr>
        <w:footnoteRef/>
      </w:r>
      <w:r>
        <w:t xml:space="preserve"> </w:t>
      </w:r>
      <w:r>
        <w:tab/>
        <w:t>Ausgrid, Revised Regulatory Proposal, Attachment 1.05.</w:t>
      </w:r>
    </w:p>
  </w:footnote>
  <w:footnote w:id="292">
    <w:p w:rsidR="00224E75" w:rsidRDefault="00224E75" w:rsidP="00D1590E">
      <w:pPr>
        <w:pStyle w:val="FootnoteText"/>
      </w:pPr>
      <w:r>
        <w:rPr>
          <w:rStyle w:val="FootnoteReference"/>
        </w:rPr>
        <w:footnoteRef/>
      </w:r>
      <w:r>
        <w:t xml:space="preserve"> </w:t>
      </w:r>
      <w:r>
        <w:tab/>
        <w:t>Ausgrid, Revised Regulatory Proposal, Attachment 1.06; ActewAGL, Revised Regulatory Proposal, Attachment C4.</w:t>
      </w:r>
    </w:p>
  </w:footnote>
  <w:footnote w:id="293">
    <w:p w:rsidR="00224E75" w:rsidRDefault="00224E75" w:rsidP="00D1590E">
      <w:pPr>
        <w:pStyle w:val="FootnoteText"/>
      </w:pPr>
      <w:r>
        <w:rPr>
          <w:rStyle w:val="FootnoteReference"/>
        </w:rPr>
        <w:footnoteRef/>
      </w:r>
      <w:r>
        <w:t xml:space="preserve"> </w:t>
      </w:r>
      <w:r>
        <w:tab/>
        <w:t>Ausgrid, Revised Regulatory Proposal, Attachment 1.07; ActewAGL, Revised Regulatory Proposal, Attachment C3.</w:t>
      </w:r>
    </w:p>
  </w:footnote>
  <w:footnote w:id="294">
    <w:p w:rsidR="00224E75" w:rsidRDefault="00224E75" w:rsidP="00D1590E">
      <w:pPr>
        <w:pStyle w:val="FootnoteText"/>
      </w:pPr>
      <w:r>
        <w:rPr>
          <w:rStyle w:val="FootnoteReference"/>
        </w:rPr>
        <w:footnoteRef/>
      </w:r>
      <w:r>
        <w:t xml:space="preserve"> </w:t>
      </w:r>
      <w:r>
        <w:tab/>
        <w:t>Ausgrid, Revised Regulatory Proposal, Attachment 1.08.</w:t>
      </w:r>
    </w:p>
  </w:footnote>
  <w:footnote w:id="295">
    <w:p w:rsidR="00224E75" w:rsidRDefault="00224E75" w:rsidP="00D1590E">
      <w:pPr>
        <w:pStyle w:val="FootnoteText"/>
      </w:pPr>
      <w:r>
        <w:rPr>
          <w:rStyle w:val="FootnoteReference"/>
        </w:rPr>
        <w:footnoteRef/>
      </w:r>
      <w:r>
        <w:t xml:space="preserve"> </w:t>
      </w:r>
      <w:r>
        <w:tab/>
        <w:t>Ausgrid, Revised Regulatory Proposal, Attachment 1.09; ActewAGL, Revised Regulatory Proposal, Attachment C2.</w:t>
      </w:r>
    </w:p>
  </w:footnote>
  <w:footnote w:id="296">
    <w:p w:rsidR="00224E75" w:rsidRDefault="00224E75" w:rsidP="00D1590E">
      <w:pPr>
        <w:pStyle w:val="FootnoteText"/>
      </w:pPr>
      <w:r>
        <w:rPr>
          <w:rStyle w:val="FootnoteReference"/>
        </w:rPr>
        <w:footnoteRef/>
      </w:r>
      <w:r>
        <w:t xml:space="preserve"> </w:t>
      </w:r>
      <w:r>
        <w:tab/>
        <w:t>Ausgrid, Revised Regulatory Proposal, Attachment 1.10.</w:t>
      </w:r>
    </w:p>
  </w:footnote>
  <w:footnote w:id="297">
    <w:p w:rsidR="00224E75" w:rsidRDefault="00224E75" w:rsidP="00D1590E">
      <w:pPr>
        <w:pStyle w:val="FootnoteText"/>
      </w:pPr>
      <w:r>
        <w:rPr>
          <w:rStyle w:val="FootnoteReference"/>
        </w:rPr>
        <w:footnoteRef/>
      </w:r>
      <w:r>
        <w:t xml:space="preserve"> </w:t>
      </w:r>
      <w:r>
        <w:tab/>
        <w:t>AER, Issues paper, expenditure forecast assessment guideline, December 2012, pp. 82–136.</w:t>
      </w:r>
    </w:p>
  </w:footnote>
  <w:footnote w:id="298">
    <w:p w:rsidR="00224E75" w:rsidRDefault="00224E75" w:rsidP="00D1590E">
      <w:pPr>
        <w:pStyle w:val="FootnoteText"/>
      </w:pPr>
      <w:r>
        <w:rPr>
          <w:rStyle w:val="FootnoteReference"/>
        </w:rPr>
        <w:footnoteRef/>
      </w:r>
      <w:r>
        <w:t xml:space="preserve"> </w:t>
      </w:r>
      <w:r>
        <w:tab/>
        <w:t>AER, Explanatory statement, expenditure forecast assessment guideline, 2013, November 2013, pp. 145–146.</w:t>
      </w:r>
    </w:p>
  </w:footnote>
  <w:footnote w:id="299">
    <w:p w:rsidR="00224E75" w:rsidRDefault="00224E75" w:rsidP="00D1590E">
      <w:pPr>
        <w:pStyle w:val="FootnoteText"/>
      </w:pPr>
      <w:r>
        <w:rPr>
          <w:rStyle w:val="FootnoteReference"/>
        </w:rPr>
        <w:footnoteRef/>
      </w:r>
      <w:r>
        <w:t xml:space="preserve"> </w:t>
      </w:r>
      <w:r>
        <w:tab/>
        <w:t>AER, Issues paper, expenditure forecast assessment guideline, December 2012, p. 77.</w:t>
      </w:r>
    </w:p>
  </w:footnote>
  <w:footnote w:id="300">
    <w:p w:rsidR="00224E75" w:rsidRDefault="00224E75" w:rsidP="00D1590E">
      <w:pPr>
        <w:pStyle w:val="FootnoteText"/>
      </w:pPr>
      <w:r>
        <w:rPr>
          <w:rStyle w:val="FootnoteReference"/>
        </w:rPr>
        <w:footnoteRef/>
      </w:r>
      <w:r>
        <w:t xml:space="preserve"> </w:t>
      </w:r>
      <w:r>
        <w:tab/>
        <w:t>AER, Explanatory statement, expenditure forecast assessment guideline, 2013, November 2013, pp. 141–142.</w:t>
      </w:r>
    </w:p>
  </w:footnote>
  <w:footnote w:id="301">
    <w:p w:rsidR="00224E75" w:rsidRDefault="00224E75" w:rsidP="00D1590E">
      <w:pPr>
        <w:pStyle w:val="FootnoteText"/>
      </w:pPr>
      <w:r>
        <w:rPr>
          <w:rStyle w:val="FootnoteReference"/>
        </w:rPr>
        <w:footnoteRef/>
      </w:r>
      <w:r>
        <w:t xml:space="preserve"> </w:t>
      </w:r>
      <w:r>
        <w:tab/>
        <w:t xml:space="preserve">Economic Insights, Memorandum - </w:t>
      </w:r>
      <w:r w:rsidRPr="000405A6">
        <w:t>DNSP MTFP Results</w:t>
      </w:r>
      <w:r>
        <w:t>, 2014.</w:t>
      </w:r>
    </w:p>
  </w:footnote>
  <w:footnote w:id="302">
    <w:p w:rsidR="00224E75" w:rsidRDefault="00224E75" w:rsidP="00D1590E">
      <w:pPr>
        <w:pStyle w:val="FootnoteText"/>
      </w:pPr>
      <w:r>
        <w:rPr>
          <w:rStyle w:val="FootnoteReference"/>
        </w:rPr>
        <w:footnoteRef/>
      </w:r>
      <w:r>
        <w:t xml:space="preserve"> </w:t>
      </w:r>
      <w:r>
        <w:tab/>
        <w:t xml:space="preserve">Economic Insights, Memorandum - </w:t>
      </w:r>
      <w:r w:rsidRPr="000405A6">
        <w:t>DNSP MTFP Results</w:t>
      </w:r>
      <w:r>
        <w:t>, 2014.</w:t>
      </w:r>
    </w:p>
  </w:footnote>
  <w:footnote w:id="303">
    <w:p w:rsidR="00224E75" w:rsidRDefault="00224E75" w:rsidP="00D1590E">
      <w:pPr>
        <w:pStyle w:val="FootnoteText"/>
      </w:pPr>
      <w:r>
        <w:rPr>
          <w:rStyle w:val="FootnoteReference"/>
        </w:rPr>
        <w:footnoteRef/>
      </w:r>
      <w:r>
        <w:t xml:space="preserve"> </w:t>
      </w:r>
      <w:r>
        <w:tab/>
        <w:t xml:space="preserve">AER, </w:t>
      </w:r>
      <w:r w:rsidRPr="000405A6">
        <w:t>Electricity distribution network service providers</w:t>
      </w:r>
      <w:r>
        <w:t xml:space="preserve"> </w:t>
      </w:r>
      <w:r w:rsidRPr="000405A6">
        <w:t>Annual benchmarking report</w:t>
      </w:r>
      <w:r>
        <w:t xml:space="preserve">, </w:t>
      </w:r>
      <w:r w:rsidRPr="000405A6">
        <w:t>November 2014</w:t>
      </w:r>
      <w:r>
        <w:t>, p. 47.</w:t>
      </w:r>
    </w:p>
  </w:footnote>
  <w:footnote w:id="304">
    <w:p w:rsidR="00224E75" w:rsidRDefault="00224E75" w:rsidP="00D1590E">
      <w:pPr>
        <w:pStyle w:val="FootnoteText"/>
      </w:pPr>
      <w:r>
        <w:rPr>
          <w:rStyle w:val="FootnoteReference"/>
        </w:rPr>
        <w:footnoteRef/>
      </w:r>
      <w:r>
        <w:t xml:space="preserve"> </w:t>
      </w:r>
      <w:r>
        <w:tab/>
        <w:t>Economic Insights, 2015, pp. 2-19.</w:t>
      </w:r>
    </w:p>
  </w:footnote>
  <w:footnote w:id="305">
    <w:p w:rsidR="00224E75" w:rsidRDefault="00224E75" w:rsidP="00D1590E">
      <w:pPr>
        <w:pStyle w:val="FootnoteText"/>
      </w:pPr>
      <w:r>
        <w:rPr>
          <w:rStyle w:val="FootnoteReference"/>
        </w:rPr>
        <w:footnoteRef/>
      </w:r>
      <w:r>
        <w:t xml:space="preserve"> </w:t>
      </w:r>
      <w:r>
        <w:tab/>
        <w:t xml:space="preserve">Economic Insights, 2015, p. 3. </w:t>
      </w:r>
    </w:p>
  </w:footnote>
  <w:footnote w:id="306">
    <w:p w:rsidR="00224E75" w:rsidRDefault="00224E75" w:rsidP="00D1590E">
      <w:pPr>
        <w:pStyle w:val="FootnoteText"/>
      </w:pPr>
      <w:r>
        <w:rPr>
          <w:rStyle w:val="FootnoteReference"/>
        </w:rPr>
        <w:footnoteRef/>
      </w:r>
      <w:r>
        <w:t xml:space="preserve"> </w:t>
      </w:r>
      <w:r>
        <w:tab/>
      </w:r>
      <w:r w:rsidRPr="0048283D">
        <w:t>Pa</w:t>
      </w:r>
      <w:r>
        <w:t>cific Economics Group Research</w:t>
      </w:r>
      <w:r w:rsidRPr="0048283D">
        <w:t xml:space="preserve">, Empirical Research in Support of Incentive Rate Setting in Ontario: Report to the Ontario Energy Board, Report prepared for the Ontario Energy Board, Madison, </w:t>
      </w:r>
      <w:r>
        <w:t>2013</w:t>
      </w:r>
      <w:r w:rsidRPr="0048283D">
        <w:t>.</w:t>
      </w:r>
    </w:p>
  </w:footnote>
  <w:footnote w:id="307">
    <w:p w:rsidR="00224E75" w:rsidRDefault="00224E75" w:rsidP="00D1590E">
      <w:pPr>
        <w:pStyle w:val="FootnoteText"/>
      </w:pPr>
      <w:r>
        <w:rPr>
          <w:rStyle w:val="FootnoteReference"/>
        </w:rPr>
        <w:footnoteRef/>
      </w:r>
      <w:r>
        <w:t xml:space="preserve"> </w:t>
      </w:r>
      <w:r>
        <w:tab/>
        <w:t xml:space="preserve">An alternative measure to ratcheted maximum demand could be substation capacity. In consultation on the output specification there was some debate as to whether substation capacity or maximum demand should be used. It was noted that, substation capacity would capture the effect of investment in capacity in excess of requirements. </w:t>
      </w:r>
      <w:r w:rsidRPr="00446807">
        <w:t>We consider that the use of ratcheted peak demand reaches a balance between these two perspectives</w:t>
      </w:r>
      <w:r>
        <w:t xml:space="preserve">. Ratcheted maximum demand is the highest level of demand observed over the benchmarking period. As such, </w:t>
      </w:r>
      <w:r w:rsidRPr="00446807">
        <w:t xml:space="preserve">it is reflective of the capacity that </w:t>
      </w:r>
      <w:r>
        <w:t>was required to meet demand over the period.</w:t>
      </w:r>
    </w:p>
  </w:footnote>
  <w:footnote w:id="308">
    <w:p w:rsidR="00224E75" w:rsidRDefault="00224E75" w:rsidP="00D1590E">
      <w:pPr>
        <w:pStyle w:val="FootnoteText"/>
      </w:pPr>
      <w:r>
        <w:rPr>
          <w:rStyle w:val="FootnoteReference"/>
        </w:rPr>
        <w:footnoteRef/>
      </w:r>
      <w:r>
        <w:t xml:space="preserve"> </w:t>
      </w:r>
      <w:r>
        <w:tab/>
        <w:t>Economic Insights, 2015, pp. 10–11</w:t>
      </w:r>
    </w:p>
  </w:footnote>
  <w:footnote w:id="309">
    <w:p w:rsidR="00224E75" w:rsidRDefault="00224E75" w:rsidP="00D1590E">
      <w:pPr>
        <w:pStyle w:val="FootnoteText"/>
      </w:pPr>
      <w:r>
        <w:rPr>
          <w:rStyle w:val="FootnoteReference"/>
        </w:rPr>
        <w:footnoteRef/>
      </w:r>
      <w:r>
        <w:t xml:space="preserve"> </w:t>
      </w:r>
      <w:r>
        <w:tab/>
        <w:t>Economic Insights, 2015, p. 14 (section 2.2.4)</w:t>
      </w:r>
    </w:p>
  </w:footnote>
  <w:footnote w:id="310">
    <w:p w:rsidR="00224E75" w:rsidRDefault="00224E75" w:rsidP="00D1590E">
      <w:pPr>
        <w:pStyle w:val="FootnoteText"/>
      </w:pPr>
      <w:r>
        <w:rPr>
          <w:rStyle w:val="FootnoteReference"/>
        </w:rPr>
        <w:footnoteRef/>
      </w:r>
      <w:r>
        <w:t xml:space="preserve"> </w:t>
      </w:r>
      <w:r>
        <w:tab/>
        <w:t xml:space="preserve">Frontier, </w:t>
      </w:r>
      <w:r w:rsidRPr="00606D25">
        <w:t>Taking account of heterogeneity between networks when conducting economic benchmarking analysis</w:t>
      </w:r>
      <w:r>
        <w:t xml:space="preserve">, </w:t>
      </w:r>
      <w:r w:rsidRPr="00606D25">
        <w:t>February 2015</w:t>
      </w:r>
      <w:r>
        <w:t xml:space="preserve">, p. xii. CEPA, </w:t>
      </w:r>
      <w:r w:rsidR="00731E65" w:rsidRPr="00731E65">
        <w:t>Benchmarking and setting efficiency targets for the Australian DNSPs, (NSW DNSPs), 2015,</w:t>
      </w:r>
      <w:r w:rsidRPr="004F709F">
        <w:t xml:space="preserve"> p</w:t>
      </w:r>
      <w:r>
        <w:t>p. 17–18.</w:t>
      </w:r>
    </w:p>
  </w:footnote>
  <w:footnote w:id="311">
    <w:p w:rsidR="00224E75" w:rsidRDefault="00224E75" w:rsidP="00D1590E">
      <w:pPr>
        <w:pStyle w:val="FootnoteText"/>
      </w:pPr>
      <w:r>
        <w:rPr>
          <w:rStyle w:val="FootnoteReference"/>
        </w:rPr>
        <w:footnoteRef/>
      </w:r>
      <w:r>
        <w:t xml:space="preserve"> </w:t>
      </w:r>
      <w:r>
        <w:tab/>
        <w:t xml:space="preserve">PEG, </w:t>
      </w:r>
      <w:r w:rsidRPr="00F97EDF">
        <w:t>2015, pp.52, 54</w:t>
      </w:r>
      <w:r>
        <w:t>.</w:t>
      </w:r>
      <w:r w:rsidRPr="00F97EDF">
        <w:t xml:space="preserve"> Huegin</w:t>
      </w:r>
      <w:r>
        <w:t xml:space="preserve">, </w:t>
      </w:r>
      <w:r w:rsidRPr="00F97EDF">
        <w:t>2015a, p.47</w:t>
      </w:r>
      <w:r>
        <w:t>.</w:t>
      </w:r>
    </w:p>
  </w:footnote>
  <w:footnote w:id="312">
    <w:p w:rsidR="00224E75" w:rsidRDefault="00224E75" w:rsidP="00D1590E">
      <w:pPr>
        <w:pStyle w:val="FootnoteText"/>
      </w:pPr>
      <w:r>
        <w:rPr>
          <w:rStyle w:val="FootnoteReference"/>
        </w:rPr>
        <w:footnoteRef/>
      </w:r>
      <w:r>
        <w:t xml:space="preserve"> </w:t>
      </w:r>
      <w:r>
        <w:tab/>
        <w:t xml:space="preserve">Economic Insights, 2015, p. 12 </w:t>
      </w:r>
    </w:p>
  </w:footnote>
  <w:footnote w:id="313">
    <w:p w:rsidR="00224E75" w:rsidRDefault="00224E75" w:rsidP="00D1590E">
      <w:pPr>
        <w:pStyle w:val="FootnoteText"/>
      </w:pPr>
      <w:r>
        <w:rPr>
          <w:rStyle w:val="FootnoteReference"/>
        </w:rPr>
        <w:footnoteRef/>
      </w:r>
      <w:r>
        <w:t xml:space="preserve"> </w:t>
      </w:r>
      <w:r>
        <w:tab/>
        <w:t xml:space="preserve">Economic Insights, 2015, p. 12 </w:t>
      </w:r>
    </w:p>
  </w:footnote>
  <w:footnote w:id="314">
    <w:p w:rsidR="00224E75" w:rsidRDefault="00224E75" w:rsidP="00D1590E">
      <w:pPr>
        <w:pStyle w:val="FootnoteText"/>
      </w:pPr>
      <w:r>
        <w:rPr>
          <w:rStyle w:val="FootnoteReference"/>
        </w:rPr>
        <w:footnoteRef/>
      </w:r>
      <w:r>
        <w:t xml:space="preserve"> </w:t>
      </w:r>
      <w:r>
        <w:tab/>
      </w:r>
      <w:r w:rsidRPr="0081413C">
        <w:t>Economic Insights, 2015, p. 12</w:t>
      </w:r>
    </w:p>
  </w:footnote>
  <w:footnote w:id="315">
    <w:p w:rsidR="00224E75" w:rsidRDefault="00224E75" w:rsidP="00D1590E">
      <w:pPr>
        <w:pStyle w:val="FootnoteText"/>
      </w:pPr>
      <w:r>
        <w:rPr>
          <w:rStyle w:val="FootnoteReference"/>
        </w:rPr>
        <w:footnoteRef/>
      </w:r>
      <w:r>
        <w:t xml:space="preserve"> </w:t>
      </w:r>
      <w:r>
        <w:tab/>
      </w:r>
      <w:r w:rsidRPr="00B865F4">
        <w:t xml:space="preserve">Economic Insights, 2015, p. </w:t>
      </w:r>
      <w:r>
        <w:t>18</w:t>
      </w:r>
      <w:r>
        <w:rPr>
          <w:rStyle w:val="AERtexthighlight"/>
        </w:rPr>
        <w:t xml:space="preserve"> </w:t>
      </w:r>
    </w:p>
  </w:footnote>
  <w:footnote w:id="316">
    <w:p w:rsidR="00224E75" w:rsidRDefault="00224E75" w:rsidP="00D1590E">
      <w:pPr>
        <w:pStyle w:val="FootnoteText"/>
      </w:pPr>
      <w:r>
        <w:rPr>
          <w:rStyle w:val="FootnoteReference"/>
        </w:rPr>
        <w:footnoteRef/>
      </w:r>
      <w:r>
        <w:t xml:space="preserve"> </w:t>
      </w:r>
      <w:r>
        <w:tab/>
        <w:t xml:space="preserve">CEPA, </w:t>
      </w:r>
      <w:r w:rsidR="00731E65" w:rsidRPr="00731E65">
        <w:t>Benchmarking and setting efficiency targets for the Australian DNSPs, (NSW DNSPs), 2015,</w:t>
      </w:r>
      <w:r>
        <w:t xml:space="preserve"> p. 20.</w:t>
      </w:r>
      <w:r w:rsidRPr="00704576">
        <w:t xml:space="preserve"> </w:t>
      </w:r>
      <w:r>
        <w:t>PEG, 2014, pp. 22–23.</w:t>
      </w:r>
    </w:p>
  </w:footnote>
  <w:footnote w:id="317">
    <w:p w:rsidR="00224E75" w:rsidRDefault="00224E75" w:rsidP="00D1590E">
      <w:pPr>
        <w:pStyle w:val="FootnoteText"/>
      </w:pPr>
      <w:r>
        <w:rPr>
          <w:rStyle w:val="FootnoteReference"/>
        </w:rPr>
        <w:footnoteRef/>
      </w:r>
      <w:r>
        <w:t xml:space="preserve"> </w:t>
      </w:r>
      <w:r>
        <w:tab/>
        <w:t>Economic Insights, 2015, p. 48</w:t>
      </w:r>
    </w:p>
    <w:p w:rsidR="00224E75" w:rsidRDefault="00224E75" w:rsidP="00D1590E">
      <w:pPr>
        <w:pStyle w:val="FootnoteText"/>
      </w:pPr>
      <w:r>
        <w:tab/>
      </w:r>
      <w:r w:rsidRPr="00704576">
        <w:t xml:space="preserve">PEG uses a sample of Australian and US data to model the efficiency of the US </w:t>
      </w:r>
      <w:r>
        <w:t>service providers. This data set is different to that applied by Economic Insights which used service providers from New Zealand and Ontario</w:t>
      </w:r>
      <w:r w:rsidRPr="00704576">
        <w:t xml:space="preserve">. </w:t>
      </w:r>
      <w:r>
        <w:t>However as n</w:t>
      </w:r>
      <w:r w:rsidRPr="00704576">
        <w:t xml:space="preserve">one of the US </w:t>
      </w:r>
      <w:r>
        <w:t>service providers</w:t>
      </w:r>
      <w:r w:rsidRPr="00704576">
        <w:t xml:space="preserve"> have 132 kV line lengths this variable </w:t>
      </w:r>
      <w:r>
        <w:t>has a similar effect to including the 66kV plus variable in the Australian, Ontario and New Zealand benchmarking models.</w:t>
      </w:r>
    </w:p>
  </w:footnote>
  <w:footnote w:id="318">
    <w:p w:rsidR="00224E75" w:rsidRDefault="00224E75" w:rsidP="00D1590E">
      <w:pPr>
        <w:pStyle w:val="FootnoteText"/>
      </w:pPr>
      <w:r>
        <w:rPr>
          <w:rStyle w:val="FootnoteReference"/>
        </w:rPr>
        <w:footnoteRef/>
      </w:r>
      <w:r>
        <w:t xml:space="preserve"> </w:t>
      </w:r>
      <w:r>
        <w:tab/>
        <w:t>Economic Insights, 2015, pp. 48–49.</w:t>
      </w:r>
    </w:p>
  </w:footnote>
  <w:footnote w:id="319">
    <w:p w:rsidR="00224E75" w:rsidRDefault="00224E75" w:rsidP="00D1590E">
      <w:pPr>
        <w:pStyle w:val="FootnoteText"/>
      </w:pPr>
      <w:r>
        <w:rPr>
          <w:rStyle w:val="FootnoteReference"/>
        </w:rPr>
        <w:footnoteRef/>
      </w:r>
      <w:r>
        <w:t xml:space="preserve"> </w:t>
      </w:r>
      <w:r>
        <w:tab/>
        <w:t>Economic Insights, 2015, p. 50</w:t>
      </w:r>
    </w:p>
  </w:footnote>
  <w:footnote w:id="320">
    <w:p w:rsidR="00224E75" w:rsidRDefault="00224E75" w:rsidP="00D1590E">
      <w:pPr>
        <w:pStyle w:val="FootnoteText"/>
      </w:pPr>
      <w:r>
        <w:rPr>
          <w:rStyle w:val="FootnoteReference"/>
        </w:rPr>
        <w:footnoteRef/>
      </w:r>
      <w:r>
        <w:t xml:space="preserve"> </w:t>
      </w:r>
      <w:r>
        <w:tab/>
        <w:t>Economic Insights, 2015, pp. 7, 51.</w:t>
      </w:r>
    </w:p>
  </w:footnote>
  <w:footnote w:id="321">
    <w:p w:rsidR="00224E75" w:rsidRDefault="00224E75" w:rsidP="00D1590E">
      <w:pPr>
        <w:pStyle w:val="FootnoteText"/>
      </w:pPr>
      <w:r>
        <w:rPr>
          <w:rStyle w:val="FootnoteReference"/>
        </w:rPr>
        <w:footnoteRef/>
      </w:r>
      <w:r>
        <w:t xml:space="preserve"> </w:t>
      </w:r>
      <w:r>
        <w:tab/>
        <w:t>Economic Insights, 2015, pp. 7, 51.</w:t>
      </w:r>
    </w:p>
  </w:footnote>
  <w:footnote w:id="322">
    <w:p w:rsidR="00224E75" w:rsidRDefault="00224E75" w:rsidP="00D1590E">
      <w:pPr>
        <w:pStyle w:val="FootnoteText"/>
      </w:pPr>
      <w:r>
        <w:rPr>
          <w:rStyle w:val="FootnoteReference"/>
        </w:rPr>
        <w:footnoteRef/>
      </w:r>
      <w:r>
        <w:t xml:space="preserve"> </w:t>
      </w:r>
      <w:r>
        <w:tab/>
        <w:t>Huegin, 2015a, pp. 35–36.</w:t>
      </w:r>
    </w:p>
  </w:footnote>
  <w:footnote w:id="323">
    <w:p w:rsidR="00224E75" w:rsidRDefault="00224E75" w:rsidP="00D1590E">
      <w:pPr>
        <w:pStyle w:val="FootnoteText"/>
      </w:pPr>
      <w:r>
        <w:rPr>
          <w:rStyle w:val="FootnoteReference"/>
        </w:rPr>
        <w:footnoteRef/>
      </w:r>
      <w:r>
        <w:t xml:space="preserve"> </w:t>
      </w:r>
      <w:r>
        <w:tab/>
        <w:t>Economic Insights, Memorandum – DNSP MTFP results, 2014.</w:t>
      </w:r>
    </w:p>
  </w:footnote>
  <w:footnote w:id="324">
    <w:p w:rsidR="00224E75" w:rsidRDefault="00224E75" w:rsidP="00D1590E">
      <w:pPr>
        <w:pStyle w:val="FootnoteText"/>
      </w:pPr>
      <w:r>
        <w:rPr>
          <w:rStyle w:val="FootnoteReference"/>
        </w:rPr>
        <w:footnoteRef/>
      </w:r>
      <w:r>
        <w:t xml:space="preserve"> </w:t>
      </w:r>
      <w:r>
        <w:tab/>
        <w:t>Economic Insights, Memorandum – DNSP MTFP results, 2014.</w:t>
      </w:r>
    </w:p>
  </w:footnote>
  <w:footnote w:id="325">
    <w:p w:rsidR="00224E75" w:rsidRDefault="00224E75" w:rsidP="00D1590E">
      <w:pPr>
        <w:pStyle w:val="FootnoteText"/>
      </w:pPr>
      <w:r>
        <w:rPr>
          <w:rStyle w:val="FootnoteReference"/>
        </w:rPr>
        <w:footnoteRef/>
      </w:r>
      <w:r>
        <w:t xml:space="preserve"> </w:t>
      </w:r>
      <w:r>
        <w:tab/>
        <w:t>Economic Insights, 2015, p. 51.</w:t>
      </w:r>
    </w:p>
  </w:footnote>
  <w:footnote w:id="326">
    <w:p w:rsidR="00224E75" w:rsidRDefault="00224E75" w:rsidP="00D1590E">
      <w:pPr>
        <w:pStyle w:val="FootnoteText"/>
      </w:pPr>
      <w:r>
        <w:rPr>
          <w:rStyle w:val="FootnoteReference"/>
        </w:rPr>
        <w:footnoteRef/>
      </w:r>
      <w:r>
        <w:t xml:space="preserve"> </w:t>
      </w:r>
      <w:r>
        <w:tab/>
        <w:t>Synergies, 2015, p. 42.</w:t>
      </w:r>
    </w:p>
  </w:footnote>
  <w:footnote w:id="327">
    <w:p w:rsidR="00224E75" w:rsidRDefault="00224E75" w:rsidP="00D1590E">
      <w:pPr>
        <w:pStyle w:val="FootnoteText"/>
      </w:pPr>
      <w:r>
        <w:rPr>
          <w:rStyle w:val="FootnoteReference"/>
        </w:rPr>
        <w:footnoteRef/>
      </w:r>
      <w:r>
        <w:t xml:space="preserve"> </w:t>
      </w:r>
      <w:r>
        <w:tab/>
        <w:t>Economic Insights, 2015, p. 51.</w:t>
      </w:r>
    </w:p>
  </w:footnote>
  <w:footnote w:id="328">
    <w:p w:rsidR="00224E75" w:rsidRDefault="00224E75" w:rsidP="00D1590E">
      <w:pPr>
        <w:pStyle w:val="FootnoteText"/>
      </w:pPr>
      <w:r>
        <w:rPr>
          <w:rStyle w:val="FootnoteReference"/>
        </w:rPr>
        <w:footnoteRef/>
      </w:r>
      <w:r>
        <w:t xml:space="preserve"> </w:t>
      </w:r>
      <w:r>
        <w:tab/>
        <w:t>The McKell Institute, Nothing to gain, plenty to lose: why the government, households and businesses could end up paying a high price for electricity privatisation, 2014, p. 34.</w:t>
      </w:r>
    </w:p>
  </w:footnote>
  <w:footnote w:id="329">
    <w:p w:rsidR="00224E75" w:rsidRDefault="00224E75" w:rsidP="00D1590E">
      <w:pPr>
        <w:pStyle w:val="FootnoteText"/>
      </w:pPr>
      <w:r>
        <w:rPr>
          <w:rStyle w:val="FootnoteReference"/>
        </w:rPr>
        <w:footnoteRef/>
      </w:r>
      <w:r>
        <w:t xml:space="preserve"> </w:t>
      </w:r>
      <w:r>
        <w:tab/>
        <w:t xml:space="preserve">ESAA, </w:t>
      </w:r>
      <w:r w:rsidRPr="00371D08">
        <w:t>Lies, damn lies and statistics - comparing networks</w:t>
      </w:r>
      <w:r>
        <w:t>, 2015.</w:t>
      </w:r>
    </w:p>
  </w:footnote>
  <w:footnote w:id="330">
    <w:p w:rsidR="00224E75" w:rsidRDefault="00224E75" w:rsidP="00D1590E">
      <w:pPr>
        <w:pStyle w:val="FootnoteText"/>
      </w:pPr>
      <w:r>
        <w:rPr>
          <w:rStyle w:val="FootnoteReference"/>
        </w:rPr>
        <w:footnoteRef/>
      </w:r>
      <w:r>
        <w:t xml:space="preserve"> </w:t>
      </w:r>
      <w:r>
        <w:tab/>
        <w:t>Economic Insights, 2015, p. 53.</w:t>
      </w:r>
    </w:p>
  </w:footnote>
  <w:footnote w:id="331">
    <w:p w:rsidR="00224E75" w:rsidRDefault="00224E75" w:rsidP="00D1590E">
      <w:pPr>
        <w:pStyle w:val="FootnoteText"/>
      </w:pPr>
      <w:r>
        <w:rPr>
          <w:rStyle w:val="FootnoteReference"/>
        </w:rPr>
        <w:footnoteRef/>
      </w:r>
      <w:r>
        <w:t xml:space="preserve"> </w:t>
      </w:r>
      <w:r>
        <w:tab/>
        <w:t xml:space="preserve">ESAA, </w:t>
      </w:r>
      <w:r w:rsidRPr="00371D08">
        <w:t>Lies, damn lies and statistics - comparing networks</w:t>
      </w:r>
      <w:r>
        <w:t>, 2015.</w:t>
      </w:r>
    </w:p>
  </w:footnote>
  <w:footnote w:id="332">
    <w:p w:rsidR="00224E75" w:rsidRDefault="00224E75" w:rsidP="00D1590E">
      <w:pPr>
        <w:pStyle w:val="FootnoteText"/>
      </w:pPr>
      <w:r>
        <w:rPr>
          <w:rStyle w:val="FootnoteReference"/>
        </w:rPr>
        <w:footnoteRef/>
      </w:r>
      <w:r>
        <w:t xml:space="preserve"> </w:t>
      </w:r>
      <w:r>
        <w:tab/>
        <w:t>PEGR, 2015, p.52 and p.55</w:t>
      </w:r>
    </w:p>
  </w:footnote>
  <w:footnote w:id="333">
    <w:p w:rsidR="00224E75" w:rsidRDefault="00224E75" w:rsidP="00D1590E">
      <w:pPr>
        <w:pStyle w:val="FootnoteText"/>
      </w:pPr>
      <w:r>
        <w:rPr>
          <w:rStyle w:val="FootnoteReference"/>
        </w:rPr>
        <w:footnoteRef/>
      </w:r>
      <w:r>
        <w:t xml:space="preserve"> </w:t>
      </w:r>
      <w:r>
        <w:tab/>
        <w:t>Economic Insights, 2015, pp. 8–9.</w:t>
      </w:r>
    </w:p>
  </w:footnote>
  <w:footnote w:id="334">
    <w:p w:rsidR="00224E75" w:rsidRDefault="00224E75" w:rsidP="00D1590E">
      <w:pPr>
        <w:pStyle w:val="FootnoteText"/>
      </w:pPr>
      <w:r>
        <w:rPr>
          <w:rStyle w:val="FootnoteReference"/>
        </w:rPr>
        <w:footnoteRef/>
      </w:r>
      <w:r>
        <w:t xml:space="preserve"> </w:t>
      </w:r>
      <w:r>
        <w:tab/>
        <w:t>Economic Insights, 2015, pp. 8–9.</w:t>
      </w:r>
    </w:p>
  </w:footnote>
  <w:footnote w:id="335">
    <w:p w:rsidR="00224E75" w:rsidRDefault="00224E75" w:rsidP="00D1590E">
      <w:pPr>
        <w:pStyle w:val="FootnoteText"/>
      </w:pPr>
      <w:r>
        <w:rPr>
          <w:rStyle w:val="FootnoteReference"/>
        </w:rPr>
        <w:footnoteRef/>
      </w:r>
      <w:r>
        <w:t xml:space="preserve"> </w:t>
      </w:r>
      <w:r>
        <w:tab/>
        <w:t>Economic Insighs, 2015, pp. 8–9.</w:t>
      </w:r>
    </w:p>
  </w:footnote>
  <w:footnote w:id="336">
    <w:p w:rsidR="00224E75" w:rsidRDefault="00224E75" w:rsidP="00D1590E">
      <w:pPr>
        <w:pStyle w:val="FootnoteText"/>
      </w:pPr>
      <w:r>
        <w:rPr>
          <w:rStyle w:val="FootnoteReference"/>
        </w:rPr>
        <w:footnoteRef/>
      </w:r>
      <w:r>
        <w:t xml:space="preserve"> </w:t>
      </w:r>
      <w:r>
        <w:tab/>
        <w:t>Economic Insights, 2015, p. 26.</w:t>
      </w:r>
    </w:p>
  </w:footnote>
  <w:footnote w:id="337">
    <w:p w:rsidR="00224E75" w:rsidRDefault="00224E75" w:rsidP="00D1590E">
      <w:pPr>
        <w:pStyle w:val="FootnoteText"/>
      </w:pPr>
      <w:r>
        <w:rPr>
          <w:rStyle w:val="FootnoteReference"/>
        </w:rPr>
        <w:footnoteRef/>
      </w:r>
      <w:r>
        <w:t xml:space="preserve"> </w:t>
      </w:r>
      <w:r>
        <w:tab/>
        <w:t>Economic Insights, 2015, pp. 25–26.</w:t>
      </w:r>
    </w:p>
  </w:footnote>
  <w:footnote w:id="338">
    <w:p w:rsidR="00224E75" w:rsidRDefault="00224E75" w:rsidP="00D1590E">
      <w:pPr>
        <w:pStyle w:val="FootnoteText"/>
      </w:pPr>
      <w:r>
        <w:rPr>
          <w:rStyle w:val="FootnoteReference"/>
        </w:rPr>
        <w:footnoteRef/>
      </w:r>
      <w:r>
        <w:t xml:space="preserve"> </w:t>
      </w:r>
      <w:r>
        <w:tab/>
        <w:t>Economic Insights, 2015, p. 20.</w:t>
      </w:r>
    </w:p>
  </w:footnote>
  <w:footnote w:id="339">
    <w:p w:rsidR="00224E75" w:rsidRDefault="00224E75" w:rsidP="00D1590E">
      <w:pPr>
        <w:pStyle w:val="FootnoteText"/>
      </w:pPr>
      <w:r>
        <w:rPr>
          <w:rStyle w:val="FootnoteReference"/>
        </w:rPr>
        <w:footnoteRef/>
      </w:r>
      <w:r>
        <w:t xml:space="preserve"> </w:t>
      </w:r>
      <w:r>
        <w:tab/>
        <w:t>Economic Insights, 2015, pp. 20–21.</w:t>
      </w:r>
    </w:p>
  </w:footnote>
  <w:footnote w:id="340">
    <w:p w:rsidR="00224E75" w:rsidRDefault="00224E75" w:rsidP="00D1590E">
      <w:pPr>
        <w:pStyle w:val="FootnoteText"/>
      </w:pPr>
      <w:r>
        <w:rPr>
          <w:rStyle w:val="FootnoteReference"/>
        </w:rPr>
        <w:footnoteRef/>
      </w:r>
      <w:r>
        <w:t xml:space="preserve"> </w:t>
      </w:r>
      <w:r>
        <w:tab/>
        <w:t>Economic Insights, 2015, pp. 20–21.</w:t>
      </w:r>
    </w:p>
  </w:footnote>
  <w:footnote w:id="341">
    <w:p w:rsidR="00224E75" w:rsidRDefault="00224E75" w:rsidP="00D1590E">
      <w:pPr>
        <w:pStyle w:val="FootnoteText"/>
      </w:pPr>
      <w:r>
        <w:rPr>
          <w:rStyle w:val="FootnoteReference"/>
        </w:rPr>
        <w:footnoteRef/>
      </w:r>
      <w:r>
        <w:t xml:space="preserve"> </w:t>
      </w:r>
      <w:r>
        <w:tab/>
        <w:t>Economic Insights (2014), pp. 28-29.</w:t>
      </w:r>
    </w:p>
  </w:footnote>
  <w:footnote w:id="342">
    <w:p w:rsidR="00224E75" w:rsidRDefault="00224E75" w:rsidP="00D1590E">
      <w:pPr>
        <w:pStyle w:val="FootnoteText"/>
      </w:pPr>
      <w:r>
        <w:rPr>
          <w:rStyle w:val="FootnoteReference"/>
        </w:rPr>
        <w:footnoteRef/>
      </w:r>
      <w:r>
        <w:t xml:space="preserve"> </w:t>
      </w:r>
      <w:r>
        <w:tab/>
        <w:t xml:space="preserve">CEPA, </w:t>
      </w:r>
      <w:r w:rsidR="00731E65" w:rsidRPr="00731E65">
        <w:t>Benchmarking and setting efficiency targets for the Australian DNSPs, (NSW DNSPs), 2015,</w:t>
      </w:r>
      <w:r>
        <w:t xml:space="preserve"> p. 19.</w:t>
      </w:r>
    </w:p>
  </w:footnote>
  <w:footnote w:id="343">
    <w:p w:rsidR="00224E75" w:rsidRDefault="00224E75" w:rsidP="00D1590E">
      <w:pPr>
        <w:pStyle w:val="FootnoteText"/>
      </w:pPr>
      <w:r>
        <w:rPr>
          <w:rStyle w:val="FootnoteReference"/>
        </w:rPr>
        <w:footnoteRef/>
      </w:r>
      <w:r>
        <w:t xml:space="preserve"> </w:t>
      </w:r>
      <w:r>
        <w:tab/>
        <w:t>PEG, 2014, pp. 53-57.</w:t>
      </w:r>
    </w:p>
  </w:footnote>
  <w:footnote w:id="344">
    <w:p w:rsidR="00224E75" w:rsidRDefault="00224E75" w:rsidP="00D1590E">
      <w:pPr>
        <w:pStyle w:val="FootnoteText"/>
      </w:pPr>
      <w:r>
        <w:rPr>
          <w:rStyle w:val="FootnoteReference"/>
        </w:rPr>
        <w:footnoteRef/>
      </w:r>
      <w:r>
        <w:t xml:space="preserve"> </w:t>
      </w:r>
      <w:r>
        <w:tab/>
        <w:t>Economic Insights (2014), pp. 28-29.</w:t>
      </w:r>
    </w:p>
  </w:footnote>
  <w:footnote w:id="345">
    <w:p w:rsidR="00224E75" w:rsidRDefault="00224E75" w:rsidP="00D1590E">
      <w:pPr>
        <w:pStyle w:val="FootnoteText"/>
      </w:pPr>
      <w:r>
        <w:rPr>
          <w:rStyle w:val="FootnoteReference"/>
        </w:rPr>
        <w:footnoteRef/>
      </w:r>
      <w:r>
        <w:t xml:space="preserve"> </w:t>
      </w:r>
      <w:r>
        <w:tab/>
        <w:t>Economic Insights (2014), p. 31.</w:t>
      </w:r>
    </w:p>
  </w:footnote>
  <w:footnote w:id="346">
    <w:p w:rsidR="00224E75" w:rsidRDefault="00224E75" w:rsidP="00D1590E">
      <w:pPr>
        <w:pStyle w:val="FootnoteText"/>
      </w:pPr>
      <w:r>
        <w:rPr>
          <w:rStyle w:val="FootnoteReference"/>
        </w:rPr>
        <w:footnoteRef/>
      </w:r>
      <w:r>
        <w:t xml:space="preserve"> </w:t>
      </w:r>
      <w:r>
        <w:tab/>
        <w:t>Economic Insights, 2015, p. 20.</w:t>
      </w:r>
    </w:p>
  </w:footnote>
  <w:footnote w:id="347">
    <w:p w:rsidR="00224E75" w:rsidRDefault="00224E75" w:rsidP="00D1590E">
      <w:pPr>
        <w:pStyle w:val="FootnoteText"/>
      </w:pPr>
      <w:r>
        <w:rPr>
          <w:rStyle w:val="FootnoteReference"/>
        </w:rPr>
        <w:footnoteRef/>
      </w:r>
      <w:r>
        <w:t xml:space="preserve"> </w:t>
      </w:r>
      <w:r>
        <w:tab/>
        <w:t>Economic Insights, 2015, p. 25.</w:t>
      </w:r>
    </w:p>
  </w:footnote>
  <w:footnote w:id="348">
    <w:p w:rsidR="00224E75" w:rsidRDefault="00224E75" w:rsidP="00D1590E">
      <w:pPr>
        <w:pStyle w:val="FootnoteText"/>
      </w:pPr>
      <w:r>
        <w:rPr>
          <w:rStyle w:val="FootnoteReference"/>
        </w:rPr>
        <w:footnoteRef/>
      </w:r>
      <w:r>
        <w:t xml:space="preserve"> </w:t>
      </w:r>
      <w:r>
        <w:tab/>
        <w:t xml:space="preserve">Economic Insights (2014), pp. 29-31; </w:t>
      </w:r>
    </w:p>
  </w:footnote>
  <w:footnote w:id="349">
    <w:p w:rsidR="00224E75" w:rsidRDefault="00224E75" w:rsidP="00D1590E">
      <w:pPr>
        <w:pStyle w:val="FootnoteText"/>
      </w:pPr>
      <w:r>
        <w:rPr>
          <w:rStyle w:val="FootnoteReference"/>
        </w:rPr>
        <w:footnoteRef/>
      </w:r>
      <w:r>
        <w:t xml:space="preserve"> </w:t>
      </w:r>
      <w:r>
        <w:tab/>
        <w:t xml:space="preserve">Economic Insights (2014), pp. 29-31; </w:t>
      </w:r>
    </w:p>
  </w:footnote>
  <w:footnote w:id="350">
    <w:p w:rsidR="00224E75" w:rsidRDefault="00224E75" w:rsidP="00D1590E">
      <w:pPr>
        <w:pStyle w:val="FootnoteText"/>
      </w:pPr>
      <w:r>
        <w:rPr>
          <w:rStyle w:val="FootnoteReference"/>
        </w:rPr>
        <w:footnoteRef/>
      </w:r>
      <w:r>
        <w:t xml:space="preserve"> </w:t>
      </w:r>
      <w:r>
        <w:tab/>
        <w:t xml:space="preserve">Economic Insights (2014), pp. 29-31; </w:t>
      </w:r>
    </w:p>
  </w:footnote>
  <w:footnote w:id="351">
    <w:p w:rsidR="00224E75" w:rsidRDefault="00224E75" w:rsidP="00D1590E">
      <w:pPr>
        <w:pStyle w:val="FootnoteText"/>
      </w:pPr>
      <w:r>
        <w:rPr>
          <w:rStyle w:val="FootnoteReference"/>
        </w:rPr>
        <w:footnoteRef/>
      </w:r>
      <w:r>
        <w:t xml:space="preserve"> </w:t>
      </w:r>
      <w:r>
        <w:tab/>
        <w:t xml:space="preserve">Economic Insights (2014), pp. 29-31; </w:t>
      </w:r>
    </w:p>
  </w:footnote>
  <w:footnote w:id="352">
    <w:p w:rsidR="00224E75" w:rsidRDefault="00224E75" w:rsidP="00D1590E">
      <w:pPr>
        <w:pStyle w:val="FootnoteText"/>
      </w:pPr>
      <w:r>
        <w:rPr>
          <w:rStyle w:val="FootnoteReference"/>
        </w:rPr>
        <w:footnoteRef/>
      </w:r>
      <w:r>
        <w:t xml:space="preserve"> </w:t>
      </w:r>
      <w:r>
        <w:tab/>
        <w:t xml:space="preserve">Frontier Economics, (NSW/ACT), 2015, </w:t>
      </w:r>
      <w:r w:rsidRPr="00F96B8B">
        <w:t>p</w:t>
      </w:r>
      <w:r>
        <w:t xml:space="preserve">. </w:t>
      </w:r>
      <w:r w:rsidRPr="004936C8">
        <w:t>vii</w:t>
      </w:r>
      <w:r>
        <w:t>.</w:t>
      </w:r>
      <w:r w:rsidRPr="004936C8">
        <w:t xml:space="preserve"> Huegin</w:t>
      </w:r>
      <w:r>
        <w:t xml:space="preserve">, (NSW), </w:t>
      </w:r>
      <w:r w:rsidRPr="004936C8">
        <w:t>2015, p.15</w:t>
      </w:r>
      <w:r>
        <w:t>.</w:t>
      </w:r>
    </w:p>
  </w:footnote>
  <w:footnote w:id="353">
    <w:p w:rsidR="00224E75" w:rsidRDefault="00224E75" w:rsidP="00D1590E">
      <w:pPr>
        <w:pStyle w:val="FootnoteText"/>
      </w:pPr>
      <w:r>
        <w:rPr>
          <w:rStyle w:val="FootnoteReference"/>
        </w:rPr>
        <w:footnoteRef/>
      </w:r>
      <w:r>
        <w:t xml:space="preserve"> </w:t>
      </w:r>
      <w:r>
        <w:tab/>
        <w:t xml:space="preserve">Economic Insights (2014), pp. 29-32; </w:t>
      </w:r>
    </w:p>
  </w:footnote>
  <w:footnote w:id="354">
    <w:p w:rsidR="00224E75" w:rsidRDefault="00224E75" w:rsidP="00D1590E">
      <w:pPr>
        <w:pStyle w:val="FootnoteText"/>
      </w:pPr>
      <w:r>
        <w:rPr>
          <w:rStyle w:val="FootnoteReference"/>
        </w:rPr>
        <w:footnoteRef/>
      </w:r>
      <w:r>
        <w:t xml:space="preserve"> </w:t>
      </w:r>
      <w:r>
        <w:tab/>
        <w:t xml:space="preserve">Economic Insights (2014), p. 32; </w:t>
      </w:r>
    </w:p>
  </w:footnote>
  <w:footnote w:id="355">
    <w:p w:rsidR="00224E75" w:rsidRDefault="00224E75" w:rsidP="00D1590E">
      <w:pPr>
        <w:pStyle w:val="FootnoteText"/>
      </w:pPr>
      <w:r>
        <w:rPr>
          <w:rStyle w:val="FootnoteReference"/>
        </w:rPr>
        <w:footnoteRef/>
      </w:r>
      <w:r>
        <w:t xml:space="preserve"> </w:t>
      </w:r>
      <w:r>
        <w:tab/>
        <w:t xml:space="preserve">Economic Insights was not satisfied, following this testing, that the SFA Translog model was robust or reliable enough to be useful. </w:t>
      </w:r>
    </w:p>
  </w:footnote>
  <w:footnote w:id="356">
    <w:p w:rsidR="00224E75" w:rsidRDefault="00224E75" w:rsidP="00D1590E">
      <w:pPr>
        <w:pStyle w:val="FootnoteText"/>
      </w:pPr>
      <w:r>
        <w:rPr>
          <w:rStyle w:val="FootnoteReference"/>
        </w:rPr>
        <w:footnoteRef/>
      </w:r>
      <w:r>
        <w:t xml:space="preserve"> </w:t>
      </w:r>
      <w:r>
        <w:tab/>
        <w:t xml:space="preserve">PEG, 2015, p. 55; Frontier, </w:t>
      </w:r>
      <w:r w:rsidR="00EC33DE">
        <w:t xml:space="preserve">(NSW/ACT), </w:t>
      </w:r>
      <w:r>
        <w:t xml:space="preserve">pp. 40, 43; </w:t>
      </w:r>
      <w:r w:rsidR="00731E65" w:rsidRPr="00731E65">
        <w:t>Benchmarking and setting efficiency targets for the Australian DNSPs, (NSW DNSPs), 2015,</w:t>
      </w:r>
      <w:r w:rsidR="00731E65">
        <w:t xml:space="preserve"> </w:t>
      </w:r>
      <w:r>
        <w:t>p. 17.</w:t>
      </w:r>
    </w:p>
  </w:footnote>
  <w:footnote w:id="357">
    <w:p w:rsidR="00224E75" w:rsidRDefault="00224E75" w:rsidP="00D1590E">
      <w:pPr>
        <w:pStyle w:val="FootnoteText"/>
      </w:pPr>
      <w:r>
        <w:rPr>
          <w:rStyle w:val="FootnoteReference"/>
        </w:rPr>
        <w:footnoteRef/>
      </w:r>
      <w:r>
        <w:t xml:space="preserve"> </w:t>
      </w:r>
      <w:r>
        <w:tab/>
        <w:t>CEPA,</w:t>
      </w:r>
      <w:r w:rsidR="00731E65" w:rsidRPr="00731E65">
        <w:t xml:space="preserve"> Benchmarking and setting efficiency targets for the Australian DNSPs, (NSW DNSPs), 2015,</w:t>
      </w:r>
      <w:r>
        <w:t xml:space="preserve"> p. 17.</w:t>
      </w:r>
    </w:p>
  </w:footnote>
  <w:footnote w:id="358">
    <w:p w:rsidR="00224E75" w:rsidRDefault="00224E75" w:rsidP="00D1590E">
      <w:pPr>
        <w:pStyle w:val="FootnoteText"/>
      </w:pPr>
      <w:r>
        <w:rPr>
          <w:rStyle w:val="FootnoteReference"/>
        </w:rPr>
        <w:footnoteRef/>
      </w:r>
      <w:r>
        <w:t xml:space="preserve"> </w:t>
      </w:r>
      <w:r>
        <w:tab/>
        <w:t xml:space="preserve">Frontier, </w:t>
      </w:r>
      <w:r w:rsidR="00EC33DE">
        <w:t xml:space="preserve">(NSW/ACT), </w:t>
      </w:r>
      <w:r>
        <w:t>p. 18; PEG, 2015, p. 55.</w:t>
      </w:r>
    </w:p>
  </w:footnote>
  <w:footnote w:id="359">
    <w:p w:rsidR="00224E75" w:rsidRDefault="00224E75" w:rsidP="00D1590E">
      <w:pPr>
        <w:pStyle w:val="FootnoteText"/>
      </w:pPr>
      <w:r>
        <w:rPr>
          <w:rStyle w:val="FootnoteReference"/>
        </w:rPr>
        <w:footnoteRef/>
      </w:r>
      <w:r>
        <w:t xml:space="preserve"> </w:t>
      </w:r>
      <w:r>
        <w:tab/>
        <w:t>Economic Insights (2014), p. 14.</w:t>
      </w:r>
    </w:p>
  </w:footnote>
  <w:footnote w:id="360">
    <w:p w:rsidR="00224E75" w:rsidRDefault="00224E75" w:rsidP="00D1590E">
      <w:pPr>
        <w:pStyle w:val="FootnoteText"/>
      </w:pPr>
      <w:r>
        <w:rPr>
          <w:rStyle w:val="FootnoteReference"/>
        </w:rPr>
        <w:footnoteRef/>
      </w:r>
      <w:r>
        <w:t xml:space="preserve"> </w:t>
      </w:r>
      <w:r>
        <w:tab/>
        <w:t>Economic Insights (2014), p. 17.</w:t>
      </w:r>
    </w:p>
  </w:footnote>
  <w:footnote w:id="361">
    <w:p w:rsidR="00224E75" w:rsidRDefault="00224E75" w:rsidP="00D1590E">
      <w:pPr>
        <w:pStyle w:val="FootnoteText"/>
      </w:pPr>
      <w:r>
        <w:rPr>
          <w:rStyle w:val="FootnoteReference"/>
        </w:rPr>
        <w:footnoteRef/>
      </w:r>
      <w:r>
        <w:t xml:space="preserve"> </w:t>
      </w:r>
      <w:r>
        <w:tab/>
        <w:t>PEG, 2014, pp. 57-63</w:t>
      </w:r>
    </w:p>
  </w:footnote>
  <w:footnote w:id="362">
    <w:p w:rsidR="00224E75" w:rsidRDefault="00224E75" w:rsidP="00D1590E">
      <w:pPr>
        <w:pStyle w:val="FootnoteText"/>
      </w:pPr>
      <w:r>
        <w:rPr>
          <w:rStyle w:val="FootnoteReference"/>
        </w:rPr>
        <w:footnoteRef/>
      </w:r>
      <w:r>
        <w:t xml:space="preserve"> </w:t>
      </w:r>
      <w:r>
        <w:tab/>
        <w:t xml:space="preserve">Frontier, </w:t>
      </w:r>
      <w:r w:rsidR="00EC33DE">
        <w:t xml:space="preserve">(NSW/ACT), </w:t>
      </w:r>
      <w:r>
        <w:t>pp. xviii-xix, 100-102.</w:t>
      </w:r>
    </w:p>
  </w:footnote>
  <w:footnote w:id="363">
    <w:p w:rsidR="00224E75" w:rsidRDefault="00224E75" w:rsidP="00D1590E">
      <w:pPr>
        <w:pStyle w:val="FootnoteText"/>
      </w:pPr>
      <w:r>
        <w:rPr>
          <w:rStyle w:val="FootnoteReference"/>
        </w:rPr>
        <w:footnoteRef/>
      </w:r>
      <w:r>
        <w:t xml:space="preserve"> </w:t>
      </w:r>
      <w:r>
        <w:tab/>
        <w:t>CEPA,</w:t>
      </w:r>
      <w:r w:rsidR="00731E65" w:rsidRPr="00731E65">
        <w:t xml:space="preserve"> Benchmarking and setting efficiency targets for the Australian DNSPs, (NSW DNSPs), 2015,</w:t>
      </w:r>
      <w:r>
        <w:t xml:space="preserve"> pp. 16-22.</w:t>
      </w:r>
    </w:p>
  </w:footnote>
  <w:footnote w:id="364">
    <w:p w:rsidR="00224E75" w:rsidRDefault="00224E75" w:rsidP="00D1590E">
      <w:pPr>
        <w:pStyle w:val="FootnoteText"/>
      </w:pPr>
      <w:r>
        <w:rPr>
          <w:rStyle w:val="FootnoteReference"/>
        </w:rPr>
        <w:footnoteRef/>
      </w:r>
      <w:r>
        <w:t xml:space="preserve"> </w:t>
      </w:r>
      <w:r>
        <w:tab/>
        <w:t>PEG, 2015, pp. 53-57; CEPA,</w:t>
      </w:r>
      <w:r w:rsidR="00731E65">
        <w:t xml:space="preserve"> </w:t>
      </w:r>
      <w:r w:rsidR="00731E65" w:rsidRPr="00731E65">
        <w:t>Benchmarking and setting efficiency targets for the Australian DNSPs, (NSW DNSPs), 2015,</w:t>
      </w:r>
      <w:r>
        <w:t xml:space="preserve"> p. 19. </w:t>
      </w:r>
    </w:p>
  </w:footnote>
  <w:footnote w:id="365">
    <w:p w:rsidR="00224E75" w:rsidRDefault="00224E75" w:rsidP="00D1590E">
      <w:pPr>
        <w:pStyle w:val="FootnoteText"/>
      </w:pPr>
      <w:r>
        <w:rPr>
          <w:rStyle w:val="FootnoteReference"/>
        </w:rPr>
        <w:footnoteRef/>
      </w:r>
      <w:r>
        <w:t xml:space="preserve"> </w:t>
      </w:r>
      <w:r>
        <w:tab/>
        <w:t xml:space="preserve">Frontier, </w:t>
      </w:r>
      <w:r w:rsidR="00EC33DE">
        <w:t xml:space="preserve">(NSW/ACT), </w:t>
      </w:r>
      <w:r>
        <w:t>pp. vii-viii.</w:t>
      </w:r>
    </w:p>
  </w:footnote>
  <w:footnote w:id="366">
    <w:p w:rsidR="00224E75" w:rsidRDefault="00224E75" w:rsidP="00D1590E">
      <w:pPr>
        <w:pStyle w:val="FootnoteText"/>
      </w:pPr>
      <w:r>
        <w:rPr>
          <w:rStyle w:val="FootnoteReference"/>
        </w:rPr>
        <w:footnoteRef/>
      </w:r>
      <w:r>
        <w:t xml:space="preserve"> </w:t>
      </w:r>
      <w:r>
        <w:tab/>
        <w:t>Economic Insights, 2014, pp. 47-48.</w:t>
      </w:r>
    </w:p>
  </w:footnote>
  <w:footnote w:id="367">
    <w:p w:rsidR="00224E75" w:rsidRDefault="00224E75" w:rsidP="00D1590E">
      <w:pPr>
        <w:pStyle w:val="FootnoteText"/>
      </w:pPr>
      <w:r>
        <w:rPr>
          <w:rStyle w:val="FootnoteReference"/>
        </w:rPr>
        <w:footnoteRef/>
      </w:r>
      <w:r>
        <w:t xml:space="preserve"> </w:t>
      </w:r>
      <w:r>
        <w:tab/>
        <w:t xml:space="preserve">Frontier Economics, (NSW/ACT) </w:t>
      </w:r>
      <w:r w:rsidRPr="00D75EE5">
        <w:t>2015, pp.</w:t>
      </w:r>
      <w:r>
        <w:t xml:space="preserve"> </w:t>
      </w:r>
      <w:r w:rsidRPr="00D75EE5">
        <w:t>25–31</w:t>
      </w:r>
      <w:r>
        <w:t xml:space="preserve">. </w:t>
      </w:r>
      <w:r w:rsidRPr="00D75EE5">
        <w:t>Synergies</w:t>
      </w:r>
      <w:r>
        <w:t>, (</w:t>
      </w:r>
      <w:r w:rsidRPr="00B865F4">
        <w:t>Ergon</w:t>
      </w:r>
      <w:r>
        <w:t>)</w:t>
      </w:r>
      <w:r w:rsidRPr="00D75EE5">
        <w:t xml:space="preserve"> 20</w:t>
      </w:r>
      <w:r>
        <w:t>15</w:t>
      </w:r>
      <w:r w:rsidRPr="00D75EE5">
        <w:t>, pp.</w:t>
      </w:r>
      <w:r>
        <w:t xml:space="preserve"> </w:t>
      </w:r>
      <w:r w:rsidRPr="00D75EE5">
        <w:t>4–5</w:t>
      </w:r>
      <w:r>
        <w:t xml:space="preserve">; </w:t>
      </w:r>
      <w:r w:rsidRPr="008A1F6D">
        <w:t>Huegin</w:t>
      </w:r>
      <w:r>
        <w:t>,</w:t>
      </w:r>
      <w:r w:rsidRPr="008A1F6D">
        <w:t xml:space="preserve"> </w:t>
      </w:r>
      <w:r>
        <w:t xml:space="preserve">(NSW), </w:t>
      </w:r>
      <w:r w:rsidRPr="008A1F6D">
        <w:t>2015</w:t>
      </w:r>
      <w:r>
        <w:t xml:space="preserve">, </w:t>
      </w:r>
      <w:r w:rsidRPr="008A1F6D">
        <w:t>pp.58–59</w:t>
      </w:r>
      <w:r>
        <w:t>.</w:t>
      </w:r>
    </w:p>
  </w:footnote>
  <w:footnote w:id="368">
    <w:p w:rsidR="00224E75" w:rsidRDefault="00224E75" w:rsidP="00D1590E">
      <w:pPr>
        <w:pStyle w:val="FootnoteText"/>
      </w:pPr>
      <w:r>
        <w:rPr>
          <w:rStyle w:val="FootnoteReference"/>
        </w:rPr>
        <w:footnoteRef/>
      </w:r>
      <w:r>
        <w:t xml:space="preserve"> </w:t>
      </w:r>
      <w:r>
        <w:tab/>
        <w:t xml:space="preserve">PwC, </w:t>
      </w:r>
      <w:r w:rsidRPr="00224E75">
        <w:t xml:space="preserve">Jan 2015, </w:t>
      </w:r>
      <w:r>
        <w:t>pp. 24-32.</w:t>
      </w:r>
    </w:p>
  </w:footnote>
  <w:footnote w:id="369">
    <w:p w:rsidR="00224E75" w:rsidRDefault="00224E75" w:rsidP="00D1590E">
      <w:pPr>
        <w:pStyle w:val="FootnoteText"/>
      </w:pPr>
      <w:r>
        <w:rPr>
          <w:rStyle w:val="FootnoteReference"/>
        </w:rPr>
        <w:footnoteRef/>
      </w:r>
      <w:r>
        <w:t xml:space="preserve"> </w:t>
      </w:r>
      <w:r>
        <w:tab/>
        <w:t xml:space="preserve">PwC, </w:t>
      </w:r>
      <w:r w:rsidRPr="00224E75">
        <w:t xml:space="preserve">Jan 2015, </w:t>
      </w:r>
      <w:r>
        <w:t>pp. 33-37.</w:t>
      </w:r>
    </w:p>
  </w:footnote>
  <w:footnote w:id="370">
    <w:p w:rsidR="00224E75" w:rsidRDefault="00224E75" w:rsidP="00D1590E">
      <w:pPr>
        <w:pStyle w:val="FootnoteText"/>
      </w:pPr>
      <w:r>
        <w:rPr>
          <w:rStyle w:val="FootnoteReference"/>
        </w:rPr>
        <w:footnoteRef/>
      </w:r>
      <w:r>
        <w:t xml:space="preserve"> </w:t>
      </w:r>
      <w:r>
        <w:tab/>
        <w:t xml:space="preserve">Frontier Economics, (NSW/ACT) </w:t>
      </w:r>
      <w:r w:rsidRPr="00D75EE5">
        <w:t>2015, pp.</w:t>
      </w:r>
      <w:r>
        <w:t xml:space="preserve"> </w:t>
      </w:r>
      <w:r w:rsidRPr="00D75EE5">
        <w:t>25–31</w:t>
      </w:r>
      <w:r>
        <w:t xml:space="preserve">. </w:t>
      </w:r>
      <w:r w:rsidRPr="00D75EE5">
        <w:t>Synergies</w:t>
      </w:r>
      <w:r>
        <w:t>, (</w:t>
      </w:r>
      <w:r w:rsidRPr="00B865F4">
        <w:t>Ergon</w:t>
      </w:r>
      <w:r>
        <w:t>)</w:t>
      </w:r>
      <w:r w:rsidRPr="00D75EE5">
        <w:t xml:space="preserve"> 20</w:t>
      </w:r>
      <w:r>
        <w:t>15</w:t>
      </w:r>
      <w:r w:rsidRPr="00D75EE5">
        <w:t>, pp.</w:t>
      </w:r>
      <w:r>
        <w:t xml:space="preserve"> </w:t>
      </w:r>
      <w:r w:rsidRPr="00D75EE5">
        <w:t>4–5</w:t>
      </w:r>
      <w:r>
        <w:t>;</w:t>
      </w:r>
      <w:r w:rsidRPr="00DA48D7">
        <w:t xml:space="preserve"> </w:t>
      </w:r>
      <w:r w:rsidRPr="008A1F6D">
        <w:t>Huegin</w:t>
      </w:r>
      <w:r>
        <w:t>,</w:t>
      </w:r>
      <w:r w:rsidRPr="008A1F6D">
        <w:t xml:space="preserve"> </w:t>
      </w:r>
      <w:r>
        <w:t xml:space="preserve">(NSW), </w:t>
      </w:r>
      <w:r w:rsidRPr="008A1F6D">
        <w:t>2015</w:t>
      </w:r>
      <w:r>
        <w:t xml:space="preserve">, </w:t>
      </w:r>
      <w:r w:rsidRPr="008A1F6D">
        <w:t>pp.58–59</w:t>
      </w:r>
      <w:r>
        <w:t>.</w:t>
      </w:r>
    </w:p>
  </w:footnote>
  <w:footnote w:id="371">
    <w:p w:rsidR="00224E75" w:rsidRDefault="00224E75" w:rsidP="00D1590E">
      <w:pPr>
        <w:pStyle w:val="FootnoteText"/>
      </w:pPr>
      <w:r>
        <w:rPr>
          <w:rStyle w:val="FootnoteReference"/>
        </w:rPr>
        <w:footnoteRef/>
      </w:r>
      <w:r>
        <w:t xml:space="preserve"> </w:t>
      </w:r>
      <w:r>
        <w:tab/>
        <w:t>Economic Insights, 2015, p.  30.</w:t>
      </w:r>
    </w:p>
  </w:footnote>
  <w:footnote w:id="372">
    <w:p w:rsidR="00224E75" w:rsidRDefault="00224E75" w:rsidP="00D1590E">
      <w:pPr>
        <w:pStyle w:val="FootnoteText"/>
      </w:pPr>
      <w:r>
        <w:rPr>
          <w:rStyle w:val="FootnoteReference"/>
        </w:rPr>
        <w:footnoteRef/>
      </w:r>
      <w:r>
        <w:t xml:space="preserve"> </w:t>
      </w:r>
      <w:r>
        <w:tab/>
        <w:t>Economic Insights (2015), p. 30 (section 3.3)</w:t>
      </w:r>
    </w:p>
  </w:footnote>
  <w:footnote w:id="373">
    <w:p w:rsidR="00224E75" w:rsidRDefault="00224E75" w:rsidP="00D1590E">
      <w:pPr>
        <w:pStyle w:val="FootnoteText"/>
      </w:pPr>
      <w:r>
        <w:rPr>
          <w:rStyle w:val="FootnoteReference"/>
        </w:rPr>
        <w:footnoteRef/>
      </w:r>
      <w:r>
        <w:t xml:space="preserve"> </w:t>
      </w:r>
      <w:r>
        <w:tab/>
        <w:t>EMCA, 2015, p. 1.</w:t>
      </w:r>
    </w:p>
  </w:footnote>
  <w:footnote w:id="374">
    <w:p w:rsidR="00224E75" w:rsidRDefault="00224E75" w:rsidP="00D1590E">
      <w:pPr>
        <w:pStyle w:val="FootnoteText"/>
      </w:pPr>
      <w:r>
        <w:rPr>
          <w:rStyle w:val="FootnoteReference"/>
        </w:rPr>
        <w:footnoteRef/>
      </w:r>
      <w:r>
        <w:t xml:space="preserve"> </w:t>
      </w:r>
      <w:r>
        <w:tab/>
        <w:t xml:space="preserve">Economic Insights, 2015, p. 30. </w:t>
      </w:r>
    </w:p>
  </w:footnote>
  <w:footnote w:id="375">
    <w:p w:rsidR="00224E75" w:rsidRDefault="00224E75" w:rsidP="00D1590E">
      <w:pPr>
        <w:pStyle w:val="FootnoteText"/>
      </w:pPr>
      <w:r>
        <w:rPr>
          <w:rStyle w:val="FootnoteReference"/>
        </w:rPr>
        <w:footnoteRef/>
      </w:r>
      <w:r>
        <w:t xml:space="preserve"> </w:t>
      </w:r>
      <w:r>
        <w:tab/>
        <w:t xml:space="preserve">PwC, </w:t>
      </w:r>
      <w:r w:rsidRPr="00224E75">
        <w:t xml:space="preserve">Jan 2015, </w:t>
      </w:r>
      <w:r>
        <w:t>pp. 24-32.</w:t>
      </w:r>
    </w:p>
  </w:footnote>
  <w:footnote w:id="376">
    <w:p w:rsidR="00224E75" w:rsidRDefault="00224E75" w:rsidP="00D1590E">
      <w:pPr>
        <w:pStyle w:val="FootnoteText"/>
      </w:pPr>
      <w:r>
        <w:rPr>
          <w:rStyle w:val="FootnoteReference"/>
        </w:rPr>
        <w:footnoteRef/>
      </w:r>
      <w:r>
        <w:t xml:space="preserve"> </w:t>
      </w:r>
      <w:r>
        <w:tab/>
        <w:t>Economic Insights, 2014, p. 3.</w:t>
      </w:r>
    </w:p>
  </w:footnote>
  <w:footnote w:id="377">
    <w:p w:rsidR="00224E75" w:rsidRDefault="00224E75" w:rsidP="00D1590E">
      <w:pPr>
        <w:pStyle w:val="FootnoteText"/>
      </w:pPr>
      <w:r>
        <w:rPr>
          <w:rStyle w:val="FootnoteReference"/>
        </w:rPr>
        <w:footnoteRef/>
      </w:r>
      <w:r>
        <w:t xml:space="preserve"> </w:t>
      </w:r>
      <w:r>
        <w:tab/>
      </w:r>
      <w:r w:rsidRPr="00AB1F6D">
        <w:t>RAB data is relevant to our MTFP model and opex MPFP model. We use RAB data to weight the volume of inputs and outputs. However, because MTFP is an index-based benchmarking method, the outcomes of the MTFP model will be less sensitive to the weighting of inputs than they will be to the amounts of the inputs themselves. Therefore, any purported comparability concerns with RAB data will have only a very minimal impact on the MTFP results. Economic Insights, 2015.</w:t>
      </w:r>
    </w:p>
  </w:footnote>
  <w:footnote w:id="378">
    <w:p w:rsidR="00224E75" w:rsidRDefault="00224E75" w:rsidP="00D1590E">
      <w:pPr>
        <w:pStyle w:val="FootnoteText"/>
      </w:pPr>
      <w:r>
        <w:rPr>
          <w:rStyle w:val="FootnoteReference"/>
        </w:rPr>
        <w:footnoteRef/>
      </w:r>
      <w:r>
        <w:t xml:space="preserve"> </w:t>
      </w:r>
      <w:r>
        <w:tab/>
        <w:t>We have used route line length normalise the results of our PPIs. However, we consider that discrepancies in the measurement of route line length will not affect the conclusions of this analysis. The large differences in customer density in these models are not likely to be impacted by slight inaccuracies in the estimates of route line length. In addition, as part of our testing and validation process, we identified and adjusted for the issue with UED's route line length identified by PwC. We circulated this data set to all service providers with our draft economic benchmarking report and published this data set on our website with our draft determination.</w:t>
      </w:r>
    </w:p>
  </w:footnote>
  <w:footnote w:id="379">
    <w:p w:rsidR="00224E75" w:rsidRDefault="00224E75" w:rsidP="00D1590E">
      <w:pPr>
        <w:pStyle w:val="FootnoteText"/>
      </w:pPr>
      <w:r>
        <w:rPr>
          <w:rStyle w:val="FootnoteReference"/>
        </w:rPr>
        <w:footnoteRef/>
      </w:r>
      <w:r>
        <w:t xml:space="preserve"> </w:t>
      </w:r>
      <w:r>
        <w:tab/>
        <w:t xml:space="preserve">PWC, </w:t>
      </w:r>
      <w:r w:rsidRPr="00224E75">
        <w:t xml:space="preserve">Jan 2015, </w:t>
      </w:r>
      <w:r>
        <w:t xml:space="preserve">p. 31. EY, </w:t>
      </w:r>
      <w:r w:rsidRPr="00083667">
        <w:t>Briefing Paper:</w:t>
      </w:r>
      <w:r>
        <w:t xml:space="preserve"> </w:t>
      </w:r>
      <w:r w:rsidRPr="00083667">
        <w:t>RIN Data Review</w:t>
      </w:r>
      <w:r>
        <w:t xml:space="preserve"> </w:t>
      </w:r>
      <w:r w:rsidRPr="00083667">
        <w:t>Ergon Energy</w:t>
      </w:r>
      <w:r>
        <w:t xml:space="preserve">, </w:t>
      </w:r>
      <w:r w:rsidRPr="00083667">
        <w:t>13 February 2015</w:t>
      </w:r>
      <w:r>
        <w:t>, pp. 6–7.</w:t>
      </w:r>
    </w:p>
  </w:footnote>
  <w:footnote w:id="380">
    <w:p w:rsidR="00224E75" w:rsidRDefault="00224E75" w:rsidP="00D1590E">
      <w:pPr>
        <w:pStyle w:val="FootnoteText"/>
      </w:pPr>
      <w:r>
        <w:rPr>
          <w:rStyle w:val="FootnoteReference"/>
        </w:rPr>
        <w:footnoteRef/>
      </w:r>
      <w:r>
        <w:t xml:space="preserve"> </w:t>
      </w:r>
      <w:r>
        <w:tab/>
        <w:t xml:space="preserve">PwC, </w:t>
      </w:r>
      <w:r w:rsidRPr="00224E75">
        <w:t xml:space="preserve">Jan 2015, </w:t>
      </w:r>
      <w:r>
        <w:t>pp. 33-37.</w:t>
      </w:r>
    </w:p>
  </w:footnote>
  <w:footnote w:id="381">
    <w:p w:rsidR="00224E75" w:rsidRDefault="00224E75" w:rsidP="00D1590E">
      <w:pPr>
        <w:pStyle w:val="FootnoteText"/>
      </w:pPr>
      <w:r>
        <w:rPr>
          <w:rStyle w:val="FootnoteReference"/>
        </w:rPr>
        <w:footnoteRef/>
      </w:r>
      <w:r>
        <w:t xml:space="preserve"> </w:t>
      </w:r>
      <w:r>
        <w:tab/>
        <w:t>AER, Draft decision – attachment 7, section A.5.</w:t>
      </w:r>
    </w:p>
  </w:footnote>
  <w:footnote w:id="382">
    <w:p w:rsidR="00224E75" w:rsidRDefault="00224E75" w:rsidP="00D1590E">
      <w:pPr>
        <w:pStyle w:val="FootnoteText"/>
      </w:pPr>
      <w:r>
        <w:rPr>
          <w:rStyle w:val="FootnoteReference"/>
        </w:rPr>
        <w:footnoteRef/>
      </w:r>
      <w:r>
        <w:t xml:space="preserve"> </w:t>
      </w:r>
      <w:r>
        <w:tab/>
        <w:t>AER, Draft decision – attachment 7, section A.5.</w:t>
      </w:r>
    </w:p>
  </w:footnote>
  <w:footnote w:id="383">
    <w:p w:rsidR="00224E75" w:rsidRDefault="00224E75" w:rsidP="00D1590E">
      <w:pPr>
        <w:pStyle w:val="FootnoteText"/>
      </w:pPr>
      <w:r>
        <w:rPr>
          <w:rStyle w:val="FootnoteReference"/>
        </w:rPr>
        <w:footnoteRef/>
      </w:r>
      <w:r>
        <w:t xml:space="preserve"> </w:t>
      </w:r>
      <w:r>
        <w:tab/>
        <w:t>AER, Draft decision – attachment 7, section A.5.</w:t>
      </w:r>
    </w:p>
  </w:footnote>
  <w:footnote w:id="384">
    <w:p w:rsidR="00224E75" w:rsidRDefault="00224E75" w:rsidP="00D1590E">
      <w:pPr>
        <w:pStyle w:val="FootnoteText"/>
      </w:pPr>
      <w:r>
        <w:rPr>
          <w:rStyle w:val="FootnoteReference"/>
        </w:rPr>
        <w:footnoteRef/>
      </w:r>
      <w:r>
        <w:t xml:space="preserve"> </w:t>
      </w:r>
      <w:r>
        <w:tab/>
        <w:t>AER, Draft decision – attachment 7, p. 7-24.</w:t>
      </w:r>
    </w:p>
  </w:footnote>
  <w:footnote w:id="385">
    <w:p w:rsidR="00224E75" w:rsidRDefault="00224E75" w:rsidP="00D1590E">
      <w:pPr>
        <w:pStyle w:val="FootnoteText"/>
      </w:pPr>
      <w:r>
        <w:rPr>
          <w:rStyle w:val="FootnoteReference"/>
        </w:rPr>
        <w:footnoteRef/>
      </w:r>
      <w:r>
        <w:t xml:space="preserve"> </w:t>
      </w:r>
      <w:r>
        <w:tab/>
        <w:t>Economic Insights, 2015, p. 56.</w:t>
      </w:r>
    </w:p>
  </w:footnote>
  <w:footnote w:id="386">
    <w:p w:rsidR="00224E75" w:rsidRDefault="00224E75" w:rsidP="00D1590E">
      <w:pPr>
        <w:pStyle w:val="FootnoteText"/>
      </w:pPr>
      <w:r>
        <w:rPr>
          <w:rStyle w:val="FootnoteReference"/>
        </w:rPr>
        <w:footnoteRef/>
      </w:r>
      <w:r>
        <w:t xml:space="preserve"> </w:t>
      </w:r>
      <w:r>
        <w:tab/>
        <w:t xml:space="preserve">Essential Energy, Revised revenue proposal, 2015, p. 189;  Endeavour Energy, Revised regulatory proposal, 2015, p. 169; </w:t>
      </w:r>
      <w:r>
        <w:tab/>
        <w:t xml:space="preserve">Ausgrid, Revised regulatory proposal, 2015, p. 130; </w:t>
      </w:r>
      <w:r>
        <w:tab/>
        <w:t xml:space="preserve">ActewAGL, Revised regulatory proposal, 2015, p. 83; </w:t>
      </w:r>
      <w:r w:rsidRPr="00BE00D7">
        <w:t>CEPA</w:t>
      </w:r>
      <w:r w:rsidR="00731E65">
        <w:t>,</w:t>
      </w:r>
      <w:r w:rsidRPr="00BE00D7">
        <w:t xml:space="preserve"> </w:t>
      </w:r>
      <w:r w:rsidR="00731E65" w:rsidRPr="00731E65">
        <w:t>Benchmarking and setting efficiency targets for the Australian DNSPs, (NSW DNSPs), 2015,</w:t>
      </w:r>
      <w:r w:rsidR="00731E65">
        <w:t xml:space="preserve"> </w:t>
      </w:r>
      <w:r w:rsidRPr="00BE00D7">
        <w:t>p. 32</w:t>
      </w:r>
    </w:p>
  </w:footnote>
  <w:footnote w:id="387">
    <w:p w:rsidR="00224E75" w:rsidRDefault="00224E75" w:rsidP="00D1590E">
      <w:pPr>
        <w:pStyle w:val="FootnoteText"/>
      </w:pPr>
      <w:r>
        <w:rPr>
          <w:rStyle w:val="FootnoteReference"/>
        </w:rPr>
        <w:footnoteRef/>
      </w:r>
      <w:r>
        <w:t xml:space="preserve"> </w:t>
      </w:r>
      <w:r>
        <w:tab/>
        <w:t>PEGR, 2014, p. 30.</w:t>
      </w:r>
    </w:p>
  </w:footnote>
  <w:footnote w:id="388">
    <w:p w:rsidR="00224E75" w:rsidRDefault="00224E75" w:rsidP="00D1590E">
      <w:pPr>
        <w:pStyle w:val="FootnoteText"/>
      </w:pPr>
      <w:r>
        <w:rPr>
          <w:rStyle w:val="FootnoteReference"/>
        </w:rPr>
        <w:footnoteRef/>
      </w:r>
      <w:r>
        <w:t xml:space="preserve"> </w:t>
      </w:r>
      <w:r>
        <w:tab/>
        <w:t xml:space="preserve">CCP, </w:t>
      </w:r>
      <w:r w:rsidRPr="007B7912">
        <w:t>Responding to NSW draft determinations and revised proposals from electricity distribution networks</w:t>
      </w:r>
      <w:r>
        <w:t>, 2015, p. 50.</w:t>
      </w:r>
    </w:p>
  </w:footnote>
  <w:footnote w:id="389">
    <w:p w:rsidR="00224E75" w:rsidRDefault="00224E75" w:rsidP="00D1590E">
      <w:pPr>
        <w:pStyle w:val="FootnoteText"/>
      </w:pPr>
      <w:r>
        <w:rPr>
          <w:rStyle w:val="FootnoteReference"/>
        </w:rPr>
        <w:footnoteRef/>
      </w:r>
      <w:r>
        <w:t xml:space="preserve"> </w:t>
      </w:r>
      <w:r>
        <w:tab/>
      </w:r>
      <w:r w:rsidRPr="00716B4D">
        <w:t>Economic I</w:t>
      </w:r>
      <w:r>
        <w:t>nsights,</w:t>
      </w:r>
      <w:r w:rsidRPr="00716B4D">
        <w:t xml:space="preserve"> The Productivity</w:t>
      </w:r>
      <w:r>
        <w:t xml:space="preserve"> </w:t>
      </w:r>
      <w:r w:rsidRPr="00716B4D">
        <w:t>Performance of Jemena Gas</w:t>
      </w:r>
      <w:r>
        <w:t xml:space="preserve"> </w:t>
      </w:r>
      <w:r w:rsidRPr="00716B4D">
        <w:t>Networks’ NSW Gas Distribution</w:t>
      </w:r>
      <w:r>
        <w:t xml:space="preserve"> </w:t>
      </w:r>
      <w:r w:rsidRPr="00716B4D">
        <w:t>System</w:t>
      </w:r>
      <w:r>
        <w:t xml:space="preserve"> </w:t>
      </w:r>
      <w:r w:rsidRPr="00716B4D">
        <w:t>Jemena Gas Networks</w:t>
      </w:r>
      <w:r>
        <w:t xml:space="preserve"> </w:t>
      </w:r>
      <w:r w:rsidRPr="00716B4D">
        <w:t>(NSW) – Access</w:t>
      </w:r>
      <w:r>
        <w:t xml:space="preserve"> </w:t>
      </w:r>
      <w:r w:rsidRPr="00716B4D">
        <w:t>Arrangement Information –</w:t>
      </w:r>
      <w:r>
        <w:t xml:space="preserve"> </w:t>
      </w:r>
      <w:r w:rsidRPr="00716B4D">
        <w:t>Appendix 6.7</w:t>
      </w:r>
      <w:r>
        <w:t xml:space="preserve">, </w:t>
      </w:r>
      <w:r w:rsidRPr="007F1669">
        <w:t>August 2009</w:t>
      </w:r>
    </w:p>
    <w:p w:rsidR="00224E75" w:rsidRDefault="00224E75" w:rsidP="00D1590E">
      <w:pPr>
        <w:pStyle w:val="FootnoteText"/>
      </w:pPr>
      <w:r>
        <w:tab/>
        <w:t>Economic Insights,</w:t>
      </w:r>
      <w:r w:rsidRPr="007F1669">
        <w:t xml:space="preserve"> 2013-2017 Gas Access</w:t>
      </w:r>
      <w:r>
        <w:t xml:space="preserve"> </w:t>
      </w:r>
      <w:r w:rsidRPr="007F1669">
        <w:t>Arrangement Review –</w:t>
      </w:r>
      <w:r>
        <w:t xml:space="preserve"> </w:t>
      </w:r>
      <w:r w:rsidRPr="007F1669">
        <w:t>Access Arrangement</w:t>
      </w:r>
      <w:r>
        <w:t xml:space="preserve"> </w:t>
      </w:r>
      <w:r w:rsidRPr="007F1669">
        <w:t>Information</w:t>
      </w:r>
      <w:r>
        <w:t xml:space="preserve"> </w:t>
      </w:r>
      <w:r w:rsidRPr="007F1669">
        <w:t>Appendix 6B</w:t>
      </w:r>
      <w:r>
        <w:t>, 2012.</w:t>
      </w:r>
    </w:p>
  </w:footnote>
  <w:footnote w:id="390">
    <w:p w:rsidR="00224E75" w:rsidRDefault="00224E75" w:rsidP="00D1590E">
      <w:pPr>
        <w:pStyle w:val="FootnoteText"/>
      </w:pPr>
      <w:r>
        <w:rPr>
          <w:rStyle w:val="FootnoteReference"/>
        </w:rPr>
        <w:footnoteRef/>
      </w:r>
      <w:r>
        <w:t xml:space="preserve"> </w:t>
      </w:r>
      <w:r>
        <w:tab/>
        <w:t>We circulated, for comment,(1) preliminary EB RIN templates (2) revised preliminary RIN templates (3) draft RIN templates (4) draft expenditure forecast assessment guidelines.</w:t>
      </w:r>
    </w:p>
  </w:footnote>
  <w:footnote w:id="391">
    <w:p w:rsidR="00224E75" w:rsidRDefault="00224E75" w:rsidP="00D1590E">
      <w:pPr>
        <w:pStyle w:val="FootnoteText"/>
      </w:pPr>
      <w:r>
        <w:rPr>
          <w:rStyle w:val="FootnoteReference"/>
        </w:rPr>
        <w:footnoteRef/>
      </w:r>
      <w:r>
        <w:t xml:space="preserve"> </w:t>
      </w:r>
      <w:r>
        <w:tab/>
        <w:t>We did not only publish the data, but we also published the basis of preparation of each of the service providers of the data. The basis of preparation describes how the service providers completed the templates.</w:t>
      </w:r>
    </w:p>
  </w:footnote>
  <w:footnote w:id="392">
    <w:p w:rsidR="00224E75" w:rsidRDefault="00224E75" w:rsidP="00BD1EAD">
      <w:pPr>
        <w:pStyle w:val="FootnoteText"/>
      </w:pPr>
      <w:r>
        <w:rPr>
          <w:rStyle w:val="FootnoteReference"/>
        </w:rPr>
        <w:footnoteRef/>
      </w:r>
      <w:r>
        <w:t xml:space="preserve"> </w:t>
      </w:r>
      <w:r>
        <w:tab/>
      </w:r>
      <w:r w:rsidRPr="00BD1EAD">
        <w:t xml:space="preserve">Citipower and Powercor, Publication Of The Economic Benchmarking RIN, June 2014. Citipower and Powercor commented on differences in the calculation of MVA capacity of lines across the service providers. They recommended that "The AER sensitivity test the impact on the benchmarking results by applying standard capacity values across different DNSPs". In response to this comment we undertook sensitivity tests of the data. Submissions are on our website at: </w:t>
      </w:r>
      <w:hyperlink r:id="rId1" w:history="1">
        <w:r w:rsidRPr="00BD1EAD">
          <w:rPr>
            <w:rStyle w:val="Hyperlink"/>
            <w:color w:val="auto"/>
            <w:sz w:val="16"/>
            <w:u w:val="none"/>
          </w:rPr>
          <w:t>http://www.aer.gov.au/node/25078</w:t>
        </w:r>
      </w:hyperlink>
      <w:r>
        <w:rPr>
          <w:rStyle w:val="Hyperlink"/>
        </w:rPr>
        <w:t>.</w:t>
      </w:r>
    </w:p>
  </w:footnote>
  <w:footnote w:id="393">
    <w:p w:rsidR="00224E75" w:rsidRDefault="00224E75" w:rsidP="00BD1EAD">
      <w:pPr>
        <w:pStyle w:val="FootnoteText"/>
      </w:pPr>
      <w:r>
        <w:rPr>
          <w:rStyle w:val="FootnoteReference"/>
        </w:rPr>
        <w:footnoteRef/>
      </w:r>
      <w:r>
        <w:t xml:space="preserve"> </w:t>
      </w:r>
      <w:r>
        <w:tab/>
      </w:r>
      <w:r w:rsidRPr="00BD1EAD">
        <w:t xml:space="preserve">Energex's submission is on our website at: </w:t>
      </w:r>
      <w:hyperlink r:id="rId2" w:history="1">
        <w:r w:rsidRPr="00BD1EAD">
          <w:rPr>
            <w:rStyle w:val="Hyperlink"/>
            <w:color w:val="auto"/>
            <w:sz w:val="16"/>
            <w:u w:val="none"/>
          </w:rPr>
          <w:t>http://www.aer.gov.au/node/25078</w:t>
        </w:r>
      </w:hyperlink>
      <w:r w:rsidRPr="00BD1EAD">
        <w:rPr>
          <w:rStyle w:val="Hyperlink"/>
          <w:color w:val="auto"/>
          <w:sz w:val="16"/>
          <w:u w:val="none"/>
        </w:rPr>
        <w:t>.</w:t>
      </w:r>
    </w:p>
  </w:footnote>
  <w:footnote w:id="394">
    <w:p w:rsidR="00224E75" w:rsidRDefault="00224E75" w:rsidP="00D1590E">
      <w:pPr>
        <w:pStyle w:val="FootnoteText"/>
      </w:pPr>
      <w:r>
        <w:rPr>
          <w:rStyle w:val="FootnoteReference"/>
        </w:rPr>
        <w:footnoteRef/>
      </w:r>
      <w:r>
        <w:t xml:space="preserve"> </w:t>
      </w:r>
      <w:r>
        <w:tab/>
        <w:t xml:space="preserve">Frontier, </w:t>
      </w:r>
      <w:r w:rsidR="00EC33DE">
        <w:t xml:space="preserve">(NSW/ACT), </w:t>
      </w:r>
      <w:r>
        <w:t>p. 101.</w:t>
      </w:r>
    </w:p>
  </w:footnote>
  <w:footnote w:id="395">
    <w:p w:rsidR="00224E75" w:rsidRDefault="00224E75" w:rsidP="00D1590E">
      <w:pPr>
        <w:pStyle w:val="FootnoteText"/>
      </w:pPr>
      <w:r>
        <w:rPr>
          <w:rStyle w:val="FootnoteReference"/>
        </w:rPr>
        <w:footnoteRef/>
      </w:r>
      <w:r>
        <w:t xml:space="preserve"> </w:t>
      </w:r>
      <w:r>
        <w:tab/>
        <w:t>Economic Insights, 2014, p. 3.</w:t>
      </w:r>
    </w:p>
  </w:footnote>
  <w:footnote w:id="396">
    <w:p w:rsidR="00224E75" w:rsidRDefault="00224E75" w:rsidP="00D1590E">
      <w:pPr>
        <w:pStyle w:val="FootnoteText"/>
      </w:pPr>
      <w:r>
        <w:rPr>
          <w:rStyle w:val="FootnoteReference"/>
        </w:rPr>
        <w:footnoteRef/>
      </w:r>
      <w:r>
        <w:t xml:space="preserve"> </w:t>
      </w:r>
      <w:r>
        <w:tab/>
        <w:t>ActewAGL, Revised Regulatory Proposal, pp. 125-134, attachment C12; Ausgrid, Revised Regulatory Proposal, pp. 130-142.</w:t>
      </w:r>
    </w:p>
  </w:footnote>
  <w:footnote w:id="397">
    <w:p w:rsidR="00224E75" w:rsidRDefault="00224E75" w:rsidP="00D1590E">
      <w:pPr>
        <w:pStyle w:val="FootnoteText"/>
      </w:pPr>
      <w:r>
        <w:rPr>
          <w:rStyle w:val="FootnoteReference"/>
        </w:rPr>
        <w:footnoteRef/>
      </w:r>
      <w:r>
        <w:t xml:space="preserve"> </w:t>
      </w:r>
      <w:r>
        <w:tab/>
        <w:t>ActewAGL, Revised Regulatory Proposal, pp. 125-134, attachment C12; Ausgrid, Revised Regulatory Proposal, pp. 130-142.</w:t>
      </w:r>
    </w:p>
  </w:footnote>
  <w:footnote w:id="398">
    <w:p w:rsidR="00224E75" w:rsidRDefault="00224E75" w:rsidP="00D1590E">
      <w:pPr>
        <w:pStyle w:val="FootnoteText"/>
      </w:pPr>
      <w:r>
        <w:rPr>
          <w:rStyle w:val="FootnoteReference"/>
        </w:rPr>
        <w:footnoteRef/>
      </w:r>
      <w:r>
        <w:t xml:space="preserve"> </w:t>
      </w:r>
      <w:r>
        <w:tab/>
        <w:t>AER, Draft RIN for economic benchmarking–explanatory statement, September 2013, pp. 16-17.</w:t>
      </w:r>
    </w:p>
  </w:footnote>
  <w:footnote w:id="399">
    <w:p w:rsidR="00224E75" w:rsidRDefault="00224E75" w:rsidP="00D1590E">
      <w:pPr>
        <w:pStyle w:val="FootnoteText"/>
      </w:pPr>
      <w:r>
        <w:rPr>
          <w:rStyle w:val="FootnoteReference"/>
        </w:rPr>
        <w:footnoteRef/>
      </w:r>
      <w:r>
        <w:t xml:space="preserve"> </w:t>
      </w:r>
      <w:r>
        <w:tab/>
        <w:t xml:space="preserve">Frontier, </w:t>
      </w:r>
      <w:r w:rsidR="00EC33DE">
        <w:t xml:space="preserve">(NSW/ACT), </w:t>
      </w:r>
      <w:r>
        <w:t>pp. 102-103.</w:t>
      </w:r>
    </w:p>
  </w:footnote>
  <w:footnote w:id="400">
    <w:p w:rsidR="00224E75" w:rsidRDefault="00224E75" w:rsidP="00D1590E">
      <w:pPr>
        <w:pStyle w:val="FootnoteText"/>
      </w:pPr>
      <w:r>
        <w:rPr>
          <w:rStyle w:val="FootnoteReference"/>
        </w:rPr>
        <w:footnoteRef/>
      </w:r>
      <w:r>
        <w:t xml:space="preserve"> </w:t>
      </w:r>
      <w:r>
        <w:tab/>
      </w:r>
      <w:r w:rsidRPr="00E82121">
        <w:rPr>
          <w:lang w:eastAsia="en-AU"/>
        </w:rPr>
        <w:t>C3 - CEPA</w:t>
      </w:r>
      <w:r w:rsidR="00731E65">
        <w:t>,</w:t>
      </w:r>
      <w:r w:rsidRPr="00E82121">
        <w:rPr>
          <w:lang w:eastAsia="en-AU"/>
        </w:rPr>
        <w:t xml:space="preserve"> </w:t>
      </w:r>
      <w:r w:rsidR="00731E65" w:rsidRPr="00731E65">
        <w:rPr>
          <w:lang w:eastAsia="en-AU"/>
        </w:rPr>
        <w:t>Benchmarking and setting efficiency targets for the Australian DNSPs, (NSW DNSPs), 2015,</w:t>
      </w:r>
      <w:r w:rsidRPr="00E82121">
        <w:rPr>
          <w:lang w:eastAsia="en-AU"/>
        </w:rPr>
        <w:t xml:space="preserve"> p. 54-55</w:t>
      </w:r>
    </w:p>
  </w:footnote>
  <w:footnote w:id="401">
    <w:p w:rsidR="00224E75" w:rsidRDefault="00224E75" w:rsidP="00D1590E">
      <w:pPr>
        <w:pStyle w:val="FootnoteText"/>
      </w:pPr>
      <w:r>
        <w:rPr>
          <w:rStyle w:val="FootnoteReference"/>
        </w:rPr>
        <w:footnoteRef/>
      </w:r>
      <w:r>
        <w:t xml:space="preserve"> </w:t>
      </w:r>
      <w:r>
        <w:tab/>
        <w:t>PEG, 2015, p. 65.</w:t>
      </w:r>
    </w:p>
  </w:footnote>
  <w:footnote w:id="402">
    <w:p w:rsidR="00224E75" w:rsidRDefault="00224E75" w:rsidP="00D1590E">
      <w:pPr>
        <w:pStyle w:val="FootnoteText"/>
      </w:pPr>
      <w:r>
        <w:rPr>
          <w:rStyle w:val="FootnoteReference"/>
        </w:rPr>
        <w:footnoteRef/>
      </w:r>
      <w:r>
        <w:t xml:space="preserve"> </w:t>
      </w:r>
      <w:r>
        <w:tab/>
        <w:t>CEPA, B</w:t>
      </w:r>
      <w:r w:rsidRPr="00E72FB2">
        <w:t>ackground to work on assessing efficiency for</w:t>
      </w:r>
      <w:r>
        <w:t xml:space="preserve"> </w:t>
      </w:r>
      <w:r w:rsidRPr="00E72FB2">
        <w:t xml:space="preserve">the 2005 distribution price control </w:t>
      </w:r>
      <w:r>
        <w:t>r</w:t>
      </w:r>
      <w:r w:rsidRPr="00E72FB2">
        <w:t>eview</w:t>
      </w:r>
      <w:r>
        <w:t>, 2003, pp.43-44, 54.</w:t>
      </w:r>
    </w:p>
  </w:footnote>
  <w:footnote w:id="403">
    <w:p w:rsidR="00224E75" w:rsidRDefault="00224E75" w:rsidP="00D1590E">
      <w:pPr>
        <w:pStyle w:val="FootnoteText"/>
      </w:pPr>
      <w:r>
        <w:rPr>
          <w:rStyle w:val="FootnoteReference"/>
        </w:rPr>
        <w:footnoteRef/>
      </w:r>
      <w:r>
        <w:t xml:space="preserve"> </w:t>
      </w:r>
      <w:r>
        <w:tab/>
        <w:t xml:space="preserve">CEPA, </w:t>
      </w:r>
      <w:r w:rsidR="00731E65" w:rsidRPr="00731E65">
        <w:t>Benchmarking and setting efficiency targets for the Australian DNSPs, (ActewAGL)</w:t>
      </w:r>
      <w:r>
        <w:t>, p.18</w:t>
      </w:r>
    </w:p>
  </w:footnote>
  <w:footnote w:id="404">
    <w:p w:rsidR="00224E75" w:rsidRDefault="00224E75" w:rsidP="00D1590E">
      <w:pPr>
        <w:pStyle w:val="FootnoteText"/>
      </w:pPr>
      <w:r>
        <w:rPr>
          <w:rStyle w:val="FootnoteReference"/>
        </w:rPr>
        <w:footnoteRef/>
      </w:r>
      <w:r>
        <w:t xml:space="preserve"> </w:t>
      </w:r>
      <w:r>
        <w:tab/>
        <w:t>Economic Insights, 2015, p. 18.</w:t>
      </w:r>
    </w:p>
  </w:footnote>
  <w:footnote w:id="405">
    <w:p w:rsidR="00224E75" w:rsidRDefault="00224E75" w:rsidP="00D1590E">
      <w:pPr>
        <w:pStyle w:val="FootnoteText"/>
      </w:pPr>
      <w:r>
        <w:rPr>
          <w:rStyle w:val="FootnoteReference"/>
        </w:rPr>
        <w:footnoteRef/>
      </w:r>
      <w:r>
        <w:t xml:space="preserve"> </w:t>
      </w:r>
      <w:r>
        <w:tab/>
        <w:t>Economic Insights, 2015, p. 18.</w:t>
      </w:r>
    </w:p>
  </w:footnote>
  <w:footnote w:id="406">
    <w:p w:rsidR="00224E75" w:rsidRDefault="00224E75" w:rsidP="00D1590E">
      <w:pPr>
        <w:pStyle w:val="FootnoteText"/>
      </w:pPr>
      <w:r>
        <w:rPr>
          <w:rStyle w:val="FootnoteReference"/>
        </w:rPr>
        <w:footnoteRef/>
      </w:r>
      <w:r>
        <w:t xml:space="preserve"> </w:t>
      </w:r>
      <w:r>
        <w:tab/>
        <w:t>Economic Insights, 2015, pp. 18–19.</w:t>
      </w:r>
    </w:p>
  </w:footnote>
  <w:footnote w:id="407">
    <w:p w:rsidR="00224E75" w:rsidRDefault="00224E75" w:rsidP="00D1590E">
      <w:pPr>
        <w:pStyle w:val="FootnoteText"/>
      </w:pPr>
      <w:r>
        <w:rPr>
          <w:rStyle w:val="FootnoteReference"/>
        </w:rPr>
        <w:footnoteRef/>
      </w:r>
      <w:r>
        <w:t xml:space="preserve"> </w:t>
      </w:r>
      <w:r>
        <w:tab/>
        <w:t>Economic Insights, 2014, pp. 7–8.</w:t>
      </w:r>
    </w:p>
  </w:footnote>
  <w:footnote w:id="408">
    <w:p w:rsidR="00224E75" w:rsidRDefault="00224E75" w:rsidP="00D1590E">
      <w:pPr>
        <w:pStyle w:val="FootnoteText"/>
      </w:pPr>
      <w:r>
        <w:rPr>
          <w:rStyle w:val="FootnoteReference"/>
        </w:rPr>
        <w:footnoteRef/>
      </w:r>
      <w:r>
        <w:t xml:space="preserve"> </w:t>
      </w:r>
      <w:r>
        <w:tab/>
        <w:t>Economic Insights, 2014, pp. 31–34.</w:t>
      </w:r>
    </w:p>
  </w:footnote>
  <w:footnote w:id="409">
    <w:p w:rsidR="00224E75" w:rsidRDefault="00224E75" w:rsidP="00D1590E">
      <w:pPr>
        <w:pStyle w:val="FootnoteText"/>
      </w:pPr>
      <w:r>
        <w:rPr>
          <w:rStyle w:val="FootnoteReference"/>
        </w:rPr>
        <w:footnoteRef/>
      </w:r>
      <w:r>
        <w:t xml:space="preserve"> </w:t>
      </w:r>
      <w:r>
        <w:tab/>
        <w:t>Economic Insights, 2015, p. 41.</w:t>
      </w:r>
    </w:p>
  </w:footnote>
  <w:footnote w:id="410">
    <w:p w:rsidR="00224E75" w:rsidRDefault="00224E75" w:rsidP="00D1590E">
      <w:pPr>
        <w:pStyle w:val="FootnoteText"/>
      </w:pPr>
      <w:r>
        <w:rPr>
          <w:rStyle w:val="FootnoteReference"/>
        </w:rPr>
        <w:footnoteRef/>
      </w:r>
      <w:r>
        <w:t xml:space="preserve"> </w:t>
      </w:r>
      <w:r>
        <w:tab/>
        <w:t>Economic Insights, 2015, p. 41.</w:t>
      </w:r>
    </w:p>
  </w:footnote>
  <w:footnote w:id="411">
    <w:p w:rsidR="00224E75" w:rsidRDefault="00224E75" w:rsidP="00D1590E">
      <w:pPr>
        <w:pStyle w:val="FootnoteText"/>
      </w:pPr>
      <w:r>
        <w:rPr>
          <w:rStyle w:val="FootnoteReference"/>
        </w:rPr>
        <w:footnoteRef/>
      </w:r>
      <w:r>
        <w:t xml:space="preserve"> </w:t>
      </w:r>
      <w:r>
        <w:tab/>
        <w:t>Economic Insights, 2015, p. 41.</w:t>
      </w:r>
    </w:p>
  </w:footnote>
  <w:footnote w:id="412">
    <w:p w:rsidR="00224E75" w:rsidRDefault="00224E75" w:rsidP="00D1590E">
      <w:pPr>
        <w:pStyle w:val="FootnoteText"/>
      </w:pPr>
      <w:r>
        <w:rPr>
          <w:rStyle w:val="FootnoteReference"/>
        </w:rPr>
        <w:footnoteRef/>
      </w:r>
      <w:r>
        <w:t xml:space="preserve"> </w:t>
      </w:r>
      <w:r>
        <w:tab/>
        <w:t>Economic Insigths, 2015, p. 41.</w:t>
      </w:r>
    </w:p>
  </w:footnote>
  <w:footnote w:id="413">
    <w:p w:rsidR="00224E75" w:rsidRDefault="00224E75" w:rsidP="00D1590E">
      <w:pPr>
        <w:pStyle w:val="FootnoteText"/>
      </w:pPr>
      <w:r>
        <w:rPr>
          <w:rStyle w:val="FootnoteReference"/>
        </w:rPr>
        <w:footnoteRef/>
      </w:r>
      <w:r>
        <w:t xml:space="preserve"> </w:t>
      </w:r>
      <w:r>
        <w:tab/>
        <w:t>Economic Insigths, 2015, p. 41.</w:t>
      </w:r>
    </w:p>
  </w:footnote>
  <w:footnote w:id="414">
    <w:p w:rsidR="00224E75" w:rsidRDefault="00224E75" w:rsidP="00D1590E">
      <w:pPr>
        <w:pStyle w:val="FootnoteText"/>
      </w:pPr>
      <w:r>
        <w:rPr>
          <w:rStyle w:val="FootnoteReference"/>
        </w:rPr>
        <w:footnoteRef/>
      </w:r>
      <w:r>
        <w:t xml:space="preserve"> </w:t>
      </w:r>
      <w:r>
        <w:tab/>
        <w:t>Huegin, 2015(a,b), Frontier, 2015(a,b), Synergies, 2015b</w:t>
      </w:r>
    </w:p>
  </w:footnote>
  <w:footnote w:id="415">
    <w:p w:rsidR="00224E75" w:rsidRDefault="00224E75" w:rsidP="00D1590E">
      <w:pPr>
        <w:pStyle w:val="FootnoteText"/>
      </w:pPr>
      <w:r>
        <w:rPr>
          <w:rStyle w:val="FootnoteReference"/>
        </w:rPr>
        <w:footnoteRef/>
      </w:r>
      <w:r>
        <w:t xml:space="preserve"> </w:t>
      </w:r>
      <w:r>
        <w:tab/>
        <w:t>Huegin, 2015a, Synergies</w:t>
      </w:r>
    </w:p>
  </w:footnote>
  <w:footnote w:id="416">
    <w:p w:rsidR="00224E75" w:rsidRDefault="00224E75" w:rsidP="00D1590E">
      <w:pPr>
        <w:pStyle w:val="FootnoteText"/>
      </w:pPr>
      <w:r>
        <w:rPr>
          <w:rStyle w:val="FootnoteReference"/>
        </w:rPr>
        <w:footnoteRef/>
      </w:r>
      <w:r>
        <w:t xml:space="preserve"> </w:t>
      </w:r>
      <w:r>
        <w:tab/>
        <w:t>Economic Insights, 2015, p. 41.</w:t>
      </w:r>
    </w:p>
  </w:footnote>
  <w:footnote w:id="417">
    <w:p w:rsidR="00224E75" w:rsidRDefault="00224E75" w:rsidP="00D1590E">
      <w:pPr>
        <w:pStyle w:val="FootnoteText"/>
      </w:pPr>
      <w:r>
        <w:rPr>
          <w:rStyle w:val="FootnoteReference"/>
        </w:rPr>
        <w:footnoteRef/>
      </w:r>
      <w:r>
        <w:t xml:space="preserve"> </w:t>
      </w:r>
      <w:r>
        <w:tab/>
        <w:t>Economic Insights, 2015, p. 33.</w:t>
      </w:r>
    </w:p>
  </w:footnote>
  <w:footnote w:id="418">
    <w:p w:rsidR="00224E75" w:rsidRDefault="00224E75" w:rsidP="00D1590E">
      <w:pPr>
        <w:pStyle w:val="FootnoteText"/>
      </w:pPr>
      <w:r>
        <w:rPr>
          <w:rStyle w:val="FootnoteReference"/>
        </w:rPr>
        <w:footnoteRef/>
      </w:r>
      <w:r>
        <w:t xml:space="preserve"> </w:t>
      </w:r>
      <w:r>
        <w:tab/>
        <w:t>Economic Insights, 2015, p. 34.</w:t>
      </w:r>
    </w:p>
  </w:footnote>
  <w:footnote w:id="419">
    <w:p w:rsidR="00224E75" w:rsidRDefault="00224E75" w:rsidP="00D1590E">
      <w:pPr>
        <w:pStyle w:val="FootnoteText"/>
      </w:pPr>
      <w:r>
        <w:rPr>
          <w:rStyle w:val="FootnoteReference"/>
        </w:rPr>
        <w:footnoteRef/>
      </w:r>
      <w:r>
        <w:t xml:space="preserve"> </w:t>
      </w:r>
      <w:r>
        <w:tab/>
        <w:t xml:space="preserve">Economic Insights, 2015, p. 34. </w:t>
      </w:r>
    </w:p>
  </w:footnote>
  <w:footnote w:id="420">
    <w:p w:rsidR="00224E75" w:rsidRDefault="00224E75" w:rsidP="00D1590E">
      <w:pPr>
        <w:pStyle w:val="FootnoteText"/>
      </w:pPr>
      <w:r>
        <w:rPr>
          <w:rStyle w:val="FootnoteReference"/>
        </w:rPr>
        <w:footnoteRef/>
      </w:r>
      <w:r>
        <w:t xml:space="preserve"> </w:t>
      </w:r>
      <w:r>
        <w:tab/>
        <w:t>Economic Insights, 2015, p. 34.</w:t>
      </w:r>
    </w:p>
  </w:footnote>
  <w:footnote w:id="421">
    <w:p w:rsidR="00224E75" w:rsidRDefault="00224E75" w:rsidP="00D1590E">
      <w:pPr>
        <w:pStyle w:val="FootnoteText"/>
      </w:pPr>
      <w:r>
        <w:rPr>
          <w:rStyle w:val="FootnoteReference"/>
        </w:rPr>
        <w:footnoteRef/>
      </w:r>
      <w:r>
        <w:t xml:space="preserve"> </w:t>
      </w:r>
      <w:r>
        <w:tab/>
        <w:t>Huegin, (NSW/ACT), 2015, p. 56.</w:t>
      </w:r>
    </w:p>
  </w:footnote>
  <w:footnote w:id="422">
    <w:p w:rsidR="00224E75" w:rsidRDefault="00224E75" w:rsidP="00D1590E">
      <w:pPr>
        <w:pStyle w:val="FootnoteText"/>
      </w:pPr>
      <w:r>
        <w:rPr>
          <w:rStyle w:val="FootnoteReference"/>
        </w:rPr>
        <w:footnoteRef/>
      </w:r>
      <w:r>
        <w:t xml:space="preserve"> </w:t>
      </w:r>
      <w:r>
        <w:tab/>
        <w:t>Economic Insights, 2015, p. 38.</w:t>
      </w:r>
    </w:p>
  </w:footnote>
  <w:footnote w:id="423">
    <w:p w:rsidR="00224E75" w:rsidRDefault="00224E75" w:rsidP="00D1590E">
      <w:pPr>
        <w:pStyle w:val="FootnoteText"/>
      </w:pPr>
      <w:r>
        <w:rPr>
          <w:rStyle w:val="FootnoteReference"/>
        </w:rPr>
        <w:footnoteRef/>
      </w:r>
      <w:r>
        <w:t xml:space="preserve"> </w:t>
      </w:r>
      <w:r>
        <w:tab/>
        <w:t>Economic Insights, 2015, p. 39.</w:t>
      </w:r>
    </w:p>
  </w:footnote>
  <w:footnote w:id="424">
    <w:p w:rsidR="00224E75" w:rsidRDefault="00224E75" w:rsidP="00D1590E">
      <w:pPr>
        <w:pStyle w:val="FootnoteText"/>
      </w:pPr>
      <w:r>
        <w:rPr>
          <w:rStyle w:val="FootnoteReference"/>
        </w:rPr>
        <w:footnoteRef/>
      </w:r>
      <w:r>
        <w:t xml:space="preserve"> </w:t>
      </w:r>
      <w:r>
        <w:tab/>
        <w:t>Economic Insights, 2015, p. 39.</w:t>
      </w:r>
    </w:p>
  </w:footnote>
  <w:footnote w:id="425">
    <w:p w:rsidR="00224E75" w:rsidRDefault="00224E75" w:rsidP="00D1590E">
      <w:pPr>
        <w:pStyle w:val="FootnoteText"/>
      </w:pPr>
      <w:r>
        <w:rPr>
          <w:rStyle w:val="FootnoteReference"/>
        </w:rPr>
        <w:footnoteRef/>
      </w:r>
      <w:r>
        <w:t xml:space="preserve"> </w:t>
      </w:r>
      <w:r>
        <w:tab/>
        <w:t>Huegin, (Ergon), 2015.</w:t>
      </w:r>
    </w:p>
  </w:footnote>
  <w:footnote w:id="426">
    <w:p w:rsidR="00224E75" w:rsidRDefault="00224E75" w:rsidP="00D1590E">
      <w:pPr>
        <w:pStyle w:val="FootnoteText"/>
      </w:pPr>
      <w:r>
        <w:rPr>
          <w:rStyle w:val="FootnoteReference"/>
        </w:rPr>
        <w:footnoteRef/>
      </w:r>
      <w:r>
        <w:t xml:space="preserve"> </w:t>
      </w:r>
      <w:r>
        <w:tab/>
        <w:t>Economic Insights, 2015, p. 39</w:t>
      </w:r>
    </w:p>
  </w:footnote>
  <w:footnote w:id="427">
    <w:p w:rsidR="00224E75" w:rsidRDefault="00224E75" w:rsidP="00D1590E">
      <w:pPr>
        <w:pStyle w:val="FootnoteText"/>
      </w:pPr>
      <w:r>
        <w:rPr>
          <w:rStyle w:val="FootnoteReference"/>
        </w:rPr>
        <w:footnoteRef/>
      </w:r>
      <w:r>
        <w:t xml:space="preserve"> </w:t>
      </w:r>
      <w:r>
        <w:tab/>
      </w:r>
      <w:r w:rsidR="00EC33DE" w:rsidRPr="00EC33DE">
        <w:t>ActewAGL, RRP, 2015. p.151 p. 175. Essential, RRP, 2015, p. 182. AusGrid, RRP, 2015, p. 143. Huegin, (NSW/ACT), 2015, pp. 11-19. ActewAGL, RRP, 2015, p.131-132, p. 149; CEPA,</w:t>
      </w:r>
      <w:r w:rsidR="00731E65">
        <w:t xml:space="preserve"> </w:t>
      </w:r>
      <w:r w:rsidR="00731E65" w:rsidRPr="00731E65">
        <w:t>Benchmarking and setting efficiency targets for the Australian DNSPs, (NSW DNSPs), 2015,</w:t>
      </w:r>
      <w:r w:rsidR="00EC33DE" w:rsidRPr="00EC33DE">
        <w:t xml:space="preserve"> pp. 23-32; PEG, 2015, pp. 55-56; Huegin, (Ergon) 2015, pp. 35-36; Synergies, 2015 ; Frontier Economics, (NSW/ACT), 2015; McKell Institute, 2015.</w:t>
      </w:r>
    </w:p>
  </w:footnote>
  <w:footnote w:id="428">
    <w:p w:rsidR="00224E75" w:rsidRDefault="00224E75" w:rsidP="00D1590E">
      <w:pPr>
        <w:pStyle w:val="FootnoteText"/>
      </w:pPr>
      <w:r>
        <w:rPr>
          <w:rStyle w:val="FootnoteReference"/>
        </w:rPr>
        <w:footnoteRef/>
      </w:r>
      <w:r>
        <w:t xml:space="preserve"> </w:t>
      </w:r>
      <w:r>
        <w:tab/>
        <w:t>Economic Insights, 2015, p. 53.</w:t>
      </w:r>
    </w:p>
  </w:footnote>
  <w:footnote w:id="429">
    <w:p w:rsidR="00224E75" w:rsidRDefault="00224E75" w:rsidP="00D1590E">
      <w:pPr>
        <w:pStyle w:val="FootnoteText"/>
      </w:pPr>
      <w:r>
        <w:rPr>
          <w:rStyle w:val="FootnoteReference"/>
        </w:rPr>
        <w:footnoteRef/>
      </w:r>
      <w:r>
        <w:t xml:space="preserve"> </w:t>
      </w:r>
      <w:r>
        <w:tab/>
        <w:t>CCP, p. 51.</w:t>
      </w:r>
    </w:p>
  </w:footnote>
  <w:footnote w:id="430">
    <w:p w:rsidR="00224E75" w:rsidRDefault="00224E75" w:rsidP="00D1590E">
      <w:pPr>
        <w:pStyle w:val="FootnoteText"/>
      </w:pPr>
      <w:r>
        <w:rPr>
          <w:rStyle w:val="FootnoteReference"/>
        </w:rPr>
        <w:footnoteRef/>
      </w:r>
      <w:r>
        <w:t xml:space="preserve"> </w:t>
      </w:r>
      <w:r>
        <w:tab/>
        <w:t>Economic Insights (2015), pp. v-vi.</w:t>
      </w:r>
    </w:p>
  </w:footnote>
  <w:footnote w:id="431">
    <w:p w:rsidR="00224E75" w:rsidRDefault="00224E75" w:rsidP="00D1590E">
      <w:pPr>
        <w:pStyle w:val="FootnoteText"/>
      </w:pPr>
      <w:r>
        <w:rPr>
          <w:rStyle w:val="FootnoteReference"/>
        </w:rPr>
        <w:footnoteRef/>
      </w:r>
      <w:r>
        <w:t xml:space="preserve"> </w:t>
      </w:r>
      <w:r>
        <w:tab/>
        <w:t>Economic Insights (2015), pp. 51.</w:t>
      </w:r>
    </w:p>
  </w:footnote>
  <w:footnote w:id="432">
    <w:p w:rsidR="00224E75" w:rsidRDefault="00224E75" w:rsidP="00D1590E">
      <w:pPr>
        <w:pStyle w:val="FootnoteText"/>
      </w:pPr>
      <w:r>
        <w:rPr>
          <w:rStyle w:val="FootnoteReference"/>
        </w:rPr>
        <w:footnoteRef/>
      </w:r>
      <w:r>
        <w:t xml:space="preserve"> </w:t>
      </w:r>
      <w:r>
        <w:tab/>
        <w:t>Economic Insights (2015), p. 51.</w:t>
      </w:r>
    </w:p>
  </w:footnote>
  <w:footnote w:id="433">
    <w:p w:rsidR="00224E75" w:rsidRDefault="00224E75" w:rsidP="00D1590E">
      <w:pPr>
        <w:pStyle w:val="FootnoteText"/>
      </w:pPr>
      <w:r>
        <w:rPr>
          <w:rStyle w:val="FootnoteReference"/>
        </w:rPr>
        <w:footnoteRef/>
      </w:r>
      <w:r>
        <w:t xml:space="preserve"> </w:t>
      </w:r>
      <w:r>
        <w:tab/>
        <w:t>Economic Insights, 2014, p. 7.</w:t>
      </w:r>
    </w:p>
  </w:footnote>
  <w:footnote w:id="434">
    <w:p w:rsidR="00224E75" w:rsidRDefault="00224E75" w:rsidP="00D1590E">
      <w:pPr>
        <w:pStyle w:val="FootnoteText"/>
      </w:pPr>
      <w:r>
        <w:rPr>
          <w:rStyle w:val="FootnoteReference"/>
        </w:rPr>
        <w:footnoteRef/>
      </w:r>
      <w:r>
        <w:t xml:space="preserve"> </w:t>
      </w:r>
      <w:r>
        <w:tab/>
        <w:t>Economic Insights (2015), pp. 25-27 (section 3.2.1)</w:t>
      </w:r>
    </w:p>
  </w:footnote>
  <w:footnote w:id="435">
    <w:p w:rsidR="00224E75" w:rsidRDefault="00224E75" w:rsidP="00D1590E">
      <w:pPr>
        <w:pStyle w:val="FootnoteText"/>
      </w:pPr>
      <w:r>
        <w:rPr>
          <w:rStyle w:val="FootnoteReference"/>
        </w:rPr>
        <w:footnoteRef/>
      </w:r>
      <w:r>
        <w:t xml:space="preserve"> </w:t>
      </w:r>
      <w:r>
        <w:tab/>
        <w:t>Economic Insights (2015), pp. 25-27 (section 3.2.1)</w:t>
      </w:r>
    </w:p>
  </w:footnote>
  <w:footnote w:id="436">
    <w:p w:rsidR="00224E75" w:rsidRDefault="00224E75" w:rsidP="00D1590E">
      <w:pPr>
        <w:pStyle w:val="FootnoteText"/>
      </w:pPr>
      <w:r>
        <w:rPr>
          <w:rStyle w:val="FootnoteReference"/>
        </w:rPr>
        <w:footnoteRef/>
      </w:r>
      <w:r>
        <w:t xml:space="preserve"> </w:t>
      </w:r>
      <w:r>
        <w:tab/>
        <w:t>FE (2015a, p.12); Huegin (2015a, p.26)</w:t>
      </w:r>
    </w:p>
  </w:footnote>
  <w:footnote w:id="437">
    <w:p w:rsidR="00224E75" w:rsidRDefault="00224E75" w:rsidP="00D1590E">
      <w:pPr>
        <w:pStyle w:val="FootnoteText"/>
      </w:pPr>
      <w:r>
        <w:rPr>
          <w:rStyle w:val="FootnoteReference"/>
        </w:rPr>
        <w:footnoteRef/>
      </w:r>
      <w:r>
        <w:t xml:space="preserve"> </w:t>
      </w:r>
      <w:r>
        <w:tab/>
        <w:t>FE (2015a, p.17); Synergies (2015b, p.36)</w:t>
      </w:r>
    </w:p>
  </w:footnote>
  <w:footnote w:id="438">
    <w:p w:rsidR="00224E75" w:rsidRDefault="00224E75" w:rsidP="00D1590E">
      <w:pPr>
        <w:pStyle w:val="FootnoteText"/>
      </w:pPr>
      <w:r>
        <w:rPr>
          <w:rStyle w:val="FootnoteReference"/>
        </w:rPr>
        <w:footnoteRef/>
      </w:r>
      <w:r>
        <w:t xml:space="preserve"> </w:t>
      </w:r>
      <w:r>
        <w:tab/>
        <w:t>FE (2015a, p.16); Synergies (2015b, p.37)</w:t>
      </w:r>
    </w:p>
  </w:footnote>
  <w:footnote w:id="439">
    <w:p w:rsidR="00224E75" w:rsidRDefault="00224E75" w:rsidP="00D1590E">
      <w:pPr>
        <w:pStyle w:val="FootnoteText"/>
      </w:pPr>
      <w:r>
        <w:rPr>
          <w:rStyle w:val="FootnoteReference"/>
        </w:rPr>
        <w:footnoteRef/>
      </w:r>
      <w:r>
        <w:t xml:space="preserve"> </w:t>
      </w:r>
      <w:r>
        <w:tab/>
        <w:t>PEG (2015, p.53), Synergies (2015b, pp.33–34) and FE (2015a, p.x); CEPA</w:t>
      </w:r>
      <w:r w:rsidR="00731E65">
        <w:t>,</w:t>
      </w:r>
      <w:r>
        <w:t xml:space="preserve"> </w:t>
      </w:r>
      <w:r w:rsidR="00731E65" w:rsidRPr="00731E65">
        <w:t>Benchmarking and setting efficiency targets for the Australian DNSPs, (ActewAGL)</w:t>
      </w:r>
      <w:r>
        <w:t>, pp.16-18</w:t>
      </w:r>
      <w:r w:rsidR="00731E65">
        <w:t>.</w:t>
      </w:r>
    </w:p>
  </w:footnote>
  <w:footnote w:id="440">
    <w:p w:rsidR="00224E75" w:rsidRDefault="00224E75" w:rsidP="00D1590E">
      <w:pPr>
        <w:pStyle w:val="FootnoteText"/>
      </w:pPr>
      <w:r>
        <w:rPr>
          <w:rStyle w:val="FootnoteReference"/>
        </w:rPr>
        <w:footnoteRef/>
      </w:r>
      <w:r>
        <w:t xml:space="preserve"> </w:t>
      </w:r>
      <w:r>
        <w:tab/>
        <w:t>FE (2015a, pp.24–25)</w:t>
      </w:r>
    </w:p>
  </w:footnote>
  <w:footnote w:id="441">
    <w:p w:rsidR="00224E75" w:rsidRDefault="00224E75" w:rsidP="00D1590E">
      <w:pPr>
        <w:pStyle w:val="FootnoteText"/>
      </w:pPr>
      <w:r>
        <w:rPr>
          <w:rStyle w:val="FootnoteReference"/>
        </w:rPr>
        <w:footnoteRef/>
      </w:r>
      <w:r>
        <w:t xml:space="preserve"> </w:t>
      </w:r>
      <w:r>
        <w:tab/>
        <w:t>Economic Insights, 2015, pp. 23-25.</w:t>
      </w:r>
    </w:p>
  </w:footnote>
  <w:footnote w:id="442">
    <w:p w:rsidR="00224E75" w:rsidRDefault="00224E75" w:rsidP="00D1590E">
      <w:pPr>
        <w:pStyle w:val="FootnoteText"/>
      </w:pPr>
      <w:r>
        <w:rPr>
          <w:rStyle w:val="FootnoteReference"/>
        </w:rPr>
        <w:footnoteRef/>
      </w:r>
      <w:r>
        <w:t xml:space="preserve"> </w:t>
      </w:r>
      <w:r>
        <w:tab/>
        <w:t xml:space="preserve">PEG, 2015, pp. 65–66; Frontier Economics, (NSW/ACT), 2015, </w:t>
      </w:r>
      <w:r w:rsidRPr="00F96B8B">
        <w:t>p.xi</w:t>
      </w:r>
      <w:r>
        <w:t xml:space="preserve">; </w:t>
      </w:r>
      <w:r w:rsidRPr="00F96B8B">
        <w:t>CEPA</w:t>
      </w:r>
      <w:r>
        <w:t xml:space="preserve">, </w:t>
      </w:r>
      <w:r w:rsidR="00731E65" w:rsidRPr="00731E65">
        <w:t>Benchmarking and setting efficiency targets for the Australian DNSPs, (NSW DNSPs), 2015,</w:t>
      </w:r>
      <w:r w:rsidRPr="00F96B8B">
        <w:t xml:space="preserve"> pp.16–18</w:t>
      </w:r>
      <w:r>
        <w:t xml:space="preserve">; Huegin, Ergon </w:t>
      </w:r>
      <w:r w:rsidRPr="00F96B8B">
        <w:t>2015, pp.13,15</w:t>
      </w:r>
      <w:r>
        <w:t>; Economic Insights (2015), p. 21.</w:t>
      </w:r>
    </w:p>
  </w:footnote>
  <w:footnote w:id="443">
    <w:p w:rsidR="00224E75" w:rsidRDefault="00224E75" w:rsidP="00D1590E">
      <w:pPr>
        <w:pStyle w:val="FootnoteText"/>
      </w:pPr>
      <w:r>
        <w:rPr>
          <w:rStyle w:val="FootnoteReference"/>
        </w:rPr>
        <w:footnoteRef/>
      </w:r>
      <w:r>
        <w:t xml:space="preserve"> </w:t>
      </w:r>
      <w:r>
        <w:tab/>
        <w:t xml:space="preserve">For example, </w:t>
      </w:r>
      <w:r w:rsidRPr="00B058F1">
        <w:t>Huegin (2015a,c) and FE (2015a)</w:t>
      </w:r>
    </w:p>
  </w:footnote>
  <w:footnote w:id="444">
    <w:p w:rsidR="00224E75" w:rsidRDefault="00224E75" w:rsidP="00D1590E">
      <w:pPr>
        <w:pStyle w:val="FootnoteText"/>
      </w:pPr>
      <w:r>
        <w:rPr>
          <w:rStyle w:val="FootnoteReference"/>
        </w:rPr>
        <w:footnoteRef/>
      </w:r>
      <w:r>
        <w:t xml:space="preserve"> </w:t>
      </w:r>
      <w:r>
        <w:tab/>
        <w:t>Economic Insights 2015, p. 45–46 (section 3.9).</w:t>
      </w:r>
    </w:p>
  </w:footnote>
  <w:footnote w:id="445">
    <w:p w:rsidR="00224E75" w:rsidRDefault="00224E75" w:rsidP="00D1590E">
      <w:pPr>
        <w:pStyle w:val="FootnoteText"/>
      </w:pPr>
      <w:r>
        <w:rPr>
          <w:rStyle w:val="FootnoteReference"/>
        </w:rPr>
        <w:footnoteRef/>
      </w:r>
      <w:r>
        <w:t xml:space="preserve"> </w:t>
      </w:r>
      <w:r>
        <w:tab/>
        <w:t>Economic Insights, 2015, p. 53.</w:t>
      </w:r>
    </w:p>
  </w:footnote>
  <w:footnote w:id="446">
    <w:p w:rsidR="00224E75" w:rsidRDefault="00224E75" w:rsidP="00D1590E">
      <w:pPr>
        <w:pStyle w:val="FootnoteText"/>
      </w:pPr>
      <w:r>
        <w:rPr>
          <w:rStyle w:val="FootnoteReference"/>
        </w:rPr>
        <w:footnoteRef/>
      </w:r>
      <w:r>
        <w:t xml:space="preserve"> </w:t>
      </w:r>
      <w:r>
        <w:tab/>
        <w:t>Ordinary least squares</w:t>
      </w:r>
    </w:p>
  </w:footnote>
  <w:footnote w:id="447">
    <w:p w:rsidR="00224E75" w:rsidRDefault="00224E75" w:rsidP="00D1590E">
      <w:pPr>
        <w:pStyle w:val="FootnoteText"/>
      </w:pPr>
      <w:r>
        <w:rPr>
          <w:rStyle w:val="FootnoteReference"/>
        </w:rPr>
        <w:footnoteRef/>
      </w:r>
      <w:r>
        <w:t xml:space="preserve"> </w:t>
      </w:r>
      <w:r>
        <w:tab/>
        <w:t>Generalised least squares</w:t>
      </w:r>
    </w:p>
  </w:footnote>
  <w:footnote w:id="448">
    <w:p w:rsidR="00224E75" w:rsidRDefault="00224E75" w:rsidP="00D1590E">
      <w:pPr>
        <w:pStyle w:val="FootnoteText"/>
      </w:pPr>
      <w:r>
        <w:rPr>
          <w:rStyle w:val="FootnoteReference"/>
        </w:rPr>
        <w:footnoteRef/>
      </w:r>
      <w:r>
        <w:t xml:space="preserve"> </w:t>
      </w:r>
      <w:r>
        <w:tab/>
        <w:t xml:space="preserve">Denotes dependent variable, this aligns with the input specification that we discuss above. </w:t>
      </w:r>
    </w:p>
  </w:footnote>
  <w:footnote w:id="449">
    <w:p w:rsidR="00224E75" w:rsidRDefault="00224E75" w:rsidP="00D1590E">
      <w:pPr>
        <w:pStyle w:val="FootnoteText"/>
      </w:pPr>
      <w:r>
        <w:rPr>
          <w:rStyle w:val="FootnoteReference"/>
        </w:rPr>
        <w:footnoteRef/>
      </w:r>
      <w:r>
        <w:t xml:space="preserve"> </w:t>
      </w:r>
      <w:r>
        <w:tab/>
        <w:t>Economic Insights, 2015, p. 52.</w:t>
      </w:r>
    </w:p>
  </w:footnote>
  <w:footnote w:id="450">
    <w:p w:rsidR="00224E75" w:rsidRDefault="00224E75" w:rsidP="00D1590E">
      <w:pPr>
        <w:pStyle w:val="FootnoteText"/>
      </w:pPr>
      <w:r>
        <w:rPr>
          <w:rStyle w:val="FootnoteReference"/>
        </w:rPr>
        <w:footnoteRef/>
      </w:r>
      <w:r>
        <w:t xml:space="preserve"> </w:t>
      </w:r>
      <w:r>
        <w:tab/>
        <w:t>True random effects and true fixed effects</w:t>
      </w:r>
    </w:p>
  </w:footnote>
  <w:footnote w:id="451">
    <w:p w:rsidR="00224E75" w:rsidRDefault="00224E75" w:rsidP="00D1590E">
      <w:pPr>
        <w:pStyle w:val="FootnoteText"/>
      </w:pPr>
      <w:r>
        <w:rPr>
          <w:rStyle w:val="FootnoteReference"/>
        </w:rPr>
        <w:footnoteRef/>
      </w:r>
      <w:r>
        <w:t xml:space="preserve"> </w:t>
      </w:r>
      <w:r>
        <w:tab/>
        <w:t>Constant returns to scale and variable returns to scale</w:t>
      </w:r>
    </w:p>
  </w:footnote>
  <w:footnote w:id="452">
    <w:p w:rsidR="00224E75" w:rsidRDefault="00224E75" w:rsidP="00D1590E">
      <w:pPr>
        <w:pStyle w:val="FootnoteText"/>
      </w:pPr>
      <w:r>
        <w:rPr>
          <w:rStyle w:val="FootnoteReference"/>
        </w:rPr>
        <w:footnoteRef/>
      </w:r>
      <w:r>
        <w:t xml:space="preserve"> </w:t>
      </w:r>
      <w:r>
        <w:tab/>
        <w:t>Economic Insights, 2015, p. 37</w:t>
      </w:r>
    </w:p>
  </w:footnote>
  <w:footnote w:id="453">
    <w:p w:rsidR="00224E75" w:rsidRDefault="00224E75" w:rsidP="00D1590E">
      <w:pPr>
        <w:pStyle w:val="FootnoteText"/>
      </w:pPr>
      <w:r>
        <w:rPr>
          <w:rStyle w:val="FootnoteReference"/>
        </w:rPr>
        <w:footnoteRef/>
      </w:r>
      <w:r>
        <w:t xml:space="preserve"> </w:t>
      </w:r>
      <w:r>
        <w:tab/>
        <w:t>Feasible generalised least squares</w:t>
      </w:r>
    </w:p>
  </w:footnote>
  <w:footnote w:id="454">
    <w:p w:rsidR="00224E75" w:rsidRDefault="00224E75" w:rsidP="00D1590E">
      <w:pPr>
        <w:pStyle w:val="FootnoteText"/>
      </w:pPr>
      <w:r>
        <w:rPr>
          <w:rStyle w:val="FootnoteReference"/>
        </w:rPr>
        <w:footnoteRef/>
      </w:r>
      <w:r>
        <w:t xml:space="preserve"> </w:t>
      </w:r>
      <w:r>
        <w:tab/>
        <w:t>Economic Insights, 2015, p. 52.</w:t>
      </w:r>
    </w:p>
  </w:footnote>
  <w:footnote w:id="455">
    <w:p w:rsidR="00224E75" w:rsidRDefault="00224E75" w:rsidP="00D1590E">
      <w:pPr>
        <w:pStyle w:val="FootnoteText"/>
      </w:pPr>
      <w:r>
        <w:rPr>
          <w:rStyle w:val="FootnoteReference"/>
        </w:rPr>
        <w:footnoteRef/>
      </w:r>
      <w:r>
        <w:t xml:space="preserve"> </w:t>
      </w:r>
      <w:r>
        <w:tab/>
        <w:t>While an observation of h</w:t>
      </w:r>
      <w:r w:rsidRPr="00D10601">
        <w:t>igh costs on a single PPI do</w:t>
      </w:r>
      <w:r>
        <w:t>es</w:t>
      </w:r>
      <w:r w:rsidRPr="00D10601">
        <w:t xml:space="preserve"> not necessarily indicate </w:t>
      </w:r>
      <w:r>
        <w:t>inefficiency, similar results across a number of PPIs can be more reliable</w:t>
      </w:r>
      <w:r w:rsidRPr="00D10601">
        <w:t>. In this respect, it is useful to compare PPI results with the economic benchmarking results.</w:t>
      </w:r>
    </w:p>
  </w:footnote>
  <w:footnote w:id="456">
    <w:p w:rsidR="00224E75" w:rsidRDefault="00224E75" w:rsidP="00D1590E">
      <w:pPr>
        <w:pStyle w:val="FootnoteText"/>
      </w:pPr>
      <w:r>
        <w:rPr>
          <w:rStyle w:val="FootnoteReference"/>
        </w:rPr>
        <w:footnoteRef/>
      </w:r>
      <w:r>
        <w:t xml:space="preserve"> </w:t>
      </w:r>
      <w:r>
        <w:tab/>
        <w:t>AER, Draft Decision, Attachment 7, pp. 7-64 to 7-68.</w:t>
      </w:r>
    </w:p>
  </w:footnote>
  <w:footnote w:id="457">
    <w:p w:rsidR="00224E75" w:rsidRDefault="00224E75" w:rsidP="00D1590E">
      <w:pPr>
        <w:pStyle w:val="FootnoteText"/>
      </w:pPr>
      <w:r>
        <w:rPr>
          <w:rStyle w:val="FootnoteReference"/>
        </w:rPr>
        <w:footnoteRef/>
      </w:r>
      <w:r>
        <w:t xml:space="preserve"> </w:t>
      </w:r>
      <w:r>
        <w:tab/>
        <w:t>Ausgrid and Endeavour Energy do not seem to have explicitly challenged our draft decision PPI results.</w:t>
      </w:r>
    </w:p>
  </w:footnote>
  <w:footnote w:id="458">
    <w:p w:rsidR="00224E75" w:rsidRDefault="00224E75" w:rsidP="00D1590E">
      <w:pPr>
        <w:pStyle w:val="FootnoteText"/>
      </w:pPr>
      <w:r>
        <w:rPr>
          <w:rStyle w:val="FootnoteReference"/>
        </w:rPr>
        <w:footnoteRef/>
      </w:r>
      <w:r>
        <w:t xml:space="preserve"> </w:t>
      </w:r>
      <w:r>
        <w:tab/>
        <w:t>Essential revised proposal, pp. 201-202.</w:t>
      </w:r>
    </w:p>
  </w:footnote>
  <w:footnote w:id="459">
    <w:p w:rsidR="00224E75" w:rsidRDefault="00224E75" w:rsidP="00D1590E">
      <w:pPr>
        <w:pStyle w:val="FootnoteText"/>
      </w:pPr>
      <w:r>
        <w:rPr>
          <w:rStyle w:val="FootnoteReference"/>
        </w:rPr>
        <w:footnoteRef/>
      </w:r>
      <w:r>
        <w:t xml:space="preserve"> </w:t>
      </w:r>
      <w:r>
        <w:tab/>
        <w:t>Essential Energy, Revised proposal attachment 7.4, pp. 13–16.</w:t>
      </w:r>
    </w:p>
  </w:footnote>
  <w:footnote w:id="460">
    <w:p w:rsidR="00224E75" w:rsidRDefault="00224E75" w:rsidP="00D1590E">
      <w:pPr>
        <w:pStyle w:val="FootnoteText"/>
      </w:pPr>
      <w:r>
        <w:rPr>
          <w:rStyle w:val="FootnoteReference"/>
        </w:rPr>
        <w:footnoteRef/>
      </w:r>
      <w:r>
        <w:t xml:space="preserve"> </w:t>
      </w:r>
      <w:r>
        <w:tab/>
        <w:t>AER, Draft Decision, Attachment 7, pp. 7-64 to 7-68.</w:t>
      </w:r>
    </w:p>
  </w:footnote>
  <w:footnote w:id="461">
    <w:p w:rsidR="00224E75" w:rsidRDefault="00224E75" w:rsidP="00D1590E">
      <w:pPr>
        <w:pStyle w:val="FootnoteText"/>
      </w:pPr>
      <w:r>
        <w:rPr>
          <w:rStyle w:val="FootnoteReference"/>
        </w:rPr>
        <w:footnoteRef/>
      </w:r>
      <w:r>
        <w:t xml:space="preserve"> </w:t>
      </w:r>
      <w:r>
        <w:tab/>
        <w:t>AER, Draft Decision, Attachment 7, p. 7-66.</w:t>
      </w:r>
    </w:p>
  </w:footnote>
  <w:footnote w:id="462">
    <w:p w:rsidR="00224E75" w:rsidRDefault="00224E75" w:rsidP="00D1590E">
      <w:pPr>
        <w:pStyle w:val="FootnoteText"/>
      </w:pPr>
      <w:r>
        <w:rPr>
          <w:rStyle w:val="FootnoteReference"/>
        </w:rPr>
        <w:footnoteRef/>
      </w:r>
      <w:r>
        <w:t xml:space="preserve"> </w:t>
      </w:r>
      <w:r>
        <w:tab/>
        <w:t>AER, Draft Decision, Attachment 7, p. 7-66.</w:t>
      </w:r>
    </w:p>
  </w:footnote>
  <w:footnote w:id="463">
    <w:p w:rsidR="00224E75" w:rsidRDefault="00224E75" w:rsidP="00D1590E">
      <w:pPr>
        <w:pStyle w:val="FootnoteText"/>
      </w:pPr>
      <w:r>
        <w:rPr>
          <w:rStyle w:val="FootnoteReference"/>
        </w:rPr>
        <w:footnoteRef/>
      </w:r>
      <w:r>
        <w:t xml:space="preserve"> </w:t>
      </w:r>
      <w:r>
        <w:tab/>
        <w:t>EMCa, 2015, p, 1,</w:t>
      </w:r>
    </w:p>
  </w:footnote>
  <w:footnote w:id="464">
    <w:p w:rsidR="00224E75" w:rsidRDefault="00224E75" w:rsidP="00D1590E">
      <w:pPr>
        <w:pStyle w:val="FootnoteText"/>
      </w:pPr>
      <w:r>
        <w:rPr>
          <w:rStyle w:val="FootnoteReference"/>
        </w:rPr>
        <w:footnoteRef/>
      </w:r>
      <w:r>
        <w:t xml:space="preserve"> </w:t>
      </w:r>
      <w:r>
        <w:tab/>
        <w:t>Our review of Essential Energy's vegetation management does not apply to Ausgrid or Endeavour Energy.</w:t>
      </w:r>
    </w:p>
  </w:footnote>
  <w:footnote w:id="465">
    <w:p w:rsidR="00224E75" w:rsidRDefault="00224E75" w:rsidP="00D1590E">
      <w:pPr>
        <w:pStyle w:val="FootnoteText"/>
      </w:pPr>
      <w:r>
        <w:rPr>
          <w:rStyle w:val="FootnoteReference"/>
        </w:rPr>
        <w:footnoteRef/>
      </w:r>
      <w:r>
        <w:t xml:space="preserve"> </w:t>
      </w:r>
      <w:r>
        <w:tab/>
        <w:t>NER, cl. 6.5.6(c)</w:t>
      </w:r>
    </w:p>
  </w:footnote>
  <w:footnote w:id="466">
    <w:p w:rsidR="00224E75" w:rsidRDefault="00224E75" w:rsidP="00D1590E">
      <w:pPr>
        <w:pStyle w:val="FootnoteText"/>
      </w:pPr>
      <w:r>
        <w:rPr>
          <w:rStyle w:val="FootnoteReference"/>
        </w:rPr>
        <w:footnoteRef/>
      </w:r>
      <w:r>
        <w:t xml:space="preserve"> </w:t>
      </w:r>
      <w:r>
        <w:tab/>
        <w:t>AER, Better regulation: Expenditure forecast assessment guideline for electricity distribution, November 2013, pp. 12–15.</w:t>
      </w:r>
    </w:p>
  </w:footnote>
  <w:footnote w:id="467">
    <w:p w:rsidR="00224E75" w:rsidRDefault="00224E75" w:rsidP="00D1590E">
      <w:pPr>
        <w:pStyle w:val="FootnoteText"/>
      </w:pPr>
      <w:r>
        <w:rPr>
          <w:rStyle w:val="FootnoteReference"/>
        </w:rPr>
        <w:footnoteRef/>
      </w:r>
      <w:r>
        <w:t xml:space="preserve"> </w:t>
      </w:r>
      <w:r>
        <w:tab/>
        <w:t xml:space="preserve">See, for example, NSW service provider responses to annual RINs for 2012-13.  </w:t>
      </w:r>
    </w:p>
  </w:footnote>
  <w:footnote w:id="468">
    <w:p w:rsidR="00224E75" w:rsidRDefault="00224E75" w:rsidP="00D1590E">
      <w:pPr>
        <w:pStyle w:val="FootnoteText"/>
      </w:pPr>
      <w:r>
        <w:rPr>
          <w:rStyle w:val="FootnoteReference"/>
        </w:rPr>
        <w:footnoteRef/>
      </w:r>
      <w:r>
        <w:t xml:space="preserve"> </w:t>
      </w:r>
      <w:r>
        <w:tab/>
        <w:t>ActewAGL, Revised regulatory proposal: 2015–19 regulatory control period, January 2015, pp. 189.</w:t>
      </w:r>
    </w:p>
  </w:footnote>
  <w:footnote w:id="469">
    <w:p w:rsidR="00224E75" w:rsidRDefault="00224E75" w:rsidP="00D1590E">
      <w:pPr>
        <w:pStyle w:val="FootnoteText"/>
      </w:pPr>
      <w:r>
        <w:rPr>
          <w:rStyle w:val="FootnoteReference"/>
        </w:rPr>
        <w:footnoteRef/>
      </w:r>
      <w:r>
        <w:t xml:space="preserve"> </w:t>
      </w:r>
      <w:r>
        <w:tab/>
        <w:t>Ausgrid, Regulatory Proposal, p. 59; Essential, Regulatory Proposal, p. 78; Networks NSW, Submission on AER issues paper, pp. 12-16.</w:t>
      </w:r>
    </w:p>
  </w:footnote>
  <w:footnote w:id="470">
    <w:p w:rsidR="00224E75" w:rsidRDefault="00224E75" w:rsidP="00D1590E">
      <w:pPr>
        <w:pStyle w:val="FootnoteText"/>
      </w:pPr>
      <w:r>
        <w:rPr>
          <w:rStyle w:val="FootnoteReference"/>
        </w:rPr>
        <w:footnoteRef/>
      </w:r>
      <w:r>
        <w:t xml:space="preserve"> </w:t>
      </w:r>
      <w:r>
        <w:tab/>
        <w:t xml:space="preserve">Essential Energy, </w:t>
      </w:r>
      <w:r w:rsidRPr="00CB0BF7">
        <w:rPr>
          <w:rStyle w:val="AERtextitalic"/>
          <w:i w:val="0"/>
        </w:rPr>
        <w:t xml:space="preserve">Regulatory Proposal, </w:t>
      </w:r>
      <w:r w:rsidRPr="00CB0BF7">
        <w:rPr>
          <w:rStyle w:val="AERbody"/>
          <w:sz w:val="16"/>
        </w:rPr>
        <w:t>p. 73</w:t>
      </w:r>
      <w:r w:rsidRPr="00CB0BF7">
        <w:t>; Essential Energy</w:t>
      </w:r>
      <w:r>
        <w:t>, Regulatory proposal appendix item 6.2 – Vegetation management review findings, p. 13.</w:t>
      </w:r>
    </w:p>
  </w:footnote>
  <w:footnote w:id="471">
    <w:p w:rsidR="00224E75" w:rsidRDefault="00224E75" w:rsidP="00D1590E">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w:t>
      </w:r>
      <w:r>
        <w:t>, November 2014, p. iv.</w:t>
      </w:r>
    </w:p>
  </w:footnote>
  <w:footnote w:id="472">
    <w:p w:rsidR="00224E75" w:rsidRDefault="00224E75" w:rsidP="00D1590E">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vii.</w:t>
      </w:r>
    </w:p>
  </w:footnote>
  <w:footnote w:id="473">
    <w:p w:rsidR="00224E75" w:rsidRDefault="00224E75" w:rsidP="00D1590E">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ii–v.</w:t>
      </w:r>
    </w:p>
  </w:footnote>
  <w:footnote w:id="474">
    <w:p w:rsidR="00224E75" w:rsidRDefault="00224E75" w:rsidP="00D1590E">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v-vi.</w:t>
      </w:r>
    </w:p>
    <w:p w:rsidR="00224E75" w:rsidRDefault="00224E75" w:rsidP="00D1590E">
      <w:pPr>
        <w:pStyle w:val="FootnoteText"/>
      </w:pPr>
    </w:p>
  </w:footnote>
  <w:footnote w:id="475">
    <w:p w:rsidR="00224E75" w:rsidRDefault="00224E75" w:rsidP="00D1590E">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vi-vii.</w:t>
      </w:r>
    </w:p>
  </w:footnote>
  <w:footnote w:id="476">
    <w:p w:rsidR="00224E75" w:rsidRDefault="00224E75" w:rsidP="00D1590E">
      <w:pPr>
        <w:pStyle w:val="FootnoteText"/>
      </w:pPr>
      <w:r>
        <w:rPr>
          <w:rStyle w:val="FootnoteReference"/>
        </w:rPr>
        <w:footnoteRef/>
      </w:r>
      <w:r>
        <w:t xml:space="preserve"> </w:t>
      </w:r>
      <w:r>
        <w:tab/>
        <w:t xml:space="preserve">Select Solutions, </w:t>
      </w:r>
      <w:r w:rsidRPr="00D0312A">
        <w:rPr>
          <w:rStyle w:val="AERtextitalic"/>
        </w:rPr>
        <w:t>Review of Essential Energy Vegetation Management Strategy–Final Report</w:t>
      </w:r>
      <w:r>
        <w:t xml:space="preserve">, 22 March 2013; Essential Energy, </w:t>
      </w:r>
      <w:r w:rsidRPr="00866DBF">
        <w:rPr>
          <w:rStyle w:val="AERtextitalic"/>
        </w:rPr>
        <w:t>Vegetation Management Strategy and Implementation Plan for Additional Expenditure – FY 2013 to 14</w:t>
      </w:r>
      <w:r>
        <w:t>, February 2013.</w:t>
      </w:r>
    </w:p>
  </w:footnote>
  <w:footnote w:id="477">
    <w:p w:rsidR="00224E75" w:rsidRDefault="00224E75" w:rsidP="00D1590E">
      <w:pPr>
        <w:pStyle w:val="FootnoteText"/>
      </w:pPr>
      <w:r>
        <w:rPr>
          <w:rStyle w:val="FootnoteReference"/>
        </w:rPr>
        <w:footnoteRef/>
      </w:r>
      <w:r>
        <w:t xml:space="preserve"> </w:t>
      </w:r>
      <w:r>
        <w:tab/>
        <w:t xml:space="preserve">Deloitte, </w:t>
      </w:r>
      <w:r w:rsidRPr="00D0312A">
        <w:rPr>
          <w:rStyle w:val="AERtextitalic"/>
        </w:rPr>
        <w:t>NSW Distribution Network Service Providers Labour Analysis</w:t>
      </w:r>
      <w:r>
        <w:t>, November 2014, p. iii.</w:t>
      </w:r>
    </w:p>
  </w:footnote>
  <w:footnote w:id="478">
    <w:p w:rsidR="00224E75" w:rsidRDefault="00224E75" w:rsidP="00D1590E">
      <w:pPr>
        <w:pStyle w:val="FootnoteText"/>
      </w:pPr>
      <w:r>
        <w:rPr>
          <w:rStyle w:val="FootnoteReference"/>
        </w:rPr>
        <w:footnoteRef/>
      </w:r>
      <w:r>
        <w:t xml:space="preserve"> </w:t>
      </w:r>
      <w:r>
        <w:tab/>
        <w:t xml:space="preserve">Deloitte, </w:t>
      </w:r>
      <w:r w:rsidRPr="00D0312A">
        <w:rPr>
          <w:rStyle w:val="AERtextitalic"/>
        </w:rPr>
        <w:t>NSW Distribution Network Service Providers Labour Analysis</w:t>
      </w:r>
      <w:r>
        <w:t>, November 2014, p. iv.</w:t>
      </w:r>
    </w:p>
  </w:footnote>
  <w:footnote w:id="479">
    <w:p w:rsidR="00224E75" w:rsidRDefault="00224E75" w:rsidP="00D1590E">
      <w:pPr>
        <w:pStyle w:val="FootnoteText"/>
      </w:pPr>
      <w:r>
        <w:rPr>
          <w:rStyle w:val="FootnoteReference"/>
        </w:rPr>
        <w:footnoteRef/>
      </w:r>
      <w:r>
        <w:t xml:space="preserve"> </w:t>
      </w:r>
      <w:r>
        <w:tab/>
        <w:t xml:space="preserve">Deloitte, </w:t>
      </w:r>
      <w:r w:rsidRPr="00D0312A">
        <w:rPr>
          <w:rStyle w:val="AERtextitalic"/>
        </w:rPr>
        <w:t>NSW Distribution Network Service Providers Labour Analysis</w:t>
      </w:r>
      <w:r>
        <w:t>, November 2014, p. 64.</w:t>
      </w:r>
    </w:p>
  </w:footnote>
  <w:footnote w:id="480">
    <w:p w:rsidR="00224E75" w:rsidRDefault="00224E75" w:rsidP="00D1590E">
      <w:pPr>
        <w:pStyle w:val="FootnoteText"/>
      </w:pPr>
      <w:r>
        <w:rPr>
          <w:rStyle w:val="FootnoteReference"/>
        </w:rPr>
        <w:footnoteRef/>
      </w:r>
      <w:r>
        <w:t xml:space="preserve"> </w:t>
      </w:r>
      <w:r>
        <w:tab/>
        <w:t xml:space="preserve">Essential Energy, </w:t>
      </w:r>
      <w:r w:rsidRPr="00866DBF">
        <w:rPr>
          <w:rStyle w:val="AERtextitalic"/>
        </w:rPr>
        <w:t>Vegetation Management Strategy and Implementation Plan for Additional Expenditure – FY 2013 to 14</w:t>
      </w:r>
      <w:r>
        <w:t>, February 2013, pp. 10–11.</w:t>
      </w:r>
    </w:p>
  </w:footnote>
  <w:footnote w:id="481">
    <w:p w:rsidR="00224E75" w:rsidRDefault="00224E75" w:rsidP="00D1590E">
      <w:pPr>
        <w:pStyle w:val="FootnoteText"/>
      </w:pPr>
      <w:r>
        <w:rPr>
          <w:rStyle w:val="FootnoteReference"/>
        </w:rPr>
        <w:footnoteRef/>
      </w:r>
      <w:r>
        <w:t xml:space="preserve"> </w:t>
      </w:r>
      <w:r>
        <w:tab/>
        <w:t xml:space="preserve">Essential Energy, </w:t>
      </w:r>
      <w:r w:rsidRPr="00866DBF">
        <w:rPr>
          <w:rStyle w:val="AERtextitalic"/>
        </w:rPr>
        <w:t>Vegetation Management Strategy and Implementation Plan for Additional Expenditure – FY 2013 to 14</w:t>
      </w:r>
      <w:r>
        <w:t>, February 2013, p. 13.</w:t>
      </w:r>
    </w:p>
  </w:footnote>
  <w:footnote w:id="482">
    <w:p w:rsidR="00224E75" w:rsidRDefault="00224E75" w:rsidP="00D1590E">
      <w:pPr>
        <w:pStyle w:val="FootnoteText"/>
      </w:pPr>
      <w:r>
        <w:rPr>
          <w:rStyle w:val="FootnoteReference"/>
        </w:rPr>
        <w:footnoteRef/>
      </w:r>
      <w:r>
        <w:t xml:space="preserve"> </w:t>
      </w:r>
      <w:r>
        <w:tab/>
        <w:t xml:space="preserve">Select Solutions, </w:t>
      </w:r>
      <w:r w:rsidRPr="00D0312A">
        <w:rPr>
          <w:rStyle w:val="AERtextitalic"/>
        </w:rPr>
        <w:t>Review of Essential Energy Vegetation Management Strategy–Final Report</w:t>
      </w:r>
      <w:r>
        <w:t>, 22 March 2013.</w:t>
      </w:r>
    </w:p>
  </w:footnote>
  <w:footnote w:id="483">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ii–vii.</w:t>
      </w:r>
    </w:p>
  </w:footnote>
  <w:footnote w:id="484">
    <w:p w:rsidR="00224E75" w:rsidRDefault="00224E75" w:rsidP="00D1590E">
      <w:pPr>
        <w:pStyle w:val="FootnoteText"/>
      </w:pPr>
      <w:r>
        <w:rPr>
          <w:rStyle w:val="FootnoteReference"/>
        </w:rPr>
        <w:footnoteRef/>
      </w:r>
      <w:r>
        <w:t xml:space="preserve"> </w:t>
      </w:r>
      <w:r>
        <w:tab/>
        <w:t xml:space="preserve">K&amp;L Gates, </w:t>
      </w:r>
      <w:r w:rsidRPr="00D0312A">
        <w:rPr>
          <w:rStyle w:val="AERtextitalic"/>
        </w:rPr>
        <w:t>Networks NSW: Comparison and analysis of enterprise bargaining agreements for distribution networks</w:t>
      </w:r>
      <w:r>
        <w:t xml:space="preserve">, January 2015; Competition Economists Group, </w:t>
      </w:r>
      <w:r w:rsidRPr="00D0312A">
        <w:rPr>
          <w:rStyle w:val="AERtextitalic"/>
        </w:rPr>
        <w:t>Labour unit cost – review of Deloitte report</w:t>
      </w:r>
      <w:r>
        <w:t>, January 2015.</w:t>
      </w:r>
    </w:p>
  </w:footnote>
  <w:footnote w:id="485">
    <w:p w:rsidR="00224E75" w:rsidRDefault="00224E75" w:rsidP="00D1590E">
      <w:pPr>
        <w:pStyle w:val="FootnoteText"/>
      </w:pPr>
      <w:r>
        <w:rPr>
          <w:rStyle w:val="FootnoteReference"/>
        </w:rPr>
        <w:footnoteRef/>
      </w:r>
      <w:r>
        <w:t xml:space="preserve"> </w:t>
      </w:r>
      <w:r>
        <w:tab/>
        <w:t>Endeavour Energy, Revised regulatory proposal – Attachment 6.01: Response to AER's comments on inefficient labour practices, January 2015; Essential Energy, Revised regulatory proposal, attachment 7.5; ARUP, Ausgrid labour analysis report, January 2015.</w:t>
      </w:r>
    </w:p>
  </w:footnote>
  <w:footnote w:id="486">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ii–vii.</w:t>
      </w:r>
    </w:p>
  </w:footnote>
  <w:footnote w:id="487">
    <w:p w:rsidR="00224E75" w:rsidRDefault="00224E75" w:rsidP="00D1590E">
      <w:pPr>
        <w:pStyle w:val="FootnoteText"/>
      </w:pPr>
      <w:r>
        <w:rPr>
          <w:rStyle w:val="FootnoteReference"/>
        </w:rPr>
        <w:footnoteRef/>
      </w:r>
      <w:r>
        <w:t xml:space="preserve"> </w:t>
      </w:r>
      <w:r>
        <w:tab/>
        <w:t>Ausgrid, Revised regulatory proposal, January 2015, pp. 155–161; Endeavour Energy, Revised regulatory proposal, January 2015, pp. 183–186; Essential Energy, Revised regulatory proposal, January 2015, pp. 194–200.</w:t>
      </w:r>
    </w:p>
  </w:footnote>
  <w:footnote w:id="488">
    <w:p w:rsidR="00224E75" w:rsidRDefault="00224E75" w:rsidP="00D1590E">
      <w:pPr>
        <w:pStyle w:val="FootnoteText"/>
      </w:pPr>
      <w:r>
        <w:rPr>
          <w:rStyle w:val="FootnoteReference"/>
        </w:rPr>
        <w:footnoteRef/>
      </w:r>
      <w:r>
        <w:t xml:space="preserve"> </w:t>
      </w:r>
      <w:r>
        <w:tab/>
      </w:r>
      <w:r w:rsidRPr="005F30FD">
        <w:t xml:space="preserve">The Victorian and NEM figures exclude United Energy because it </w:t>
      </w:r>
      <w:r>
        <w:t>outsourced the vast majority of all operational work over the period</w:t>
      </w:r>
      <w:r w:rsidRPr="005F30FD">
        <w:t>.</w:t>
      </w:r>
    </w:p>
  </w:footnote>
  <w:footnote w:id="489">
    <w:p w:rsidR="00224E75" w:rsidRDefault="00224E75" w:rsidP="00D1590E">
      <w:pPr>
        <w:pStyle w:val="FootnoteText"/>
      </w:pPr>
      <w:r>
        <w:rPr>
          <w:rStyle w:val="FootnoteReference"/>
        </w:rPr>
        <w:footnoteRef/>
      </w:r>
      <w:r>
        <w:t xml:space="preserve"> </w:t>
      </w:r>
      <w:r>
        <w:tab/>
      </w:r>
      <w:r w:rsidRPr="005F30FD">
        <w:t xml:space="preserve">The Victorian and NEM figures exclude United Energy because it </w:t>
      </w:r>
      <w:r>
        <w:t>outsourced the vast majority of all operational work over the period</w:t>
      </w:r>
      <w:r w:rsidRPr="005F30FD">
        <w:t>.</w:t>
      </w:r>
    </w:p>
  </w:footnote>
  <w:footnote w:id="490">
    <w:p w:rsidR="00224E75" w:rsidRDefault="00224E75" w:rsidP="00D1590E">
      <w:pPr>
        <w:pStyle w:val="FootnoteText"/>
      </w:pPr>
      <w:r>
        <w:rPr>
          <w:rStyle w:val="FootnoteReference"/>
        </w:rPr>
        <w:footnoteRef/>
      </w:r>
      <w:r>
        <w:t xml:space="preserve"> </w:t>
      </w:r>
      <w:r>
        <w:tab/>
        <w:t>Rural service providers tend to perform unfavourably on this metric compared to their urban peers, because they must operate and maintain more assets per customer. This result is evident from the greater ASL per customer exhibited by Essential Energy relative to Ausgrid and Endeavour Energy. Considering this, we note that SA Power Networks is a predominantly rural service provider and outperforms the three NSW service providers.</w:t>
      </w:r>
    </w:p>
  </w:footnote>
  <w:footnote w:id="491">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30.</w:t>
      </w:r>
    </w:p>
  </w:footnote>
  <w:footnote w:id="492">
    <w:p w:rsidR="00224E75" w:rsidRDefault="00224E75" w:rsidP="00D1590E">
      <w:pPr>
        <w:pStyle w:val="FootnoteText"/>
      </w:pPr>
      <w:r>
        <w:rPr>
          <w:rStyle w:val="FootnoteReference"/>
        </w:rPr>
        <w:footnoteRef/>
      </w:r>
      <w:r>
        <w:t xml:space="preserve"> </w:t>
      </w:r>
      <w:r>
        <w:tab/>
        <w:t xml:space="preserve">K&amp;L Gates, </w:t>
      </w:r>
      <w:r w:rsidRPr="00D0312A">
        <w:rPr>
          <w:rStyle w:val="AERtextitalic"/>
        </w:rPr>
        <w:t>Networks NSW: Comparison and analysis of enterprise bargaining agreements for distribution networks</w:t>
      </w:r>
      <w:r>
        <w:t xml:space="preserve">, January 2015; Competition Economists Group, </w:t>
      </w:r>
      <w:r w:rsidRPr="00D0312A">
        <w:rPr>
          <w:rStyle w:val="AERtextitalic"/>
        </w:rPr>
        <w:t>Labour unit cost – review of Deloitte report</w:t>
      </w:r>
      <w:r>
        <w:t>, January 2015.</w:t>
      </w:r>
    </w:p>
  </w:footnote>
  <w:footnote w:id="493">
    <w:p w:rsidR="00224E75" w:rsidRDefault="00224E75" w:rsidP="00D1590E">
      <w:pPr>
        <w:pStyle w:val="FootnoteText"/>
      </w:pPr>
      <w:r>
        <w:rPr>
          <w:rStyle w:val="FootnoteReference"/>
        </w:rPr>
        <w:footnoteRef/>
      </w:r>
      <w:r>
        <w:t xml:space="preserve"> </w:t>
      </w:r>
      <w:r>
        <w:tab/>
        <w:t>Ausgrid, Revised regulatory proposal, January 2015, pp. 159–160; Essential Energy, Revised regulatory proposal , January 2015, pp. 197–200;</w:t>
      </w:r>
      <w:r w:rsidRPr="00967572">
        <w:t xml:space="preserve"> </w:t>
      </w:r>
      <w:r>
        <w:t xml:space="preserve">Essential Energy, Revised regulatory proposal – Attachment 7.5: NSW DNSP labour analysis, January 2015, p. 38; Endeavour Energy, Revised regulatory proposal, January 2015, pp. 183–186; </w:t>
      </w:r>
      <w:r w:rsidRPr="000D3455" w:rsidDel="006C146E">
        <w:t xml:space="preserve"> </w:t>
      </w:r>
      <w:r>
        <w:t>K&amp;L Gates, Networks NSW: Comparison and analysis of enterprise bargaining agreements for distribution networks, January 2015, p. 13; Competition Economists Group, Labour unit cost – review of Deloitte report, January 2015, pp. 1–3;</w:t>
      </w:r>
    </w:p>
  </w:footnote>
  <w:footnote w:id="494">
    <w:p w:rsidR="00224E75" w:rsidRDefault="00224E75" w:rsidP="00D1590E">
      <w:pPr>
        <w:pStyle w:val="FootnoteText"/>
      </w:pPr>
      <w:r>
        <w:rPr>
          <w:rStyle w:val="FootnoteReference"/>
        </w:rPr>
        <w:footnoteRef/>
      </w:r>
      <w:r>
        <w:t xml:space="preserve"> </w:t>
      </w:r>
      <w:r>
        <w:tab/>
        <w:t>8 out of 12 distributors.</w:t>
      </w:r>
    </w:p>
  </w:footnote>
  <w:footnote w:id="495">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23–26.</w:t>
      </w:r>
    </w:p>
  </w:footnote>
  <w:footnote w:id="496">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26.</w:t>
      </w:r>
    </w:p>
  </w:footnote>
  <w:footnote w:id="497">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27.</w:t>
      </w:r>
    </w:p>
  </w:footnote>
  <w:footnote w:id="498">
    <w:p w:rsidR="00224E75" w:rsidRDefault="00224E75" w:rsidP="00D1590E">
      <w:pPr>
        <w:pStyle w:val="FootnoteText"/>
      </w:pPr>
      <w:r>
        <w:rPr>
          <w:rStyle w:val="FootnoteReference"/>
        </w:rPr>
        <w:footnoteRef/>
      </w:r>
      <w:r>
        <w:t xml:space="preserve"> </w:t>
      </w:r>
      <w:r>
        <w:tab/>
        <w:t>Ausgrid, Revised regulatory proposal, January 2015, p. 160; Essential Energy, Revised regulatory proposal , January 2015, p. 199.</w:t>
      </w:r>
    </w:p>
  </w:footnote>
  <w:footnote w:id="499">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30.</w:t>
      </w:r>
    </w:p>
  </w:footnote>
  <w:footnote w:id="500">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30.</w:t>
      </w:r>
    </w:p>
  </w:footnote>
  <w:footnote w:id="501">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29.</w:t>
      </w:r>
    </w:p>
  </w:footnote>
  <w:footnote w:id="502">
    <w:p w:rsidR="00224E75" w:rsidRDefault="00224E75" w:rsidP="00D1590E">
      <w:pPr>
        <w:pStyle w:val="FootnoteText"/>
      </w:pPr>
      <w:r>
        <w:rPr>
          <w:rStyle w:val="FootnoteReference"/>
        </w:rPr>
        <w:footnoteRef/>
      </w:r>
      <w:r>
        <w:t xml:space="preserve"> </w:t>
      </w:r>
      <w:r>
        <w:tab/>
        <w:t>Essential Energy, Revised regulatory proposal , January 2015, pp. 195–196; Endeavour Energy, Revised regulatory proposal, January 2015, pp. 182–183.</w:t>
      </w:r>
    </w:p>
  </w:footnote>
  <w:footnote w:id="503">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46.</w:t>
      </w:r>
    </w:p>
  </w:footnote>
  <w:footnote w:id="504">
    <w:p w:rsidR="00224E75" w:rsidRDefault="00224E75" w:rsidP="00D1590E">
      <w:pPr>
        <w:pStyle w:val="FootnoteText"/>
      </w:pPr>
      <w:r>
        <w:rPr>
          <w:rStyle w:val="FootnoteReference"/>
        </w:rPr>
        <w:footnoteRef/>
      </w:r>
      <w:r>
        <w:t xml:space="preserve"> </w:t>
      </w:r>
      <w:r>
        <w:tab/>
        <w:t>Essential Energy, Revised regulatory proposal – Attachment 7.6: Productivity, January 2015, p. 3.</w:t>
      </w:r>
    </w:p>
  </w:footnote>
  <w:footnote w:id="505">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37–43.</w:t>
      </w:r>
    </w:p>
  </w:footnote>
  <w:footnote w:id="506">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40.</w:t>
      </w:r>
    </w:p>
  </w:footnote>
  <w:footnote w:id="507">
    <w:p w:rsidR="00224E75" w:rsidRDefault="00224E75" w:rsidP="00D1590E">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41.</w:t>
      </w:r>
    </w:p>
  </w:footnote>
  <w:footnote w:id="508">
    <w:p w:rsidR="00224E75" w:rsidRDefault="00224E75" w:rsidP="00D1590E">
      <w:pPr>
        <w:pStyle w:val="FootnoteText"/>
      </w:pPr>
      <w:r>
        <w:rPr>
          <w:rStyle w:val="FootnoteReference"/>
        </w:rPr>
        <w:footnoteRef/>
      </w:r>
      <w:r>
        <w:t xml:space="preserve"> </w:t>
      </w:r>
      <w:r>
        <w:tab/>
        <w:t xml:space="preserve">Essential Energy, </w:t>
      </w:r>
      <w:r w:rsidRPr="00EE6F12">
        <w:rPr>
          <w:rStyle w:val="AERtextitalic"/>
        </w:rPr>
        <w:t>Regulatory Proposal: Attachment E.1</w:t>
      </w:r>
      <w:r>
        <w:t>.</w:t>
      </w:r>
    </w:p>
  </w:footnote>
  <w:footnote w:id="509">
    <w:p w:rsidR="00224E75" w:rsidRDefault="00224E75" w:rsidP="00D1590E">
      <w:pPr>
        <w:pStyle w:val="FootnoteText"/>
        <w:ind w:left="0" w:firstLine="0"/>
      </w:pPr>
      <w:r>
        <w:rPr>
          <w:rStyle w:val="FootnoteReference"/>
        </w:rPr>
        <w:footnoteRef/>
      </w:r>
      <w:r>
        <w:t xml:space="preserve"> </w:t>
      </w:r>
      <w:r>
        <w:tab/>
        <w:t>Essential Energy, Revised regulatory proposal – Attachment 7.10: Response to AER decision on vegetation management expenditure, January 2015; Essential Energy, Revised regulatory proposal, January 2015, pp. 200–201; Advisian,</w:t>
      </w:r>
      <w:r w:rsidRPr="006E6AC9">
        <w:t xml:space="preserve"> Review of AER Benchmarking, January 2015</w:t>
      </w:r>
      <w:r>
        <w:t>, p. 72.</w:t>
      </w:r>
    </w:p>
  </w:footnote>
  <w:footnote w:id="510">
    <w:p w:rsidR="00224E75" w:rsidRDefault="00224E75" w:rsidP="00D1590E">
      <w:pPr>
        <w:pStyle w:val="FootnoteText"/>
      </w:pPr>
      <w:r>
        <w:rPr>
          <w:rStyle w:val="FootnoteReference"/>
        </w:rPr>
        <w:footnoteRef/>
      </w:r>
      <w:r>
        <w:t xml:space="preserve"> </w:t>
      </w:r>
      <w:r>
        <w:tab/>
        <w:t>Essential Energy, Regulatory proposal, May 2014, p. 73.</w:t>
      </w:r>
    </w:p>
  </w:footnote>
  <w:footnote w:id="511">
    <w:p w:rsidR="00224E75" w:rsidRDefault="00224E75" w:rsidP="00D1590E">
      <w:pPr>
        <w:pStyle w:val="FootnoteText"/>
      </w:pPr>
      <w:r>
        <w:rPr>
          <w:rStyle w:val="FootnoteReference"/>
        </w:rPr>
        <w:footnoteRef/>
      </w:r>
      <w:r>
        <w:t xml:space="preserve"> </w:t>
      </w:r>
      <w:r>
        <w:tab/>
        <w:t xml:space="preserve">Essential Energy, </w:t>
      </w:r>
      <w:r w:rsidRPr="00C76BF6">
        <w:rPr>
          <w:rStyle w:val="AERtextitalic"/>
        </w:rPr>
        <w:t>Vegetation Management Strategy and Implementation Plan for Additional Expenditure – FY 2013 to 14</w:t>
      </w:r>
      <w:r>
        <w:t>, February 2013, p. 13.</w:t>
      </w:r>
    </w:p>
  </w:footnote>
  <w:footnote w:id="512">
    <w:p w:rsidR="00224E75" w:rsidRDefault="00224E75" w:rsidP="00D1590E">
      <w:pPr>
        <w:pStyle w:val="FootnoteText"/>
      </w:pPr>
      <w:r>
        <w:rPr>
          <w:rStyle w:val="FootnoteReference"/>
        </w:rPr>
        <w:footnoteRef/>
      </w:r>
      <w:r>
        <w:t xml:space="preserve"> </w:t>
      </w:r>
      <w:r>
        <w:tab/>
        <w:t xml:space="preserve">Select Solutions, </w:t>
      </w:r>
      <w:r w:rsidRPr="00C76BF6">
        <w:rPr>
          <w:rStyle w:val="AERtextitalic"/>
        </w:rPr>
        <w:t>Review of Essential Energy Vegetation Management Strategy–Final Report</w:t>
      </w:r>
      <w:r>
        <w:t>, 22 March 2013, pp. 15</w:t>
      </w:r>
      <w:r>
        <w:rPr>
          <w:rFonts w:cs="Gautami"/>
        </w:rPr>
        <w:t>–</w:t>
      </w:r>
      <w:r>
        <w:t>16.</w:t>
      </w:r>
    </w:p>
  </w:footnote>
  <w:footnote w:id="513">
    <w:p w:rsidR="00224E75" w:rsidRDefault="00224E75" w:rsidP="00D1590E">
      <w:pPr>
        <w:pStyle w:val="FootnoteText"/>
      </w:pPr>
      <w:r>
        <w:rPr>
          <w:rStyle w:val="FootnoteReference"/>
        </w:rPr>
        <w:footnoteRef/>
      </w:r>
      <w:r>
        <w:t xml:space="preserve"> </w:t>
      </w:r>
      <w:r>
        <w:tab/>
        <w:t>Essential Energy, Revised regulatory proposal – Attachment 7.10: Response to AER decision on vegetation management expenditure, January 2015, pp. 5–6.</w:t>
      </w:r>
    </w:p>
  </w:footnote>
  <w:footnote w:id="514">
    <w:p w:rsidR="00224E75" w:rsidRDefault="00224E75" w:rsidP="00D1590E">
      <w:pPr>
        <w:pStyle w:val="FootnoteText"/>
      </w:pPr>
      <w:r>
        <w:rPr>
          <w:rStyle w:val="FootnoteReference"/>
        </w:rPr>
        <w:footnoteRef/>
      </w:r>
      <w:r>
        <w:t xml:space="preserve"> </w:t>
      </w:r>
      <w:r>
        <w:tab/>
        <w:t>Essential Energy, Revised regulatory proposal, January 2015, p. 189; Endeavour Energy, Revised regulatory proposal, January 2015, pp. 176–177; Ausgrid, Revised regulatory proposal, January 2015, p.149; Advisian,</w:t>
      </w:r>
      <w:r w:rsidRPr="006E6AC9">
        <w:t xml:space="preserve"> </w:t>
      </w:r>
      <w:r w:rsidRPr="00D0312A">
        <w:rPr>
          <w:rStyle w:val="AERtextitalic"/>
        </w:rPr>
        <w:t>Review of AER Benchmarking</w:t>
      </w:r>
      <w:r w:rsidRPr="006E6AC9">
        <w:t>, January 2015</w:t>
      </w:r>
      <w:r>
        <w:t>, p. 4.</w:t>
      </w:r>
    </w:p>
  </w:footnote>
  <w:footnote w:id="515">
    <w:p w:rsidR="00224E75" w:rsidRDefault="00224E75" w:rsidP="00D1590E">
      <w:pPr>
        <w:pStyle w:val="FootnoteText"/>
      </w:pPr>
      <w:r>
        <w:rPr>
          <w:rStyle w:val="FootnoteReference"/>
        </w:rPr>
        <w:footnoteRef/>
      </w:r>
      <w:r>
        <w:t xml:space="preserve"> </w:t>
      </w:r>
      <w:r>
        <w:tab/>
        <w:t>AER, Draft Decision NSW distribution network service providers, November 2014, section A.4.3.</w:t>
      </w:r>
    </w:p>
  </w:footnote>
  <w:footnote w:id="516">
    <w:p w:rsidR="00224E75" w:rsidRDefault="00224E75" w:rsidP="00D1590E">
      <w:pPr>
        <w:pStyle w:val="FootnoteText"/>
      </w:pPr>
      <w:r>
        <w:rPr>
          <w:rStyle w:val="FootnoteReference"/>
        </w:rPr>
        <w:footnoteRef/>
      </w:r>
      <w:r>
        <w:t xml:space="preserve"> </w:t>
      </w:r>
      <w:r>
        <w:tab/>
        <w:t>Ausgrid, Revised regulatory proposal, January 2015, pp.164–167; Essential Energy, Revised regulatory proposal, January 2015, pp. 201–203.</w:t>
      </w:r>
    </w:p>
  </w:footnote>
  <w:footnote w:id="517">
    <w:p w:rsidR="00224E75" w:rsidRDefault="00224E75" w:rsidP="00D1590E">
      <w:pPr>
        <w:pStyle w:val="FootnoteText"/>
      </w:pPr>
      <w:r>
        <w:rPr>
          <w:rStyle w:val="FootnoteReference"/>
        </w:rPr>
        <w:footnoteRef/>
      </w:r>
      <w:r>
        <w:t xml:space="preserve"> </w:t>
      </w:r>
      <w:r>
        <w:tab/>
        <w:t xml:space="preserve">Essential Energy, Revised regulatory proposal –Attachment 6.4 corporate overhead and divisional network overhead, January 2015, pp. 3–4; </w:t>
      </w:r>
    </w:p>
  </w:footnote>
  <w:footnote w:id="518">
    <w:p w:rsidR="00224E75" w:rsidRDefault="00224E75" w:rsidP="00D1590E">
      <w:pPr>
        <w:pStyle w:val="FootnoteText"/>
      </w:pPr>
      <w:r>
        <w:rPr>
          <w:rStyle w:val="FootnoteReference"/>
        </w:rPr>
        <w:footnoteRef/>
      </w:r>
      <w:r>
        <w:t xml:space="preserve"> </w:t>
      </w:r>
      <w:r>
        <w:tab/>
        <w:t>Ausgrid, Revised regulatory proposal, January 2015, p. 166.</w:t>
      </w:r>
    </w:p>
  </w:footnote>
  <w:footnote w:id="519">
    <w:p w:rsidR="00224E75" w:rsidRDefault="00224E75" w:rsidP="00D1590E">
      <w:pPr>
        <w:pStyle w:val="FootnoteText"/>
      </w:pPr>
      <w:r>
        <w:rPr>
          <w:rStyle w:val="FootnoteReference"/>
        </w:rPr>
        <w:footnoteRef/>
      </w:r>
      <w:r>
        <w:t xml:space="preserve"> </w:t>
      </w:r>
      <w:r>
        <w:tab/>
        <w:t>Ausgrid, Revised regulatory proposal, January 2015, pp. 166–167; Endeavour Energy, Revised regulatory proposal, pp. 187–188; Endeavour Energy, Revised regulatory proposal: Attachment 6.04 Response to AER on vegetation management costs, January 2015, pp. 10–12.</w:t>
      </w:r>
    </w:p>
  </w:footnote>
  <w:footnote w:id="520">
    <w:p w:rsidR="00224E75" w:rsidRDefault="00224E75" w:rsidP="00D1590E">
      <w:pPr>
        <w:pStyle w:val="FootnoteText"/>
      </w:pPr>
      <w:r>
        <w:rPr>
          <w:rStyle w:val="FootnoteReference"/>
        </w:rPr>
        <w:footnoteRef/>
      </w:r>
      <w:r>
        <w:t xml:space="preserve"> </w:t>
      </w:r>
      <w:r>
        <w:tab/>
        <w:t>Ernst &amp; Young, Briefing paper: RIN data review, February 2015, pp. 6–7.</w:t>
      </w:r>
    </w:p>
  </w:footnote>
  <w:footnote w:id="521">
    <w:p w:rsidR="00224E75" w:rsidRDefault="00224E75" w:rsidP="00D1590E">
      <w:pPr>
        <w:pStyle w:val="FootnoteText"/>
      </w:pPr>
      <w:r>
        <w:rPr>
          <w:rStyle w:val="FootnoteReference"/>
        </w:rPr>
        <w:footnoteRef/>
      </w:r>
      <w:r>
        <w:t xml:space="preserve"> </w:t>
      </w:r>
      <w:r>
        <w:tab/>
        <w:t>VBRC, vol 2, chapter 4, pp. 159–164.</w:t>
      </w:r>
    </w:p>
  </w:footnote>
  <w:footnote w:id="522">
    <w:p w:rsidR="00224E75" w:rsidRDefault="00224E75" w:rsidP="00D1590E">
      <w:pPr>
        <w:pStyle w:val="FootnoteText"/>
      </w:pPr>
      <w:r>
        <w:rPr>
          <w:rStyle w:val="FootnoteReference"/>
        </w:rPr>
        <w:footnoteRef/>
      </w:r>
      <w:r>
        <w:t xml:space="preserve"> </w:t>
      </w:r>
      <w:r>
        <w:tab/>
        <w:t>Essential Energy, Revised proposal attachment 7.4, pp. 49–50.</w:t>
      </w:r>
    </w:p>
  </w:footnote>
  <w:footnote w:id="523">
    <w:p w:rsidR="00224E75" w:rsidRDefault="00224E75" w:rsidP="00D1590E">
      <w:pPr>
        <w:pStyle w:val="FootnoteText"/>
      </w:pPr>
      <w:r>
        <w:rPr>
          <w:rStyle w:val="FootnoteReference"/>
        </w:rPr>
        <w:footnoteRef/>
      </w:r>
      <w:r>
        <w:t xml:space="preserve"> </w:t>
      </w:r>
      <w:r>
        <w:tab/>
        <w:t>Essential Energy, Revised proposal attachment 7.4, pp. 50–51.</w:t>
      </w:r>
    </w:p>
  </w:footnote>
  <w:footnote w:id="524">
    <w:p w:rsidR="00224E75" w:rsidRDefault="00224E75" w:rsidP="00D1590E">
      <w:pPr>
        <w:pStyle w:val="FootnoteText"/>
      </w:pPr>
      <w:r>
        <w:rPr>
          <w:rStyle w:val="FootnoteReference"/>
        </w:rPr>
        <w:footnoteRef/>
      </w:r>
      <w:r>
        <w:t xml:space="preserve"> </w:t>
      </w:r>
      <w:r>
        <w:tab/>
        <w:t>Ausgrid, Revised regulatory proposal, January 2015, pp. 153–155, 161; Endeavour Energy, Revised regulatory proposal, January 2015, p. 181; Essential Energy, Revised regulatory proposal, January 2015, pp. 193–194.</w:t>
      </w:r>
    </w:p>
  </w:footnote>
  <w:footnote w:id="525">
    <w:p w:rsidR="00224E75" w:rsidRDefault="00224E75" w:rsidP="00D1590E">
      <w:pPr>
        <w:pStyle w:val="FootnoteText"/>
      </w:pPr>
      <w:r>
        <w:rPr>
          <w:rStyle w:val="FootnoteReference"/>
        </w:rPr>
        <w:footnoteRef/>
      </w:r>
      <w:r>
        <w:t xml:space="preserve"> </w:t>
      </w:r>
      <w:r>
        <w:tab/>
        <w:t>AER, Draft Decision NSW distribution network service providers, November 2014, section A.4.1.</w:t>
      </w:r>
    </w:p>
  </w:footnote>
  <w:footnote w:id="526">
    <w:p w:rsidR="00224E75" w:rsidRDefault="00224E75" w:rsidP="00D1590E">
      <w:pPr>
        <w:pStyle w:val="FootnoteText"/>
      </w:pPr>
      <w:r>
        <w:rPr>
          <w:rStyle w:val="FootnoteReference"/>
        </w:rPr>
        <w:footnoteRef/>
      </w:r>
      <w:r>
        <w:t xml:space="preserve"> </w:t>
      </w:r>
      <w:r>
        <w:tab/>
        <w:t>Ausgrid, Revised regulatory proposal, January 2015, p. 153.</w:t>
      </w:r>
    </w:p>
  </w:footnote>
  <w:footnote w:id="527">
    <w:p w:rsidR="00224E75" w:rsidRDefault="00224E75" w:rsidP="00D1590E">
      <w:pPr>
        <w:pStyle w:val="FootnoteText"/>
      </w:pPr>
      <w:r>
        <w:rPr>
          <w:rStyle w:val="FootnoteReference"/>
        </w:rPr>
        <w:footnoteRef/>
      </w:r>
      <w:r>
        <w:t xml:space="preserve"> </w:t>
      </w:r>
      <w:r>
        <w:tab/>
        <w:t>Ausgrid, Revised regulatory proposal, January 2015, p. 154.</w:t>
      </w:r>
    </w:p>
  </w:footnote>
  <w:footnote w:id="528">
    <w:p w:rsidR="00224E75" w:rsidRDefault="00224E75" w:rsidP="00D1590E">
      <w:pPr>
        <w:pStyle w:val="FootnoteText"/>
      </w:pPr>
      <w:r>
        <w:rPr>
          <w:rStyle w:val="FootnoteReference"/>
        </w:rPr>
        <w:footnoteRef/>
      </w:r>
      <w:r>
        <w:t xml:space="preserve"> </w:t>
      </w:r>
      <w:r>
        <w:tab/>
        <w:t>Ausgrid, Revised regulatory proposal, January 2015, p. 155.</w:t>
      </w:r>
    </w:p>
  </w:footnote>
  <w:footnote w:id="529">
    <w:p w:rsidR="00224E75" w:rsidRDefault="00224E75" w:rsidP="00D1590E">
      <w:pPr>
        <w:pStyle w:val="FootnoteText"/>
      </w:pPr>
      <w:r>
        <w:rPr>
          <w:rStyle w:val="FootnoteReference"/>
        </w:rPr>
        <w:footnoteRef/>
      </w:r>
      <w:r>
        <w:t xml:space="preserve"> </w:t>
      </w:r>
      <w:r>
        <w:tab/>
        <w:t>Ausgrid, Revised regulatory proposal, January 2015, p. 155.</w:t>
      </w:r>
    </w:p>
  </w:footnote>
  <w:footnote w:id="530">
    <w:p w:rsidR="00224E75" w:rsidRDefault="00224E75" w:rsidP="00D1590E">
      <w:pPr>
        <w:pStyle w:val="FootnoteText"/>
      </w:pPr>
      <w:r>
        <w:rPr>
          <w:rStyle w:val="FootnoteReference"/>
        </w:rPr>
        <w:footnoteRef/>
      </w:r>
      <w:r>
        <w:t xml:space="preserve"> </w:t>
      </w:r>
      <w:r>
        <w:tab/>
        <w:t xml:space="preserve">AER, </w:t>
      </w:r>
      <w:r w:rsidRPr="00CB27DF">
        <w:rPr>
          <w:rStyle w:val="AERtextitalic"/>
        </w:rPr>
        <w:t>Better regulation: Expenditure forecast assessment guideline for electricity distribution</w:t>
      </w:r>
      <w:r>
        <w:t>, November 2013, p. 11.</w:t>
      </w:r>
    </w:p>
  </w:footnote>
  <w:footnote w:id="531">
    <w:p w:rsidR="00224E75" w:rsidRDefault="00224E75" w:rsidP="00D1590E">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Tribunal has endorsed this approach and indicated a similar preference: see for example </w:t>
      </w:r>
      <w:r w:rsidRPr="000D32BC">
        <w:t>Application by Ergon Energy Corporation Limited (Labour Cost Escalators) (No 3) [2010] ACompT 11</w:t>
      </w:r>
      <w:r>
        <w:t xml:space="preserve"> at [61] to [62].</w:t>
      </w:r>
    </w:p>
  </w:footnote>
  <w:footnote w:id="532">
    <w:p w:rsidR="00224E75" w:rsidRDefault="00224E75" w:rsidP="00D1590E">
      <w:pPr>
        <w:pStyle w:val="FootnoteText"/>
      </w:pPr>
      <w:r>
        <w:rPr>
          <w:rStyle w:val="FootnoteReference"/>
        </w:rPr>
        <w:footnoteRef/>
      </w:r>
      <w:r>
        <w:t xml:space="preserve"> </w:t>
      </w:r>
      <w:r>
        <w:tab/>
        <w:t xml:space="preserve">As discussed in Section </w:t>
      </w:r>
      <w:r>
        <w:rPr>
          <w:rStyle w:val="AERtexthighlight"/>
        </w:rPr>
        <w:fldChar w:fldCharType="begin"/>
      </w:r>
      <w:r>
        <w:instrText xml:space="preserve"> REF _Ref416803943 \n \h </w:instrText>
      </w:r>
      <w:r>
        <w:rPr>
          <w:rStyle w:val="AERtexthighlight"/>
        </w:rPr>
      </w:r>
      <w:r>
        <w:rPr>
          <w:rStyle w:val="AERtexthighlight"/>
        </w:rPr>
        <w:fldChar w:fldCharType="separate"/>
      </w:r>
      <w:r>
        <w:t>A.7</w:t>
      </w:r>
      <w:r>
        <w:rPr>
          <w:rStyle w:val="AERtexthighlight"/>
        </w:rPr>
        <w:fldChar w:fldCharType="end"/>
      </w:r>
      <w:r>
        <w:t>, we consider Endeavour Energy's revealed opex may be an appropriate basis for forecasting opex over the 2014–19 period.</w:t>
      </w:r>
    </w:p>
  </w:footnote>
  <w:footnote w:id="533">
    <w:p w:rsidR="00224E75" w:rsidRDefault="00224E75" w:rsidP="00D1590E">
      <w:pPr>
        <w:pStyle w:val="FootnoteText"/>
      </w:pPr>
      <w:r>
        <w:rPr>
          <w:rStyle w:val="FootnoteReference"/>
        </w:rPr>
        <w:footnoteRef/>
      </w:r>
      <w:r>
        <w:t xml:space="preserve"> </w:t>
      </w:r>
      <w:r>
        <w:tab/>
        <w:t>Consumer challenge panel, Submission to AER responding to NSW draft determination and revised proposals, February 2015, p. 55; AGL, Submission on NSW DNSPs draft decisions, February 2015, p. 2; Energy Markets Reform Forum, Submission to the AER draft decision and revised proposals from Ausgrid, Endeavour Energy and Essential Energy, February 2015, p. 54; Energy Retailers Association of Australia, Submission on NSW electricity distribution draft determinations 2014-2015 to 2018-19, February 2015, p.2; NSW  Irrigators' Council, Submission - Draft decision - Essential Energy distribution determination (2015-16 to 2018-19), February 2015, p. 8; Origin, Submission to AER draft determination for NSW electricity distributors, February 2015, p. 6; Public Interest Advocacy Centre, Submission to the Australian Energy Regulator's draft determination for Ausgrid, Endeavour Energy and Essential Energy, February 2015, pp. 27–28.</w:t>
      </w:r>
    </w:p>
  </w:footnote>
  <w:footnote w:id="534">
    <w:p w:rsidR="00224E75" w:rsidRDefault="00224E75" w:rsidP="00D1590E">
      <w:pPr>
        <w:pStyle w:val="FootnoteText"/>
      </w:pPr>
      <w:r>
        <w:rPr>
          <w:rStyle w:val="FootnoteReference"/>
        </w:rPr>
        <w:footnoteRef/>
      </w:r>
      <w:r>
        <w:t xml:space="preserve"> </w:t>
      </w:r>
      <w:r>
        <w:tab/>
        <w:t>Ausgrid, Revised regulatory proposal, January 2015, p. 154; Essential Energy, Revised regulatory proposal, January 2015, p. 173.</w:t>
      </w:r>
    </w:p>
  </w:footnote>
  <w:footnote w:id="535">
    <w:p w:rsidR="00224E75" w:rsidRDefault="00224E75" w:rsidP="00D1590E">
      <w:pPr>
        <w:pStyle w:val="FootnoteText"/>
      </w:pPr>
      <w:r>
        <w:rPr>
          <w:rStyle w:val="FootnoteReference"/>
        </w:rPr>
        <w:footnoteRef/>
      </w:r>
      <w:r>
        <w:t xml:space="preserve"> </w:t>
      </w:r>
      <w:r>
        <w:tab/>
        <w:t>Essential Energy, Revised regulatory proposal, January 2015, p. 173.</w:t>
      </w:r>
    </w:p>
  </w:footnote>
  <w:footnote w:id="536">
    <w:p w:rsidR="00224E75" w:rsidRDefault="00224E75" w:rsidP="00D1590E">
      <w:pPr>
        <w:pStyle w:val="FootnoteText"/>
      </w:pPr>
      <w:r>
        <w:rPr>
          <w:rStyle w:val="FootnoteReference"/>
        </w:rPr>
        <w:footnoteRef/>
      </w:r>
      <w:r>
        <w:t xml:space="preserve"> </w:t>
      </w:r>
      <w:r>
        <w:tab/>
        <w:t>Ausgrid, Revised regulatory proposal, January 2015, p. 154</w:t>
      </w:r>
    </w:p>
  </w:footnote>
  <w:footnote w:id="537">
    <w:p w:rsidR="00224E75" w:rsidRDefault="00224E75" w:rsidP="00D1590E">
      <w:pPr>
        <w:pStyle w:val="FootnoteText"/>
      </w:pPr>
      <w:r>
        <w:rPr>
          <w:rStyle w:val="FootnoteReference"/>
        </w:rPr>
        <w:footnoteRef/>
      </w:r>
      <w:r>
        <w:t xml:space="preserve"> </w:t>
      </w:r>
      <w:r>
        <w:tab/>
        <w:t>Endeavour Energy, Revised Regulatory Proposal Attachment 6.01, p. 16–17.</w:t>
      </w:r>
    </w:p>
  </w:footnote>
  <w:footnote w:id="538">
    <w:p w:rsidR="00224E75" w:rsidRDefault="00224E75" w:rsidP="00D1590E">
      <w:pPr>
        <w:pStyle w:val="FootnoteText"/>
      </w:pPr>
      <w:r>
        <w:rPr>
          <w:rStyle w:val="FootnoteReference"/>
        </w:rPr>
        <w:footnoteRef/>
      </w:r>
      <w:r>
        <w:t xml:space="preserve"> </w:t>
      </w:r>
      <w:r>
        <w:tab/>
        <w:t xml:space="preserve">Deloitte has not has not changed its view from its 2014 report that Ausgrid 'arguably relied too heavily on internal labour resources', which is evidence their base year was not efficient. 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34.</w:t>
      </w:r>
    </w:p>
  </w:footnote>
  <w:footnote w:id="539">
    <w:p w:rsidR="00224E75" w:rsidRDefault="00224E75" w:rsidP="00D1590E">
      <w:pPr>
        <w:pStyle w:val="FootnoteText"/>
      </w:pPr>
      <w:r>
        <w:rPr>
          <w:rStyle w:val="FootnoteReference"/>
        </w:rPr>
        <w:footnoteRef/>
      </w:r>
      <w:r>
        <w:t xml:space="preserve"> </w:t>
      </w:r>
      <w:r>
        <w:tab/>
      </w:r>
      <w:r w:rsidRPr="00BE4FE8">
        <w:t xml:space="preserve">Deloitte Access Economics, NSW Distribution Network Service Providers Labour Analysis, </w:t>
      </w:r>
      <w:r>
        <w:t>November</w:t>
      </w:r>
      <w:r w:rsidRPr="00BE4FE8">
        <w:t xml:space="preserve"> 2014</w:t>
      </w:r>
      <w:r>
        <w:t xml:space="preserve">, p. 31; 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vi.</w:t>
      </w:r>
    </w:p>
  </w:footnote>
  <w:footnote w:id="540">
    <w:p w:rsidR="00224E75" w:rsidRDefault="00224E75" w:rsidP="00D1590E">
      <w:pPr>
        <w:pStyle w:val="FootnoteText"/>
      </w:pPr>
      <w:r>
        <w:rPr>
          <w:rStyle w:val="FootnoteReference"/>
        </w:rPr>
        <w:footnoteRef/>
      </w:r>
      <w:r>
        <w:t xml:space="preserve"> </w:t>
      </w:r>
      <w:r>
        <w:tab/>
        <w:t>Ausgrid, Revised regulatory proposal, January 2015, p. 161; Endeavour Energy, Revised regulatory proposal, January 2015, p. 181; Essential Energy, Revised regulatory proposal, January 2015, pp. 193–194.</w:t>
      </w:r>
    </w:p>
  </w:footnote>
  <w:footnote w:id="541">
    <w:p w:rsidR="00224E75" w:rsidRDefault="00224E75" w:rsidP="00D1590E">
      <w:pPr>
        <w:pStyle w:val="FootnoteText"/>
        <w:tabs>
          <w:tab w:val="left" w:pos="2661"/>
        </w:tabs>
      </w:pPr>
      <w:r>
        <w:rPr>
          <w:rStyle w:val="FootnoteReference"/>
        </w:rPr>
        <w:footnoteRef/>
      </w:r>
      <w:r>
        <w:t xml:space="preserve"> </w:t>
      </w:r>
      <w:r>
        <w:tab/>
        <w:t>NEL, section 2D.</w:t>
      </w:r>
    </w:p>
  </w:footnote>
  <w:footnote w:id="542">
    <w:p w:rsidR="00224E75" w:rsidRDefault="00224E75" w:rsidP="00D1590E">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543">
    <w:p w:rsidR="00224E75" w:rsidRDefault="00224E75" w:rsidP="00D1590E">
      <w:pPr>
        <w:pStyle w:val="FootnoteText"/>
      </w:pPr>
      <w:r>
        <w:rPr>
          <w:rStyle w:val="FootnoteReference"/>
        </w:rPr>
        <w:footnoteRef/>
      </w:r>
      <w:r>
        <w:t xml:space="preserve"> </w:t>
      </w:r>
      <w:r>
        <w:tab/>
        <w:t xml:space="preserve">Oakley Greenwood, </w:t>
      </w:r>
      <w:r w:rsidRPr="00BB1B47">
        <w:rPr>
          <w:rStyle w:val="AERtextitalic"/>
        </w:rPr>
        <w:t>Review of NSW DBs Regulatory Submissions</w:t>
      </w:r>
      <w:r>
        <w:t>, 5 August 2014, p. 16.</w:t>
      </w:r>
    </w:p>
  </w:footnote>
  <w:footnote w:id="544">
    <w:p w:rsidR="00224E75" w:rsidRDefault="00224E75" w:rsidP="00D1590E">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 113.</w:t>
      </w:r>
    </w:p>
  </w:footnote>
  <w:footnote w:id="545">
    <w:p w:rsidR="00224E75" w:rsidRDefault="00224E75" w:rsidP="00D1590E">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pp 107-108.</w:t>
      </w:r>
    </w:p>
  </w:footnote>
  <w:footnote w:id="546">
    <w:p w:rsidR="00224E75" w:rsidRDefault="00224E75" w:rsidP="00D1590E">
      <w:pPr>
        <w:pStyle w:val="FootnoteText"/>
      </w:pPr>
      <w:r>
        <w:rPr>
          <w:rStyle w:val="FootnoteReference"/>
        </w:rPr>
        <w:footnoteRef/>
      </w:r>
      <w:r>
        <w:t xml:space="preserve"> </w:t>
      </w:r>
      <w:r>
        <w:tab/>
        <w:t>Ausgrid, Revised Regulatory Proposal, 20 January 2015, p. 129.</w:t>
      </w:r>
    </w:p>
  </w:footnote>
  <w:footnote w:id="547">
    <w:p w:rsidR="00224E75" w:rsidRDefault="00224E75" w:rsidP="00D1590E">
      <w:pPr>
        <w:pStyle w:val="FootnoteText"/>
      </w:pPr>
      <w:r>
        <w:rPr>
          <w:rStyle w:val="FootnoteReference"/>
        </w:rPr>
        <w:footnoteRef/>
      </w:r>
      <w:r>
        <w:t xml:space="preserve"> </w:t>
      </w:r>
      <w:r>
        <w:tab/>
        <w:t>Endeavour Energy, Revised Regulatory Proposal, 20 January 2015, p. .</w:t>
      </w:r>
    </w:p>
  </w:footnote>
  <w:footnote w:id="548">
    <w:p w:rsidR="00224E75" w:rsidRDefault="00224E75" w:rsidP="00D1590E">
      <w:pPr>
        <w:pStyle w:val="FootnoteText"/>
      </w:pPr>
      <w:r>
        <w:rPr>
          <w:rStyle w:val="FootnoteReference"/>
        </w:rPr>
        <w:footnoteRef/>
      </w:r>
      <w:r>
        <w:t xml:space="preserve"> </w:t>
      </w:r>
      <w:r>
        <w:tab/>
        <w:t>Essential Energy, Revised Regulatory Proposal, 20 January 2015, p. 168.</w:t>
      </w:r>
    </w:p>
  </w:footnote>
  <w:footnote w:id="549">
    <w:p w:rsidR="00224E75" w:rsidRDefault="00224E75" w:rsidP="00D1590E">
      <w:pPr>
        <w:pStyle w:val="FootnoteText"/>
      </w:pPr>
      <w:r>
        <w:rPr>
          <w:rStyle w:val="FootnoteReference"/>
        </w:rPr>
        <w:footnoteRef/>
      </w:r>
      <w:r>
        <w:t xml:space="preserve"> </w:t>
      </w:r>
      <w:r>
        <w:tab/>
        <w:t>ActewAGL, Revised Regulatory Proposal, 20 January 2015, p. 159.</w:t>
      </w:r>
    </w:p>
  </w:footnote>
  <w:footnote w:id="550">
    <w:p w:rsidR="00224E75" w:rsidRDefault="00224E75" w:rsidP="00D1590E">
      <w:pPr>
        <w:pStyle w:val="FootnoteText"/>
      </w:pPr>
      <w:r>
        <w:rPr>
          <w:rStyle w:val="FootnoteReference"/>
        </w:rPr>
        <w:footnoteRef/>
      </w:r>
      <w:r>
        <w:t xml:space="preserve"> </w:t>
      </w:r>
      <w:r>
        <w:tab/>
        <w:t>The comparison firms are all service providers that score equal to or above the benchmark comparison point on Economic Insights' Cobb Douglas SFA benchmarking model, which is our preferred economic benchmarking method.</w:t>
      </w:r>
    </w:p>
  </w:footnote>
  <w:footnote w:id="551">
    <w:p w:rsidR="00224E75" w:rsidRDefault="00224E75" w:rsidP="00D1590E">
      <w:pPr>
        <w:pStyle w:val="FootnoteText"/>
      </w:pPr>
      <w:r>
        <w:rPr>
          <w:rStyle w:val="FootnoteReference"/>
        </w:rPr>
        <w:footnoteRef/>
      </w:r>
      <w:r>
        <w:t xml:space="preserve"> </w:t>
      </w:r>
      <w:r>
        <w:tab/>
      </w:r>
      <w:r>
        <w:rPr>
          <w:rStyle w:val="AERtextsize8"/>
        </w:rPr>
        <w:t>Our OEF criteria, Exogeneity, materiality, and duplication, are explained in detail in our section on our approach to OEFs. Total do not sum due to rounding.</w:t>
      </w:r>
    </w:p>
  </w:footnote>
  <w:footnote w:id="552">
    <w:p w:rsidR="00224E75" w:rsidRDefault="00224E75" w:rsidP="00D1590E">
      <w:pPr>
        <w:pStyle w:val="FootnoteText"/>
      </w:pPr>
      <w:r>
        <w:rPr>
          <w:rStyle w:val="FootnoteReference"/>
        </w:rPr>
        <w:footnoteRef/>
      </w:r>
      <w:r>
        <w:t xml:space="preserve"> </w:t>
      </w:r>
      <w:r>
        <w:tab/>
      </w:r>
      <w:r w:rsidRPr="00C10C18">
        <w:t xml:space="preserve">AEMC, </w:t>
      </w:r>
      <w:r w:rsidRPr="00C10C18">
        <w:rPr>
          <w:rStyle w:val="AERtextitalic"/>
        </w:rPr>
        <w:t>Rule determination: National Electricity Amendment (Economic Regulation of Network Service Providers)</w:t>
      </w:r>
      <w:r w:rsidRPr="00C10C18">
        <w:t>, November 2012, p. 113</w:t>
      </w:r>
      <w:r>
        <w:t>.</w:t>
      </w:r>
    </w:p>
  </w:footnote>
  <w:footnote w:id="553">
    <w:p w:rsidR="00224E75" w:rsidRDefault="00224E75" w:rsidP="00D1590E">
      <w:pPr>
        <w:pStyle w:val="FootnoteText"/>
      </w:pPr>
      <w:r>
        <w:rPr>
          <w:rStyle w:val="FootnoteReference"/>
        </w:rPr>
        <w:footnoteRef/>
      </w:r>
      <w:r>
        <w:t xml:space="preserve"> </w:t>
      </w:r>
      <w:r>
        <w:tab/>
        <w:t xml:space="preserve">Oakley Greenwood, </w:t>
      </w:r>
      <w:r w:rsidRPr="00BB1B47">
        <w:rPr>
          <w:rStyle w:val="AERtextitalic"/>
        </w:rPr>
        <w:t>Review of NSW DBs Regulatory Submissions</w:t>
      </w:r>
      <w:r>
        <w:t>, 5 August 2014, p. 16.</w:t>
      </w:r>
    </w:p>
  </w:footnote>
  <w:footnote w:id="554">
    <w:p w:rsidR="00224E75" w:rsidRDefault="00224E75" w:rsidP="00D1590E">
      <w:pPr>
        <w:pStyle w:val="FootnoteText"/>
      </w:pPr>
      <w:r>
        <w:rPr>
          <w:rStyle w:val="FootnoteReference"/>
        </w:rPr>
        <w:footnoteRef/>
      </w:r>
      <w:r>
        <w:t xml:space="preserve"> </w:t>
      </w:r>
      <w:r>
        <w:tab/>
      </w:r>
      <w:r w:rsidRPr="00C10C18">
        <w:t xml:space="preserve">AEMC, </w:t>
      </w:r>
      <w:r w:rsidRPr="00C10C18">
        <w:rPr>
          <w:rStyle w:val="AERtextitalic"/>
        </w:rPr>
        <w:t>Rule determination: National Electricity Amendment (Economic Regulation of Network Service Providers)</w:t>
      </w:r>
      <w:r w:rsidRPr="00C10C18">
        <w:t>, November 2012, p. 113</w:t>
      </w:r>
      <w:r>
        <w:t>.</w:t>
      </w:r>
    </w:p>
  </w:footnote>
  <w:footnote w:id="555">
    <w:p w:rsidR="00224E75" w:rsidRDefault="00224E75" w:rsidP="00D1590E">
      <w:pPr>
        <w:pStyle w:val="FootnoteText"/>
      </w:pPr>
      <w:r>
        <w:rPr>
          <w:rStyle w:val="FootnoteReference"/>
        </w:rPr>
        <w:footnoteRef/>
      </w:r>
      <w:r>
        <w:t xml:space="preserve"> </w:t>
      </w:r>
      <w:r>
        <w:tab/>
      </w:r>
      <w:r w:rsidRPr="00133A1B">
        <w:t>We have treated any OEF that will increase a service provider's opex by 0.5 per cent or more, relative to other service providers, as material. We chose 0.5 per cent as the materiality threshold because this is the materiality threshold we used in the Economic Benchmarking RIN. The materiality threshold relates to differences between the previous cost allocation method (CAM) and the current CAM. If service providers' current CAMs lead to material differences in reported opex compared to their past CAM, they are required to backcast their costs using their current CAM. The comparable threshold for preparing financial statements, in AASB 1031: Materiality, is between 10 and 5 per cent.</w:t>
      </w:r>
    </w:p>
  </w:footnote>
  <w:footnote w:id="556">
    <w:p w:rsidR="00224E75" w:rsidRDefault="00224E75" w:rsidP="00D1590E">
      <w:pPr>
        <w:pStyle w:val="FootnoteText"/>
      </w:pPr>
      <w:r>
        <w:rPr>
          <w:rStyle w:val="FootnoteReference"/>
        </w:rPr>
        <w:footnoteRef/>
      </w:r>
      <w:r>
        <w:t xml:space="preserve"> </w:t>
      </w:r>
      <w:r>
        <w:tab/>
      </w:r>
      <w:r w:rsidRPr="00133A1B">
        <w:t>We also note that irrelevant OEFs will also be captured by the materiality criterion. Where an OEF is not relevant, for example it does not affect the comparison firms or the service provider being benchmarked, it will not lead to a difference in opex.</w:t>
      </w:r>
    </w:p>
  </w:footnote>
  <w:footnote w:id="557">
    <w:p w:rsidR="00224E75" w:rsidRDefault="00224E75" w:rsidP="00D1590E">
      <w:pPr>
        <w:pStyle w:val="FootnoteText"/>
      </w:pPr>
      <w:r>
        <w:rPr>
          <w:rStyle w:val="FootnoteReference"/>
        </w:rPr>
        <w:footnoteRef/>
      </w:r>
      <w:r>
        <w:t xml:space="preserve"> </w:t>
      </w:r>
      <w:r>
        <w:tab/>
        <w:t>For example, Economic Insights' SFA model captures the effect of line length on opex by using circuit length as an output variable. In this context, an operating environment adjustment for circuit length would double count the effect of route line length on opex. Another example is that we exclude metering services from our economic benchmarking data. In this case, an operating environment adjustment would remove the metering services from services providers' benchmarked opex twice.</w:t>
      </w:r>
    </w:p>
  </w:footnote>
  <w:footnote w:id="558">
    <w:p w:rsidR="00224E75" w:rsidRDefault="00224E75" w:rsidP="00D1590E">
      <w:pPr>
        <w:pStyle w:val="FootnoteText"/>
      </w:pPr>
      <w:r>
        <w:rPr>
          <w:rStyle w:val="FootnoteReference"/>
        </w:rPr>
        <w:footnoteRef/>
      </w:r>
      <w:r>
        <w:t xml:space="preserve"> </w:t>
      </w:r>
      <w:r>
        <w:tab/>
        <w:t>We also note that the SFA model uses dummy variables that account for all systematic differences in operating environments between the Australian and overseas service providers.</w:t>
      </w:r>
    </w:p>
  </w:footnote>
  <w:footnote w:id="559">
    <w:p w:rsidR="00224E75" w:rsidRDefault="00224E75" w:rsidP="00D1590E">
      <w:pPr>
        <w:pStyle w:val="FootnoteText"/>
      </w:pPr>
      <w:r>
        <w:rPr>
          <w:rStyle w:val="FootnoteReference"/>
        </w:rPr>
        <w:footnoteRef/>
      </w:r>
      <w:r>
        <w:t xml:space="preserve"> Totals do not reconcile due to rounding.</w:t>
      </w:r>
    </w:p>
  </w:footnote>
  <w:footnote w:id="560">
    <w:p w:rsidR="00224E75" w:rsidRDefault="00224E75" w:rsidP="00D1590E">
      <w:pPr>
        <w:pStyle w:val="FootnoteText"/>
      </w:pPr>
      <w:r>
        <w:rPr>
          <w:rStyle w:val="FootnoteReference"/>
        </w:rPr>
        <w:footnoteRef/>
      </w:r>
      <w:r>
        <w:t xml:space="preserve"> </w:t>
      </w:r>
      <w:r>
        <w:tab/>
        <w:t>In the case that there is no evidence to suggest those costs are efficient.</w:t>
      </w:r>
    </w:p>
  </w:footnote>
  <w:footnote w:id="561">
    <w:p w:rsidR="00224E75" w:rsidRDefault="00224E75" w:rsidP="00D1590E">
      <w:pPr>
        <w:pStyle w:val="FootnoteText"/>
      </w:pPr>
      <w:r>
        <w:rPr>
          <w:rStyle w:val="FootnoteReference"/>
        </w:rPr>
        <w:footnoteRef/>
      </w:r>
      <w:r>
        <w:t xml:space="preserve"> </w:t>
      </w:r>
      <w:r>
        <w:tab/>
        <w:t>ActewAGL, Revised Proposal, 20 January 2015, pp. 157-158.</w:t>
      </w:r>
    </w:p>
  </w:footnote>
  <w:footnote w:id="562">
    <w:p w:rsidR="00224E75" w:rsidRDefault="00224E75" w:rsidP="00D1590E">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page 113.</w:t>
      </w:r>
    </w:p>
  </w:footnote>
  <w:footnote w:id="563">
    <w:p w:rsidR="00224E75" w:rsidRDefault="00224E75" w:rsidP="00D1590E">
      <w:pPr>
        <w:pStyle w:val="FootnoteText"/>
      </w:pPr>
      <w:r>
        <w:rPr>
          <w:rStyle w:val="FootnoteReference"/>
        </w:rPr>
        <w:footnoteRef/>
      </w:r>
      <w:r>
        <w:t xml:space="preserve"> </w:t>
      </w:r>
      <w:r>
        <w:tab/>
        <w:t>ActewAGL, Revised Proposal, 20 January 2015, pp. 160-161.</w:t>
      </w:r>
    </w:p>
  </w:footnote>
  <w:footnote w:id="564">
    <w:p w:rsidR="00224E75" w:rsidRDefault="00224E75" w:rsidP="00D1590E">
      <w:pPr>
        <w:pStyle w:val="FootnoteText"/>
      </w:pPr>
      <w:r>
        <w:rPr>
          <w:rStyle w:val="FootnoteReference"/>
        </w:rPr>
        <w:footnoteRef/>
      </w:r>
      <w:r>
        <w:t xml:space="preserve"> </w:t>
      </w:r>
      <w:r>
        <w:tab/>
      </w:r>
      <w:r w:rsidRPr="00172543">
        <w:t>Aigner, D.J.</w:t>
      </w:r>
      <w:r>
        <w:t>, C.A.K. Lovell and P. Schmidt</w:t>
      </w:r>
      <w:r w:rsidRPr="00172543">
        <w:t>, Formulation and estimation of stochastic frontier production function models, Journal of Econometrics 6, 21-37</w:t>
      </w:r>
      <w:r>
        <w:t xml:space="preserve">, </w:t>
      </w:r>
      <w:r w:rsidRPr="00172543">
        <w:t>1977</w:t>
      </w:r>
      <w:r>
        <w:t>, p. 25</w:t>
      </w:r>
      <w:r w:rsidRPr="00172543">
        <w:t>.</w:t>
      </w:r>
    </w:p>
  </w:footnote>
  <w:footnote w:id="565">
    <w:p w:rsidR="00224E75" w:rsidRDefault="00224E75" w:rsidP="00D1590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66">
    <w:p w:rsidR="00224E75" w:rsidRDefault="00224E75" w:rsidP="00D1590E">
      <w:pPr>
        <w:pStyle w:val="FootnoteText"/>
      </w:pPr>
      <w:r>
        <w:rPr>
          <w:rStyle w:val="FootnoteReference"/>
        </w:rPr>
        <w:footnoteRef/>
      </w:r>
      <w:r>
        <w:t xml:space="preserve"> </w:t>
      </w:r>
      <w:r>
        <w:tab/>
        <w:t xml:space="preserve">Frontier Economics, </w:t>
      </w:r>
      <w:r w:rsidRPr="00B816B6">
        <w:t>Review of AER’s econometric models and their</w:t>
      </w:r>
      <w:r>
        <w:t xml:space="preserve"> </w:t>
      </w:r>
      <w:r w:rsidRPr="00B816B6">
        <w:t>application in the draft determination for Networks NSW</w:t>
      </w:r>
      <w:r>
        <w:t>, January 2015, pp. xviii, 25-38, 91-95, and 98.</w:t>
      </w:r>
    </w:p>
  </w:footnote>
  <w:footnote w:id="567">
    <w:p w:rsidR="00224E75" w:rsidRDefault="00224E75" w:rsidP="00D1590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52.</w:t>
      </w:r>
    </w:p>
  </w:footnote>
  <w:footnote w:id="568">
    <w:p w:rsidR="00224E75" w:rsidRDefault="00224E75" w:rsidP="00D1590E">
      <w:pPr>
        <w:pStyle w:val="FootnoteText"/>
      </w:pPr>
      <w:r>
        <w:rPr>
          <w:rStyle w:val="FootnoteReference"/>
        </w:rPr>
        <w:footnoteRef/>
      </w:r>
      <w:r>
        <w:t xml:space="preserve"> </w:t>
      </w:r>
      <w:r>
        <w:tab/>
        <w:t xml:space="preserve">Frontier Economics, </w:t>
      </w:r>
      <w:r w:rsidRPr="002F7790">
        <w:rPr>
          <w:rStyle w:val="AERtextitalic"/>
        </w:rPr>
        <w:t>Review of AER’s econometric models and their application in the draft determination for Networks NSW</w:t>
      </w:r>
      <w:r>
        <w:t>, January 2015, p. 98.</w:t>
      </w:r>
    </w:p>
  </w:footnote>
  <w:footnote w:id="569">
    <w:p w:rsidR="00224E75" w:rsidRDefault="00224E75" w:rsidP="00D1590E">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page 113.</w:t>
      </w:r>
    </w:p>
  </w:footnote>
  <w:footnote w:id="570">
    <w:p w:rsidR="00224E75" w:rsidRDefault="00224E75" w:rsidP="00D1590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71">
    <w:p w:rsidR="00224E75" w:rsidRDefault="00224E75" w:rsidP="00D1590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72">
    <w:p w:rsidR="00224E75" w:rsidRDefault="00224E75" w:rsidP="00D1590E">
      <w:pPr>
        <w:pStyle w:val="FootnoteText"/>
      </w:pPr>
      <w:r>
        <w:rPr>
          <w:rStyle w:val="FootnoteReference"/>
        </w:rPr>
        <w:footnoteRef/>
      </w:r>
      <w:r>
        <w:t xml:space="preserve"> </w:t>
      </w:r>
      <w:r>
        <w:tab/>
        <w:t>ActewAGL, Response to information request AER065, 31 March 2015, p. 2.</w:t>
      </w:r>
    </w:p>
  </w:footnote>
  <w:footnote w:id="573">
    <w:p w:rsidR="00224E75" w:rsidRDefault="00224E75" w:rsidP="00D1590E">
      <w:pPr>
        <w:pStyle w:val="FootnoteText"/>
      </w:pPr>
      <w:r>
        <w:rPr>
          <w:rStyle w:val="FootnoteReference"/>
        </w:rPr>
        <w:footnoteRef/>
      </w:r>
      <w:r>
        <w:t xml:space="preserve"> </w:t>
      </w:r>
      <w:r>
        <w:tab/>
        <w:t>ActewAGL, Response to information request AER065, 31 March 2015, p. 2.</w:t>
      </w:r>
    </w:p>
  </w:footnote>
  <w:footnote w:id="574">
    <w:p w:rsidR="00224E75" w:rsidRDefault="00224E75" w:rsidP="00D1590E">
      <w:pPr>
        <w:pStyle w:val="FootnoteText"/>
      </w:pPr>
      <w:r>
        <w:rPr>
          <w:rStyle w:val="FootnoteReference"/>
        </w:rPr>
        <w:footnoteRef/>
      </w:r>
      <w:r>
        <w:t xml:space="preserve"> </w:t>
      </w:r>
      <w:r>
        <w:tab/>
        <w:t xml:space="preserve">ActewAGL, </w:t>
      </w:r>
      <w:r w:rsidRPr="002F7790">
        <w:rPr>
          <w:rStyle w:val="AERtextitalic"/>
        </w:rPr>
        <w:t xml:space="preserve">Revised </w:t>
      </w:r>
      <w:r>
        <w:rPr>
          <w:rStyle w:val="AERtextitalic"/>
        </w:rPr>
        <w:t xml:space="preserve">Regulatory </w:t>
      </w:r>
      <w:r w:rsidRPr="002F7790">
        <w:rPr>
          <w:rStyle w:val="AERtextitalic"/>
        </w:rPr>
        <w:t>Proposal</w:t>
      </w:r>
      <w:r>
        <w:t>, 20 January 2015 p. 161.</w:t>
      </w:r>
    </w:p>
  </w:footnote>
  <w:footnote w:id="575">
    <w:p w:rsidR="00224E75" w:rsidRDefault="00224E75" w:rsidP="00D1590E">
      <w:pPr>
        <w:pStyle w:val="FootnoteText"/>
      </w:pPr>
      <w:r>
        <w:rPr>
          <w:rStyle w:val="FootnoteReference"/>
        </w:rPr>
        <w:footnoteRef/>
      </w:r>
      <w:r>
        <w:t xml:space="preserve"> </w:t>
      </w:r>
      <w:r>
        <w:tab/>
        <w:t>Consumer Challenge Panel, Consumer Challenge Panel (CCP2 Panel) Submission on Energex and Ergon Energy Capex and Opex Proposals, 30 January 2015, p. 21-23.</w:t>
      </w:r>
    </w:p>
  </w:footnote>
  <w:footnote w:id="576">
    <w:p w:rsidR="00224E75" w:rsidRDefault="00224E75" w:rsidP="00D1590E">
      <w:pPr>
        <w:pStyle w:val="FootnoteText"/>
      </w:pPr>
      <w:r>
        <w:rPr>
          <w:rStyle w:val="FootnoteReference"/>
        </w:rPr>
        <w:footnoteRef/>
      </w:r>
      <w:r>
        <w:t xml:space="preserve"> </w:t>
      </w:r>
      <w:r>
        <w:tab/>
        <w:t xml:space="preserve">CEPA, </w:t>
      </w:r>
      <w:r w:rsidR="00731E65" w:rsidRPr="00731E65">
        <w:t>Benchmarking and setting efficiency targets for the Australian DNSPs, (NSW DNSPs), 2015,</w:t>
      </w:r>
      <w:r>
        <w:t xml:space="preserve"> p. 24.</w:t>
      </w:r>
    </w:p>
  </w:footnote>
  <w:footnote w:id="577">
    <w:p w:rsidR="00224E75" w:rsidRDefault="00224E75" w:rsidP="00D1590E">
      <w:pPr>
        <w:pStyle w:val="FootnoteText"/>
      </w:pPr>
      <w:r>
        <w:rPr>
          <w:rStyle w:val="FootnoteReference"/>
        </w:rPr>
        <w:footnoteRef/>
      </w:r>
      <w:r>
        <w:t xml:space="preserve"> </w:t>
      </w:r>
      <w:r>
        <w:tab/>
        <w:t>Huegin, Huegin's response to draft determination on behalf of NNSW and ActewAGL, 16 January 2014, pp. 45-46.</w:t>
      </w:r>
    </w:p>
  </w:footnote>
  <w:footnote w:id="578">
    <w:p w:rsidR="00224E75" w:rsidRDefault="00224E75" w:rsidP="00D1590E">
      <w:pPr>
        <w:pStyle w:val="FootnoteText"/>
      </w:pPr>
      <w:r>
        <w:rPr>
          <w:rStyle w:val="FootnoteReference"/>
        </w:rPr>
        <w:footnoteRef/>
      </w:r>
      <w:r>
        <w:t xml:space="preserve"> </w:t>
      </w:r>
      <w:r>
        <w:tab/>
        <w:t>Advisian, Opex Cost Drivers: ActewAGL Distribution Electricity (ACT), 16 January 2015, pp. 36-45.</w:t>
      </w:r>
    </w:p>
  </w:footnote>
  <w:footnote w:id="579">
    <w:p w:rsidR="00224E75" w:rsidRDefault="00224E75" w:rsidP="00D1590E">
      <w:pPr>
        <w:pStyle w:val="FootnoteText"/>
      </w:pPr>
      <w:r>
        <w:rPr>
          <w:rStyle w:val="FootnoteReference"/>
        </w:rPr>
        <w:footnoteRef/>
      </w:r>
      <w:r>
        <w:t xml:space="preserve"> </w:t>
      </w:r>
      <w:r>
        <w:tab/>
        <w:t>Economic Insights, April 2015, pp. 14-15.</w:t>
      </w:r>
    </w:p>
  </w:footnote>
  <w:footnote w:id="580">
    <w:p w:rsidR="00224E75" w:rsidRDefault="00224E75" w:rsidP="00D1590E">
      <w:pPr>
        <w:pStyle w:val="FootnoteText"/>
      </w:pPr>
      <w:r>
        <w:rPr>
          <w:rStyle w:val="FootnoteReference"/>
        </w:rPr>
        <w:footnoteRef/>
      </w:r>
      <w:r>
        <w:t xml:space="preserve"> </w:t>
      </w:r>
      <w:r>
        <w:tab/>
        <w:t xml:space="preserve">Power and Water Corporation, About Power and Water, available at: </w:t>
      </w:r>
      <w:hyperlink r:id="rId3" w:history="1">
        <w:r w:rsidRPr="00A032E7">
          <w:rPr>
            <w:rStyle w:val="Hyperlink"/>
            <w:sz w:val="16"/>
          </w:rPr>
          <w:t>https://www.powerwater.com.au/about_power_and_water</w:t>
        </w:r>
      </w:hyperlink>
      <w:r>
        <w:t xml:space="preserve"> [last accessed 9 March 2015].</w:t>
      </w:r>
    </w:p>
  </w:footnote>
  <w:footnote w:id="581">
    <w:p w:rsidR="00224E75" w:rsidRDefault="00224E75" w:rsidP="00D1590E">
      <w:pPr>
        <w:pStyle w:val="FootnoteText"/>
      </w:pPr>
      <w:r>
        <w:rPr>
          <w:rStyle w:val="FootnoteReference"/>
        </w:rPr>
        <w:footnoteRef/>
      </w:r>
      <w:r>
        <w:t xml:space="preserve"> </w:t>
      </w:r>
      <w:r>
        <w:tab/>
        <w:t xml:space="preserve">Power and Water Corporation, Electricity Map, available at: </w:t>
      </w:r>
      <w:hyperlink r:id="rId4" w:history="1">
        <w:r w:rsidRPr="00A032E7">
          <w:rPr>
            <w:rStyle w:val="Hyperlink"/>
            <w:sz w:val="16"/>
          </w:rPr>
          <w:t>https://www.powerwater.com.au/community_and_education/student_resources/maps/electricity_map</w:t>
        </w:r>
      </w:hyperlink>
      <w:r>
        <w:t xml:space="preserve"> [last accessed 9 March 2015].</w:t>
      </w:r>
    </w:p>
  </w:footnote>
  <w:footnote w:id="582">
    <w:p w:rsidR="00224E75" w:rsidRDefault="00224E75" w:rsidP="00D1590E">
      <w:pPr>
        <w:pStyle w:val="FootnoteText"/>
      </w:pPr>
      <w:r>
        <w:rPr>
          <w:rStyle w:val="FootnoteReference"/>
        </w:rPr>
        <w:footnoteRef/>
      </w:r>
      <w:r>
        <w:t xml:space="preserve"> </w:t>
      </w:r>
      <w:r>
        <w:tab/>
        <w:t>London Economics International and PowerNex Associates, Customer Density and Distribution Service Costs, 11 November 2011, p. 12.</w:t>
      </w:r>
    </w:p>
  </w:footnote>
  <w:footnote w:id="583">
    <w:p w:rsidR="00224E75" w:rsidRDefault="00224E75" w:rsidP="00D1590E">
      <w:pPr>
        <w:pStyle w:val="FootnoteText"/>
      </w:pPr>
      <w:r>
        <w:rPr>
          <w:rStyle w:val="FootnoteReference"/>
        </w:rPr>
        <w:footnoteRef/>
      </w:r>
      <w:r>
        <w:t xml:space="preserve"> </w:t>
      </w:r>
      <w:r>
        <w:tab/>
        <w:t>Advisian, Review of AER benchmarking: Networks NSW, 16 January 2015, pp. 41 -42.</w:t>
      </w:r>
    </w:p>
  </w:footnote>
  <w:footnote w:id="584">
    <w:p w:rsidR="00224E75" w:rsidRDefault="00224E75" w:rsidP="00D1590E">
      <w:pPr>
        <w:pStyle w:val="FootnoteText"/>
      </w:pPr>
      <w:r>
        <w:rPr>
          <w:rStyle w:val="FootnoteReference"/>
        </w:rPr>
        <w:footnoteRef/>
      </w:r>
      <w:r>
        <w:t xml:space="preserve"> </w:t>
      </w:r>
      <w:r>
        <w:tab/>
        <w:t>Advisian, Review of AER benchmarking: Networks NSW, 16 January 2015, p. 43.</w:t>
      </w:r>
    </w:p>
  </w:footnote>
  <w:footnote w:id="585">
    <w:p w:rsidR="00224E75" w:rsidRDefault="00224E75" w:rsidP="00D1590E">
      <w:pPr>
        <w:pStyle w:val="FootnoteText"/>
      </w:pPr>
      <w:r>
        <w:rPr>
          <w:rStyle w:val="FootnoteReference"/>
        </w:rPr>
        <w:footnoteRef/>
      </w:r>
      <w:r>
        <w:t xml:space="preserve"> </w:t>
      </w:r>
      <w:r>
        <w:tab/>
        <w:t>Advisian, Opex Cost Drivers: ActewAGL Distribution Electricity (ACT), 16 January 2015, p. 48.</w:t>
      </w:r>
    </w:p>
  </w:footnote>
  <w:footnote w:id="586">
    <w:p w:rsidR="00224E75" w:rsidRDefault="00224E75" w:rsidP="00D1590E">
      <w:pPr>
        <w:pStyle w:val="FootnoteText"/>
      </w:pPr>
      <w:r>
        <w:rPr>
          <w:rStyle w:val="FootnoteReference"/>
        </w:rPr>
        <w:footnoteRef/>
      </w:r>
      <w:r>
        <w:t xml:space="preserve"> </w:t>
      </w:r>
      <w:r>
        <w:tab/>
        <w:t>The rural comparison firms are: Ausnet Services, Powercor, and SA Power Networks.</w:t>
      </w:r>
    </w:p>
  </w:footnote>
  <w:footnote w:id="587">
    <w:p w:rsidR="00224E75" w:rsidRDefault="00224E75" w:rsidP="00D1590E">
      <w:pPr>
        <w:pStyle w:val="FootnoteText"/>
      </w:pPr>
      <w:r>
        <w:rPr>
          <w:rStyle w:val="FootnoteReference"/>
        </w:rPr>
        <w:footnoteRef/>
      </w:r>
      <w:r>
        <w:t xml:space="preserve"> </w:t>
      </w:r>
      <w:r>
        <w:tab/>
        <w:t>Huegin, Ergon Energy Expenditure Benchmarking, 17 October 2014, p. 14.</w:t>
      </w:r>
    </w:p>
  </w:footnote>
  <w:footnote w:id="588">
    <w:p w:rsidR="00224E75" w:rsidRDefault="00224E75" w:rsidP="00D1590E">
      <w:pPr>
        <w:pStyle w:val="FootnoteText"/>
      </w:pPr>
      <w:r>
        <w:rPr>
          <w:rStyle w:val="FootnoteReference"/>
        </w:rPr>
        <w:footnoteRef/>
      </w:r>
      <w:r>
        <w:t xml:space="preserve"> </w:t>
      </w:r>
      <w:r>
        <w:tab/>
        <w:t xml:space="preserve">AER, Draft Decision NSW distribution network service providers, November 2014 pp. 47-48 and 112-1131. </w:t>
      </w:r>
    </w:p>
  </w:footnote>
  <w:footnote w:id="589">
    <w:p w:rsidR="00224E75" w:rsidRDefault="00224E75" w:rsidP="00D1590E">
      <w:pPr>
        <w:pStyle w:val="FootnoteText"/>
      </w:pPr>
      <w:r>
        <w:rPr>
          <w:rStyle w:val="FootnoteReference"/>
        </w:rPr>
        <w:footnoteRef/>
      </w:r>
      <w:r>
        <w:t xml:space="preserve"> </w:t>
      </w:r>
      <w:r>
        <w:tab/>
        <w:t xml:space="preserve">ActewAGL, </w:t>
      </w:r>
      <w:r w:rsidRPr="00AC4C6D">
        <w:rPr>
          <w:rStyle w:val="AERtextitalic"/>
        </w:rPr>
        <w:t>Revised Regulatory Proposal</w:t>
      </w:r>
      <w:r>
        <w:t>, 20 January 2015, pp. 142-413.</w:t>
      </w:r>
    </w:p>
  </w:footnote>
  <w:footnote w:id="590">
    <w:p w:rsidR="00224E75" w:rsidRDefault="00224E75" w:rsidP="00D1590E">
      <w:pPr>
        <w:pStyle w:val="FootnoteText"/>
      </w:pPr>
      <w:r>
        <w:rPr>
          <w:rStyle w:val="FootnoteReference"/>
        </w:rPr>
        <w:footnoteRef/>
      </w:r>
      <w:r>
        <w:t xml:space="preserve"> </w:t>
      </w:r>
      <w:r>
        <w:tab/>
        <w:t>Advisian, Opex Cost Drivers: ActewAGL Distribution Electricity (ACT), 16 January 2015, p. 76.</w:t>
      </w:r>
    </w:p>
  </w:footnote>
  <w:footnote w:id="591">
    <w:p w:rsidR="00224E75" w:rsidRDefault="00224E75" w:rsidP="00D1590E">
      <w:pPr>
        <w:pStyle w:val="FootnoteText"/>
      </w:pPr>
      <w:r>
        <w:rPr>
          <w:rStyle w:val="FootnoteReference"/>
        </w:rPr>
        <w:footnoteRef/>
      </w:r>
      <w:r>
        <w:t xml:space="preserve"> </w:t>
      </w:r>
      <w:r>
        <w:tab/>
        <w:t xml:space="preserve">CEPA, </w:t>
      </w:r>
      <w:r w:rsidR="00731E65" w:rsidRPr="00731E65">
        <w:t>Benchmarking and setting efficiency targets for the Australian DNSPs, (</w:t>
      </w:r>
      <w:r w:rsidR="00647A95">
        <w:t>ActewAGL</w:t>
      </w:r>
      <w:r w:rsidR="00731E65" w:rsidRPr="00731E65">
        <w:t>), 2015,</w:t>
      </w:r>
      <w:r>
        <w:t xml:space="preserve"> p. 11.</w:t>
      </w:r>
    </w:p>
  </w:footnote>
  <w:footnote w:id="592">
    <w:p w:rsidR="00224E75" w:rsidRDefault="00224E75" w:rsidP="00D1590E">
      <w:pPr>
        <w:pStyle w:val="FootnoteText"/>
      </w:pPr>
      <w:r>
        <w:rPr>
          <w:rStyle w:val="FootnoteReference"/>
        </w:rPr>
        <w:footnoteRef/>
      </w:r>
      <w:r>
        <w:t xml:space="preserve"> </w:t>
      </w:r>
      <w:r>
        <w:tab/>
        <w:t>Consumer Challenge Panel, Submission to the AER: Responding to NSW draft determination and revised proposals, February 2015, p. 51.</w:t>
      </w:r>
    </w:p>
  </w:footnote>
  <w:footnote w:id="593">
    <w:p w:rsidR="00224E75" w:rsidRDefault="00224E75" w:rsidP="00D1590E">
      <w:pPr>
        <w:pStyle w:val="FootnoteText"/>
      </w:pPr>
      <w:r>
        <w:rPr>
          <w:rStyle w:val="FootnoteReference"/>
        </w:rPr>
        <w:footnoteRef/>
      </w:r>
      <w:r>
        <w:t xml:space="preserve"> </w:t>
      </w:r>
      <w:r>
        <w:tab/>
        <w:t>Frontier Economics, Review of the AER's econometric models and their application in the draft determination for Networks NSW, January 2015, p. 91.</w:t>
      </w:r>
    </w:p>
  </w:footnote>
  <w:footnote w:id="594">
    <w:p w:rsidR="00224E75" w:rsidRDefault="00224E75" w:rsidP="00D1590E">
      <w:pPr>
        <w:pStyle w:val="FootnoteText"/>
      </w:pPr>
      <w:r>
        <w:rPr>
          <w:rStyle w:val="FootnoteReference"/>
        </w:rPr>
        <w:footnoteRef/>
      </w:r>
      <w:r>
        <w:t xml:space="preserve"> </w:t>
      </w:r>
      <w:r>
        <w:tab/>
        <w:t>SA Power Networks, Response to information request SAPN 004, 19 December 2014, p. 13.</w:t>
      </w:r>
    </w:p>
  </w:footnote>
  <w:footnote w:id="595">
    <w:p w:rsidR="00224E75" w:rsidRDefault="00224E75" w:rsidP="00D1590E">
      <w:pPr>
        <w:pStyle w:val="FootnoteText"/>
      </w:pPr>
      <w:r>
        <w:rPr>
          <w:rStyle w:val="FootnoteReference"/>
        </w:rPr>
        <w:footnoteRef/>
      </w:r>
      <w:r>
        <w:t xml:space="preserve"> </w:t>
      </w:r>
      <w:r>
        <w:tab/>
        <w:t>Ausgrid, Revised Proposal, 20 January 2015, p. 147.</w:t>
      </w:r>
    </w:p>
  </w:footnote>
  <w:footnote w:id="596">
    <w:p w:rsidR="00224E75" w:rsidRDefault="00224E75" w:rsidP="00D1590E">
      <w:pPr>
        <w:pStyle w:val="FootnoteText"/>
      </w:pPr>
      <w:r>
        <w:rPr>
          <w:rStyle w:val="FootnoteReference"/>
        </w:rPr>
        <w:footnoteRef/>
      </w:r>
      <w:r>
        <w:t xml:space="preserve"> </w:t>
      </w:r>
      <w:r>
        <w:tab/>
        <w:t>Endeavour Energy, Revised Proposal, 20 January 2015, p. 174.</w:t>
      </w:r>
    </w:p>
  </w:footnote>
  <w:footnote w:id="597">
    <w:p w:rsidR="00224E75" w:rsidRDefault="00224E75" w:rsidP="00D1590E">
      <w:pPr>
        <w:pStyle w:val="FootnoteText"/>
      </w:pPr>
      <w:r>
        <w:rPr>
          <w:rStyle w:val="FootnoteReference"/>
        </w:rPr>
        <w:footnoteRef/>
      </w:r>
      <w:r>
        <w:t xml:space="preserve"> </w:t>
      </w:r>
      <w:r>
        <w:tab/>
        <w:t>Essential Energy, Revised Proposal, 20 January, p. 187.</w:t>
      </w:r>
    </w:p>
  </w:footnote>
  <w:footnote w:id="598">
    <w:p w:rsidR="00224E75" w:rsidRDefault="00224E75" w:rsidP="00D1590E">
      <w:pPr>
        <w:pStyle w:val="FootnoteText"/>
      </w:pPr>
      <w:r>
        <w:rPr>
          <w:rStyle w:val="FootnoteReference"/>
        </w:rPr>
        <w:footnoteRef/>
      </w:r>
      <w:r>
        <w:t xml:space="preserve"> </w:t>
      </w:r>
      <w:r>
        <w:tab/>
        <w:t>Gary Humphreys, Statement of Gary Humphries Chief Operating Officer Essential Energy, 19 January 2015, pp. 12 to 13.</w:t>
      </w:r>
    </w:p>
  </w:footnote>
  <w:footnote w:id="599">
    <w:p w:rsidR="00224E75" w:rsidRDefault="00224E75" w:rsidP="00D1590E">
      <w:pPr>
        <w:pStyle w:val="FootnoteText"/>
      </w:pPr>
      <w:r>
        <w:rPr>
          <w:rStyle w:val="FootnoteReference"/>
        </w:rPr>
        <w:footnoteRef/>
      </w:r>
      <w:r>
        <w:t xml:space="preserve"> </w:t>
      </w:r>
      <w:r>
        <w:tab/>
        <w:t xml:space="preserve">Telstra, Our Coverage, available at: </w:t>
      </w:r>
      <w:hyperlink r:id="rId5" w:history="1">
        <w:r w:rsidRPr="00F1291B">
          <w:rPr>
            <w:rStyle w:val="Hyperlink"/>
            <w:sz w:val="16"/>
          </w:rPr>
          <w:t>https://www.telstra.com.au/mobile-phones/coverage-networks/our-coverage</w:t>
        </w:r>
      </w:hyperlink>
      <w:r>
        <w:t xml:space="preserve"> [last accessed: 10 April 2015].</w:t>
      </w:r>
    </w:p>
  </w:footnote>
  <w:footnote w:id="600">
    <w:p w:rsidR="00224E75" w:rsidRDefault="00224E75" w:rsidP="00D1590E">
      <w:pPr>
        <w:pStyle w:val="FootnoteText"/>
      </w:pPr>
      <w:r>
        <w:rPr>
          <w:rStyle w:val="FootnoteReference"/>
        </w:rPr>
        <w:footnoteRef/>
      </w:r>
      <w:r>
        <w:t xml:space="preserve"> </w:t>
      </w:r>
      <w:r>
        <w:tab/>
        <w:t>Advisian, Opex Cost Drivers: ActewAGL Distribution Electricity (ACT), 16 January 2015, pp. 95-98.</w:t>
      </w:r>
    </w:p>
  </w:footnote>
  <w:footnote w:id="601">
    <w:p w:rsidR="00224E75" w:rsidRDefault="00224E75" w:rsidP="00D1590E">
      <w:pPr>
        <w:pStyle w:val="FootnoteText"/>
      </w:pPr>
      <w:r>
        <w:rPr>
          <w:rStyle w:val="FootnoteReference"/>
        </w:rPr>
        <w:footnoteRef/>
      </w:r>
      <w:r>
        <w:t xml:space="preserve"> </w:t>
      </w:r>
      <w:r>
        <w:tab/>
        <w:t>Advisian, Opex Cost Drivers: ActewAGL Distribution Electricity (ACT), 16 January 2015, p. 97.</w:t>
      </w:r>
    </w:p>
  </w:footnote>
  <w:footnote w:id="602">
    <w:p w:rsidR="00224E75" w:rsidRDefault="00224E75" w:rsidP="00D1590E">
      <w:pPr>
        <w:pStyle w:val="FootnoteText"/>
      </w:pPr>
      <w:r>
        <w:rPr>
          <w:rStyle w:val="FootnoteReference"/>
        </w:rPr>
        <w:footnoteRef/>
      </w:r>
      <w:r>
        <w:t xml:space="preserve"> </w:t>
      </w:r>
      <w:r>
        <w:tab/>
        <w:t xml:space="preserve">ActewAGL, RRP, 2015, p. 163. Advisian, 2015, p. 59. Essential, RRP, 2015, pp. 42–44. ActewAGL, Revised regulatory proposal, 2015, pp. 61-79. (ActewAGL, RRP, 2015). AECOM, </w:t>
      </w:r>
      <w:r w:rsidRPr="00F767C2">
        <w:t>Impact of AER Draft Determination on Service and Safety</w:t>
      </w:r>
      <w:r>
        <w:t xml:space="preserve">, 2015, p. 20. CEPA, </w:t>
      </w:r>
      <w:r w:rsidR="00731E65" w:rsidRPr="00731E65">
        <w:t>Benchmarking and setting efficiency targets for the Australian DNSPs, (NSW DNSPs), 2015,</w:t>
      </w:r>
      <w:r w:rsidR="00731E65">
        <w:t xml:space="preserve"> p. 32</w:t>
      </w:r>
      <w:r>
        <w:t xml:space="preserve">. AusGrid, </w:t>
      </w:r>
      <w:r w:rsidRPr="00D3760A">
        <w:t>Statement of Chief Operating Officer of Ausgrid (CONFIDENTIAL)</w:t>
      </w:r>
      <w:r>
        <w:t xml:space="preserve">, </w:t>
      </w:r>
      <w:r w:rsidRPr="00D3760A">
        <w:t>January 2015</w:t>
      </w:r>
      <w:r>
        <w:t xml:space="preserve">. Jacobs, </w:t>
      </w:r>
      <w:r w:rsidRPr="002C3669">
        <w:t>Regulatory Revenue Decision, Reliabilit</w:t>
      </w:r>
      <w:r>
        <w:t xml:space="preserve">y Impact Assessment, </w:t>
      </w:r>
      <w:r w:rsidRPr="002C3669">
        <w:t>2015</w:t>
      </w:r>
      <w:r>
        <w:t>, p. 12.</w:t>
      </w:r>
    </w:p>
  </w:footnote>
  <w:footnote w:id="603">
    <w:p w:rsidR="00224E75" w:rsidRDefault="00224E75" w:rsidP="00D1590E">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xml:space="preserve">, p. 59. </w:t>
      </w:r>
      <w:r w:rsidRPr="00F25BD4">
        <w:t>PEGR, 2015, p. 51.</w:t>
      </w:r>
    </w:p>
  </w:footnote>
  <w:footnote w:id="604">
    <w:p w:rsidR="00224E75" w:rsidRDefault="00224E75" w:rsidP="00D1590E">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p. 59.</w:t>
      </w:r>
    </w:p>
  </w:footnote>
  <w:footnote w:id="605">
    <w:p w:rsidR="00224E75" w:rsidRDefault="00224E75" w:rsidP="00D1590E">
      <w:pPr>
        <w:pStyle w:val="FootnoteText"/>
      </w:pPr>
      <w:r>
        <w:rPr>
          <w:rStyle w:val="FootnoteReference"/>
        </w:rPr>
        <w:footnoteRef/>
      </w:r>
      <w:r>
        <w:t xml:space="preserve"> </w:t>
      </w:r>
      <w:r>
        <w:tab/>
        <w:t>The weighted average has been calculated based upon customer numbers in accordance with our approach to calculating the benchmarking frontier. Advisian also indicates that it calculates a weighted average however does not outline how it did so. Advisian argues that under its weighted average the performance of the networks has deteriorated. This is contrary to our analysis.</w:t>
      </w:r>
    </w:p>
  </w:footnote>
  <w:footnote w:id="606">
    <w:p w:rsidR="00224E75" w:rsidRDefault="00224E75" w:rsidP="00D1590E">
      <w:pPr>
        <w:pStyle w:val="FootnoteText"/>
      </w:pPr>
      <w:r>
        <w:rPr>
          <w:rStyle w:val="FootnoteReference"/>
        </w:rPr>
        <w:footnoteRef/>
      </w:r>
      <w:r>
        <w:t xml:space="preserve"> </w:t>
      </w:r>
      <w:r>
        <w:tab/>
        <w:t xml:space="preserve">IEEE Power Engineering Society, </w:t>
      </w:r>
      <w:r w:rsidRPr="00731FD9">
        <w:t>IEEE Guide for Electric Power</w:t>
      </w:r>
      <w:r>
        <w:t xml:space="preserve"> </w:t>
      </w:r>
      <w:r w:rsidRPr="00731FD9">
        <w:t>Distribution Reliability Indices</w:t>
      </w:r>
      <w:r>
        <w:t>, 2004, p. 5.</w:t>
      </w:r>
    </w:p>
  </w:footnote>
  <w:footnote w:id="607">
    <w:p w:rsidR="00224E75" w:rsidRDefault="00224E75" w:rsidP="00D1590E">
      <w:pPr>
        <w:pStyle w:val="FootnoteText"/>
      </w:pPr>
      <w:r>
        <w:rPr>
          <w:rStyle w:val="FootnoteReference"/>
        </w:rPr>
        <w:footnoteRef/>
      </w:r>
      <w:r>
        <w:t xml:space="preserve"> </w:t>
      </w:r>
      <w:r>
        <w:tab/>
        <w:t xml:space="preserve">IEEE Power Engineering Society, </w:t>
      </w:r>
      <w:r w:rsidRPr="00731FD9">
        <w:t>IEEE Guide for Electric Power</w:t>
      </w:r>
      <w:r>
        <w:t xml:space="preserve"> </w:t>
      </w:r>
      <w:r w:rsidRPr="00731FD9">
        <w:t>Distribution Reliability Indices</w:t>
      </w:r>
      <w:r>
        <w:t>, 2004, p. 5.</w:t>
      </w:r>
    </w:p>
  </w:footnote>
  <w:footnote w:id="608">
    <w:p w:rsidR="00224E75" w:rsidRDefault="00224E75" w:rsidP="00D1590E">
      <w:pPr>
        <w:pStyle w:val="FootnoteText"/>
      </w:pPr>
      <w:r>
        <w:rPr>
          <w:rStyle w:val="FootnoteReference"/>
        </w:rPr>
        <w:footnoteRef/>
      </w:r>
      <w:r>
        <w:t xml:space="preserve"> </w:t>
      </w:r>
      <w:r>
        <w:tab/>
        <w:t>Advisian. 2015, p. 59.</w:t>
      </w:r>
    </w:p>
  </w:footnote>
  <w:footnote w:id="609">
    <w:p w:rsidR="00224E75" w:rsidRDefault="00224E75" w:rsidP="00D1590E">
      <w:pPr>
        <w:pStyle w:val="FootnoteText"/>
      </w:pPr>
      <w:r>
        <w:rPr>
          <w:rStyle w:val="FootnoteReference"/>
        </w:rPr>
        <w:footnoteRef/>
      </w:r>
      <w:r>
        <w:t xml:space="preserve"> </w:t>
      </w:r>
      <w:r>
        <w:tab/>
        <w:t>Advisian. 2015, p. 59.</w:t>
      </w:r>
    </w:p>
  </w:footnote>
  <w:footnote w:id="610">
    <w:p w:rsidR="00224E75" w:rsidRDefault="00224E75" w:rsidP="00D1590E">
      <w:pPr>
        <w:pStyle w:val="FootnoteText"/>
      </w:pPr>
      <w:r>
        <w:rPr>
          <w:rStyle w:val="FootnoteReference"/>
        </w:rPr>
        <w:footnoteRef/>
      </w:r>
      <w:r>
        <w:t xml:space="preserve"> </w:t>
      </w:r>
      <w:r>
        <w:tab/>
        <w:t>From 2008–9 to 2012–13 the frontier networks increased their expenditure on vegetation management and maintenance on average by 171 per cent and 77 per cent respectively (in nominal terms).</w:t>
      </w:r>
    </w:p>
  </w:footnote>
  <w:footnote w:id="611">
    <w:p w:rsidR="00224E75" w:rsidRDefault="00224E75" w:rsidP="00D1590E">
      <w:pPr>
        <w:pStyle w:val="FootnoteText"/>
      </w:pPr>
      <w:r>
        <w:rPr>
          <w:rStyle w:val="FootnoteReference"/>
        </w:rPr>
        <w:footnoteRef/>
      </w:r>
      <w:r>
        <w:t xml:space="preserve"> </w:t>
      </w:r>
      <w:r>
        <w:tab/>
      </w:r>
      <w:r w:rsidRPr="00F25BD4">
        <w:t>PEGR, 2015, p. 51.</w:t>
      </w:r>
    </w:p>
  </w:footnote>
  <w:footnote w:id="612">
    <w:p w:rsidR="00224E75" w:rsidRDefault="00224E75" w:rsidP="00D1590E">
      <w:pPr>
        <w:pStyle w:val="FootnoteText"/>
      </w:pPr>
      <w:r>
        <w:rPr>
          <w:rStyle w:val="FootnoteReference"/>
        </w:rPr>
        <w:footnoteRef/>
      </w:r>
      <w:r>
        <w:t xml:space="preserve"> </w:t>
      </w:r>
      <w:r>
        <w:tab/>
        <w:t>Economic Insights, 2015, pp. 5-6.</w:t>
      </w:r>
    </w:p>
  </w:footnote>
  <w:footnote w:id="613">
    <w:p w:rsidR="00224E75" w:rsidRDefault="00224E75" w:rsidP="00D1590E">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p. 59.</w:t>
      </w:r>
    </w:p>
  </w:footnote>
  <w:footnote w:id="614">
    <w:p w:rsidR="00224E75" w:rsidRDefault="00224E75" w:rsidP="00D1590E">
      <w:pPr>
        <w:pStyle w:val="FootnoteText"/>
      </w:pPr>
      <w:r>
        <w:rPr>
          <w:rStyle w:val="FootnoteReference"/>
        </w:rPr>
        <w:footnoteRef/>
      </w:r>
      <w:r>
        <w:t xml:space="preserve"> </w:t>
      </w:r>
      <w:r>
        <w:tab/>
        <w:t>NER cl. 6.5.6 (a) and (c)</w:t>
      </w:r>
    </w:p>
  </w:footnote>
  <w:footnote w:id="615">
    <w:p w:rsidR="00224E75" w:rsidRDefault="00224E75" w:rsidP="00D1590E">
      <w:pPr>
        <w:pStyle w:val="FootnoteText"/>
      </w:pPr>
      <w:r>
        <w:rPr>
          <w:rStyle w:val="FootnoteReference"/>
        </w:rPr>
        <w:footnoteRef/>
      </w:r>
      <w:r>
        <w:t xml:space="preserve"> </w:t>
      </w:r>
      <w:r>
        <w:tab/>
        <w:t>Ausgrid, Revised Proposal, 20 January 2015, p 29.</w:t>
      </w:r>
    </w:p>
  </w:footnote>
  <w:footnote w:id="616">
    <w:p w:rsidR="00224E75" w:rsidRDefault="00224E75" w:rsidP="00D1590E">
      <w:pPr>
        <w:pStyle w:val="FootnoteText"/>
      </w:pPr>
      <w:r>
        <w:rPr>
          <w:rStyle w:val="FootnoteReference"/>
        </w:rPr>
        <w:footnoteRef/>
      </w:r>
      <w:r>
        <w:t xml:space="preserve"> </w:t>
      </w:r>
      <w:r>
        <w:tab/>
        <w:t>Essential, Revised Proposal, 20 January 2015, p 36.</w:t>
      </w:r>
    </w:p>
  </w:footnote>
  <w:footnote w:id="617">
    <w:p w:rsidR="00224E75" w:rsidRDefault="00224E75" w:rsidP="00D1590E">
      <w:pPr>
        <w:pStyle w:val="FootnoteText"/>
      </w:pPr>
      <w:r>
        <w:rPr>
          <w:rStyle w:val="FootnoteReference"/>
        </w:rPr>
        <w:footnoteRef/>
      </w:r>
      <w:r>
        <w:t xml:space="preserve"> </w:t>
      </w:r>
      <w:r>
        <w:tab/>
        <w:t>Endeavour, Revised Proposal, 20 January 2015, p 32.</w:t>
      </w:r>
    </w:p>
  </w:footnote>
  <w:footnote w:id="618">
    <w:p w:rsidR="00224E75" w:rsidRDefault="00224E75" w:rsidP="00D1590E">
      <w:pPr>
        <w:pStyle w:val="FootnoteText"/>
      </w:pPr>
      <w:r>
        <w:rPr>
          <w:rStyle w:val="FootnoteReference"/>
        </w:rPr>
        <w:footnoteRef/>
      </w:r>
      <w:r>
        <w:t xml:space="preserve"> </w:t>
      </w:r>
      <w:r>
        <w:tab/>
        <w:t>Ausgrid, Revised Proposal, 20 January 2015, p 29.</w:t>
      </w:r>
    </w:p>
  </w:footnote>
  <w:footnote w:id="619">
    <w:p w:rsidR="00224E75" w:rsidRDefault="00224E75" w:rsidP="00D1590E">
      <w:pPr>
        <w:pStyle w:val="FootnoteText"/>
      </w:pPr>
      <w:r>
        <w:rPr>
          <w:rStyle w:val="FootnoteReference"/>
        </w:rPr>
        <w:footnoteRef/>
      </w:r>
      <w:r>
        <w:t xml:space="preserve"> </w:t>
      </w:r>
      <w:r>
        <w:tab/>
        <w:t>Essential, Revised Proposal, 20 January 2015, p 36.</w:t>
      </w:r>
    </w:p>
  </w:footnote>
  <w:footnote w:id="620">
    <w:p w:rsidR="00224E75" w:rsidRDefault="00224E75" w:rsidP="00D1590E">
      <w:pPr>
        <w:pStyle w:val="FootnoteText"/>
      </w:pPr>
      <w:r>
        <w:rPr>
          <w:rStyle w:val="FootnoteReference"/>
        </w:rPr>
        <w:footnoteRef/>
      </w:r>
      <w:r>
        <w:t xml:space="preserve"> </w:t>
      </w:r>
      <w:r>
        <w:tab/>
        <w:t>Endeavour, Revised Proposal, 20 January 2015, pp 33.</w:t>
      </w:r>
    </w:p>
  </w:footnote>
  <w:footnote w:id="621">
    <w:p w:rsidR="00224E75" w:rsidRDefault="00224E75" w:rsidP="00D1590E">
      <w:pPr>
        <w:pStyle w:val="FootnoteText"/>
      </w:pPr>
      <w:r>
        <w:rPr>
          <w:rStyle w:val="FootnoteReference"/>
        </w:rPr>
        <w:footnoteRef/>
      </w:r>
      <w:r>
        <w:t xml:space="preserve"> </w:t>
      </w:r>
      <w:r>
        <w:tab/>
        <w:t>Ausgrid, Revised Proposal, 20 January 2015, p 29.</w:t>
      </w:r>
    </w:p>
  </w:footnote>
  <w:footnote w:id="622">
    <w:p w:rsidR="00224E75" w:rsidRDefault="00224E75" w:rsidP="00D1590E">
      <w:pPr>
        <w:pStyle w:val="FootnoteText"/>
      </w:pPr>
      <w:r>
        <w:rPr>
          <w:rStyle w:val="FootnoteReference"/>
        </w:rPr>
        <w:footnoteRef/>
      </w:r>
      <w:r>
        <w:t xml:space="preserve"> </w:t>
      </w:r>
      <w:r>
        <w:tab/>
        <w:t>Essential, Revised Proposal, 20 January 2015, p 37.</w:t>
      </w:r>
    </w:p>
  </w:footnote>
  <w:footnote w:id="623">
    <w:p w:rsidR="00224E75" w:rsidRDefault="00224E75" w:rsidP="00D1590E">
      <w:pPr>
        <w:pStyle w:val="FootnoteText"/>
      </w:pPr>
      <w:r>
        <w:rPr>
          <w:rStyle w:val="FootnoteReference"/>
        </w:rPr>
        <w:footnoteRef/>
      </w:r>
      <w:r>
        <w:t xml:space="preserve"> </w:t>
      </w:r>
      <w:r>
        <w:tab/>
        <w:t>Endeavour, Revised Proposal, 20 January 2015, p 33.</w:t>
      </w:r>
    </w:p>
  </w:footnote>
  <w:footnote w:id="624">
    <w:p w:rsidR="00224E75" w:rsidRDefault="00224E75" w:rsidP="00D1590E">
      <w:pPr>
        <w:pStyle w:val="FootnoteText"/>
      </w:pPr>
      <w:r>
        <w:rPr>
          <w:rStyle w:val="FootnoteReference"/>
        </w:rPr>
        <w:footnoteRef/>
      </w:r>
      <w:r>
        <w:t xml:space="preserve"> </w:t>
      </w:r>
      <w:r>
        <w:tab/>
        <w:t>Ausgrid, Revised Proposal, 20 January 2015, p 29.</w:t>
      </w:r>
    </w:p>
  </w:footnote>
  <w:footnote w:id="625">
    <w:p w:rsidR="00224E75" w:rsidRDefault="00224E75" w:rsidP="00D1590E">
      <w:pPr>
        <w:pStyle w:val="FootnoteText"/>
      </w:pPr>
      <w:r>
        <w:rPr>
          <w:rStyle w:val="FootnoteReference"/>
        </w:rPr>
        <w:footnoteRef/>
      </w:r>
      <w:r>
        <w:t xml:space="preserve"> </w:t>
      </w:r>
      <w:r>
        <w:tab/>
        <w:t>Essential, Revised Proposal, 20 January 2015, p 37.</w:t>
      </w:r>
    </w:p>
  </w:footnote>
  <w:footnote w:id="626">
    <w:p w:rsidR="00224E75" w:rsidRDefault="00224E75" w:rsidP="00D1590E">
      <w:pPr>
        <w:pStyle w:val="FootnoteText"/>
      </w:pPr>
      <w:r>
        <w:rPr>
          <w:rStyle w:val="FootnoteReference"/>
        </w:rPr>
        <w:footnoteRef/>
      </w:r>
      <w:r>
        <w:t xml:space="preserve"> </w:t>
      </w:r>
      <w:r>
        <w:tab/>
        <w:t>Endeavour, Revised Proposal, 20 January 2015, p 33.</w:t>
      </w:r>
    </w:p>
  </w:footnote>
  <w:footnote w:id="627">
    <w:p w:rsidR="00224E75" w:rsidRDefault="00224E75" w:rsidP="00D1590E">
      <w:pPr>
        <w:pStyle w:val="FootnoteText"/>
      </w:pPr>
      <w:r>
        <w:rPr>
          <w:rStyle w:val="FootnoteReference"/>
        </w:rPr>
        <w:footnoteRef/>
      </w:r>
      <w:r>
        <w:t xml:space="preserve"> </w:t>
      </w:r>
      <w:r>
        <w:tab/>
        <w:t>Ausgrid, Revised Proposal, 20 January 2015, pp 29-32.</w:t>
      </w:r>
    </w:p>
  </w:footnote>
  <w:footnote w:id="628">
    <w:p w:rsidR="00224E75" w:rsidRDefault="00224E75" w:rsidP="00D1590E">
      <w:pPr>
        <w:pStyle w:val="FootnoteText"/>
      </w:pPr>
      <w:r>
        <w:rPr>
          <w:rStyle w:val="FootnoteReference"/>
        </w:rPr>
        <w:footnoteRef/>
      </w:r>
      <w:r>
        <w:t xml:space="preserve"> </w:t>
      </w:r>
      <w:r>
        <w:tab/>
        <w:t>Essential, Revised Proposal, 20 January 2015, pp 37-39.</w:t>
      </w:r>
    </w:p>
  </w:footnote>
  <w:footnote w:id="629">
    <w:p w:rsidR="00224E75" w:rsidRDefault="00224E75" w:rsidP="00D1590E">
      <w:pPr>
        <w:pStyle w:val="FootnoteText"/>
      </w:pPr>
      <w:r>
        <w:rPr>
          <w:rStyle w:val="FootnoteReference"/>
        </w:rPr>
        <w:footnoteRef/>
      </w:r>
      <w:r>
        <w:t xml:space="preserve"> </w:t>
      </w:r>
      <w:r>
        <w:tab/>
        <w:t>Endeavour, Revised Proposal, 20 January 2015, pp 33-36.</w:t>
      </w:r>
    </w:p>
  </w:footnote>
  <w:footnote w:id="630">
    <w:p w:rsidR="00224E75" w:rsidRDefault="00224E75" w:rsidP="00D1590E">
      <w:pPr>
        <w:pStyle w:val="FootnoteText"/>
      </w:pPr>
      <w:r>
        <w:rPr>
          <w:rStyle w:val="FootnoteReference"/>
        </w:rPr>
        <w:footnoteRef/>
      </w:r>
      <w:r>
        <w:t xml:space="preserve"> </w:t>
      </w:r>
      <w:r>
        <w:tab/>
        <w:t>R2A, Asset / System Failure Safety Risk Assessment: Client Reference Networks NSW RFQE2, January 2015</w:t>
      </w:r>
    </w:p>
  </w:footnote>
  <w:footnote w:id="631">
    <w:p w:rsidR="00224E75" w:rsidRDefault="00224E75" w:rsidP="00D1590E">
      <w:pPr>
        <w:pStyle w:val="FootnoteText"/>
      </w:pPr>
      <w:r>
        <w:rPr>
          <w:rStyle w:val="FootnoteReference"/>
        </w:rPr>
        <w:footnoteRef/>
      </w:r>
      <w:r>
        <w:t xml:space="preserve"> </w:t>
      </w:r>
      <w:r>
        <w:tab/>
        <w:t>Jacobs, Networks NSW - Draft Determination Review: System Capex &amp; Maintenance Prudency Assessment, 15 January 2015.</w:t>
      </w:r>
    </w:p>
  </w:footnote>
  <w:footnote w:id="632">
    <w:p w:rsidR="00224E75" w:rsidRDefault="00224E75" w:rsidP="00D1590E">
      <w:pPr>
        <w:pStyle w:val="FootnoteText"/>
      </w:pPr>
      <w:r>
        <w:rPr>
          <w:rStyle w:val="FootnoteReference"/>
        </w:rPr>
        <w:footnoteRef/>
      </w:r>
      <w:r>
        <w:t xml:space="preserve"> </w:t>
      </w:r>
      <w:r>
        <w:tab/>
        <w:t>AECOM, The Impact of the AER’s Draft Decision on ActewAGL’s Service and Safety Performance, 15 January 2015.</w:t>
      </w:r>
    </w:p>
  </w:footnote>
  <w:footnote w:id="633">
    <w:p w:rsidR="00224E75" w:rsidRDefault="00224E75" w:rsidP="00D1590E">
      <w:pPr>
        <w:pStyle w:val="FootnoteText"/>
      </w:pPr>
      <w:r>
        <w:rPr>
          <w:rStyle w:val="FootnoteReference"/>
        </w:rPr>
        <w:footnoteRef/>
      </w:r>
      <w:r>
        <w:t xml:space="preserve"> </w:t>
      </w:r>
      <w:r>
        <w:tab/>
        <w:t>Trevor Armstrong, Statement of Trevor Armstrong Chief Operating Officer Ausgrid, 19 January 2015, pp. 32 - 36.</w:t>
      </w:r>
    </w:p>
  </w:footnote>
  <w:footnote w:id="634">
    <w:p w:rsidR="00224E75" w:rsidRDefault="00224E75" w:rsidP="00D1590E">
      <w:pPr>
        <w:pStyle w:val="FootnoteText"/>
      </w:pPr>
      <w:r>
        <w:rPr>
          <w:rStyle w:val="FootnoteReference"/>
        </w:rPr>
        <w:footnoteRef/>
      </w:r>
      <w:r>
        <w:t xml:space="preserve"> </w:t>
      </w:r>
      <w:r>
        <w:tab/>
        <w:t xml:space="preserve"> Rod Howard, Statement of Rod Howard Chief Operating Officer Endeavour Energy, 19 January 2015, pp.29-30.</w:t>
      </w:r>
    </w:p>
  </w:footnote>
  <w:footnote w:id="635">
    <w:p w:rsidR="00224E75" w:rsidRDefault="00224E75" w:rsidP="00D1590E">
      <w:pPr>
        <w:pStyle w:val="FootnoteText"/>
      </w:pPr>
      <w:r>
        <w:rPr>
          <w:rStyle w:val="FootnoteReference"/>
        </w:rPr>
        <w:footnoteRef/>
      </w:r>
      <w:r>
        <w:t xml:space="preserve"> </w:t>
      </w:r>
      <w:r>
        <w:tab/>
        <w:t>Gary Humphreys, Statement of Gary Humphries Chief Operating Officer Essential Energy, 19 January 2015, pp. 22 to 28.</w:t>
      </w:r>
    </w:p>
  </w:footnote>
  <w:footnote w:id="636">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5.</w:t>
      </w:r>
    </w:p>
  </w:footnote>
  <w:footnote w:id="637">
    <w:p w:rsidR="00224E75" w:rsidRDefault="00224E75" w:rsidP="00D1590E">
      <w:pPr>
        <w:pStyle w:val="FootnoteText"/>
      </w:pPr>
      <w:r>
        <w:rPr>
          <w:rStyle w:val="FootnoteReference"/>
        </w:rPr>
        <w:footnoteRef/>
      </w:r>
      <w:r>
        <w:t xml:space="preserve"> </w:t>
      </w:r>
      <w:r>
        <w:tab/>
        <w:t>VBRC, vol 2, chapter 4, pp. 159 to 164.</w:t>
      </w:r>
    </w:p>
  </w:footnote>
  <w:footnote w:id="638">
    <w:p w:rsidR="00224E75" w:rsidRDefault="00224E75" w:rsidP="00D1590E">
      <w:pPr>
        <w:pStyle w:val="FootnoteText"/>
      </w:pPr>
      <w:r>
        <w:rPr>
          <w:rStyle w:val="FootnoteReference"/>
        </w:rPr>
        <w:footnoteRef/>
      </w:r>
      <w:r>
        <w:t xml:space="preserve"> </w:t>
      </w:r>
      <w:r>
        <w:tab/>
        <w:t>AER, Final decision: Victorian electricity distribution network service providers: Distribution determination 2011–2015, October 2010, p. iv.</w:t>
      </w:r>
    </w:p>
  </w:footnote>
  <w:footnote w:id="639">
    <w:p w:rsidR="00224E75" w:rsidRDefault="00224E75" w:rsidP="00D1590E">
      <w:pPr>
        <w:pStyle w:val="FootnoteText"/>
      </w:pPr>
      <w:r>
        <w:rPr>
          <w:rStyle w:val="FootnoteReference"/>
        </w:rPr>
        <w:footnoteRef/>
      </w:r>
      <w:r>
        <w:t xml:space="preserve"> </w:t>
      </w:r>
      <w:r>
        <w:tab/>
        <w:t>R2A, Asset / System Failure Safety Risk Assessment: Client Reference Networks NSW RFQE2, January 2015 pp. 18-19</w:t>
      </w:r>
    </w:p>
  </w:footnote>
  <w:footnote w:id="640">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41">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42">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5.</w:t>
      </w:r>
    </w:p>
  </w:footnote>
  <w:footnote w:id="643">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44">
    <w:p w:rsidR="00224E75" w:rsidRDefault="00224E75" w:rsidP="00D1590E">
      <w:pPr>
        <w:pStyle w:val="FootnoteText"/>
      </w:pPr>
      <w:r>
        <w:rPr>
          <w:rStyle w:val="FootnoteReference"/>
        </w:rPr>
        <w:footnoteRef/>
      </w:r>
      <w:r>
        <w:t xml:space="preserve"> </w:t>
      </w:r>
      <w:r>
        <w:tab/>
        <w:t>ESV, Safety performance report on Victorian Electricity Networks 2011,August 2012, p. i.</w:t>
      </w:r>
    </w:p>
  </w:footnote>
  <w:footnote w:id="645">
    <w:p w:rsidR="00224E75" w:rsidRDefault="00224E75" w:rsidP="00D1590E">
      <w:pPr>
        <w:pStyle w:val="FootnoteText"/>
      </w:pPr>
      <w:r>
        <w:rPr>
          <w:rStyle w:val="FootnoteReference"/>
        </w:rPr>
        <w:footnoteRef/>
      </w:r>
      <w:r>
        <w:t xml:space="preserve"> </w:t>
      </w:r>
      <w:r>
        <w:tab/>
        <w:t>ESV, Safety performance report on Victorian Electricity Networks 2010, 2011, p. i.</w:t>
      </w:r>
    </w:p>
  </w:footnote>
  <w:footnote w:id="646">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24.</w:t>
      </w:r>
    </w:p>
  </w:footnote>
  <w:footnote w:id="647">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26.</w:t>
      </w:r>
    </w:p>
  </w:footnote>
  <w:footnote w:id="648">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29-30.</w:t>
      </w:r>
    </w:p>
  </w:footnote>
  <w:footnote w:id="649">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31-50 and 61-78.</w:t>
      </w:r>
    </w:p>
  </w:footnote>
  <w:footnote w:id="650">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61-78.</w:t>
      </w:r>
    </w:p>
  </w:footnote>
  <w:footnote w:id="651">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50-60.</w:t>
      </w:r>
    </w:p>
  </w:footnote>
  <w:footnote w:id="652">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78.</w:t>
      </w:r>
    </w:p>
  </w:footnote>
  <w:footnote w:id="653">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82.</w:t>
      </w:r>
    </w:p>
  </w:footnote>
  <w:footnote w:id="654">
    <w:p w:rsidR="00224E75" w:rsidRDefault="00224E75" w:rsidP="00D1590E">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87.</w:t>
      </w:r>
    </w:p>
  </w:footnote>
  <w:footnote w:id="655">
    <w:p w:rsidR="00224E75" w:rsidRDefault="00224E75" w:rsidP="00D1590E">
      <w:pPr>
        <w:pStyle w:val="FootnoteText"/>
      </w:pPr>
      <w:r>
        <w:rPr>
          <w:rStyle w:val="FootnoteReference"/>
        </w:rPr>
        <w:footnoteRef/>
      </w:r>
      <w:r>
        <w:t xml:space="preserve"> </w:t>
      </w:r>
      <w:r>
        <w:tab/>
        <w:t>ActewAGL, Response to Information Request AER ACTEW 053, 9 February 2015.</w:t>
      </w:r>
    </w:p>
  </w:footnote>
  <w:footnote w:id="656">
    <w:p w:rsidR="00224E75" w:rsidRDefault="00224E75" w:rsidP="00D1590E">
      <w:pPr>
        <w:pStyle w:val="FootnoteText"/>
      </w:pPr>
      <w:r>
        <w:rPr>
          <w:rStyle w:val="FootnoteReference"/>
        </w:rPr>
        <w:footnoteRef/>
      </w:r>
      <w:r>
        <w:t xml:space="preserve"> </w:t>
      </w:r>
      <w:r>
        <w:tab/>
        <w:t>Ausgrid, Response to Information Request AER AUSGRID 044, 23 January 2015.</w:t>
      </w:r>
    </w:p>
  </w:footnote>
  <w:footnote w:id="657">
    <w:p w:rsidR="00224E75" w:rsidRDefault="00224E75" w:rsidP="00D1590E">
      <w:pPr>
        <w:pStyle w:val="FootnoteText"/>
      </w:pPr>
      <w:r>
        <w:rPr>
          <w:rStyle w:val="FootnoteReference"/>
        </w:rPr>
        <w:footnoteRef/>
      </w:r>
      <w:r>
        <w:t xml:space="preserve"> </w:t>
      </w:r>
      <w:r>
        <w:tab/>
        <w:t>AusNet Services, Response to LTIFR Information Request, 9 January 2015.</w:t>
      </w:r>
    </w:p>
  </w:footnote>
  <w:footnote w:id="658">
    <w:p w:rsidR="00224E75" w:rsidRDefault="00224E75" w:rsidP="00D1590E">
      <w:pPr>
        <w:pStyle w:val="FootnoteText"/>
      </w:pPr>
      <w:r>
        <w:rPr>
          <w:rStyle w:val="FootnoteReference"/>
        </w:rPr>
        <w:footnoteRef/>
      </w:r>
      <w:r>
        <w:t xml:space="preserve"> </w:t>
      </w:r>
      <w:r>
        <w:tab/>
        <w:t>CitiPower, Response to Information Request on LTIFRs, 2 February 2015.</w:t>
      </w:r>
    </w:p>
  </w:footnote>
  <w:footnote w:id="659">
    <w:p w:rsidR="00224E75" w:rsidRDefault="00224E75" w:rsidP="00D1590E">
      <w:pPr>
        <w:pStyle w:val="FootnoteText"/>
      </w:pPr>
      <w:r>
        <w:rPr>
          <w:rStyle w:val="FootnoteReference"/>
        </w:rPr>
        <w:footnoteRef/>
      </w:r>
      <w:r>
        <w:t xml:space="preserve"> </w:t>
      </w:r>
      <w:r>
        <w:tab/>
        <w:t>Endeavour Energy, Response to Information Request AER Endeavour 037, 16 January 2015.</w:t>
      </w:r>
    </w:p>
  </w:footnote>
  <w:footnote w:id="660">
    <w:p w:rsidR="00224E75" w:rsidRDefault="00224E75" w:rsidP="00D1590E">
      <w:pPr>
        <w:pStyle w:val="FootnoteText"/>
      </w:pPr>
      <w:r>
        <w:rPr>
          <w:rStyle w:val="FootnoteReference"/>
        </w:rPr>
        <w:footnoteRef/>
      </w:r>
      <w:r>
        <w:t xml:space="preserve"> </w:t>
      </w:r>
      <w:r>
        <w:tab/>
        <w:t>Energex, Response to Information Request AER Energex, 23 January 2015.</w:t>
      </w:r>
    </w:p>
  </w:footnote>
  <w:footnote w:id="661">
    <w:p w:rsidR="00224E75" w:rsidRDefault="00224E75" w:rsidP="00D1590E">
      <w:pPr>
        <w:pStyle w:val="FootnoteText"/>
      </w:pPr>
      <w:r>
        <w:rPr>
          <w:rStyle w:val="FootnoteReference"/>
        </w:rPr>
        <w:footnoteRef/>
      </w:r>
      <w:r>
        <w:t xml:space="preserve"> </w:t>
      </w:r>
      <w:r>
        <w:tab/>
        <w:t>Ergon Energy, Response to Information Request AER Ergon008, 7 January 2015.</w:t>
      </w:r>
    </w:p>
  </w:footnote>
  <w:footnote w:id="662">
    <w:p w:rsidR="00224E75" w:rsidRDefault="00224E75" w:rsidP="00D1590E">
      <w:pPr>
        <w:pStyle w:val="FootnoteText"/>
      </w:pPr>
      <w:r>
        <w:rPr>
          <w:rStyle w:val="FootnoteReference"/>
        </w:rPr>
        <w:footnoteRef/>
      </w:r>
      <w:r>
        <w:t xml:space="preserve"> </w:t>
      </w:r>
      <w:r>
        <w:tab/>
        <w:t>Essential Energy, Response to Information Request AER Essential 033, 23 January 2015.</w:t>
      </w:r>
    </w:p>
  </w:footnote>
  <w:footnote w:id="663">
    <w:p w:rsidR="00224E75" w:rsidRDefault="00224E75" w:rsidP="00D1590E">
      <w:pPr>
        <w:pStyle w:val="FootnoteText"/>
      </w:pPr>
      <w:r>
        <w:rPr>
          <w:rStyle w:val="FootnoteReference"/>
        </w:rPr>
        <w:footnoteRef/>
      </w:r>
      <w:r>
        <w:t xml:space="preserve"> </w:t>
      </w:r>
      <w:r>
        <w:tab/>
        <w:t>CitiPower, Response to Information Request on LTIFRs, 2 February 2015.</w:t>
      </w:r>
    </w:p>
  </w:footnote>
  <w:footnote w:id="664">
    <w:p w:rsidR="00224E75" w:rsidRDefault="00224E75" w:rsidP="00D1590E">
      <w:pPr>
        <w:pStyle w:val="FootnoteText"/>
      </w:pPr>
      <w:r>
        <w:rPr>
          <w:rStyle w:val="FootnoteReference"/>
        </w:rPr>
        <w:footnoteRef/>
      </w:r>
      <w:r>
        <w:t xml:space="preserve"> </w:t>
      </w:r>
      <w:r>
        <w:tab/>
        <w:t>SA Power Networks, Response to Information Request AER SAPN 012, 20 January 2015.</w:t>
      </w:r>
    </w:p>
  </w:footnote>
  <w:footnote w:id="665">
    <w:p w:rsidR="00224E75" w:rsidRDefault="00224E75" w:rsidP="00D1590E">
      <w:pPr>
        <w:pStyle w:val="FootnoteText"/>
      </w:pPr>
      <w:r>
        <w:rPr>
          <w:rStyle w:val="FootnoteReference"/>
        </w:rPr>
        <w:footnoteRef/>
      </w:r>
      <w:r>
        <w:t xml:space="preserve"> </w:t>
      </w:r>
      <w:r>
        <w:tab/>
        <w:t>TasNetworks, Response to LTIFR information request, 21 January 2015.</w:t>
      </w:r>
    </w:p>
  </w:footnote>
  <w:footnote w:id="666">
    <w:p w:rsidR="00224E75" w:rsidRDefault="00224E75" w:rsidP="00D1590E">
      <w:pPr>
        <w:pStyle w:val="FootnoteText"/>
      </w:pPr>
      <w:r>
        <w:rPr>
          <w:rStyle w:val="FootnoteReference"/>
        </w:rPr>
        <w:footnoteRef/>
      </w:r>
      <w:r>
        <w:t xml:space="preserve"> </w:t>
      </w:r>
      <w:r>
        <w:tab/>
        <w:t>United Energy, Response to LTIFR Information Request, 27 January 2015.</w:t>
      </w:r>
    </w:p>
  </w:footnote>
  <w:footnote w:id="667">
    <w:p w:rsidR="00224E75" w:rsidRDefault="00224E75" w:rsidP="00D1590E">
      <w:pPr>
        <w:pStyle w:val="FootnoteText"/>
      </w:pPr>
      <w:r>
        <w:rPr>
          <w:rStyle w:val="FootnoteReference"/>
        </w:rPr>
        <w:footnoteRef/>
      </w:r>
      <w:r>
        <w:t xml:space="preserve"> </w:t>
      </w:r>
      <w:r>
        <w:tab/>
        <w:t>Category Analysis RIN Responses to template 2.7 and Economic Benchmarking RIN Responses to templates 6 and 8.</w:t>
      </w:r>
    </w:p>
  </w:footnote>
  <w:footnote w:id="668">
    <w:p w:rsidR="00224E75" w:rsidRDefault="00224E75" w:rsidP="00D1590E">
      <w:pPr>
        <w:pStyle w:val="FootnoteText"/>
      </w:pPr>
      <w:r>
        <w:rPr>
          <w:rStyle w:val="FootnoteReference"/>
        </w:rPr>
        <w:footnoteRef/>
      </w:r>
      <w:r>
        <w:t xml:space="preserve"> </w:t>
      </w:r>
      <w:r>
        <w:tab/>
        <w:t>Ausgrid, Response to Information Request Ausgrid 052, 17 February 2015.</w:t>
      </w:r>
    </w:p>
  </w:footnote>
  <w:footnote w:id="669">
    <w:p w:rsidR="00224E75" w:rsidRDefault="00224E75" w:rsidP="00D1590E">
      <w:pPr>
        <w:pStyle w:val="FootnoteText"/>
      </w:pPr>
      <w:r>
        <w:rPr>
          <w:rStyle w:val="FootnoteReference"/>
        </w:rPr>
        <w:footnoteRef/>
      </w:r>
      <w:r>
        <w:t xml:space="preserve"> </w:t>
      </w:r>
      <w:r>
        <w:tab/>
        <w:t>Endeavour, Response to Information Request Endeavour 044, 16 February 2015.</w:t>
      </w:r>
    </w:p>
  </w:footnote>
  <w:footnote w:id="670">
    <w:p w:rsidR="00224E75" w:rsidRDefault="00224E75" w:rsidP="00D1590E">
      <w:pPr>
        <w:pStyle w:val="FootnoteText"/>
      </w:pPr>
      <w:r>
        <w:rPr>
          <w:rStyle w:val="FootnoteReference"/>
        </w:rPr>
        <w:footnoteRef/>
      </w:r>
      <w:r>
        <w:t xml:space="preserve"> </w:t>
      </w:r>
      <w:r>
        <w:tab/>
        <w:t>Essential Energy, Response to Information Request Essential 083, 16 February 2015.</w:t>
      </w:r>
    </w:p>
  </w:footnote>
  <w:footnote w:id="671">
    <w:p w:rsidR="00224E75" w:rsidRDefault="00224E75" w:rsidP="00D1590E">
      <w:pPr>
        <w:pStyle w:val="FootnoteText"/>
      </w:pPr>
      <w:r>
        <w:rPr>
          <w:rStyle w:val="FootnoteReference"/>
        </w:rPr>
        <w:footnoteRef/>
      </w:r>
      <w:r>
        <w:t xml:space="preserve"> </w:t>
      </w:r>
      <w:r>
        <w:tab/>
        <w:t xml:space="preserve">AER, </w:t>
      </w:r>
      <w:r w:rsidRPr="00FA7F87">
        <w:t xml:space="preserve">NSW electricity distributors pay $100 000 in penalties regarding their life support obligations, </w:t>
      </w:r>
      <w:r>
        <w:t xml:space="preserve">available at </w:t>
      </w:r>
      <w:hyperlink r:id="rId6" w:history="1">
        <w:r w:rsidRPr="00DF7387">
          <w:rPr>
            <w:rStyle w:val="Hyperlink"/>
            <w:sz w:val="16"/>
          </w:rPr>
          <w:t>http://www.aer.gov.au/node/30100</w:t>
        </w:r>
      </w:hyperlink>
      <w:r>
        <w:t xml:space="preserve"> [last accessed 23 March 2015].</w:t>
      </w:r>
    </w:p>
  </w:footnote>
  <w:footnote w:id="672">
    <w:p w:rsidR="00224E75" w:rsidRDefault="00224E75" w:rsidP="00D1590E">
      <w:pPr>
        <w:pStyle w:val="FootnoteText"/>
      </w:pPr>
      <w:r>
        <w:rPr>
          <w:rStyle w:val="FootnoteReference"/>
        </w:rPr>
        <w:footnoteRef/>
      </w:r>
      <w:r>
        <w:t xml:space="preserve"> </w:t>
      </w:r>
      <w:r>
        <w:tab/>
        <w:t xml:space="preserve">AER, </w:t>
      </w:r>
      <w:r w:rsidRPr="000757CD">
        <w:t>NSW and Tasmanian electricity distributors pay $60,000 in penalties regarding their life support obligations</w:t>
      </w:r>
      <w:r w:rsidRPr="00FA7F87">
        <w:t xml:space="preserve">, </w:t>
      </w:r>
      <w:r>
        <w:t xml:space="preserve">available at </w:t>
      </w:r>
      <w:hyperlink r:id="rId7" w:history="1">
        <w:r w:rsidRPr="00795E17">
          <w:rPr>
            <w:rStyle w:val="Hyperlink"/>
            <w:sz w:val="16"/>
          </w:rPr>
          <w:t>https://www.aer.gov.au/node/30944</w:t>
        </w:r>
      </w:hyperlink>
      <w:r>
        <w:t xml:space="preserve"> [last accessed 23 March 2015].</w:t>
      </w:r>
    </w:p>
  </w:footnote>
  <w:footnote w:id="673">
    <w:p w:rsidR="00224E75" w:rsidRDefault="00224E75" w:rsidP="00D1590E">
      <w:pPr>
        <w:pStyle w:val="FootnoteText"/>
      </w:pPr>
      <w:r>
        <w:rPr>
          <w:rStyle w:val="FootnoteReference"/>
        </w:rPr>
        <w:footnoteRef/>
      </w:r>
      <w:r>
        <w:t xml:space="preserve"> </w:t>
      </w:r>
      <w:r>
        <w:tab/>
        <w:t>Jacobs, Networks NSW - Draft Determination Review: System Capex &amp; Maintenance Prudency Assessment, 15 January 2015, pp. 4, 47-52 and 57.</w:t>
      </w:r>
    </w:p>
  </w:footnote>
  <w:footnote w:id="674">
    <w:p w:rsidR="00224E75" w:rsidRDefault="00224E75" w:rsidP="00D1590E">
      <w:pPr>
        <w:pStyle w:val="FootnoteText"/>
      </w:pPr>
      <w:r>
        <w:rPr>
          <w:rStyle w:val="FootnoteReference"/>
        </w:rPr>
        <w:footnoteRef/>
      </w:r>
      <w:r>
        <w:t xml:space="preserve"> </w:t>
      </w:r>
      <w:r>
        <w:tab/>
        <w:t>R2A, Asset / System Failure Safety Risk Assessment: Client Reference Networks NSW RFQE2, January 2015, pp. 14-15.</w:t>
      </w:r>
    </w:p>
  </w:footnote>
  <w:footnote w:id="675">
    <w:p w:rsidR="00224E75" w:rsidRDefault="00224E75" w:rsidP="00D1590E">
      <w:pPr>
        <w:pStyle w:val="FootnoteText"/>
      </w:pPr>
      <w:r>
        <w:rPr>
          <w:rStyle w:val="FootnoteReference"/>
        </w:rPr>
        <w:footnoteRef/>
      </w:r>
      <w:r>
        <w:t xml:space="preserve"> </w:t>
      </w:r>
      <w:r>
        <w:tab/>
        <w:t>Trevor Armstrong, Statement of Trevor Armstrong Chief Operating Officer Ausgrid, 19 January 2015, pp. 32 - 36.</w:t>
      </w:r>
    </w:p>
  </w:footnote>
  <w:footnote w:id="676">
    <w:p w:rsidR="00224E75" w:rsidRDefault="00224E75" w:rsidP="00D1590E">
      <w:pPr>
        <w:pStyle w:val="FootnoteText"/>
      </w:pPr>
      <w:r>
        <w:rPr>
          <w:rStyle w:val="FootnoteReference"/>
        </w:rPr>
        <w:footnoteRef/>
      </w:r>
      <w:r>
        <w:t xml:space="preserve"> </w:t>
      </w:r>
      <w:r>
        <w:tab/>
        <w:t xml:space="preserve"> Rod Howard, Statement of Rod Howard Chief Operating Officer Endeavour Energy, 19 January 2015, pp.29-30.</w:t>
      </w:r>
    </w:p>
  </w:footnote>
  <w:footnote w:id="677">
    <w:p w:rsidR="00224E75" w:rsidRDefault="00224E75" w:rsidP="00D1590E">
      <w:pPr>
        <w:pStyle w:val="FootnoteText"/>
      </w:pPr>
      <w:r>
        <w:rPr>
          <w:rStyle w:val="FootnoteReference"/>
        </w:rPr>
        <w:footnoteRef/>
      </w:r>
      <w:r>
        <w:t xml:space="preserve"> </w:t>
      </w:r>
      <w:r>
        <w:tab/>
        <w:t>Gary Humphreys, Statement of Gary Humphries Chief Operating Officer Essential Energy, 19 January 2015, pp. 22 to 28.</w:t>
      </w:r>
    </w:p>
  </w:footnote>
  <w:footnote w:id="678">
    <w:p w:rsidR="00224E75" w:rsidRDefault="00224E75" w:rsidP="00D1590E">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679">
    <w:p w:rsidR="00224E75" w:rsidRDefault="00224E75" w:rsidP="00D1590E">
      <w:pPr>
        <w:pStyle w:val="FootnoteText"/>
      </w:pPr>
      <w:r>
        <w:rPr>
          <w:rStyle w:val="FootnoteReference"/>
        </w:rPr>
        <w:footnoteRef/>
      </w:r>
      <w:r>
        <w:t xml:space="preserve"> </w:t>
      </w:r>
      <w:r>
        <w:tab/>
        <w:t>R2A, Asset / System Failure Safety Risk Assessment: Client Reference Networks NSW RFQE2, January 2015 pp. 18-19</w:t>
      </w:r>
    </w:p>
  </w:footnote>
  <w:footnote w:id="680">
    <w:p w:rsidR="00224E75" w:rsidRDefault="00224E75" w:rsidP="00D1590E">
      <w:pPr>
        <w:pStyle w:val="FootnoteText"/>
      </w:pPr>
      <w:r>
        <w:rPr>
          <w:rStyle w:val="FootnoteReference"/>
        </w:rPr>
        <w:footnoteRef/>
      </w:r>
      <w:r>
        <w:t xml:space="preserve"> </w:t>
      </w:r>
      <w:r>
        <w:tab/>
        <w:t>R2A, Asset / System Failure Safety Risk Assessment: Client Reference Networks NSW RFQE2, January 2015 pp. 14-15.</w:t>
      </w:r>
    </w:p>
  </w:footnote>
  <w:footnote w:id="681">
    <w:p w:rsidR="00224E75" w:rsidRDefault="00224E75" w:rsidP="00D1590E">
      <w:pPr>
        <w:pStyle w:val="FootnoteText"/>
      </w:pPr>
      <w:r>
        <w:rPr>
          <w:rStyle w:val="FootnoteReference"/>
        </w:rPr>
        <w:footnoteRef/>
      </w:r>
      <w:r>
        <w:t xml:space="preserve"> </w:t>
      </w:r>
      <w:r>
        <w:tab/>
        <w:t>Electricity Safety (Bushfire Mitigation) Regulations 2013, s. 7.(i).</w:t>
      </w:r>
    </w:p>
  </w:footnote>
  <w:footnote w:id="682">
    <w:p w:rsidR="00224E75" w:rsidRDefault="00224E75" w:rsidP="00D1590E">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683">
    <w:p w:rsidR="00224E75" w:rsidRDefault="00224E75" w:rsidP="00D1590E">
      <w:pPr>
        <w:pStyle w:val="FootnoteText"/>
      </w:pPr>
      <w:r>
        <w:rPr>
          <w:rStyle w:val="FootnoteReference"/>
        </w:rPr>
        <w:footnoteRef/>
      </w:r>
      <w:r>
        <w:t xml:space="preserve"> </w:t>
      </w:r>
      <w:r>
        <w:tab/>
        <w:t>Jacobs, Networks NSW - Draft Determination Review: System Capex &amp; Maintenance Prudency Assessment, 15 January 2015, Appendix B.</w:t>
      </w:r>
    </w:p>
  </w:footnote>
  <w:footnote w:id="684">
    <w:p w:rsidR="00224E75" w:rsidRDefault="00224E75" w:rsidP="00D1590E">
      <w:pPr>
        <w:pStyle w:val="FootnoteText"/>
      </w:pPr>
      <w:r>
        <w:rPr>
          <w:rStyle w:val="FootnoteReference"/>
        </w:rPr>
        <w:footnoteRef/>
      </w:r>
      <w:r>
        <w:t xml:space="preserve"> </w:t>
      </w:r>
      <w:r>
        <w:tab/>
        <w:t>Jacobs, Networks NSW - Draft Determination Review: System Capex &amp; Maintenance Prudency Assessment, 15 January 2015, p. 4.</w:t>
      </w:r>
    </w:p>
  </w:footnote>
  <w:footnote w:id="685">
    <w:p w:rsidR="00224E75" w:rsidRDefault="00224E75" w:rsidP="00D1590E">
      <w:pPr>
        <w:pStyle w:val="FootnoteText"/>
      </w:pPr>
      <w:r>
        <w:rPr>
          <w:rStyle w:val="FootnoteReference"/>
        </w:rPr>
        <w:footnoteRef/>
      </w:r>
      <w:r>
        <w:t xml:space="preserve"> </w:t>
      </w:r>
      <w:r>
        <w:tab/>
        <w:t>Powercor, Bushfire Management Plan 2014–19, 10 July 2014, p. 15.</w:t>
      </w:r>
    </w:p>
  </w:footnote>
  <w:footnote w:id="686">
    <w:p w:rsidR="00224E75" w:rsidRDefault="00224E75" w:rsidP="00D1590E">
      <w:pPr>
        <w:pStyle w:val="FootnoteText"/>
      </w:pPr>
      <w:r>
        <w:rPr>
          <w:rStyle w:val="FootnoteReference"/>
        </w:rPr>
        <w:footnoteRef/>
      </w:r>
      <w:r>
        <w:t xml:space="preserve"> </w:t>
      </w:r>
      <w:r>
        <w:tab/>
        <w:t>CitiPower, Bushfire Management Plan, 1 July 2014, p. 17.</w:t>
      </w:r>
    </w:p>
  </w:footnote>
  <w:footnote w:id="687">
    <w:p w:rsidR="00224E75" w:rsidRDefault="00224E75" w:rsidP="00D1590E">
      <w:pPr>
        <w:pStyle w:val="FootnoteText"/>
      </w:pPr>
      <w:r>
        <w:rPr>
          <w:rStyle w:val="FootnoteReference"/>
        </w:rPr>
        <w:footnoteRef/>
      </w:r>
      <w:r>
        <w:t xml:space="preserve"> </w:t>
      </w:r>
      <w:r>
        <w:tab/>
        <w:t>SA Power Networks, Regulatory Proposal: Attachment 7.2, 2014, p. 64.</w:t>
      </w:r>
    </w:p>
  </w:footnote>
  <w:footnote w:id="688">
    <w:p w:rsidR="00224E75" w:rsidRDefault="00224E75" w:rsidP="00D1590E">
      <w:pPr>
        <w:pStyle w:val="FootnoteText"/>
      </w:pPr>
      <w:r>
        <w:rPr>
          <w:rStyle w:val="FootnoteReference"/>
        </w:rPr>
        <w:footnoteRef/>
      </w:r>
      <w:r>
        <w:t xml:space="preserve"> </w:t>
      </w:r>
      <w:r>
        <w:tab/>
        <w:t>AusNet services</w:t>
      </w:r>
      <w:r w:rsidRPr="00E54D6A">
        <w:t>, Bushfire Management Plan</w:t>
      </w:r>
      <w:r w:rsidRPr="00380744">
        <w:t>: Electricity Distribution Network</w:t>
      </w:r>
      <w:r w:rsidRPr="00E54D6A">
        <w:t xml:space="preserve">, </w:t>
      </w:r>
      <w:r>
        <w:t>22 July</w:t>
      </w:r>
      <w:r w:rsidRPr="00E54D6A">
        <w:t xml:space="preserve"> 2014, p.</w:t>
      </w:r>
      <w:r>
        <w:t xml:space="preserve"> 37.</w:t>
      </w:r>
    </w:p>
  </w:footnote>
  <w:footnote w:id="689">
    <w:p w:rsidR="00224E75" w:rsidRDefault="00224E75" w:rsidP="00D1590E">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690">
    <w:p w:rsidR="00224E75" w:rsidRDefault="00224E75" w:rsidP="00D1590E">
      <w:pPr>
        <w:pStyle w:val="FootnoteText"/>
      </w:pPr>
      <w:r>
        <w:rPr>
          <w:rStyle w:val="FootnoteReference"/>
        </w:rPr>
        <w:footnoteRef/>
      </w:r>
      <w:r>
        <w:t xml:space="preserve"> </w:t>
      </w:r>
      <w:r>
        <w:tab/>
        <w:t>Advisian, Opex Cost Drivers: ActewAGL Distribution Electricity (ACT), 16 January 2015, p. 98.</w:t>
      </w:r>
    </w:p>
  </w:footnote>
  <w:footnote w:id="691">
    <w:p w:rsidR="00224E75" w:rsidRDefault="00224E75" w:rsidP="00D1590E">
      <w:pPr>
        <w:pStyle w:val="FootnoteText"/>
      </w:pPr>
      <w:r>
        <w:rPr>
          <w:rStyle w:val="FootnoteReference"/>
        </w:rPr>
        <w:footnoteRef/>
      </w:r>
      <w:r>
        <w:t xml:space="preserve"> </w:t>
      </w:r>
      <w:r>
        <w:tab/>
        <w:t>Advisian, Opex Cost Drivers: ActewAGL Distribution Electricity (ACT), 16 January 2015, p. 86.</w:t>
      </w:r>
    </w:p>
  </w:footnote>
  <w:footnote w:id="692">
    <w:p w:rsidR="00224E75" w:rsidRDefault="00224E75" w:rsidP="00D1590E">
      <w:pPr>
        <w:pStyle w:val="FootnoteText"/>
      </w:pPr>
      <w:r>
        <w:rPr>
          <w:rStyle w:val="FootnoteReference"/>
        </w:rPr>
        <w:footnoteRef/>
      </w:r>
      <w:r>
        <w:t xml:space="preserve"> </w:t>
      </w:r>
      <w:r>
        <w:tab/>
        <w:t>Essential Energy, Revised Proposal: Attachment 7.10, 20 January 2015, pp. 8-19</w:t>
      </w:r>
    </w:p>
  </w:footnote>
  <w:footnote w:id="693">
    <w:p w:rsidR="00224E75" w:rsidRDefault="00224E75" w:rsidP="00D1590E">
      <w:pPr>
        <w:pStyle w:val="FootnoteText"/>
      </w:pPr>
      <w:r>
        <w:rPr>
          <w:rStyle w:val="FootnoteReference"/>
        </w:rPr>
        <w:footnoteRef/>
      </w:r>
      <w:r>
        <w:t xml:space="preserve"> </w:t>
      </w:r>
      <w:r>
        <w:tab/>
        <w:t>Ergon Energy, Submission on the Draft Decisions: NSW and ACT distribution determinations 2015–16 to 2018–19, 13 February 2015, p. 18-19.</w:t>
      </w:r>
    </w:p>
  </w:footnote>
  <w:footnote w:id="694">
    <w:p w:rsidR="00224E75" w:rsidRDefault="00224E75" w:rsidP="00D1590E">
      <w:pPr>
        <w:pStyle w:val="FootnoteText"/>
      </w:pPr>
      <w:r>
        <w:rPr>
          <w:rStyle w:val="FootnoteReference"/>
        </w:rPr>
        <w:footnoteRef/>
      </w:r>
      <w:r>
        <w:t xml:space="preserve"> </w:t>
      </w:r>
      <w:r>
        <w:tab/>
        <w:t>Essential Energy, Revised Proposal: Attachment 7.10, p. 10.</w:t>
      </w:r>
    </w:p>
  </w:footnote>
  <w:footnote w:id="695">
    <w:p w:rsidR="00224E75" w:rsidRDefault="00224E75" w:rsidP="00D1590E">
      <w:pPr>
        <w:pStyle w:val="FootnoteText"/>
      </w:pPr>
      <w:r>
        <w:rPr>
          <w:rStyle w:val="FootnoteReference"/>
        </w:rPr>
        <w:footnoteRef/>
      </w:r>
      <w:r>
        <w:t xml:space="preserve"> </w:t>
      </w:r>
      <w:r>
        <w:tab/>
        <w:t>Essential Energy, Revised Proposal: Attachment 7.10, p. 10.</w:t>
      </w:r>
    </w:p>
  </w:footnote>
  <w:footnote w:id="696">
    <w:p w:rsidR="00224E75" w:rsidRDefault="00224E75" w:rsidP="00D1590E">
      <w:pPr>
        <w:pStyle w:val="FootnoteText"/>
      </w:pPr>
      <w:r>
        <w:rPr>
          <w:rStyle w:val="FootnoteReference"/>
        </w:rPr>
        <w:footnoteRef/>
      </w:r>
      <w:r>
        <w:t xml:space="preserve"> </w:t>
      </w:r>
      <w:r>
        <w:tab/>
        <w:t>Essential Energy, Revised Proposal: Attachment 7.10, pp. 15-16.</w:t>
      </w:r>
    </w:p>
  </w:footnote>
  <w:footnote w:id="697">
    <w:p w:rsidR="00224E75" w:rsidRDefault="00224E75" w:rsidP="00D1590E">
      <w:pPr>
        <w:pStyle w:val="FootnoteText"/>
      </w:pPr>
      <w:r>
        <w:rPr>
          <w:rStyle w:val="FootnoteReference"/>
        </w:rPr>
        <w:footnoteRef/>
      </w:r>
      <w:r>
        <w:t xml:space="preserve"> </w:t>
      </w:r>
      <w:r>
        <w:tab/>
        <w:t>Ergon Energy, Submissions on the Draft Decisions: NSW and ACT distribution determinations 2015–16 to 2018</w:t>
      </w:r>
      <w:r>
        <w:noBreakHyphen/>
        <w:t>19, 13 February 2015, pp. 18 -19.</w:t>
      </w:r>
    </w:p>
  </w:footnote>
  <w:footnote w:id="698">
    <w:p w:rsidR="00224E75" w:rsidRDefault="00224E75" w:rsidP="00D1590E">
      <w:pPr>
        <w:pStyle w:val="FootnoteText"/>
      </w:pPr>
      <w:r>
        <w:rPr>
          <w:rStyle w:val="FootnoteReference"/>
        </w:rPr>
        <w:footnoteRef/>
      </w:r>
      <w:r>
        <w:t xml:space="preserve"> </w:t>
      </w:r>
      <w:r>
        <w:tab/>
        <w:t xml:space="preserve">Ausgrid, Revised Proposal, 20 January 2015, p. 164. </w:t>
      </w:r>
    </w:p>
  </w:footnote>
  <w:footnote w:id="699">
    <w:p w:rsidR="00224E75" w:rsidRDefault="00224E75" w:rsidP="00D1590E">
      <w:pPr>
        <w:pStyle w:val="FootnoteText"/>
      </w:pPr>
      <w:r>
        <w:rPr>
          <w:rStyle w:val="FootnoteReference"/>
        </w:rPr>
        <w:footnoteRef/>
      </w:r>
      <w:r>
        <w:t xml:space="preserve"> </w:t>
      </w:r>
      <w:r>
        <w:tab/>
        <w:t>Endeavour, Revised Proposal, 20 January 2015, p. 186.</w:t>
      </w:r>
    </w:p>
  </w:footnote>
  <w:footnote w:id="700">
    <w:p w:rsidR="00224E75" w:rsidRDefault="00224E75" w:rsidP="00D1590E">
      <w:pPr>
        <w:pStyle w:val="FootnoteText"/>
      </w:pPr>
      <w:r>
        <w:rPr>
          <w:rStyle w:val="FootnoteReference"/>
        </w:rPr>
        <w:footnoteRef/>
      </w:r>
      <w:r>
        <w:t xml:space="preserve"> </w:t>
      </w:r>
      <w:r>
        <w:tab/>
        <w:t>Essential, Revised Proposal, 20 January 2015, p. 48. And p. 200.</w:t>
      </w:r>
    </w:p>
  </w:footnote>
  <w:footnote w:id="701">
    <w:p w:rsidR="00224E75" w:rsidRDefault="00224E75" w:rsidP="00D1590E">
      <w:pPr>
        <w:pStyle w:val="FootnoteText"/>
      </w:pPr>
      <w:r>
        <w:rPr>
          <w:rStyle w:val="FootnoteReference"/>
        </w:rPr>
        <w:footnoteRef/>
      </w:r>
      <w:r>
        <w:t xml:space="preserve"> </w:t>
      </w:r>
      <w:r>
        <w:tab/>
        <w:t>Includes costs from the 2003 Canberra bushfires</w:t>
      </w:r>
    </w:p>
  </w:footnote>
  <w:footnote w:id="702">
    <w:p w:rsidR="00224E75" w:rsidRPr="0075382F" w:rsidRDefault="00224E75" w:rsidP="00D1590E">
      <w:pPr>
        <w:pStyle w:val="FootnoteText"/>
      </w:pPr>
      <w:r>
        <w:rPr>
          <w:rStyle w:val="FootnoteReference"/>
        </w:rPr>
        <w:footnoteRef/>
      </w:r>
      <w:r>
        <w:t xml:space="preserve"> </w:t>
      </w:r>
      <w:r>
        <w:tab/>
        <w:t xml:space="preserve">BTE, </w:t>
      </w:r>
      <w:r w:rsidRPr="0075382F">
        <w:rPr>
          <w:rStyle w:val="AERtextitalic"/>
        </w:rPr>
        <w:t>Economic costs of natural disasters in Australia</w:t>
      </w:r>
      <w:r>
        <w:rPr>
          <w:rStyle w:val="AERtextitalic"/>
        </w:rPr>
        <w:t xml:space="preserve">, </w:t>
      </w:r>
      <w:r w:rsidRPr="0075382F">
        <w:t xml:space="preserve">2001, p. </w:t>
      </w:r>
      <w:r>
        <w:t>35.</w:t>
      </w:r>
    </w:p>
  </w:footnote>
  <w:footnote w:id="703">
    <w:p w:rsidR="00224E75" w:rsidRDefault="00224E75" w:rsidP="00D1590E">
      <w:pPr>
        <w:pStyle w:val="FootnoteText"/>
      </w:pPr>
      <w:r>
        <w:rPr>
          <w:rStyle w:val="FootnoteReference"/>
        </w:rPr>
        <w:footnoteRef/>
      </w:r>
      <w:r>
        <w:t xml:space="preserve"> </w:t>
      </w:r>
      <w:r>
        <w:tab/>
        <w:t xml:space="preserve">ABS, </w:t>
      </w:r>
      <w:r w:rsidRPr="0075382F">
        <w:t>5220.0 - Australian National Accounts: State Accounts, 2012-13</w:t>
      </w:r>
    </w:p>
  </w:footnote>
  <w:footnote w:id="704">
    <w:p w:rsidR="00224E75" w:rsidRDefault="00224E75" w:rsidP="00D1590E">
      <w:pPr>
        <w:pStyle w:val="FootnoteText"/>
      </w:pPr>
      <w:r>
        <w:rPr>
          <w:rStyle w:val="FootnoteReference"/>
        </w:rPr>
        <w:footnoteRef/>
      </w:r>
      <w:r>
        <w:t xml:space="preserve"> </w:t>
      </w:r>
      <w:r>
        <w:tab/>
        <w:t xml:space="preserve">ABS, </w:t>
      </w:r>
      <w:r w:rsidRPr="0075382F">
        <w:t>6401.0 - Consumer Price Index</w:t>
      </w:r>
    </w:p>
  </w:footnote>
  <w:footnote w:id="705">
    <w:p w:rsidR="00224E75" w:rsidRDefault="00224E75" w:rsidP="00D1590E">
      <w:pPr>
        <w:pStyle w:val="FootnoteText"/>
      </w:pPr>
      <w:r>
        <w:rPr>
          <w:rStyle w:val="FootnoteReference"/>
        </w:rPr>
        <w:footnoteRef/>
      </w:r>
      <w:r>
        <w:t xml:space="preserve"> </w:t>
      </w:r>
      <w:r>
        <w:tab/>
        <w:t xml:space="preserve">ABS, </w:t>
      </w:r>
      <w:r w:rsidRPr="00A957F7">
        <w:t>1301.0 - Year Book Australia, 2004</w:t>
      </w:r>
    </w:p>
  </w:footnote>
  <w:footnote w:id="706">
    <w:p w:rsidR="00224E75" w:rsidRDefault="00224E75" w:rsidP="00D1590E">
      <w:pPr>
        <w:pStyle w:val="FootnoteText"/>
      </w:pPr>
      <w:r>
        <w:rPr>
          <w:rStyle w:val="FootnoteReference"/>
        </w:rPr>
        <w:footnoteRef/>
      </w:r>
      <w:r>
        <w:t xml:space="preserve"> </w:t>
      </w:r>
      <w:r>
        <w:tab/>
        <w:t>Essential Energy, Revised Proposal: Attachment 7.10, 20 January 2015, p. 16.</w:t>
      </w:r>
    </w:p>
  </w:footnote>
  <w:footnote w:id="707">
    <w:p w:rsidR="00224E75" w:rsidRDefault="00224E75" w:rsidP="00D1590E">
      <w:pPr>
        <w:pStyle w:val="FootnoteText"/>
      </w:pPr>
      <w:r>
        <w:rPr>
          <w:rStyle w:val="FootnoteReference"/>
        </w:rPr>
        <w:footnoteRef/>
      </w:r>
      <w:r>
        <w:t xml:space="preserve"> </w:t>
      </w:r>
      <w:r>
        <w:tab/>
      </w:r>
      <w:r w:rsidRPr="00BA74EC">
        <w:t xml:space="preserve">Johnson, R. W., Blong R. J. and Ryan C.J. 1995. Natural Hazards </w:t>
      </w:r>
      <w:r>
        <w:t>P</w:t>
      </w:r>
      <w:r w:rsidRPr="00BA74EC">
        <w:t>otential</w:t>
      </w:r>
      <w:r>
        <w:t xml:space="preserve"> Map</w:t>
      </w:r>
      <w:r w:rsidRPr="00BA74EC">
        <w:t xml:space="preserve"> </w:t>
      </w:r>
      <w:r>
        <w:t>of</w:t>
      </w:r>
      <w:r w:rsidRPr="00BA74EC">
        <w:t xml:space="preserve"> the </w:t>
      </w:r>
      <w:r>
        <w:t>Circum-</w:t>
      </w:r>
      <w:r w:rsidRPr="00BA74EC">
        <w:t xml:space="preserve">Pacific </w:t>
      </w:r>
      <w:r>
        <w:t>Region: Southwest Quadrant</w:t>
      </w:r>
      <w:r w:rsidRPr="00BA74EC">
        <w:t xml:space="preserve">, </w:t>
      </w:r>
      <w:r>
        <w:t xml:space="preserve">1995, pp. 51-52. </w:t>
      </w:r>
    </w:p>
  </w:footnote>
  <w:footnote w:id="708">
    <w:p w:rsidR="00224E75" w:rsidRDefault="00224E75" w:rsidP="00D1590E">
      <w:pPr>
        <w:pStyle w:val="FootnoteText"/>
      </w:pPr>
      <w:r>
        <w:rPr>
          <w:rStyle w:val="FootnoteReference"/>
        </w:rPr>
        <w:footnoteRef/>
      </w:r>
      <w:r>
        <w:t xml:space="preserve"> </w:t>
      </w:r>
      <w:r>
        <w:tab/>
        <w:t>Essential Energy, Network Management Plan: Chapter 4 - Bushfire Risk Management Plan, p. 5.</w:t>
      </w:r>
    </w:p>
  </w:footnote>
  <w:footnote w:id="709">
    <w:p w:rsidR="00224E75" w:rsidRDefault="00224E75" w:rsidP="00D1590E">
      <w:pPr>
        <w:pStyle w:val="FootnoteText"/>
      </w:pPr>
      <w:r>
        <w:rPr>
          <w:rStyle w:val="FootnoteReference"/>
        </w:rPr>
        <w:footnoteRef/>
      </w:r>
      <w:r>
        <w:t xml:space="preserve"> </w:t>
      </w:r>
      <w:r>
        <w:tab/>
        <w:t>AER,</w:t>
      </w:r>
      <w:r w:rsidRPr="00D04F6F">
        <w:rPr>
          <w:rStyle w:val="AERtextitalic"/>
        </w:rPr>
        <w:t xml:space="preserve"> </w:t>
      </w:r>
      <w:r>
        <w:rPr>
          <w:rStyle w:val="AERtextitalic"/>
        </w:rPr>
        <w:t xml:space="preserve">Victorian electricity distribution network service providers: Distribution determination </w:t>
      </w:r>
      <w:r w:rsidRPr="00D04F6F">
        <w:rPr>
          <w:rStyle w:val="AERtextitalic"/>
        </w:rPr>
        <w:t xml:space="preserve"> 2011-2015</w:t>
      </w:r>
      <w:r>
        <w:rPr>
          <w:rStyle w:val="AERtextitalic"/>
        </w:rPr>
        <w:t xml:space="preserve"> – Final Decision appendices</w:t>
      </w:r>
      <w:r>
        <w:t>, September 2012, p. 301.</w:t>
      </w:r>
    </w:p>
  </w:footnote>
  <w:footnote w:id="710">
    <w:p w:rsidR="00224E75" w:rsidRDefault="00224E75" w:rsidP="00D1590E">
      <w:pPr>
        <w:pStyle w:val="FootnoteText"/>
      </w:pPr>
      <w:r>
        <w:rPr>
          <w:rStyle w:val="FootnoteReference"/>
        </w:rPr>
        <w:footnoteRef/>
      </w:r>
      <w:r>
        <w:t xml:space="preserve"> </w:t>
      </w:r>
      <w:r>
        <w:tab/>
        <w:t>AER, Final Decision: CitiPower Ltd and Powercor Australia Ltd vegetation management forecast operating expenditure step change, 2011–2015, August 2012, p. 2.</w:t>
      </w:r>
    </w:p>
  </w:footnote>
  <w:footnote w:id="711">
    <w:p w:rsidR="00224E75" w:rsidRDefault="00224E75" w:rsidP="00D1590E">
      <w:pPr>
        <w:pStyle w:val="FootnoteText"/>
      </w:pPr>
      <w:r>
        <w:rPr>
          <w:rStyle w:val="FootnoteReference"/>
        </w:rPr>
        <w:footnoteRef/>
      </w:r>
      <w:r>
        <w:t xml:space="preserve"> </w:t>
      </w:r>
      <w:r>
        <w:tab/>
        <w:t xml:space="preserve">Victorian Government, </w:t>
      </w:r>
      <w:r w:rsidRPr="00F16FCC">
        <w:rPr>
          <w:rStyle w:val="AERtextitalic"/>
        </w:rPr>
        <w:t>Implementing the Government’s Response to the 2009 Victorian Bushfires Royal Commission</w:t>
      </w:r>
      <w:r>
        <w:t>, May 2011, p. 61.</w:t>
      </w:r>
    </w:p>
  </w:footnote>
  <w:footnote w:id="712">
    <w:p w:rsidR="00224E75" w:rsidRDefault="00224E75" w:rsidP="00D1590E">
      <w:pPr>
        <w:pStyle w:val="FootnoteText"/>
      </w:pPr>
      <w:r>
        <w:rPr>
          <w:rStyle w:val="FootnoteReference"/>
        </w:rPr>
        <w:footnoteRef/>
      </w:r>
      <w:r>
        <w:t xml:space="preserve"> </w:t>
      </w:r>
      <w:r>
        <w:tab/>
        <w:t xml:space="preserve">Victorian Government, </w:t>
      </w:r>
      <w:r w:rsidRPr="00F16FCC">
        <w:rPr>
          <w:rStyle w:val="AERtextitalic"/>
        </w:rPr>
        <w:t>Implementing the Government’s Response to the 2009 Victorian Bushfires Royal Commission</w:t>
      </w:r>
      <w:r>
        <w:t>, May 2011, p. 61.</w:t>
      </w:r>
    </w:p>
  </w:footnote>
  <w:footnote w:id="713">
    <w:p w:rsidR="00224E75" w:rsidRDefault="00224E75" w:rsidP="00D1590E">
      <w:pPr>
        <w:pStyle w:val="FootnoteText"/>
      </w:pPr>
      <w:r>
        <w:rPr>
          <w:rStyle w:val="FootnoteReference"/>
        </w:rPr>
        <w:footnoteRef/>
      </w:r>
      <w:r>
        <w:t xml:space="preserve"> </w:t>
      </w:r>
      <w:r>
        <w:tab/>
        <w:t>Victorian Government, Implementing the Government’s R</w:t>
      </w:r>
      <w:r w:rsidRPr="00C45CC0">
        <w:t xml:space="preserve">esponse to the </w:t>
      </w:r>
      <w:r w:rsidRPr="006A13A9">
        <w:t xml:space="preserve">2009 </w:t>
      </w:r>
      <w:r>
        <w:t>Victorian Bushfires Royal C</w:t>
      </w:r>
      <w:r w:rsidRPr="006A13A9">
        <w:t>ommission</w:t>
      </w:r>
      <w:r>
        <w:t>, May 2011, p. 59.</w:t>
      </w:r>
    </w:p>
  </w:footnote>
  <w:footnote w:id="714">
    <w:p w:rsidR="00224E75" w:rsidRDefault="00224E75" w:rsidP="00D1590E">
      <w:pPr>
        <w:pStyle w:val="FootnoteText"/>
      </w:pPr>
      <w:r>
        <w:rPr>
          <w:rStyle w:val="FootnoteReference"/>
        </w:rPr>
        <w:footnoteRef/>
      </w:r>
      <w:r>
        <w:t xml:space="preserve"> </w:t>
      </w:r>
      <w:r>
        <w:tab/>
        <w:t>Energy Safe Victoria, Regulatory Impact Statement: Electricity Safety (Bushfire Mitigation) Regulations 2013, 25 February 2013, p. 3.</w:t>
      </w:r>
    </w:p>
  </w:footnote>
  <w:footnote w:id="715">
    <w:p w:rsidR="00224E75" w:rsidRDefault="00224E75" w:rsidP="00D1590E">
      <w:pPr>
        <w:pStyle w:val="FootnoteText"/>
      </w:pPr>
      <w:r>
        <w:rPr>
          <w:rStyle w:val="FootnoteReference"/>
        </w:rPr>
        <w:footnoteRef/>
      </w:r>
      <w:r>
        <w:t xml:space="preserve"> </w:t>
      </w:r>
      <w:r>
        <w:tab/>
      </w:r>
      <w:r w:rsidRPr="00F72F59">
        <w:rPr>
          <w:rStyle w:val="AERtextitalic"/>
        </w:rPr>
        <w:t>Electricity Safety (Electric Line Clearance) Regulations 2010, Schedule</w:t>
      </w:r>
      <w:r>
        <w:t>.</w:t>
      </w:r>
    </w:p>
  </w:footnote>
  <w:footnote w:id="716">
    <w:p w:rsidR="00224E75" w:rsidRDefault="00224E75" w:rsidP="00D1590E">
      <w:pPr>
        <w:pStyle w:val="FootnoteText"/>
      </w:pPr>
      <w:r>
        <w:rPr>
          <w:rStyle w:val="FootnoteReference"/>
        </w:rPr>
        <w:footnoteRef/>
      </w:r>
      <w:r>
        <w:t xml:space="preserve"> </w:t>
      </w:r>
      <w:r>
        <w:tab/>
        <w:t>CitiPower and Powercor Australia, Response to AER Queries Received 8 January 2015, 30 January 2015, p. 3.</w:t>
      </w:r>
    </w:p>
  </w:footnote>
  <w:footnote w:id="717">
    <w:p w:rsidR="00224E75" w:rsidRDefault="00224E75" w:rsidP="00D1590E">
      <w:pPr>
        <w:pStyle w:val="FootnoteText"/>
      </w:pPr>
      <w:r>
        <w:rPr>
          <w:rStyle w:val="FootnoteReference"/>
        </w:rPr>
        <w:footnoteRef/>
      </w:r>
      <w:r>
        <w:t xml:space="preserve"> </w:t>
      </w:r>
      <w:r>
        <w:tab/>
        <w:t>United Energy, Response to request for Information on Bushfire Regulations and Opex Productivity, 23 January 2015, p. 5.</w:t>
      </w:r>
    </w:p>
  </w:footnote>
  <w:footnote w:id="718">
    <w:p w:rsidR="00224E75" w:rsidRDefault="00224E75" w:rsidP="00D1590E">
      <w:pPr>
        <w:pStyle w:val="FootnoteText"/>
      </w:pPr>
      <w:r>
        <w:rPr>
          <w:rStyle w:val="FootnoteReference"/>
        </w:rPr>
        <w:footnoteRef/>
      </w:r>
      <w:r>
        <w:t xml:space="preserve"> </w:t>
      </w:r>
      <w:r>
        <w:tab/>
        <w:t xml:space="preserve">AusNet Services, </w:t>
      </w:r>
      <w:r w:rsidRPr="00DE3F31">
        <w:t>Response to AER bushfire regulation and productivity info request</w:t>
      </w:r>
      <w:r>
        <w:t>, 23 January 2015, p. 2.</w:t>
      </w:r>
    </w:p>
  </w:footnote>
  <w:footnote w:id="719">
    <w:p w:rsidR="00224E75" w:rsidRDefault="00224E75" w:rsidP="00D1590E">
      <w:pPr>
        <w:pStyle w:val="FootnoteText"/>
      </w:pPr>
      <w:r>
        <w:rPr>
          <w:rStyle w:val="FootnoteReference"/>
        </w:rPr>
        <w:footnoteRef/>
      </w:r>
      <w:r>
        <w:t xml:space="preserve"> </w:t>
      </w:r>
      <w:r>
        <w:tab/>
        <w:t xml:space="preserve">Jemena, </w:t>
      </w:r>
      <w:r w:rsidRPr="00DE3F31">
        <w:t>Response to questions concerning bushfire regulations and productivity</w:t>
      </w:r>
      <w:r>
        <w:t>, 3 February 2015, p. 18.</w:t>
      </w:r>
    </w:p>
  </w:footnote>
  <w:footnote w:id="720">
    <w:p w:rsidR="00224E75" w:rsidRDefault="00224E75" w:rsidP="00D1590E">
      <w:pPr>
        <w:pStyle w:val="FootnoteText"/>
      </w:pPr>
      <w:r>
        <w:rPr>
          <w:rStyle w:val="FootnoteReference"/>
        </w:rPr>
        <w:footnoteRef/>
      </w:r>
      <w:r>
        <w:t xml:space="preserve"> </w:t>
      </w:r>
      <w:r>
        <w:tab/>
        <w:t>Energy Safe Victoria, Annual Safety Performance Report 2011, 31 August 2012,  p. 44.</w:t>
      </w:r>
    </w:p>
  </w:footnote>
  <w:footnote w:id="721">
    <w:p w:rsidR="00224E75" w:rsidRDefault="00224E75" w:rsidP="00D1590E">
      <w:pPr>
        <w:pStyle w:val="FootnoteText"/>
      </w:pPr>
      <w:r>
        <w:rPr>
          <w:rStyle w:val="FootnoteReference"/>
        </w:rPr>
        <w:footnoteRef/>
      </w:r>
      <w:r>
        <w:t xml:space="preserve"> </w:t>
      </w:r>
      <w:r>
        <w:tab/>
      </w:r>
      <w:r w:rsidRPr="002A0DA7">
        <w:rPr>
          <w:rStyle w:val="AERtextitalic"/>
        </w:rPr>
        <w:t xml:space="preserve">Electricity Supply (Safety and Network Management) Regulation </w:t>
      </w:r>
      <w:r w:rsidRPr="00677F29">
        <w:rPr>
          <w:rStyle w:val="AERtextitalic"/>
        </w:rPr>
        <w:t>2014</w:t>
      </w:r>
      <w:r w:rsidRPr="005926F1">
        <w:rPr>
          <w:rStyle w:val="AERtextitalic"/>
          <w:i w:val="0"/>
        </w:rPr>
        <w:t xml:space="preserve">, </w:t>
      </w:r>
      <w:r w:rsidRPr="005926F1">
        <w:rPr>
          <w:rStyle w:val="AERbody"/>
          <w:sz w:val="16"/>
        </w:rPr>
        <w:t>section 7(1)(iv).</w:t>
      </w:r>
    </w:p>
  </w:footnote>
  <w:footnote w:id="722">
    <w:p w:rsidR="00224E75" w:rsidRDefault="00224E75" w:rsidP="00D1590E">
      <w:pPr>
        <w:pStyle w:val="FootnoteText"/>
      </w:pPr>
      <w:r>
        <w:rPr>
          <w:rStyle w:val="FootnoteReference"/>
        </w:rPr>
        <w:footnoteRef/>
      </w:r>
      <w:r>
        <w:t xml:space="preserve"> </w:t>
      </w:r>
      <w:r>
        <w:tab/>
      </w:r>
      <w:r w:rsidRPr="002A0DA7">
        <w:rPr>
          <w:rStyle w:val="AERtextitalic"/>
        </w:rPr>
        <w:t>Electricity Supply (Safety and Net</w:t>
      </w:r>
      <w:r>
        <w:rPr>
          <w:rStyle w:val="AERtextitalic"/>
        </w:rPr>
        <w:t>work Management) Regulation 2008</w:t>
      </w:r>
      <w:r w:rsidRPr="002A0DA7">
        <w:rPr>
          <w:rStyle w:val="AERtextitalic"/>
        </w:rPr>
        <w:t xml:space="preserve">, </w:t>
      </w:r>
      <w:r>
        <w:rPr>
          <w:rStyle w:val="AERbody"/>
        </w:rPr>
        <w:t>section</w:t>
      </w:r>
      <w:r w:rsidRPr="002A0DA7">
        <w:rPr>
          <w:rStyle w:val="AERbody"/>
        </w:rPr>
        <w:t>.</w:t>
      </w:r>
    </w:p>
  </w:footnote>
  <w:footnote w:id="723">
    <w:p w:rsidR="00224E75" w:rsidRDefault="00224E75" w:rsidP="00D1590E">
      <w:pPr>
        <w:pStyle w:val="FootnoteText"/>
      </w:pPr>
      <w:r>
        <w:rPr>
          <w:rStyle w:val="FootnoteReference"/>
        </w:rPr>
        <w:footnoteRef/>
      </w:r>
      <w:r>
        <w:t xml:space="preserve"> </w:t>
      </w:r>
      <w:r>
        <w:tab/>
      </w:r>
      <w:r w:rsidRPr="002A0DA7">
        <w:rPr>
          <w:rStyle w:val="AERtextitalic"/>
        </w:rPr>
        <w:t>Electricity Supply (Safety and Net</w:t>
      </w:r>
      <w:r>
        <w:rPr>
          <w:rStyle w:val="AERtextitalic"/>
        </w:rPr>
        <w:t>work Management) Regulation 2002</w:t>
      </w:r>
      <w:r w:rsidRPr="002A0DA7">
        <w:rPr>
          <w:rStyle w:val="AERtextitalic"/>
        </w:rPr>
        <w:t xml:space="preserve">, </w:t>
      </w:r>
      <w:r>
        <w:rPr>
          <w:rStyle w:val="AERbody"/>
        </w:rPr>
        <w:t>section</w:t>
      </w:r>
      <w:r w:rsidRPr="002A0DA7">
        <w:rPr>
          <w:rStyle w:val="AERbody"/>
        </w:rPr>
        <w:t>.</w:t>
      </w:r>
    </w:p>
  </w:footnote>
  <w:footnote w:id="724">
    <w:p w:rsidR="00224E75" w:rsidRDefault="00224E75" w:rsidP="00D1590E">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w:t>
      </w:r>
    </w:p>
  </w:footnote>
  <w:footnote w:id="725">
    <w:p w:rsidR="00224E75" w:rsidRDefault="00224E75" w:rsidP="00D1590E">
      <w:pPr>
        <w:pStyle w:val="FootnoteText"/>
      </w:pPr>
      <w:r>
        <w:rPr>
          <w:rStyle w:val="FootnoteReference"/>
        </w:rPr>
        <w:footnoteRef/>
      </w:r>
      <w:r>
        <w:t xml:space="preserve"> </w:t>
      </w:r>
      <w:r>
        <w:tab/>
        <w:t>Essential Energy, Revised Proposal: Attachment 7.10, January 20 2014, p. 9.</w:t>
      </w:r>
    </w:p>
  </w:footnote>
  <w:footnote w:id="726">
    <w:p w:rsidR="00224E75" w:rsidRDefault="00224E75" w:rsidP="00D1590E">
      <w:pPr>
        <w:pStyle w:val="FootnoteText"/>
      </w:pPr>
      <w:r>
        <w:rPr>
          <w:rStyle w:val="FootnoteReference"/>
        </w:rPr>
        <w:footnoteRef/>
      </w:r>
      <w:r>
        <w:t xml:space="preserve"> </w:t>
      </w:r>
      <w:r>
        <w:tab/>
      </w:r>
      <w:r w:rsidRPr="009D02F4">
        <w:t xml:space="preserve">NSW </w:t>
      </w:r>
      <w:r>
        <w:t>Department of Water</w:t>
      </w:r>
      <w:r w:rsidRPr="009D02F4">
        <w:t xml:space="preserve"> and Energy, </w:t>
      </w:r>
      <w:r w:rsidRPr="00F16FCC">
        <w:rPr>
          <w:rStyle w:val="AERtextitalic"/>
        </w:rPr>
        <w:t>Code of Practice Electricity transmission and distribution asset management,</w:t>
      </w:r>
      <w:r>
        <w:t xml:space="preserve"> February 2009, p. 5.</w:t>
      </w:r>
    </w:p>
  </w:footnote>
  <w:footnote w:id="727">
    <w:p w:rsidR="00224E75" w:rsidRDefault="00224E75" w:rsidP="00D1590E">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32.</w:t>
      </w:r>
    </w:p>
  </w:footnote>
  <w:footnote w:id="728">
    <w:p w:rsidR="00224E75" w:rsidRDefault="00224E75" w:rsidP="00D1590E">
      <w:pPr>
        <w:pStyle w:val="FootnoteText"/>
      </w:pPr>
      <w:r>
        <w:rPr>
          <w:rStyle w:val="FootnoteReference"/>
        </w:rPr>
        <w:footnoteRef/>
      </w:r>
      <w:r>
        <w:t xml:space="preserve"> </w:t>
      </w:r>
      <w:r>
        <w:tab/>
        <w:t>Electricity Safety (Electric Line Clearance Regulations) 2005, p.18</w:t>
      </w:r>
    </w:p>
  </w:footnote>
  <w:footnote w:id="729">
    <w:p w:rsidR="00224E75" w:rsidRDefault="00224E75" w:rsidP="00D1590E">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30.</w:t>
      </w:r>
    </w:p>
  </w:footnote>
  <w:footnote w:id="730">
    <w:p w:rsidR="00224E75" w:rsidRDefault="00224E75" w:rsidP="00D1590E">
      <w:pPr>
        <w:pStyle w:val="FootnoteText"/>
      </w:pPr>
      <w:r>
        <w:rPr>
          <w:rStyle w:val="FootnoteReference"/>
        </w:rPr>
        <w:footnoteRef/>
      </w:r>
      <w:r>
        <w:t xml:space="preserve"> </w:t>
      </w:r>
      <w:r>
        <w:tab/>
        <w:t>Electricity Safety (Electric Line Clearance Regulations) 2005, p.22.</w:t>
      </w:r>
    </w:p>
  </w:footnote>
  <w:footnote w:id="731">
    <w:p w:rsidR="00224E75" w:rsidRDefault="00224E75" w:rsidP="00D1590E">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30.</w:t>
      </w:r>
    </w:p>
  </w:footnote>
  <w:footnote w:id="732">
    <w:p w:rsidR="00224E75" w:rsidRDefault="00224E75" w:rsidP="00D1590E">
      <w:pPr>
        <w:pStyle w:val="FootnoteText"/>
      </w:pPr>
      <w:r>
        <w:rPr>
          <w:rStyle w:val="FootnoteReference"/>
        </w:rPr>
        <w:footnoteRef/>
      </w:r>
      <w:r>
        <w:t xml:space="preserve"> </w:t>
      </w:r>
      <w:r>
        <w:tab/>
        <w:t>Electricity Safety (Electric Line Clearance Regulations) 2005, p.25.</w:t>
      </w:r>
    </w:p>
  </w:footnote>
  <w:footnote w:id="733">
    <w:p w:rsidR="00224E75" w:rsidRDefault="00224E75" w:rsidP="00D1590E">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i.</w:t>
      </w:r>
    </w:p>
  </w:footnote>
  <w:footnote w:id="734">
    <w:p w:rsidR="00224E75" w:rsidRDefault="00224E75" w:rsidP="00D1590E">
      <w:pPr>
        <w:pStyle w:val="FootnoteText"/>
      </w:pPr>
      <w:r>
        <w:rPr>
          <w:rStyle w:val="FootnoteReference"/>
        </w:rPr>
        <w:footnoteRef/>
      </w:r>
      <w:r>
        <w:t xml:space="preserve"> </w:t>
      </w:r>
      <w:r>
        <w:tab/>
      </w:r>
      <w:r w:rsidRPr="00F72F59">
        <w:rPr>
          <w:rStyle w:val="AERtextitalic"/>
        </w:rPr>
        <w:t>Electricity Safety (Electric Line Clear</w:t>
      </w:r>
      <w:r>
        <w:rPr>
          <w:rStyle w:val="AERtextitalic"/>
        </w:rPr>
        <w:t>ance) Regulations 2010, Regulation 10.</w:t>
      </w:r>
    </w:p>
  </w:footnote>
  <w:footnote w:id="735">
    <w:p w:rsidR="00224E75" w:rsidRDefault="00224E75" w:rsidP="00D1590E">
      <w:pPr>
        <w:pStyle w:val="FootnoteText"/>
      </w:pPr>
      <w:r>
        <w:rPr>
          <w:rStyle w:val="FootnoteReference"/>
        </w:rPr>
        <w:footnoteRef/>
      </w:r>
      <w:r>
        <w:t xml:space="preserve"> </w:t>
      </w:r>
      <w:r>
        <w:tab/>
      </w:r>
      <w:r w:rsidRPr="00F72F59">
        <w:rPr>
          <w:rStyle w:val="AERtextitalic"/>
        </w:rPr>
        <w:t xml:space="preserve">Electricity Safety (Electric Line Clearance) Regulations 2010, </w:t>
      </w:r>
      <w:r>
        <w:rPr>
          <w:rStyle w:val="AERtextitalic"/>
        </w:rPr>
        <w:t>Regulation 10.</w:t>
      </w:r>
    </w:p>
  </w:footnote>
  <w:footnote w:id="736">
    <w:p w:rsidR="00224E75" w:rsidRDefault="00224E75" w:rsidP="00D1590E">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32</w:t>
      </w:r>
    </w:p>
  </w:footnote>
  <w:footnote w:id="737">
    <w:p w:rsidR="00224E75" w:rsidRDefault="00224E75" w:rsidP="00D1590E">
      <w:pPr>
        <w:pStyle w:val="FootnoteText"/>
      </w:pPr>
      <w:r>
        <w:rPr>
          <w:rStyle w:val="FootnoteReference"/>
        </w:rPr>
        <w:footnoteRef/>
      </w:r>
      <w:r>
        <w:t xml:space="preserve"> </w:t>
      </w:r>
      <w:r>
        <w:tab/>
      </w:r>
      <w:r w:rsidRPr="002C7228">
        <w:t>Electricity Safety (Electric Line Cleara</w:t>
      </w:r>
      <w:r>
        <w:t>nce Regulations) 2005, Part 2, Clause 9.</w:t>
      </w:r>
    </w:p>
  </w:footnote>
  <w:footnote w:id="738">
    <w:p w:rsidR="00224E75" w:rsidRDefault="00224E75" w:rsidP="00D1590E">
      <w:pPr>
        <w:pStyle w:val="FootnoteText"/>
      </w:pPr>
      <w:r>
        <w:rPr>
          <w:rStyle w:val="FootnoteReference"/>
        </w:rPr>
        <w:footnoteRef/>
      </w:r>
      <w:r>
        <w:t xml:space="preserve"> </w:t>
      </w:r>
      <w:r>
        <w:tab/>
        <w:t>Networks NSW, Executive Leadership Group Meeting 17 October 2013: Vegetation Management and Overhead Line Inspection, Post Meeting Edits as a Result of Discussion.</w:t>
      </w:r>
    </w:p>
  </w:footnote>
  <w:footnote w:id="739">
    <w:p w:rsidR="00224E75" w:rsidRDefault="00224E75" w:rsidP="00D1590E">
      <w:pPr>
        <w:pStyle w:val="FootnoteText"/>
      </w:pPr>
      <w:r>
        <w:rPr>
          <w:rStyle w:val="FootnoteReference"/>
        </w:rPr>
        <w:footnoteRef/>
      </w:r>
      <w:r>
        <w:t xml:space="preserve"> </w:t>
      </w:r>
      <w:r>
        <w:tab/>
      </w:r>
      <w:r w:rsidRPr="00F05FB6">
        <w:t>(Electricity Supply (Safety and Network Management) Regulation 2014 (NSW) section 5</w:t>
      </w:r>
    </w:p>
  </w:footnote>
  <w:footnote w:id="740">
    <w:p w:rsidR="00224E75" w:rsidRDefault="00224E75" w:rsidP="00D1590E">
      <w:pPr>
        <w:pStyle w:val="FootnoteText"/>
      </w:pPr>
      <w:r>
        <w:rPr>
          <w:rStyle w:val="FootnoteReference"/>
        </w:rPr>
        <w:footnoteRef/>
      </w:r>
      <w:r>
        <w:t xml:space="preserve"> </w:t>
      </w:r>
      <w:r>
        <w:tab/>
      </w:r>
      <w:r w:rsidRPr="00F05FB6">
        <w:t>Electricity Safety (Electric Line Clearance) Regulations 2010 section 2(3)).</w:t>
      </w:r>
    </w:p>
  </w:footnote>
  <w:footnote w:id="741">
    <w:p w:rsidR="00224E75" w:rsidRDefault="00224E75" w:rsidP="00D1590E">
      <w:pPr>
        <w:pStyle w:val="FootnoteText"/>
      </w:pPr>
      <w:r>
        <w:rPr>
          <w:rStyle w:val="FootnoteReference"/>
        </w:rPr>
        <w:footnoteRef/>
      </w:r>
      <w:r>
        <w:t xml:space="preserve"> </w:t>
      </w:r>
      <w:r>
        <w:tab/>
        <w:t>Essential Energy, Revised Proposal: Attachment 7.10, 20 January 2015, p. 18.</w:t>
      </w:r>
    </w:p>
  </w:footnote>
  <w:footnote w:id="742">
    <w:p w:rsidR="00224E75" w:rsidRDefault="00224E75" w:rsidP="00D1590E">
      <w:pPr>
        <w:pStyle w:val="FootnoteText"/>
      </w:pPr>
      <w:r>
        <w:rPr>
          <w:rStyle w:val="FootnoteReference"/>
        </w:rPr>
        <w:footnoteRef/>
      </w:r>
      <w:r>
        <w:t xml:space="preserve"> </w:t>
      </w:r>
      <w:r>
        <w:tab/>
        <w:t>IJM Consulting, Bushfire Mitigation Powercor Australia: Final Audit Report 2008, Audit Report, p. 4.</w:t>
      </w:r>
    </w:p>
  </w:footnote>
  <w:footnote w:id="743">
    <w:p w:rsidR="00224E75" w:rsidRDefault="00224E75" w:rsidP="00D1590E">
      <w:pPr>
        <w:pStyle w:val="FootnoteText"/>
      </w:pPr>
      <w:r>
        <w:rPr>
          <w:rStyle w:val="FootnoteReference"/>
        </w:rPr>
        <w:footnoteRef/>
      </w:r>
      <w:r>
        <w:t xml:space="preserve"> </w:t>
      </w:r>
      <w:r>
        <w:tab/>
        <w:t xml:space="preserve">AER, </w:t>
      </w:r>
      <w:r w:rsidRPr="004C08D2">
        <w:rPr>
          <w:rStyle w:val="AERtextitalic"/>
        </w:rPr>
        <w:t>Final decision: CitiPower Ltd and Powercor Australia Ltd vegetation management forecast operating expenditure step change</w:t>
      </w:r>
      <w:r>
        <w:t>, August 2012, p. 2.</w:t>
      </w:r>
    </w:p>
  </w:footnote>
  <w:footnote w:id="744">
    <w:p w:rsidR="00224E75" w:rsidRDefault="00224E75" w:rsidP="00D1590E">
      <w:pPr>
        <w:pStyle w:val="FootnoteText"/>
      </w:pPr>
      <w:r>
        <w:rPr>
          <w:rStyle w:val="FootnoteReference"/>
        </w:rPr>
        <w:footnoteRef/>
      </w:r>
      <w:r>
        <w:t xml:space="preserve"> </w:t>
      </w:r>
      <w:r>
        <w:tab/>
        <w:t xml:space="preserve">AER, </w:t>
      </w:r>
      <w:r w:rsidRPr="00D004AA">
        <w:rPr>
          <w:rStyle w:val="AERtextitalic"/>
        </w:rPr>
        <w:t>CitiPower Pty Distribution determination 2011-15</w:t>
      </w:r>
      <w:r>
        <w:t>, September 2012, p. 17.</w:t>
      </w:r>
    </w:p>
  </w:footnote>
  <w:footnote w:id="745">
    <w:p w:rsidR="00224E75" w:rsidRDefault="00224E75" w:rsidP="00D1590E">
      <w:pPr>
        <w:pStyle w:val="FootnoteText"/>
      </w:pPr>
      <w:r>
        <w:rPr>
          <w:rStyle w:val="FootnoteReference"/>
        </w:rPr>
        <w:footnoteRef/>
      </w:r>
      <w:r>
        <w:t xml:space="preserve"> </w:t>
      </w:r>
      <w:r>
        <w:tab/>
        <w:t xml:space="preserve">AER, </w:t>
      </w:r>
      <w:r w:rsidRPr="009709D8">
        <w:rPr>
          <w:rStyle w:val="AERtextitalic"/>
        </w:rPr>
        <w:t>Powercor Australia Ltd Distribution determination 2011-15</w:t>
      </w:r>
      <w:r>
        <w:t>, October 2012, p. 26.</w:t>
      </w:r>
    </w:p>
  </w:footnote>
  <w:footnote w:id="746">
    <w:p w:rsidR="00224E75" w:rsidRDefault="00224E75" w:rsidP="00D1590E">
      <w:pPr>
        <w:pStyle w:val="FootnoteText"/>
      </w:pPr>
      <w:r>
        <w:rPr>
          <w:rStyle w:val="FootnoteReference"/>
        </w:rPr>
        <w:footnoteRef/>
      </w:r>
      <w:r>
        <w:t xml:space="preserve"> </w:t>
      </w:r>
      <w:r>
        <w:tab/>
        <w:t xml:space="preserve">AER, </w:t>
      </w:r>
      <w:r w:rsidRPr="005A1935">
        <w:rPr>
          <w:rStyle w:val="AERtextitalic"/>
        </w:rPr>
        <w:t>Final decision: Powercor cost pass through application of 13 December 2011 for costs arising from the Victorian Bushfire Royal Commission</w:t>
      </w:r>
      <w:r>
        <w:t>, May 2011, p. 96</w:t>
      </w:r>
    </w:p>
  </w:footnote>
  <w:footnote w:id="747">
    <w:p w:rsidR="00224E75" w:rsidRDefault="00224E75" w:rsidP="00D1590E">
      <w:pPr>
        <w:pStyle w:val="FootnoteText"/>
      </w:pPr>
      <w:r>
        <w:rPr>
          <w:rStyle w:val="FootnoteReference"/>
        </w:rPr>
        <w:footnoteRef/>
      </w:r>
      <w:r>
        <w:t xml:space="preserve"> </w:t>
      </w:r>
      <w:r>
        <w:tab/>
        <w:t xml:space="preserve">AER, </w:t>
      </w:r>
      <w:r w:rsidRPr="00381696">
        <w:rPr>
          <w:rStyle w:val="AERtextitalic"/>
        </w:rPr>
        <w:t>Final decision - appendices: Victorian electricity distribution network service providers -  Distribution determination 2011-2015</w:t>
      </w:r>
      <w:r>
        <w:t>, October 2011, p. 301-304.</w:t>
      </w:r>
    </w:p>
  </w:footnote>
  <w:footnote w:id="748">
    <w:p w:rsidR="00224E75" w:rsidRDefault="00224E75" w:rsidP="00D1590E">
      <w:pPr>
        <w:pStyle w:val="FootnoteText"/>
      </w:pPr>
      <w:r>
        <w:rPr>
          <w:rStyle w:val="FootnoteReference"/>
        </w:rPr>
        <w:footnoteRef/>
      </w:r>
      <w:r>
        <w:t xml:space="preserve"> </w:t>
      </w:r>
      <w:r>
        <w:tab/>
        <w:t xml:space="preserve">AER, </w:t>
      </w:r>
      <w:r w:rsidRPr="00381696">
        <w:rPr>
          <w:rStyle w:val="AERtextitalic"/>
        </w:rPr>
        <w:t>Final Decision: SP AusNet cost pass through application of 31 July 2012 for costs arising from the Victorian Bushfire Royal Commission</w:t>
      </w:r>
      <w:r>
        <w:t>, 19 October 2012, p. 3.</w:t>
      </w:r>
    </w:p>
  </w:footnote>
  <w:footnote w:id="749">
    <w:p w:rsidR="00224E75" w:rsidRDefault="00224E75" w:rsidP="00D1590E">
      <w:pPr>
        <w:pStyle w:val="FootnoteText"/>
      </w:pPr>
      <w:r>
        <w:rPr>
          <w:rStyle w:val="FootnoteReference"/>
        </w:rPr>
        <w:footnoteRef/>
      </w:r>
      <w:r>
        <w:t xml:space="preserve"> </w:t>
      </w:r>
      <w:r>
        <w:tab/>
        <w:t>AER,</w:t>
      </w:r>
      <w:r w:rsidRPr="00A11826">
        <w:rPr>
          <w:rStyle w:val="AERtextitalic"/>
        </w:rPr>
        <w:t xml:space="preserve"> SPI Electricity Pty Ltd Distribution determination 2011-2015</w:t>
      </w:r>
      <w:r>
        <w:t>, August 2013, p. 20.</w:t>
      </w:r>
    </w:p>
  </w:footnote>
  <w:footnote w:id="750">
    <w:p w:rsidR="00224E75" w:rsidRDefault="00224E75" w:rsidP="00D1590E">
      <w:pPr>
        <w:pStyle w:val="FootnoteText"/>
      </w:pPr>
      <w:r>
        <w:rPr>
          <w:rStyle w:val="FootnoteReference"/>
        </w:rPr>
        <w:footnoteRef/>
      </w:r>
      <w:r>
        <w:t xml:space="preserve"> </w:t>
      </w:r>
      <w:r>
        <w:tab/>
        <w:t xml:space="preserve">AER, </w:t>
      </w:r>
      <w:r w:rsidRPr="00D04F6F">
        <w:rPr>
          <w:rStyle w:val="AERtextitalic"/>
        </w:rPr>
        <w:t>Jemena Electricity Network (Victoria) Ltd: Distribution determination 2011-2015</w:t>
      </w:r>
      <w:r>
        <w:t>, September 2012, p. 22.</w:t>
      </w:r>
    </w:p>
  </w:footnote>
  <w:footnote w:id="751">
    <w:p w:rsidR="00224E75" w:rsidRDefault="00224E75" w:rsidP="00D1590E">
      <w:pPr>
        <w:pStyle w:val="FootnoteText"/>
      </w:pPr>
      <w:r>
        <w:rPr>
          <w:rStyle w:val="FootnoteReference"/>
        </w:rPr>
        <w:footnoteRef/>
      </w:r>
      <w:r>
        <w:t xml:space="preserve"> </w:t>
      </w:r>
      <w:r>
        <w:tab/>
        <w:t xml:space="preserve">AER, </w:t>
      </w:r>
      <w:r w:rsidRPr="00D04F6F">
        <w:rPr>
          <w:rStyle w:val="AERtextitalic"/>
        </w:rPr>
        <w:t>United Energy Distribution: Distribution determination 2011-2015</w:t>
      </w:r>
      <w:r>
        <w:t>, September 2012, p. 19</w:t>
      </w:r>
    </w:p>
  </w:footnote>
  <w:footnote w:id="752">
    <w:p w:rsidR="00224E75" w:rsidRDefault="00224E75" w:rsidP="00D1590E">
      <w:pPr>
        <w:pStyle w:val="FootnoteText"/>
      </w:pPr>
      <w:r>
        <w:rPr>
          <w:rStyle w:val="FootnoteReference"/>
        </w:rPr>
        <w:footnoteRef/>
      </w:r>
      <w:r>
        <w:t xml:space="preserve"> </w:t>
      </w:r>
      <w:r>
        <w:tab/>
        <w:t xml:space="preserve">Pacific Economics Group, </w:t>
      </w:r>
      <w:r w:rsidRPr="007C7671">
        <w:t>Statistical Benchmarking for NSW</w:t>
      </w:r>
      <w:r>
        <w:t xml:space="preserve"> </w:t>
      </w:r>
      <w:r w:rsidRPr="007C7671">
        <w:t>Distributors</w:t>
      </w:r>
      <w:r>
        <w:t>, January 2015, p. 35.</w:t>
      </w:r>
    </w:p>
  </w:footnote>
  <w:footnote w:id="753">
    <w:p w:rsidR="00224E75" w:rsidRDefault="00224E75" w:rsidP="00D1590E">
      <w:pPr>
        <w:pStyle w:val="FootnoteText"/>
      </w:pPr>
      <w:r>
        <w:rPr>
          <w:rStyle w:val="FootnoteReference"/>
        </w:rPr>
        <w:footnoteRef/>
      </w:r>
      <w:r>
        <w:t xml:space="preserve"> </w:t>
      </w:r>
      <w:r>
        <w:tab/>
        <w:t xml:space="preserve">Category Analysis RIN response data, template 2.1 Expenditure Summary. </w:t>
      </w:r>
    </w:p>
  </w:footnote>
  <w:footnote w:id="754">
    <w:p w:rsidR="00224E75" w:rsidRDefault="00224E75" w:rsidP="00D1590E">
      <w:pPr>
        <w:pStyle w:val="FootnoteText"/>
      </w:pPr>
      <w:r>
        <w:rPr>
          <w:rStyle w:val="FootnoteReference"/>
        </w:rPr>
        <w:footnoteRef/>
      </w:r>
      <w:r>
        <w:t xml:space="preserve"> </w:t>
      </w:r>
      <w:r>
        <w:tab/>
        <w:t>Economic Benchmarking RIN response data,  template 3 Opex.</w:t>
      </w:r>
    </w:p>
  </w:footnote>
  <w:footnote w:id="755">
    <w:p w:rsidR="00224E75" w:rsidRDefault="00224E75" w:rsidP="00D1590E">
      <w:pPr>
        <w:pStyle w:val="FootnoteText"/>
      </w:pPr>
      <w:r>
        <w:rPr>
          <w:rStyle w:val="FootnoteReference"/>
        </w:rPr>
        <w:footnoteRef/>
      </w:r>
      <w:r>
        <w:t xml:space="preserve"> </w:t>
      </w:r>
      <w:r>
        <w:tab/>
        <w:t xml:space="preserve">Bureau of Meteorology, </w:t>
      </w:r>
      <w:r w:rsidRPr="00723549">
        <w:t>Six-monthly NDVI Average for Australia</w:t>
      </w:r>
      <w:r>
        <w:t xml:space="preserve">, available at </w:t>
      </w:r>
      <w:hyperlink r:id="rId8" w:history="1">
        <w:r w:rsidRPr="005665F3">
          <w:rPr>
            <w:rStyle w:val="Hyperlink"/>
            <w:sz w:val="16"/>
          </w:rPr>
          <w:t>http://www.bom.gov.au/jsp/awap/ndvi/index.jsp</w:t>
        </w:r>
      </w:hyperlink>
      <w:r>
        <w:t xml:space="preserve"> [last accessed 1 March 2015].</w:t>
      </w:r>
    </w:p>
  </w:footnote>
  <w:footnote w:id="756">
    <w:p w:rsidR="00224E75" w:rsidRDefault="00224E75" w:rsidP="00D1590E">
      <w:pPr>
        <w:pStyle w:val="FootnoteText"/>
      </w:pPr>
      <w:r>
        <w:rPr>
          <w:rStyle w:val="FootnoteReference"/>
        </w:rPr>
        <w:footnoteRef/>
      </w:r>
      <w:r>
        <w:t xml:space="preserve"> Category Analysis RIN response data, template 2.1 Expenditure Summary. </w:t>
      </w:r>
    </w:p>
  </w:footnote>
  <w:footnote w:id="757">
    <w:p w:rsidR="00224E75" w:rsidRDefault="00224E75" w:rsidP="00D1590E">
      <w:pPr>
        <w:pStyle w:val="FootnoteText"/>
      </w:pPr>
      <w:r>
        <w:rPr>
          <w:rStyle w:val="FootnoteReference"/>
        </w:rPr>
        <w:footnoteRef/>
      </w:r>
      <w:r>
        <w:t xml:space="preserve"> Economic Benchmarking RIN response data,  template 3 Opex.</w:t>
      </w:r>
    </w:p>
  </w:footnote>
  <w:footnote w:id="758">
    <w:p w:rsidR="00224E75" w:rsidRDefault="00224E75" w:rsidP="00D1590E">
      <w:pPr>
        <w:pStyle w:val="FootnoteText"/>
      </w:pPr>
      <w:r>
        <w:rPr>
          <w:rStyle w:val="FootnoteReference"/>
        </w:rPr>
        <w:footnoteRef/>
      </w:r>
      <w:r>
        <w:t xml:space="preserve"> </w:t>
      </w:r>
      <w:r>
        <w:tab/>
        <w:t>Category Analysis RIN data, template 2.1 Expenditure Summary.</w:t>
      </w:r>
    </w:p>
  </w:footnote>
  <w:footnote w:id="759">
    <w:p w:rsidR="00224E75" w:rsidRDefault="00224E75" w:rsidP="00D1590E">
      <w:pPr>
        <w:pStyle w:val="FootnoteText"/>
      </w:pPr>
      <w:r>
        <w:rPr>
          <w:rStyle w:val="FootnoteReference"/>
        </w:rPr>
        <w:footnoteRef/>
      </w:r>
      <w:r>
        <w:t xml:space="preserve"> </w:t>
      </w:r>
      <w:r>
        <w:tab/>
        <w:t>Ergon Energy, Regulatory Proposal: Attachment 0A.01.01, 31 October 2014, pp. 12-13.</w:t>
      </w:r>
    </w:p>
  </w:footnote>
  <w:footnote w:id="760">
    <w:p w:rsidR="00224E75" w:rsidRDefault="00224E75" w:rsidP="00D1590E">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66-7.</w:t>
      </w:r>
    </w:p>
  </w:footnote>
  <w:footnote w:id="761">
    <w:p w:rsidR="00224E75" w:rsidRDefault="00224E75" w:rsidP="00D1590E">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66.</w:t>
      </w:r>
    </w:p>
  </w:footnote>
  <w:footnote w:id="762">
    <w:p w:rsidR="00224E75" w:rsidRDefault="00224E75" w:rsidP="00D1590E">
      <w:pPr>
        <w:pStyle w:val="FootnoteText"/>
      </w:pPr>
      <w:r>
        <w:rPr>
          <w:rStyle w:val="FootnoteReference"/>
        </w:rPr>
        <w:footnoteRef/>
      </w:r>
      <w:r>
        <w:t xml:space="preserve"> </w:t>
      </w:r>
      <w:r>
        <w:tab/>
        <w:t>We considered this factor under the title natural disasters in our draft decision.</w:t>
      </w:r>
    </w:p>
  </w:footnote>
  <w:footnote w:id="763">
    <w:p w:rsidR="00224E75" w:rsidRDefault="00224E75" w:rsidP="00D1590E">
      <w:pPr>
        <w:pStyle w:val="FootnoteText"/>
      </w:pPr>
      <w:r>
        <w:rPr>
          <w:rStyle w:val="FootnoteReference"/>
        </w:rPr>
        <w:footnoteRef/>
      </w:r>
      <w:r>
        <w:t xml:space="preserve"> </w:t>
      </w:r>
      <w:r>
        <w:tab/>
        <w:t>Essential Energy, Revised Proposal: Attachment 7.4, 20 January 2015, p. 30 to 31.</w:t>
      </w:r>
    </w:p>
  </w:footnote>
  <w:footnote w:id="764">
    <w:p w:rsidR="00224E75" w:rsidRDefault="00224E75" w:rsidP="00D1590E">
      <w:pPr>
        <w:pStyle w:val="FootnoteText"/>
      </w:pPr>
      <w:r>
        <w:rPr>
          <w:rStyle w:val="FootnoteReference"/>
        </w:rPr>
        <w:footnoteRef/>
      </w:r>
      <w:r>
        <w:t xml:space="preserve"> </w:t>
      </w:r>
      <w:r>
        <w:tab/>
        <w:t>Ergon Energy, Response to information request ERG018(3), 30 January 2015.</w:t>
      </w:r>
    </w:p>
  </w:footnote>
  <w:footnote w:id="765">
    <w:p w:rsidR="00224E75" w:rsidRDefault="00224E75" w:rsidP="00D1590E">
      <w:pPr>
        <w:pStyle w:val="FootnoteText"/>
      </w:pPr>
      <w:r>
        <w:rPr>
          <w:rStyle w:val="FootnoteReference"/>
        </w:rPr>
        <w:footnoteRef/>
      </w:r>
      <w:r>
        <w:t xml:space="preserve"> </w:t>
      </w:r>
      <w:r>
        <w:tab/>
        <w:t>Ergon Energy, Response to information request ERG018(3), 30 January 2015, p. 5.</w:t>
      </w:r>
    </w:p>
  </w:footnote>
  <w:footnote w:id="766">
    <w:p w:rsidR="00224E75" w:rsidRDefault="00224E75" w:rsidP="00D1590E">
      <w:pPr>
        <w:pStyle w:val="FootnoteText"/>
      </w:pPr>
      <w:r>
        <w:rPr>
          <w:rStyle w:val="FootnoteReference"/>
        </w:rPr>
        <w:footnoteRef/>
      </w:r>
      <w:r>
        <w:t xml:space="preserve"> </w:t>
      </w:r>
      <w:r>
        <w:tab/>
      </w:r>
      <w:r w:rsidRPr="00EF6988">
        <w:t>Electricity Safety (Bushfire Mitigation) Regulations 2013</w:t>
      </w:r>
      <w:r>
        <w:t>, Regulation 6.</w:t>
      </w:r>
    </w:p>
  </w:footnote>
  <w:footnote w:id="767">
    <w:p w:rsidR="00224E75" w:rsidRDefault="00224E75" w:rsidP="00D1590E">
      <w:pPr>
        <w:pStyle w:val="FootnoteText"/>
      </w:pPr>
      <w:r>
        <w:rPr>
          <w:rStyle w:val="FootnoteReference"/>
        </w:rPr>
        <w:footnoteRef/>
      </w:r>
      <w:r>
        <w:t xml:space="preserve"> </w:t>
      </w:r>
      <w:r>
        <w:tab/>
      </w:r>
      <w:r w:rsidRPr="00EF6988">
        <w:t xml:space="preserve">Electricity Safety </w:t>
      </w:r>
      <w:r>
        <w:t>Amendment</w:t>
      </w:r>
      <w:r w:rsidRPr="00EF6988">
        <w:t xml:space="preserve"> (Bush</w:t>
      </w:r>
      <w:r>
        <w:t>fire Mitigation) Regulations 2011, Regulation 7.</w:t>
      </w:r>
    </w:p>
  </w:footnote>
  <w:footnote w:id="768">
    <w:p w:rsidR="00224E75" w:rsidRDefault="00224E75" w:rsidP="00D1590E">
      <w:pPr>
        <w:pStyle w:val="FootnoteText"/>
      </w:pPr>
      <w:r>
        <w:rPr>
          <w:rStyle w:val="FootnoteReference"/>
        </w:rPr>
        <w:footnoteRef/>
      </w:r>
      <w:r>
        <w:t xml:space="preserve"> </w:t>
      </w:r>
      <w:r>
        <w:tab/>
        <w:t>Ergon Energy, Response to information request ERG018(3), 30 January 2015, p. 5.</w:t>
      </w:r>
    </w:p>
  </w:footnote>
  <w:footnote w:id="769">
    <w:p w:rsidR="00224E75" w:rsidRDefault="00224E75" w:rsidP="00D1590E">
      <w:pPr>
        <w:pStyle w:val="FootnoteText"/>
      </w:pPr>
      <w:r>
        <w:rPr>
          <w:rStyle w:val="FootnoteReference"/>
        </w:rPr>
        <w:footnoteRef/>
      </w:r>
      <w:r>
        <w:t xml:space="preserve"> </w:t>
      </w:r>
      <w:r>
        <w:tab/>
        <w:t>Essential Energy, Response to Category Analysis RIN template 2.8 (2013-14).</w:t>
      </w:r>
    </w:p>
  </w:footnote>
  <w:footnote w:id="770">
    <w:p w:rsidR="00224E75" w:rsidRDefault="00224E75" w:rsidP="00D1590E">
      <w:pPr>
        <w:pStyle w:val="FootnoteText"/>
      </w:pPr>
      <w:r>
        <w:rPr>
          <w:rStyle w:val="FootnoteReference"/>
        </w:rPr>
        <w:footnoteRef/>
      </w:r>
      <w:r>
        <w:t xml:space="preserve"> </w:t>
      </w:r>
      <w:r>
        <w:tab/>
        <w:t>Ausgrid, Response to Category Analysis RIN template 2.8 (2013-14).</w:t>
      </w:r>
    </w:p>
  </w:footnote>
  <w:footnote w:id="771">
    <w:p w:rsidR="00224E75" w:rsidRDefault="00224E75" w:rsidP="00D1590E">
      <w:pPr>
        <w:pStyle w:val="FootnoteText"/>
      </w:pPr>
      <w:r>
        <w:rPr>
          <w:rStyle w:val="FootnoteReference"/>
        </w:rPr>
        <w:footnoteRef/>
      </w:r>
      <w:r>
        <w:t xml:space="preserve"> </w:t>
      </w:r>
      <w:r>
        <w:tab/>
        <w:t>Energex, Response to Category Analysis RIN template 2.8 (2013-14).</w:t>
      </w:r>
    </w:p>
  </w:footnote>
  <w:footnote w:id="772">
    <w:p w:rsidR="00224E75" w:rsidRDefault="00224E75" w:rsidP="00D1590E">
      <w:pPr>
        <w:pStyle w:val="FootnoteText"/>
      </w:pPr>
      <w:r>
        <w:rPr>
          <w:rStyle w:val="FootnoteReference"/>
        </w:rPr>
        <w:footnoteRef/>
      </w:r>
      <w:r>
        <w:t xml:space="preserve"> </w:t>
      </w:r>
      <w:r>
        <w:tab/>
        <w:t>Endeavour Energy, Response to Category Analysis RIN template 2.8 (2013-14).</w:t>
      </w:r>
    </w:p>
  </w:footnote>
  <w:footnote w:id="773">
    <w:p w:rsidR="00224E75" w:rsidRDefault="00224E75" w:rsidP="00D1590E">
      <w:pPr>
        <w:pStyle w:val="FootnoteText"/>
      </w:pPr>
      <w:r>
        <w:rPr>
          <w:rStyle w:val="FootnoteReference"/>
        </w:rPr>
        <w:footnoteRef/>
      </w:r>
      <w:r>
        <w:t xml:space="preserve"> </w:t>
      </w:r>
      <w:r>
        <w:tab/>
        <w:t xml:space="preserve">Bureau of Meteorology, Annual Rainfall Average: </w:t>
      </w:r>
      <w:r w:rsidRPr="003625D8">
        <w:t>Product Code:   IDCJCM004</w:t>
      </w:r>
      <w:r>
        <w:t xml:space="preserve">, available at </w:t>
      </w:r>
      <w:hyperlink r:id="rId9" w:history="1">
        <w:r w:rsidRPr="00361856">
          <w:rPr>
            <w:rStyle w:val="Hyperlink"/>
            <w:sz w:val="16"/>
          </w:rPr>
          <w:t>http://www.bom.gov.au/jsp/ncc/climate_averages/rainfall/index.jsp</w:t>
        </w:r>
      </w:hyperlink>
      <w:r>
        <w:t xml:space="preserve"> [last accessed 18 March 2015].</w:t>
      </w:r>
    </w:p>
  </w:footnote>
  <w:footnote w:id="774">
    <w:p w:rsidR="00224E75" w:rsidRDefault="00224E75" w:rsidP="00D1590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47.</w:t>
      </w:r>
    </w:p>
  </w:footnote>
  <w:footnote w:id="775">
    <w:p w:rsidR="00224E75" w:rsidRDefault="00224E75" w:rsidP="00D1590E">
      <w:pPr>
        <w:pStyle w:val="FootnoteText"/>
      </w:pPr>
      <w:r>
        <w:rPr>
          <w:rStyle w:val="FootnoteReference"/>
        </w:rPr>
        <w:footnoteRef/>
      </w:r>
      <w:r>
        <w:t xml:space="preserve"> </w:t>
      </w:r>
      <w:r>
        <w:tab/>
        <w:t>Ergon Energy, Regulatory Proposal: Attachment 0A.01.01, pp. 15-16.</w:t>
      </w:r>
    </w:p>
  </w:footnote>
  <w:footnote w:id="776">
    <w:p w:rsidR="00224E75" w:rsidRDefault="00224E75" w:rsidP="00D1590E">
      <w:pPr>
        <w:pStyle w:val="FootnoteText"/>
      </w:pPr>
      <w:r>
        <w:rPr>
          <w:rStyle w:val="FootnoteReference"/>
        </w:rPr>
        <w:footnoteRef/>
      </w:r>
      <w:r>
        <w:t xml:space="preserve"> </w:t>
      </w:r>
      <w:r>
        <w:tab/>
        <w:t>Cookson, L.J. and Trajstman, A.C., Termite Survey and Hazard Mapping, June 2002, p. 34.</w:t>
      </w:r>
    </w:p>
  </w:footnote>
  <w:footnote w:id="777">
    <w:p w:rsidR="00224E75" w:rsidRDefault="00224E75" w:rsidP="00D1590E">
      <w:pPr>
        <w:pStyle w:val="FootnoteText"/>
      </w:pPr>
      <w:r>
        <w:rPr>
          <w:rStyle w:val="FootnoteReference"/>
        </w:rPr>
        <w:footnoteRef/>
      </w:r>
      <w:r>
        <w:t xml:space="preserve"> </w:t>
      </w:r>
      <w:r>
        <w:tab/>
      </w:r>
      <w:r w:rsidRPr="00577AC6">
        <w:t>AECOM, Climate change impact assessment on Powercor Australia for 2011–2015 EDPR, 30 September 2009, pp. 70–75.</w:t>
      </w:r>
    </w:p>
  </w:footnote>
  <w:footnote w:id="778">
    <w:p w:rsidR="00224E75" w:rsidRDefault="00224E75" w:rsidP="00D1590E">
      <w:pPr>
        <w:pStyle w:val="FootnoteText"/>
      </w:pPr>
      <w:r>
        <w:rPr>
          <w:rStyle w:val="FootnoteReference"/>
        </w:rPr>
        <w:footnoteRef/>
      </w:r>
      <w:r>
        <w:t xml:space="preserve"> </w:t>
      </w:r>
      <w:r>
        <w:tab/>
        <w:t>Ergon Energy, Response to AER Information Request AER ERG 018(4), 6 February 2015, p. 2.</w:t>
      </w:r>
    </w:p>
  </w:footnote>
  <w:footnote w:id="779">
    <w:p w:rsidR="00224E75" w:rsidRDefault="00224E75" w:rsidP="00D1590E">
      <w:pPr>
        <w:pStyle w:val="FootnoteText"/>
      </w:pPr>
      <w:r>
        <w:rPr>
          <w:rStyle w:val="FootnoteReference"/>
        </w:rPr>
        <w:footnoteRef/>
      </w:r>
      <w:r>
        <w:t xml:space="preserve"> </w:t>
      </w:r>
      <w:r>
        <w:tab/>
        <w:t>1.18=0.96*1.227</w:t>
      </w:r>
    </w:p>
  </w:footnote>
  <w:footnote w:id="780">
    <w:p w:rsidR="00224E75" w:rsidRDefault="00224E75" w:rsidP="00D1590E">
      <w:pPr>
        <w:pStyle w:val="FootnoteText"/>
      </w:pPr>
      <w:r>
        <w:rPr>
          <w:rStyle w:val="FootnoteReference"/>
        </w:rPr>
        <w:footnoteRef/>
      </w:r>
      <w:r>
        <w:t xml:space="preserve"> </w:t>
      </w:r>
      <w:r>
        <w:tab/>
        <w:t>Cookson, L. J. and Trajstman, A. C., Termite Survey and Hazard Mapping, June 2002, pp. 6 and 29.</w:t>
      </w:r>
    </w:p>
  </w:footnote>
  <w:footnote w:id="781">
    <w:p w:rsidR="00224E75" w:rsidRDefault="00224E75" w:rsidP="00D1590E">
      <w:pPr>
        <w:pStyle w:val="FootnoteText"/>
      </w:pPr>
      <w:r>
        <w:rPr>
          <w:rStyle w:val="FootnoteReference"/>
        </w:rPr>
        <w:footnoteRef/>
      </w:r>
      <w:r>
        <w:t xml:space="preserve"> </w:t>
      </w:r>
      <w:r>
        <w:tab/>
        <w:t>We assumed the NSW service providers, AusNet, CitiPower, and UED were respectively 158 per cent, 93 per cent, 42 per cent, and 52 per cent as likely to be affected by termites as Powercor. These are based on incidence rates from Cookson and Trajstman's termite survey.</w:t>
      </w:r>
    </w:p>
  </w:footnote>
  <w:footnote w:id="782">
    <w:p w:rsidR="00224E75" w:rsidRDefault="00224E75" w:rsidP="00D1590E">
      <w:pPr>
        <w:pStyle w:val="FootnoteText"/>
      </w:pPr>
      <w:r>
        <w:rPr>
          <w:rStyle w:val="FootnoteReference"/>
        </w:rPr>
        <w:footnoteRef/>
      </w:r>
      <w:r>
        <w:t xml:space="preserve"> </w:t>
      </w:r>
      <w:r>
        <w:tab/>
        <w:t>The number of wooden poles for each service provider was taken from the category analysis RIN responses.</w:t>
      </w:r>
    </w:p>
  </w:footnote>
  <w:footnote w:id="783">
    <w:p w:rsidR="00224E75" w:rsidRDefault="00224E75" w:rsidP="00D1590E">
      <w:pPr>
        <w:pStyle w:val="FootnoteText"/>
      </w:pPr>
      <w:r>
        <w:rPr>
          <w:rStyle w:val="FootnoteReference"/>
        </w:rPr>
        <w:footnoteRef/>
      </w:r>
      <w:r>
        <w:t xml:space="preserve"> </w:t>
      </w:r>
      <w:r>
        <w:tab/>
      </w:r>
      <w:r w:rsidRPr="006E2420">
        <w:t>ABCB</w:t>
      </w:r>
      <w:r w:rsidRPr="003625D8">
        <w:t xml:space="preserve">, The Building Code of Australia, available at; </w:t>
      </w:r>
      <w:hyperlink r:id="rId10" w:history="1">
        <w:r w:rsidRPr="00125D19">
          <w:rPr>
            <w:rStyle w:val="Hyperlink"/>
            <w:color w:val="auto"/>
            <w:sz w:val="16"/>
            <w:u w:val="none"/>
          </w:rPr>
          <w:t>http://www.abcb.gov.au/about-the-australian-building-codes-board</w:t>
        </w:r>
      </w:hyperlink>
      <w:r w:rsidRPr="003625D8">
        <w:t xml:space="preserve"> . [last accessed 4 September 2014].</w:t>
      </w:r>
    </w:p>
  </w:footnote>
  <w:footnote w:id="784">
    <w:p w:rsidR="00224E75" w:rsidRDefault="00224E75" w:rsidP="00D1590E">
      <w:pPr>
        <w:pStyle w:val="FootnoteText"/>
      </w:pPr>
      <w:r>
        <w:rPr>
          <w:rStyle w:val="FootnoteReference"/>
        </w:rPr>
        <w:footnoteRef/>
      </w:r>
      <w:r>
        <w:t xml:space="preserve"> </w:t>
      </w:r>
      <w:r>
        <w:tab/>
      </w:r>
      <w:r w:rsidRPr="003625D8">
        <w:t xml:space="preserve">ABCB, About the Australian Building Codes Board, available at; </w:t>
      </w:r>
      <w:hyperlink r:id="rId11" w:history="1">
        <w:r w:rsidRPr="00125D19">
          <w:rPr>
            <w:rStyle w:val="Hyperlink"/>
            <w:color w:val="auto"/>
            <w:sz w:val="16"/>
            <w:u w:val="none"/>
          </w:rPr>
          <w:t>http://www.abcb.gov.au/about-the-australian-building-codes-board</w:t>
        </w:r>
      </w:hyperlink>
      <w:r w:rsidRPr="003625D8">
        <w:t xml:space="preserve"> . [last accessed 4 September 2014].</w:t>
      </w:r>
    </w:p>
  </w:footnote>
  <w:footnote w:id="785">
    <w:p w:rsidR="00224E75" w:rsidRDefault="00224E75" w:rsidP="00D1590E">
      <w:pPr>
        <w:pStyle w:val="FootnoteText"/>
      </w:pPr>
      <w:r>
        <w:rPr>
          <w:rStyle w:val="FootnoteReference"/>
        </w:rPr>
        <w:footnoteRef/>
      </w:r>
      <w:r>
        <w:t xml:space="preserve"> </w:t>
      </w:r>
      <w:r>
        <w:tab/>
      </w:r>
      <w:r w:rsidRPr="003625D8">
        <w:t xml:space="preserve">ABCB, The Building Code of Australia, available at; </w:t>
      </w:r>
      <w:hyperlink r:id="rId12" w:history="1">
        <w:r w:rsidRPr="00125D19">
          <w:rPr>
            <w:rStyle w:val="Hyperlink"/>
            <w:color w:val="auto"/>
            <w:sz w:val="16"/>
            <w:u w:val="none"/>
          </w:rPr>
          <w:t>http://www.abcb.gov.au/about-the-australian-building-codes-board</w:t>
        </w:r>
      </w:hyperlink>
      <w:r>
        <w:t xml:space="preserve"> . [last accessed 22</w:t>
      </w:r>
      <w:r w:rsidRPr="003625D8">
        <w:t xml:space="preserve"> </w:t>
      </w:r>
      <w:r>
        <w:t>March 2015</w:t>
      </w:r>
      <w:r w:rsidRPr="003625D8">
        <w:t>].</w:t>
      </w:r>
    </w:p>
  </w:footnote>
  <w:footnote w:id="786">
    <w:p w:rsidR="00224E75" w:rsidRDefault="00224E75" w:rsidP="00D1590E">
      <w:pPr>
        <w:pStyle w:val="FootnoteText"/>
      </w:pPr>
      <w:r>
        <w:rPr>
          <w:rStyle w:val="FootnoteReference"/>
        </w:rPr>
        <w:footnoteRef/>
      </w:r>
      <w:r>
        <w:t xml:space="preserve"> </w:t>
      </w:r>
      <w:r>
        <w:tab/>
        <w:t>Ergon Energy, Response to AER information request Ergon 002, 17 December 2014, p. 7-9</w:t>
      </w:r>
    </w:p>
  </w:footnote>
  <w:footnote w:id="787">
    <w:p w:rsidR="00224E75" w:rsidRDefault="00224E75" w:rsidP="00D1590E">
      <w:pPr>
        <w:pStyle w:val="FootnoteText"/>
      </w:pPr>
      <w:r>
        <w:rPr>
          <w:rStyle w:val="FootnoteReference"/>
        </w:rPr>
        <w:footnoteRef/>
      </w:r>
      <w:r>
        <w:t xml:space="preserve"> </w:t>
      </w:r>
      <w:r>
        <w:tab/>
        <w:t xml:space="preserve">Productivity Commission, </w:t>
      </w:r>
      <w:r w:rsidRPr="00733962">
        <w:rPr>
          <w:rStyle w:val="AERtextitalic"/>
        </w:rPr>
        <w:t>Performance Benchmarking of Australian Business Regulation</w:t>
      </w:r>
      <w:r w:rsidRPr="00CF73C9">
        <w:rPr>
          <w:rStyle w:val="AERtextitalic"/>
        </w:rPr>
        <w:t>: Local Government as Regulator</w:t>
      </w:r>
      <w:r>
        <w:t>, July 2012, p. 386-390.</w:t>
      </w:r>
    </w:p>
  </w:footnote>
  <w:footnote w:id="788">
    <w:p w:rsidR="00224E75" w:rsidRDefault="00224E75" w:rsidP="00D1590E">
      <w:pPr>
        <w:pStyle w:val="FootnoteText"/>
      </w:pPr>
      <w:r>
        <w:rPr>
          <w:rStyle w:val="FootnoteReference"/>
        </w:rPr>
        <w:footnoteRef/>
      </w:r>
      <w:r>
        <w:t xml:space="preserve"> </w:t>
      </w:r>
      <w:r>
        <w:tab/>
        <w:t>Ausgrid, Revised Regulatory Proposal: Attachment 1.15, 20 January 2015, p. 1.</w:t>
      </w:r>
    </w:p>
  </w:footnote>
  <w:footnote w:id="789">
    <w:p w:rsidR="00224E75" w:rsidRDefault="00224E75" w:rsidP="00D1590E">
      <w:pPr>
        <w:pStyle w:val="FootnoteText"/>
      </w:pPr>
      <w:r>
        <w:rPr>
          <w:rStyle w:val="FootnoteReference"/>
        </w:rPr>
        <w:footnoteRef/>
      </w:r>
      <w:r>
        <w:t xml:space="preserve"> </w:t>
      </w:r>
      <w:r>
        <w:tab/>
        <w:t>Essential Energy, Revised Regulatory Proposal: Attachment 1.9, 20 January 2015, p. 3.</w:t>
      </w:r>
    </w:p>
  </w:footnote>
  <w:footnote w:id="790">
    <w:p w:rsidR="00224E75" w:rsidRDefault="00224E75" w:rsidP="00D1590E">
      <w:pPr>
        <w:pStyle w:val="FootnoteText"/>
      </w:pPr>
      <w:r>
        <w:rPr>
          <w:rStyle w:val="FootnoteReference"/>
        </w:rPr>
        <w:footnoteRef/>
      </w:r>
      <w:r>
        <w:t xml:space="preserve"> </w:t>
      </w:r>
      <w:r>
        <w:tab/>
        <w:t>Endeavour Energy, Revised Regulatory Proposal, 20 January 2015, pp. 37-38.</w:t>
      </w:r>
    </w:p>
  </w:footnote>
  <w:footnote w:id="791">
    <w:p w:rsidR="00224E75" w:rsidRDefault="00224E75" w:rsidP="00D1590E">
      <w:pPr>
        <w:pStyle w:val="FootnoteText"/>
      </w:pPr>
      <w:r>
        <w:rPr>
          <w:rStyle w:val="FootnoteReference"/>
        </w:rPr>
        <w:footnoteRef/>
      </w:r>
      <w:r>
        <w:t xml:space="preserve"> </w:t>
      </w:r>
      <w:r>
        <w:tab/>
        <w:t>ActewAGL, Revised Proposal, 20 January 2015, p. 3.</w:t>
      </w:r>
    </w:p>
  </w:footnote>
  <w:footnote w:id="792">
    <w:p w:rsidR="00224E75" w:rsidRDefault="00224E75" w:rsidP="00D1590E">
      <w:pPr>
        <w:pStyle w:val="FootnoteText"/>
      </w:pPr>
      <w:r>
        <w:rPr>
          <w:rStyle w:val="FootnoteReference"/>
        </w:rPr>
        <w:footnoteRef/>
      </w:r>
      <w:r>
        <w:t xml:space="preserve"> </w:t>
      </w:r>
      <w:r>
        <w:tab/>
        <w:t xml:space="preserve">PricewaterhouseCoopers, </w:t>
      </w:r>
      <w:r w:rsidRPr="003C7718">
        <w:rPr>
          <w:i/>
        </w:rPr>
        <w:t>Impact of the Proposed National Model Health Work and Safety Laws in Victoria</w:t>
      </w:r>
      <w:r>
        <w:t>, April 2012.</w:t>
      </w:r>
    </w:p>
  </w:footnote>
  <w:footnote w:id="793">
    <w:p w:rsidR="00224E75" w:rsidRDefault="00224E75" w:rsidP="00D1590E">
      <w:pPr>
        <w:pStyle w:val="FootnoteText"/>
      </w:pPr>
      <w:r>
        <w:rPr>
          <w:rStyle w:val="FootnoteReference"/>
        </w:rPr>
        <w:footnoteRef/>
      </w:r>
      <w:r>
        <w:t xml:space="preserve"> </w:t>
      </w:r>
      <w:r>
        <w:tab/>
        <w:t>PricewaterhouseCoopers, Review of AER's methodology of adjusting for differences in occupational health and safety obligations, 12 February 2015.</w:t>
      </w:r>
    </w:p>
  </w:footnote>
  <w:footnote w:id="794">
    <w:p w:rsidR="00224E75" w:rsidRDefault="00224E75" w:rsidP="00D1590E">
      <w:pPr>
        <w:pStyle w:val="FootnoteText"/>
      </w:pPr>
      <w:r>
        <w:rPr>
          <w:rStyle w:val="FootnoteReference"/>
        </w:rPr>
        <w:footnoteRef/>
      </w:r>
      <w:r>
        <w:t xml:space="preserve"> </w:t>
      </w:r>
      <w:r>
        <w:tab/>
        <w:t>The</w:t>
      </w:r>
      <w:r w:rsidRPr="00CA0DBF">
        <w:t xml:space="preserve"> </w:t>
      </w:r>
      <w:r>
        <w:t>annual costs forecast</w:t>
      </w:r>
      <w:r w:rsidRPr="00CA0DBF">
        <w:t xml:space="preserve"> </w:t>
      </w:r>
      <w:r>
        <w:t>by PwC</w:t>
      </w:r>
      <w:r w:rsidRPr="00CA0DBF">
        <w:t xml:space="preserve"> </w:t>
      </w:r>
      <w:r>
        <w:t>for the implementation of the new OH&amp;S laws</w:t>
      </w:r>
      <w:r w:rsidRPr="00CA0DBF">
        <w:t xml:space="preserve"> </w:t>
      </w:r>
      <w:r>
        <w:t>were</w:t>
      </w:r>
      <w:r w:rsidRPr="00CA0DBF">
        <w:t xml:space="preserve"> equivalent to 0.24</w:t>
      </w:r>
      <w:r>
        <w:t xml:space="preserve"> per cent</w:t>
      </w:r>
      <w:r w:rsidRPr="00CA0DBF">
        <w:t xml:space="preserve"> of </w:t>
      </w:r>
      <w:r>
        <w:t xml:space="preserve">the </w:t>
      </w:r>
      <w:r w:rsidRPr="00CA0DBF">
        <w:t>Gross State Product</w:t>
      </w:r>
      <w:r>
        <w:t xml:space="preserve"> of Victoria in financial year 2012</w:t>
      </w:r>
      <w:r w:rsidRPr="00CA0DBF">
        <w:t xml:space="preserve">. </w:t>
      </w:r>
      <w:r>
        <w:t>Because e</w:t>
      </w:r>
      <w:r w:rsidRPr="00CA0DBF">
        <w:t>lectricity distribution work environments may present more danger than the average work environment across the economy</w:t>
      </w:r>
      <w:r>
        <w:t xml:space="preserve"> we</w:t>
      </w:r>
      <w:r w:rsidRPr="00CA0DBF">
        <w:t xml:space="preserve"> </w:t>
      </w:r>
      <w:r>
        <w:t xml:space="preserve">multiplied this amount by 2.5. </w:t>
      </w:r>
      <w:r w:rsidRPr="00CA0DBF">
        <w:t>The PwC report suggests that the annualised ongoing costs for power generators would be almost two and a half times greater than for the majority of other businesses</w:t>
      </w:r>
      <w:r>
        <w:t>. This suggests that the Victorian service providers have a 0.6 per cent cost advantage relative to the other NEM service providers. However, as SA Power Networks accounts for 21 per cent of the comparison firm's customers, the customer weighted average cost advantage the comparison firms have is 0.5 per cent.</w:t>
      </w:r>
    </w:p>
  </w:footnote>
  <w:footnote w:id="795">
    <w:p w:rsidR="00224E75" w:rsidRDefault="00224E75" w:rsidP="00D1590E">
      <w:pPr>
        <w:pStyle w:val="FootnoteText"/>
      </w:pPr>
      <w:r>
        <w:rPr>
          <w:rStyle w:val="FootnoteReference"/>
        </w:rPr>
        <w:footnoteRef/>
      </w:r>
      <w:r>
        <w:t xml:space="preserve"> </w:t>
      </w:r>
      <w:r>
        <w:tab/>
        <w:t>Advisian, Review of AER benchmarking: Networks NSW, 16 January 2015, pp. 41 -46.</w:t>
      </w:r>
    </w:p>
  </w:footnote>
  <w:footnote w:id="796">
    <w:p w:rsidR="00224E75" w:rsidRDefault="00224E75" w:rsidP="00D1590E">
      <w:pPr>
        <w:pStyle w:val="FootnoteText"/>
      </w:pPr>
      <w:r>
        <w:rPr>
          <w:rStyle w:val="FootnoteReference"/>
        </w:rPr>
        <w:footnoteRef/>
      </w:r>
      <w:r>
        <w:t xml:space="preserve"> </w:t>
      </w:r>
      <w:r>
        <w:tab/>
        <w:t>Advisian, Opex Cost Drivers: ActewAGL Distribution Electricity (ACT), 16 January 2015, p. 50.</w:t>
      </w:r>
    </w:p>
  </w:footnote>
  <w:footnote w:id="797">
    <w:p w:rsidR="00224E75" w:rsidRDefault="00224E75" w:rsidP="00D1590E">
      <w:pPr>
        <w:pStyle w:val="FootnoteText"/>
      </w:pPr>
      <w:r>
        <w:rPr>
          <w:rStyle w:val="FootnoteReference"/>
        </w:rPr>
        <w:footnoteRef/>
      </w:r>
      <w:r>
        <w:t xml:space="preserve"> </w:t>
      </w:r>
      <w:r>
        <w:tab/>
        <w:t xml:space="preserve">NSW </w:t>
      </w:r>
      <w:r w:rsidRPr="000B65E4">
        <w:t xml:space="preserve">Minister for Energy, </w:t>
      </w:r>
      <w:r w:rsidRPr="00681695">
        <w:rPr>
          <w:rStyle w:val="AERtextitalic"/>
        </w:rPr>
        <w:t>Design, Reliability and Performance Licence Conditions For Distribution Network Service Providers</w:t>
      </w:r>
      <w:r>
        <w:t>, 1 December 2007, Schedules 2 and 3.</w:t>
      </w:r>
    </w:p>
  </w:footnote>
  <w:footnote w:id="798">
    <w:p w:rsidR="00224E75" w:rsidRDefault="00224E75" w:rsidP="00D1590E">
      <w:pPr>
        <w:pStyle w:val="FootnoteText"/>
      </w:pPr>
      <w:r>
        <w:rPr>
          <w:rStyle w:val="FootnoteReference"/>
        </w:rPr>
        <w:footnoteRef/>
      </w:r>
      <w:r>
        <w:t xml:space="preserve"> </w:t>
      </w:r>
      <w:r>
        <w:tab/>
        <w:t xml:space="preserve">NSW </w:t>
      </w:r>
      <w:r w:rsidRPr="000B65E4">
        <w:t>Minister for Energy</w:t>
      </w:r>
      <w:r>
        <w:t xml:space="preserve"> and Utilities</w:t>
      </w:r>
      <w:r w:rsidRPr="000B65E4">
        <w:t xml:space="preserve">, </w:t>
      </w:r>
      <w:r w:rsidRPr="00681695">
        <w:rPr>
          <w:rStyle w:val="AERtextitalic"/>
        </w:rPr>
        <w:t>Design, Reliability and Performance Licence Conditions Imposed on Distribution Network Service Providers by the Minister for Energy and Utilities</w:t>
      </w:r>
      <w:r>
        <w:t>, 1 August 2005, Schedules 2 and 3.</w:t>
      </w:r>
    </w:p>
  </w:footnote>
  <w:footnote w:id="799">
    <w:p w:rsidR="00224E75" w:rsidRDefault="00224E75" w:rsidP="00D1590E">
      <w:pPr>
        <w:pStyle w:val="FootnoteText"/>
      </w:pPr>
      <w:r>
        <w:rPr>
          <w:rStyle w:val="FootnoteReference"/>
        </w:rPr>
        <w:footnoteRef/>
      </w:r>
      <w:r>
        <w:t xml:space="preserve"> </w:t>
      </w:r>
      <w:r>
        <w:tab/>
        <w:t xml:space="preserve">NSW </w:t>
      </w:r>
      <w:r w:rsidRPr="000B65E4">
        <w:t xml:space="preserve">Minister for Energy, </w:t>
      </w:r>
      <w:r w:rsidRPr="00681695">
        <w:rPr>
          <w:rStyle w:val="AERtextitalic"/>
        </w:rPr>
        <w:t>Design, Reliability and Performance Licence Conditions For Distribution Network Service Providers</w:t>
      </w:r>
      <w:r>
        <w:t>, 1 December 2007, Schedule 1.</w:t>
      </w:r>
    </w:p>
  </w:footnote>
  <w:footnote w:id="800">
    <w:p w:rsidR="00224E75" w:rsidRDefault="00224E75" w:rsidP="00D1590E">
      <w:pPr>
        <w:pStyle w:val="FootnoteText"/>
      </w:pPr>
      <w:r>
        <w:rPr>
          <w:rStyle w:val="FootnoteReference"/>
        </w:rPr>
        <w:footnoteRef/>
      </w:r>
      <w:r>
        <w:t xml:space="preserve"> </w:t>
      </w:r>
      <w:r>
        <w:tab/>
        <w:t xml:space="preserve">NSW </w:t>
      </w:r>
      <w:r w:rsidRPr="000B65E4">
        <w:t>Minister for Energy</w:t>
      </w:r>
      <w:r>
        <w:t xml:space="preserve"> and Utilities</w:t>
      </w:r>
      <w:r w:rsidRPr="000B65E4">
        <w:t xml:space="preserve">, </w:t>
      </w:r>
      <w:r w:rsidRPr="00681695">
        <w:rPr>
          <w:rStyle w:val="AERtextitalic"/>
        </w:rPr>
        <w:t>Design, Reliability and Performance Licence Conditions Imposed on Distribution Network Service Providers by the Minister for Energy and Utilities</w:t>
      </w:r>
      <w:r>
        <w:t>, 1 August 2005, Schedule 1.</w:t>
      </w:r>
    </w:p>
  </w:footnote>
  <w:footnote w:id="801">
    <w:p w:rsidR="00224E75" w:rsidRDefault="00224E75" w:rsidP="00D1590E">
      <w:pPr>
        <w:pStyle w:val="FootnoteText"/>
      </w:pPr>
      <w:r>
        <w:rPr>
          <w:rStyle w:val="FootnoteReference"/>
        </w:rPr>
        <w:footnoteRef/>
      </w:r>
      <w:r>
        <w:t xml:space="preserve"> </w:t>
      </w:r>
      <w:r>
        <w:tab/>
        <w:t>Except for zone substations with a capacity of less than 5 MVA, which required no redundancy.</w:t>
      </w:r>
    </w:p>
  </w:footnote>
  <w:footnote w:id="802">
    <w:p w:rsidR="00224E75" w:rsidRDefault="00224E75" w:rsidP="00D1590E">
      <w:pPr>
        <w:pStyle w:val="FootnoteText"/>
      </w:pPr>
      <w:r>
        <w:rPr>
          <w:rStyle w:val="FootnoteReference"/>
        </w:rPr>
        <w:footnoteRef/>
      </w:r>
      <w:r>
        <w:t xml:space="preserve"> </w:t>
      </w:r>
      <w:r>
        <w:tab/>
        <w:t xml:space="preserve">Essential Energy, </w:t>
      </w:r>
      <w:r w:rsidRPr="006B4C70">
        <w:rPr>
          <w:rStyle w:val="AERtextitalic"/>
        </w:rPr>
        <w:t>Electricity Network Performance Report 2013/14</w:t>
      </w:r>
      <w:r>
        <w:t>, 2014, p. 24.</w:t>
      </w:r>
    </w:p>
  </w:footnote>
  <w:footnote w:id="803">
    <w:p w:rsidR="00224E75" w:rsidRDefault="00224E75" w:rsidP="00D1590E">
      <w:pPr>
        <w:pStyle w:val="FootnoteText"/>
      </w:pPr>
      <w:r>
        <w:rPr>
          <w:rStyle w:val="FootnoteReference"/>
        </w:rPr>
        <w:footnoteRef/>
      </w:r>
      <w:r>
        <w:t xml:space="preserve"> </w:t>
      </w:r>
      <w:r>
        <w:tab/>
        <w:t xml:space="preserve">Endeavour Energy, </w:t>
      </w:r>
      <w:r w:rsidRPr="006B4C70">
        <w:rPr>
          <w:rStyle w:val="AERtextitalic"/>
        </w:rPr>
        <w:t>Electricity Network Performance Report 2013/14</w:t>
      </w:r>
      <w:r>
        <w:t>, 2014, p. 10.</w:t>
      </w:r>
    </w:p>
  </w:footnote>
  <w:footnote w:id="804">
    <w:p w:rsidR="00224E75" w:rsidRDefault="00224E75" w:rsidP="00D1590E">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w:t>
      </w:r>
    </w:p>
  </w:footnote>
  <w:footnote w:id="805">
    <w:p w:rsidR="00224E75" w:rsidRDefault="00224E75" w:rsidP="00D1590E">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 Volume 1, p. XXVIII.</w:t>
      </w:r>
    </w:p>
  </w:footnote>
  <w:footnote w:id="806">
    <w:p w:rsidR="00224E75" w:rsidRDefault="00224E75" w:rsidP="00D1590E">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 Volume 1, p. XXXI.</w:t>
      </w:r>
    </w:p>
  </w:footnote>
  <w:footnote w:id="807">
    <w:p w:rsidR="00224E75" w:rsidRDefault="00224E75" w:rsidP="00D1590E">
      <w:pPr>
        <w:pStyle w:val="FootnoteText"/>
      </w:pPr>
      <w:r>
        <w:rPr>
          <w:rStyle w:val="FootnoteReference"/>
        </w:rPr>
        <w:footnoteRef/>
      </w:r>
      <w:r>
        <w:t xml:space="preserve"> ActewAGL, Revised Proposal, 20 January 2015, p. 199.</w:t>
      </w:r>
    </w:p>
  </w:footnote>
  <w:footnote w:id="808">
    <w:p w:rsidR="00224E75" w:rsidRDefault="00224E75" w:rsidP="00D1590E">
      <w:pPr>
        <w:pStyle w:val="FootnoteText"/>
      </w:pPr>
      <w:r>
        <w:rPr>
          <w:rStyle w:val="FootnoteReference"/>
        </w:rPr>
        <w:footnoteRef/>
      </w:r>
      <w:r>
        <w:t xml:space="preserve"> Ausgrid, Revised Proposal, 20 January 2015, p. 149.</w:t>
      </w:r>
    </w:p>
  </w:footnote>
  <w:footnote w:id="809">
    <w:p w:rsidR="00224E75" w:rsidRDefault="00224E75" w:rsidP="00D1590E">
      <w:pPr>
        <w:pStyle w:val="FootnoteText"/>
      </w:pPr>
      <w:r>
        <w:rPr>
          <w:rStyle w:val="FootnoteReference"/>
        </w:rPr>
        <w:footnoteRef/>
      </w:r>
      <w:r>
        <w:t xml:space="preserve"> Endeavour Energy Revised Proposal, 20  January 2015, p. 176.</w:t>
      </w:r>
    </w:p>
  </w:footnote>
  <w:footnote w:id="810">
    <w:p w:rsidR="00224E75" w:rsidRDefault="00224E75" w:rsidP="00D1590E">
      <w:pPr>
        <w:pStyle w:val="FootnoteText"/>
      </w:pPr>
      <w:r>
        <w:rPr>
          <w:rStyle w:val="FootnoteReference"/>
        </w:rPr>
        <w:footnoteRef/>
      </w:r>
      <w:r>
        <w:t xml:space="preserve"> Ergon Energy, Response to information request Ergon 002, 19 12 2014, p. 21.</w:t>
      </w:r>
    </w:p>
  </w:footnote>
  <w:footnote w:id="811">
    <w:p w:rsidR="00224E75" w:rsidRDefault="00224E75" w:rsidP="00D1590E">
      <w:pPr>
        <w:pStyle w:val="FootnoteText"/>
      </w:pPr>
      <w:r>
        <w:rPr>
          <w:rStyle w:val="FootnoteReference"/>
        </w:rPr>
        <w:footnoteRef/>
      </w:r>
      <w:r>
        <w:t xml:space="preserve"> </w:t>
      </w:r>
      <w:r>
        <w:tab/>
        <w:t>Ergon Energy, Submissions on the Draft Decisions: NSW and ACT distributions 2015-16 to 2018-19, 13 February 2015, p. 19.</w:t>
      </w:r>
    </w:p>
  </w:footnote>
  <w:footnote w:id="812">
    <w:p w:rsidR="00224E75" w:rsidRDefault="00224E75" w:rsidP="00D1590E">
      <w:pPr>
        <w:pStyle w:val="FootnoteText"/>
      </w:pPr>
      <w:r>
        <w:rPr>
          <w:rStyle w:val="FootnoteReference"/>
        </w:rPr>
        <w:footnoteRef/>
      </w:r>
      <w:r>
        <w:t xml:space="preserve"> </w:t>
      </w:r>
      <w:r>
        <w:tab/>
        <w:t>Essential Energy, Revised Proposal, 20 January 2015, p. 189.</w:t>
      </w:r>
    </w:p>
  </w:footnote>
  <w:footnote w:id="813">
    <w:p w:rsidR="00224E75" w:rsidRDefault="00224E75" w:rsidP="00D1590E">
      <w:pPr>
        <w:pStyle w:val="FootnoteText"/>
      </w:pPr>
      <w:r>
        <w:rPr>
          <w:rStyle w:val="FootnoteReference"/>
        </w:rPr>
        <w:footnoteRef/>
      </w:r>
      <w:r>
        <w:t xml:space="preserve"> </w:t>
      </w:r>
      <w:r>
        <w:tab/>
        <w:t>CitiPower and Powercor, Response to information request on vegetation management responsibility, 17 February 2015, p. 2.</w:t>
      </w:r>
    </w:p>
  </w:footnote>
  <w:footnote w:id="814">
    <w:p w:rsidR="00224E75" w:rsidRDefault="00224E75" w:rsidP="00D1590E">
      <w:pPr>
        <w:pStyle w:val="FootnoteText"/>
      </w:pPr>
      <w:r>
        <w:rPr>
          <w:rStyle w:val="FootnoteReference"/>
        </w:rPr>
        <w:footnoteRef/>
      </w:r>
      <w:r>
        <w:t xml:space="preserve"> </w:t>
      </w:r>
      <w:r>
        <w:tab/>
        <w:t>Jemena, Response to information request on vegetation management responsibility, 13 February 2015, p. 1.</w:t>
      </w:r>
    </w:p>
  </w:footnote>
  <w:footnote w:id="815">
    <w:p w:rsidR="00224E75" w:rsidRDefault="00224E75" w:rsidP="00D1590E">
      <w:pPr>
        <w:pStyle w:val="FootnoteText"/>
      </w:pPr>
      <w:r>
        <w:rPr>
          <w:rStyle w:val="FootnoteReference"/>
        </w:rPr>
        <w:footnoteRef/>
      </w:r>
      <w:r>
        <w:t xml:space="preserve"> </w:t>
      </w:r>
      <w:r>
        <w:tab/>
        <w:t>AusNet Services, Response to information request on vegetation management responsibility, 16 February 2015, p. 1.</w:t>
      </w:r>
    </w:p>
  </w:footnote>
  <w:footnote w:id="816">
    <w:p w:rsidR="00224E75" w:rsidRDefault="00224E75" w:rsidP="00D1590E">
      <w:pPr>
        <w:pStyle w:val="FootnoteText"/>
      </w:pPr>
      <w:r>
        <w:rPr>
          <w:rStyle w:val="FootnoteReference"/>
        </w:rPr>
        <w:footnoteRef/>
      </w:r>
      <w:r>
        <w:t xml:space="preserve"> </w:t>
      </w:r>
      <w:r>
        <w:tab/>
        <w:t xml:space="preserve">Declared areas are urban areas where </w:t>
      </w:r>
      <w:r w:rsidRPr="002103CB">
        <w:t xml:space="preserve">the local council </w:t>
      </w:r>
      <w:r>
        <w:t xml:space="preserve">has responsibility for vegetation management as declared under section 81 of the </w:t>
      </w:r>
      <w:r w:rsidRPr="002103CB">
        <w:rPr>
          <w:rStyle w:val="AERtextitalic"/>
        </w:rPr>
        <w:t>Electricity Safety Act 1998</w:t>
      </w:r>
      <w:r>
        <w:t xml:space="preserve"> by the Governor in Council. </w:t>
      </w:r>
    </w:p>
  </w:footnote>
  <w:footnote w:id="817">
    <w:p w:rsidR="00224E75" w:rsidRDefault="00224E75" w:rsidP="00D1590E">
      <w:pPr>
        <w:pStyle w:val="FootnoteText"/>
      </w:pPr>
      <w:r>
        <w:rPr>
          <w:rStyle w:val="FootnoteReference"/>
        </w:rPr>
        <w:footnoteRef/>
      </w:r>
      <w:r>
        <w:t xml:space="preserve"> </w:t>
      </w:r>
      <w:r>
        <w:tab/>
        <w:t>SA Power Networks, Response to information request AER SAPN 021, 13 February 2015, p. 1.</w:t>
      </w:r>
    </w:p>
  </w:footnote>
  <w:footnote w:id="818">
    <w:p w:rsidR="00224E75" w:rsidRDefault="00224E75" w:rsidP="00D1590E">
      <w:pPr>
        <w:pStyle w:val="FootnoteText"/>
      </w:pPr>
      <w:r>
        <w:rPr>
          <w:rStyle w:val="FootnoteReference"/>
        </w:rPr>
        <w:footnoteRef/>
      </w:r>
      <w:r>
        <w:t xml:space="preserve"> </w:t>
      </w:r>
      <w:r>
        <w:tab/>
        <w:t>SA Power Networks, Response to information request AER SAPN 021, 13 February 2015, p. 1.</w:t>
      </w:r>
    </w:p>
  </w:footnote>
  <w:footnote w:id="819">
    <w:p w:rsidR="00224E75" w:rsidRDefault="00224E75" w:rsidP="00D1590E">
      <w:pPr>
        <w:pStyle w:val="FootnoteText"/>
      </w:pPr>
      <w:r>
        <w:rPr>
          <w:rStyle w:val="FootnoteReference"/>
        </w:rPr>
        <w:footnoteRef/>
      </w:r>
      <w:r>
        <w:t xml:space="preserve"> </w:t>
      </w:r>
      <w:r>
        <w:tab/>
        <w:t>SA Power Networks, Response to information request AER SAPN 021, 13 February 2015, p. 1.</w:t>
      </w:r>
    </w:p>
  </w:footnote>
  <w:footnote w:id="820">
    <w:p w:rsidR="00224E75" w:rsidRDefault="00224E75" w:rsidP="00D1590E">
      <w:pPr>
        <w:pStyle w:val="FootnoteText"/>
      </w:pPr>
      <w:r>
        <w:rPr>
          <w:rStyle w:val="FootnoteReference"/>
        </w:rPr>
        <w:footnoteRef/>
      </w:r>
      <w:r>
        <w:t xml:space="preserve"> </w:t>
      </w:r>
      <w:r>
        <w:tab/>
        <w:t>Electricity Act 1996 (SA), subsection 55(3).</w:t>
      </w:r>
    </w:p>
  </w:footnote>
  <w:footnote w:id="821">
    <w:p w:rsidR="00224E75" w:rsidRDefault="00224E75" w:rsidP="00D1590E">
      <w:pPr>
        <w:pStyle w:val="FootnoteText"/>
      </w:pPr>
      <w:r>
        <w:rPr>
          <w:rStyle w:val="FootnoteReference"/>
        </w:rPr>
        <w:footnoteRef/>
      </w:r>
      <w:r>
        <w:t xml:space="preserve"> </w:t>
      </w:r>
      <w:r>
        <w:tab/>
        <w:t>Ausgrid, Response to information request Ausgrid 049, 16 February, 2015. p. 3.</w:t>
      </w:r>
    </w:p>
  </w:footnote>
  <w:footnote w:id="822">
    <w:p w:rsidR="00224E75" w:rsidRDefault="00224E75" w:rsidP="00D1590E">
      <w:pPr>
        <w:pStyle w:val="FootnoteText"/>
      </w:pPr>
      <w:r>
        <w:rPr>
          <w:rStyle w:val="FootnoteReference"/>
        </w:rPr>
        <w:footnoteRef/>
      </w:r>
      <w:r>
        <w:t xml:space="preserve"> </w:t>
      </w:r>
      <w:r>
        <w:tab/>
        <w:t>Endeavour Energy, Response to information request Endeavour 052, 13 February 2015, p. 3.</w:t>
      </w:r>
    </w:p>
  </w:footnote>
  <w:footnote w:id="823">
    <w:p w:rsidR="00224E75" w:rsidRDefault="00224E75" w:rsidP="00D1590E">
      <w:pPr>
        <w:pStyle w:val="FootnoteText"/>
      </w:pPr>
      <w:r>
        <w:rPr>
          <w:rStyle w:val="FootnoteReference"/>
        </w:rPr>
        <w:footnoteRef/>
      </w:r>
      <w:r>
        <w:t xml:space="preserve"> </w:t>
      </w:r>
      <w:r>
        <w:tab/>
        <w:t>Endeavour Energy, Response to information request Endeavour 042, 13 February 2015, p. 3.</w:t>
      </w:r>
    </w:p>
  </w:footnote>
  <w:footnote w:id="824">
    <w:p w:rsidR="00224E75" w:rsidRDefault="00224E75" w:rsidP="00D1590E">
      <w:pPr>
        <w:pStyle w:val="FootnoteText"/>
      </w:pPr>
      <w:r>
        <w:rPr>
          <w:rStyle w:val="FootnoteReference"/>
        </w:rPr>
        <w:footnoteRef/>
      </w:r>
      <w:r>
        <w:t xml:space="preserve"> </w:t>
      </w:r>
      <w:r>
        <w:tab/>
        <w:t>CitiPower and Powercor, Response to information request on vegetation management responsibility, 17 February 2015, p. 1.</w:t>
      </w:r>
    </w:p>
  </w:footnote>
  <w:footnote w:id="825">
    <w:p w:rsidR="00224E75" w:rsidRDefault="00224E75" w:rsidP="00D1590E">
      <w:pPr>
        <w:pStyle w:val="FootnoteText"/>
      </w:pPr>
      <w:r>
        <w:rPr>
          <w:rStyle w:val="FootnoteReference"/>
        </w:rPr>
        <w:footnoteRef/>
      </w:r>
      <w:r>
        <w:t xml:space="preserve"> </w:t>
      </w:r>
      <w:r>
        <w:tab/>
        <w:t>AusNet Services, Response to information request on vegetation management responsibility, 16 February 2015, p. 1.</w:t>
      </w:r>
    </w:p>
  </w:footnote>
  <w:footnote w:id="826">
    <w:p w:rsidR="00224E75" w:rsidRDefault="00224E75" w:rsidP="00D1590E">
      <w:pPr>
        <w:pStyle w:val="FootnoteText"/>
      </w:pPr>
      <w:r>
        <w:rPr>
          <w:rStyle w:val="FootnoteReference"/>
        </w:rPr>
        <w:footnoteRef/>
      </w:r>
      <w:r>
        <w:t xml:space="preserve"> </w:t>
      </w:r>
      <w:r>
        <w:tab/>
        <w:t>SA Power Networks, Response to information request AER SAPN 021, 13 February 2015, p. 4.</w:t>
      </w:r>
    </w:p>
  </w:footnote>
  <w:footnote w:id="827">
    <w:p w:rsidR="00224E75" w:rsidRDefault="00224E75" w:rsidP="00D1590E">
      <w:pPr>
        <w:pStyle w:val="FootnoteText"/>
      </w:pPr>
      <w:r>
        <w:rPr>
          <w:rStyle w:val="FootnoteReference"/>
        </w:rPr>
        <w:footnoteRef/>
      </w:r>
      <w:r>
        <w:t xml:space="preserve"> </w:t>
      </w:r>
      <w:r>
        <w:tab/>
        <w:t>National Approach to Traffic Control at Work Sites, Publication no: AP-R337/09, Austroads 2009, p1</w:t>
      </w:r>
    </w:p>
  </w:footnote>
  <w:footnote w:id="828">
    <w:p w:rsidR="00224E75" w:rsidRDefault="00224E75" w:rsidP="00D1590E">
      <w:pPr>
        <w:pStyle w:val="FootnoteText"/>
      </w:pPr>
      <w:r>
        <w:rPr>
          <w:rStyle w:val="FootnoteReference"/>
        </w:rPr>
        <w:footnoteRef/>
      </w:r>
      <w:r>
        <w:t xml:space="preserve"> </w:t>
      </w:r>
      <w:r>
        <w:tab/>
      </w:r>
      <w:r w:rsidRPr="0035756B">
        <w:t>Advisian, Opex Cost Drivers: ActewAGL Distribution Electricity (ACT),</w:t>
      </w:r>
      <w:r>
        <w:t xml:space="preserve"> 16 January 2015, pp. 83-86</w:t>
      </w:r>
      <w:r w:rsidRPr="0035756B">
        <w:t>.</w:t>
      </w:r>
    </w:p>
  </w:footnote>
  <w:footnote w:id="829">
    <w:p w:rsidR="00224E75" w:rsidRDefault="00224E75" w:rsidP="00D1590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30">
    <w:p w:rsidR="00224E75" w:rsidRDefault="00224E75" w:rsidP="00D1590E">
      <w:pPr>
        <w:pStyle w:val="FootnoteText"/>
      </w:pPr>
      <w:r>
        <w:rPr>
          <w:rStyle w:val="FootnoteReference"/>
        </w:rPr>
        <w:footnoteRef/>
      </w:r>
      <w:r>
        <w:t xml:space="preserve"> </w:t>
      </w:r>
      <w:r>
        <w:tab/>
        <w:t>Energy Market Consulting Associates, Relationship between Opex and Customer density for Sparse Rural Networks, 2.3.2 Routine and Non Routine Maintenance., April 2015.</w:t>
      </w:r>
    </w:p>
  </w:footnote>
  <w:footnote w:id="831">
    <w:p w:rsidR="00224E75" w:rsidRDefault="00224E75" w:rsidP="00D1590E">
      <w:pPr>
        <w:pStyle w:val="FootnoteText"/>
      </w:pPr>
      <w:r>
        <w:rPr>
          <w:rStyle w:val="FootnoteReference"/>
        </w:rPr>
        <w:footnoteRef/>
      </w:r>
      <w:r>
        <w:t xml:space="preserve"> </w:t>
      </w:r>
      <w:r>
        <w:tab/>
        <w:t>Energy Market Consulting Associates, Relationship between Opex and Customer density for Sparse Rural Networks, 2.3.4 Emergency Response., April 2015.</w:t>
      </w:r>
    </w:p>
  </w:footnote>
  <w:footnote w:id="832">
    <w:p w:rsidR="00224E75" w:rsidRDefault="00224E75" w:rsidP="00D1590E">
      <w:pPr>
        <w:pStyle w:val="FootnoteText"/>
      </w:pPr>
      <w:r>
        <w:rPr>
          <w:rStyle w:val="FootnoteReference"/>
        </w:rPr>
        <w:footnoteRef/>
      </w:r>
      <w:r>
        <w:t xml:space="preserve"> </w:t>
      </w:r>
      <w:r>
        <w:tab/>
        <w:t xml:space="preserve">AER, Draft Decision NSW distribution network service providers, November 2014  pp.128-129. </w:t>
      </w:r>
    </w:p>
  </w:footnote>
  <w:footnote w:id="833">
    <w:p w:rsidR="00224E75" w:rsidRDefault="00224E75" w:rsidP="00D1590E">
      <w:pPr>
        <w:pStyle w:val="FootnoteText"/>
      </w:pPr>
      <w:r>
        <w:rPr>
          <w:rStyle w:val="FootnoteReference"/>
        </w:rPr>
        <w:footnoteRef/>
      </w:r>
      <w:r>
        <w:t xml:space="preserve"> </w:t>
      </w:r>
      <w:r>
        <w:tab/>
        <w:t>Advisian, Review of AER benchmarking: Networks NSW, 16 January 2015, pp. 73-74.</w:t>
      </w:r>
    </w:p>
  </w:footnote>
  <w:footnote w:id="834">
    <w:p w:rsidR="00224E75" w:rsidRDefault="00224E75" w:rsidP="00D1590E">
      <w:pPr>
        <w:pStyle w:val="FootnoteText"/>
      </w:pPr>
      <w:r>
        <w:rPr>
          <w:rStyle w:val="FootnoteReference"/>
        </w:rPr>
        <w:footnoteRef/>
      </w:r>
      <w:r>
        <w:t xml:space="preserve"> </w:t>
      </w:r>
      <w:r>
        <w:tab/>
        <w:t>Ausgrid, Revised Proposal, 20 January 2015, pp. 96-97.</w:t>
      </w:r>
    </w:p>
  </w:footnote>
  <w:footnote w:id="835">
    <w:p w:rsidR="00224E75" w:rsidRDefault="00224E75" w:rsidP="00D1590E">
      <w:pPr>
        <w:pStyle w:val="FootnoteText"/>
      </w:pPr>
      <w:r>
        <w:rPr>
          <w:rStyle w:val="FootnoteReference"/>
        </w:rPr>
        <w:footnoteRef/>
      </w:r>
      <w:r>
        <w:t xml:space="preserve"> </w:t>
      </w:r>
      <w:r>
        <w:tab/>
        <w:t>Essential Energy, Revised Proposal, 20 January, p. 186.</w:t>
      </w:r>
    </w:p>
  </w:footnote>
  <w:footnote w:id="836">
    <w:p w:rsidR="00224E75" w:rsidRDefault="00224E75" w:rsidP="00D1590E">
      <w:pPr>
        <w:pStyle w:val="FootnoteText"/>
      </w:pPr>
      <w:r>
        <w:rPr>
          <w:rStyle w:val="FootnoteReference"/>
        </w:rPr>
        <w:footnoteRef/>
      </w:r>
      <w:r>
        <w:t xml:space="preserve"> </w:t>
      </w:r>
      <w:r>
        <w:tab/>
        <w:t>Advisian, Review of AER benchmarking: Networks NSW, 16 January 2015, p. 75.</w:t>
      </w:r>
    </w:p>
  </w:footnote>
  <w:footnote w:id="837">
    <w:p w:rsidR="00224E75" w:rsidRDefault="00224E75" w:rsidP="00D1590E">
      <w:pPr>
        <w:pStyle w:val="FootnoteText"/>
      </w:pPr>
      <w:r>
        <w:rPr>
          <w:rStyle w:val="FootnoteReference"/>
        </w:rPr>
        <w:footnoteRef/>
      </w:r>
      <w:r>
        <w:t xml:space="preserve"> </w:t>
      </w:r>
      <w:r>
        <w:tab/>
        <w:t>Jacobs, Networks NSW - Draft Determination Review: System Capex &amp; Maintenance Prudency Assessment, 15 January 2015, Appendix B.</w:t>
      </w:r>
    </w:p>
  </w:footnote>
  <w:footnote w:id="838">
    <w:p w:rsidR="00224E75" w:rsidRDefault="00224E75" w:rsidP="00D1590E">
      <w:pPr>
        <w:pStyle w:val="FootnoteText"/>
      </w:pPr>
      <w:r>
        <w:rPr>
          <w:rStyle w:val="FootnoteReference"/>
        </w:rPr>
        <w:footnoteRef/>
      </w:r>
      <w:r>
        <w:t xml:space="preserve"> </w:t>
      </w:r>
      <w:r>
        <w:tab/>
        <w:t>Advisian, Review of AER benchmarking: Networks NSW, 16 January 2015, pp. 41-54.</w:t>
      </w:r>
    </w:p>
  </w:footnote>
  <w:footnote w:id="839">
    <w:p w:rsidR="00224E75" w:rsidRDefault="00224E75" w:rsidP="00D1590E">
      <w:pPr>
        <w:pStyle w:val="FootnoteText"/>
      </w:pPr>
      <w:r>
        <w:rPr>
          <w:rStyle w:val="FootnoteReference"/>
        </w:rPr>
        <w:footnoteRef/>
      </w:r>
      <w:r>
        <w:t xml:space="preserve"> </w:t>
      </w:r>
      <w:r>
        <w:tab/>
        <w:t>Advisian, Opex Cost Drivers: ActewAGL Distribution Electricity (ACT), 16 January 2015, pp. 45 -59.</w:t>
      </w:r>
    </w:p>
  </w:footnote>
  <w:footnote w:id="840">
    <w:p w:rsidR="00224E75" w:rsidRDefault="00224E75" w:rsidP="00D1590E">
      <w:pPr>
        <w:pStyle w:val="FootnoteText"/>
      </w:pPr>
      <w:r>
        <w:rPr>
          <w:rStyle w:val="FootnoteReference"/>
        </w:rPr>
        <w:footnoteRef/>
      </w:r>
      <w:r>
        <w:t xml:space="preserve"> </w:t>
      </w:r>
      <w:r>
        <w:tab/>
        <w:t>Trevor Armstrong, Statement of Trevor Armstrong Chief Operating Officer Ausgrid, 19 January 2015, pp. 31.</w:t>
      </w:r>
    </w:p>
  </w:footnote>
  <w:footnote w:id="841">
    <w:p w:rsidR="00224E75" w:rsidRDefault="00224E75" w:rsidP="00D1590E">
      <w:pPr>
        <w:pStyle w:val="FootnoteText"/>
      </w:pPr>
      <w:r>
        <w:rPr>
          <w:rStyle w:val="FootnoteReference"/>
        </w:rPr>
        <w:footnoteRef/>
      </w:r>
      <w:r>
        <w:t xml:space="preserve"> </w:t>
      </w:r>
      <w:r>
        <w:tab/>
        <w:t>Gary Humphreys, Statement of Gary Humphries Chief Operating Officer Essential Energy, 19 January 2015, p. 4</w:t>
      </w:r>
    </w:p>
  </w:footnote>
  <w:footnote w:id="842">
    <w:p w:rsidR="00224E75" w:rsidRDefault="00224E75" w:rsidP="00D1590E">
      <w:pPr>
        <w:pStyle w:val="FootnoteText"/>
      </w:pPr>
      <w:r>
        <w:rPr>
          <w:rStyle w:val="FootnoteReference"/>
        </w:rPr>
        <w:footnoteRef/>
      </w:r>
      <w:r>
        <w:t xml:space="preserve"> </w:t>
      </w:r>
      <w:r>
        <w:tab/>
        <w:t xml:space="preserve">CEPA, </w:t>
      </w:r>
      <w:r w:rsidR="00731E65" w:rsidRPr="00731E65">
        <w:t>Benchmarking and setting efficiency targets for the Australian DNSPs, (</w:t>
      </w:r>
      <w:r w:rsidR="00647A95">
        <w:t>ActewAGL</w:t>
      </w:r>
      <w:r w:rsidR="00731E65" w:rsidRPr="00731E65">
        <w:t>), 2015,</w:t>
      </w:r>
      <w:r>
        <w:t xml:space="preserve"> p. iv-5.</w:t>
      </w:r>
    </w:p>
  </w:footnote>
  <w:footnote w:id="843">
    <w:p w:rsidR="00224E75" w:rsidRDefault="00224E75" w:rsidP="00D1590E">
      <w:pPr>
        <w:pStyle w:val="FootnoteText"/>
      </w:pPr>
      <w:r>
        <w:rPr>
          <w:rStyle w:val="FootnoteReference"/>
        </w:rPr>
        <w:footnoteRef/>
      </w:r>
      <w:r>
        <w:t xml:space="preserve"> </w:t>
      </w:r>
      <w:r>
        <w:tab/>
        <w:t>Advisian, Review of AER benchmarking: Networks NSW, 16 January 2015, p. 44.</w:t>
      </w:r>
    </w:p>
  </w:footnote>
  <w:footnote w:id="844">
    <w:p w:rsidR="00224E75" w:rsidRDefault="00224E75" w:rsidP="00D1590E">
      <w:pPr>
        <w:pStyle w:val="FootnoteText"/>
      </w:pPr>
      <w:r>
        <w:rPr>
          <w:rStyle w:val="FootnoteReference"/>
        </w:rPr>
        <w:footnoteRef/>
      </w:r>
      <w:r>
        <w:t xml:space="preserve"> </w:t>
      </w:r>
      <w:r>
        <w:tab/>
        <w:t>Advisian, Opex Cost Drivers: ActewAGL Distribution Electricity (ACT), 16 January 2015, pp. 51 -57.</w:t>
      </w:r>
    </w:p>
  </w:footnote>
  <w:footnote w:id="845">
    <w:p w:rsidR="00224E75" w:rsidRDefault="00224E75" w:rsidP="00D1590E">
      <w:pPr>
        <w:pStyle w:val="FootnoteText"/>
      </w:pPr>
      <w:r>
        <w:rPr>
          <w:rStyle w:val="FootnoteReference"/>
        </w:rPr>
        <w:footnoteRef/>
      </w:r>
      <w:r>
        <w:t xml:space="preserve"> </w:t>
      </w:r>
      <w:r>
        <w:tab/>
        <w:t>Advisian, Opex Cost Drivers: ActewAGL Distribution Electricity (ACT), 16 January 2015, pp. 51 -57.</w:t>
      </w:r>
    </w:p>
  </w:footnote>
  <w:footnote w:id="846">
    <w:p w:rsidR="00224E75" w:rsidRDefault="00224E75" w:rsidP="00D1590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47">
    <w:p w:rsidR="00224E75" w:rsidRDefault="00224E75" w:rsidP="00D1590E">
      <w:pPr>
        <w:pStyle w:val="FootnoteText"/>
      </w:pPr>
      <w:r>
        <w:rPr>
          <w:rStyle w:val="FootnoteReference"/>
        </w:rPr>
        <w:footnoteRef/>
      </w:r>
      <w:r>
        <w:t xml:space="preserve"> </w:t>
      </w:r>
      <w:r>
        <w:tab/>
        <w:t>Ofgem, RIIO-ED1: Glossary of terms, 2014, p. 6.</w:t>
      </w:r>
    </w:p>
  </w:footnote>
  <w:footnote w:id="848">
    <w:p w:rsidR="00224E75" w:rsidRDefault="00224E75" w:rsidP="00D1590E">
      <w:pPr>
        <w:pStyle w:val="FootnoteText"/>
      </w:pPr>
      <w:r>
        <w:rPr>
          <w:rStyle w:val="FootnoteReference"/>
        </w:rPr>
        <w:footnoteRef/>
      </w:r>
      <w:r>
        <w:t xml:space="preserve"> </w:t>
      </w:r>
      <w:r>
        <w:tab/>
        <w:t>Ofgem, RIIO-ED1: Final determinations for the slow-track electricity distribution companies: Business plan expenditure assessment, 28 November, 2014, p. 99-100.</w:t>
      </w:r>
    </w:p>
  </w:footnote>
  <w:footnote w:id="849">
    <w:p w:rsidR="00224E75" w:rsidRDefault="00224E75" w:rsidP="00D1590E">
      <w:pPr>
        <w:pStyle w:val="FootnoteText"/>
      </w:pPr>
      <w:r>
        <w:rPr>
          <w:rStyle w:val="FootnoteReference"/>
        </w:rPr>
        <w:footnoteRef/>
      </w:r>
      <w:r>
        <w:t xml:space="preserve"> </w:t>
      </w:r>
      <w:r>
        <w:tab/>
        <w:t>Seconomics, National Grid Requirements, 31 January 2013, p. 40.</w:t>
      </w:r>
    </w:p>
  </w:footnote>
  <w:footnote w:id="850">
    <w:p w:rsidR="00224E75" w:rsidRDefault="00224E75" w:rsidP="00D1590E">
      <w:pPr>
        <w:pStyle w:val="FootnoteText"/>
      </w:pPr>
      <w:r>
        <w:rPr>
          <w:rStyle w:val="FootnoteReference"/>
        </w:rPr>
        <w:footnoteRef/>
      </w:r>
      <w:r>
        <w:t xml:space="preserve"> </w:t>
      </w:r>
      <w:r>
        <w:tab/>
        <w:t>ActewAGL, Regulatory Proposal, June 2008, p. 64.</w:t>
      </w:r>
    </w:p>
  </w:footnote>
  <w:footnote w:id="851">
    <w:p w:rsidR="00224E75" w:rsidRDefault="00224E75" w:rsidP="00D1590E">
      <w:pPr>
        <w:pStyle w:val="FootnoteText"/>
      </w:pPr>
      <w:r>
        <w:rPr>
          <w:rStyle w:val="FootnoteReference"/>
        </w:rPr>
        <w:footnoteRef/>
      </w:r>
      <w:r>
        <w:t xml:space="preserve"> </w:t>
      </w:r>
      <w:r>
        <w:tab/>
        <w:t>Advisian, Review of AER benchmarking: Networks NSW, 16 January 2015, pp. 41 -49.</w:t>
      </w:r>
    </w:p>
  </w:footnote>
  <w:footnote w:id="852">
    <w:p w:rsidR="00224E75" w:rsidRDefault="00224E75" w:rsidP="00D1590E">
      <w:pPr>
        <w:pStyle w:val="FootnoteText"/>
      </w:pPr>
      <w:r>
        <w:rPr>
          <w:rStyle w:val="FootnoteReference"/>
        </w:rPr>
        <w:footnoteRef/>
      </w:r>
      <w:r>
        <w:t xml:space="preserve"> </w:t>
      </w:r>
      <w:r>
        <w:tab/>
        <w:t>Category Analysis RIN responses, template 2.8.</w:t>
      </w:r>
    </w:p>
  </w:footnote>
  <w:footnote w:id="853">
    <w:p w:rsidR="00224E75" w:rsidRDefault="00224E75" w:rsidP="00D1590E">
      <w:pPr>
        <w:pStyle w:val="FootnoteText"/>
      </w:pPr>
      <w:r>
        <w:rPr>
          <w:rStyle w:val="FootnoteReference"/>
        </w:rPr>
        <w:footnoteRef/>
      </w:r>
      <w:r>
        <w:t xml:space="preserve"> </w:t>
      </w:r>
      <w:r>
        <w:tab/>
        <w:t>Economic Benchmarking RIN response, template 6. Physical assets.</w:t>
      </w:r>
    </w:p>
  </w:footnote>
  <w:footnote w:id="854">
    <w:p w:rsidR="00224E75" w:rsidRDefault="00224E75" w:rsidP="00D1590E">
      <w:pPr>
        <w:pStyle w:val="FootnoteText"/>
      </w:pPr>
      <w:r>
        <w:rPr>
          <w:rStyle w:val="FootnoteReference"/>
        </w:rPr>
        <w:footnoteRef/>
      </w:r>
      <w:r>
        <w:t xml:space="preserve"> </w:t>
      </w:r>
      <w:r>
        <w:tab/>
        <w:t>Economic Benchmarking RIN responses, template 6. Physical assets.</w:t>
      </w:r>
    </w:p>
  </w:footnote>
  <w:footnote w:id="855">
    <w:p w:rsidR="00224E75" w:rsidRDefault="00224E75" w:rsidP="00D1590E">
      <w:pPr>
        <w:pStyle w:val="FootnoteText"/>
      </w:pPr>
      <w:r>
        <w:rPr>
          <w:rStyle w:val="FootnoteReference"/>
        </w:rPr>
        <w:footnoteRef/>
      </w:r>
      <w:r>
        <w:t xml:space="preserve"> </w:t>
      </w:r>
      <w:r>
        <w:tab/>
        <w:t>Ergon Energy, AER information request AER Ergon 002, 17 December 2014, p. 14.</w:t>
      </w:r>
    </w:p>
  </w:footnote>
  <w:footnote w:id="856">
    <w:p w:rsidR="00224E75" w:rsidRDefault="00224E75" w:rsidP="00D1590E">
      <w:pPr>
        <w:pStyle w:val="FootnoteText"/>
      </w:pPr>
      <w:r>
        <w:rPr>
          <w:rStyle w:val="FootnoteReference"/>
        </w:rPr>
        <w:footnoteRef/>
      </w:r>
      <w:r>
        <w:t xml:space="preserve"> </w:t>
      </w:r>
      <w:r>
        <w:tab/>
        <w:t>Ergon Energy, Response to information request AER Ergon 02, 17 December 2014, p. 13.</w:t>
      </w:r>
    </w:p>
  </w:footnote>
  <w:footnote w:id="857">
    <w:p w:rsidR="00224E75" w:rsidRDefault="00224E75" w:rsidP="00D1590E">
      <w:pPr>
        <w:pStyle w:val="FootnoteText"/>
      </w:pPr>
      <w:r>
        <w:rPr>
          <w:rStyle w:val="FootnoteReference"/>
        </w:rPr>
        <w:footnoteRef/>
      </w:r>
      <w:r>
        <w:t xml:space="preserve"> </w:t>
      </w:r>
      <w:r>
        <w:tab/>
        <w:t>Ergon Energy, Response to information request AER Ergon 018(3), 30 January 2015, p. 7.</w:t>
      </w:r>
    </w:p>
  </w:footnote>
  <w:footnote w:id="858">
    <w:p w:rsidR="00224E75" w:rsidRDefault="00224E75" w:rsidP="00D1590E">
      <w:pPr>
        <w:pStyle w:val="FootnoteText"/>
      </w:pPr>
      <w:r>
        <w:rPr>
          <w:rStyle w:val="FootnoteReference"/>
        </w:rPr>
        <w:footnoteRef/>
      </w:r>
      <w:r>
        <w:t xml:space="preserve"> </w:t>
      </w:r>
      <w:r>
        <w:tab/>
        <w:t>Economic Benchmarking RIN.</w:t>
      </w:r>
    </w:p>
  </w:footnote>
  <w:footnote w:id="859">
    <w:p w:rsidR="00224E75" w:rsidRDefault="00224E75" w:rsidP="00D1590E">
      <w:pPr>
        <w:pStyle w:val="FootnoteText"/>
      </w:pPr>
      <w:r>
        <w:rPr>
          <w:rStyle w:val="FootnoteReference"/>
        </w:rPr>
        <w:footnoteRef/>
      </w:r>
      <w:r>
        <w:t xml:space="preserve"> </w:t>
      </w:r>
      <w:r>
        <w:tab/>
        <w:t>Ergon Energy, Response to information request AER Ergon 018(3), 30 January 2015, p. 7.</w:t>
      </w:r>
    </w:p>
  </w:footnote>
  <w:footnote w:id="860">
    <w:p w:rsidR="00224E75" w:rsidRDefault="00224E75" w:rsidP="00D1590E">
      <w:pPr>
        <w:pStyle w:val="FootnoteText"/>
      </w:pPr>
      <w:r>
        <w:rPr>
          <w:rStyle w:val="FootnoteReference"/>
        </w:rPr>
        <w:footnoteRef/>
      </w:r>
      <w:r>
        <w:t xml:space="preserve"> </w:t>
      </w:r>
      <w:r>
        <w:tab/>
        <w:t>Ergon Energy, Economic Benchmarking RIN responses, 2013 and 2014, Template 8. Operating Environment.</w:t>
      </w:r>
    </w:p>
  </w:footnote>
  <w:footnote w:id="861">
    <w:p w:rsidR="00224E75" w:rsidRDefault="00224E75" w:rsidP="00D1590E">
      <w:pPr>
        <w:pStyle w:val="FootnoteText"/>
      </w:pPr>
      <w:r>
        <w:rPr>
          <w:rStyle w:val="FootnoteReference"/>
        </w:rPr>
        <w:footnoteRef/>
      </w:r>
      <w:r>
        <w:t xml:space="preserve"> </w:t>
      </w:r>
      <w:r>
        <w:tab/>
        <w:t>Essential Energy, Revised Proposal: Attachment 7.4, p. 25.</w:t>
      </w:r>
    </w:p>
  </w:footnote>
  <w:footnote w:id="862">
    <w:p w:rsidR="00224E75" w:rsidRDefault="00224E75" w:rsidP="00D1590E">
      <w:pPr>
        <w:pStyle w:val="FootnoteText"/>
      </w:pPr>
      <w:r>
        <w:rPr>
          <w:rStyle w:val="FootnoteReference"/>
        </w:rPr>
        <w:footnoteRef/>
      </w:r>
      <w:r>
        <w:t xml:space="preserve"> </w:t>
      </w:r>
      <w:r>
        <w:tab/>
        <w:t>Stewart Smith, Electricity and Privatisation, NSW Parliamentary library research service,1997, p. 3.</w:t>
      </w:r>
    </w:p>
  </w:footnote>
  <w:footnote w:id="863">
    <w:p w:rsidR="00224E75" w:rsidRDefault="00224E75" w:rsidP="00D1590E">
      <w:pPr>
        <w:pStyle w:val="FootnoteText"/>
      </w:pPr>
      <w:r>
        <w:rPr>
          <w:rStyle w:val="FootnoteReference"/>
        </w:rPr>
        <w:footnoteRef/>
      </w:r>
      <w:r>
        <w:t xml:space="preserve"> </w:t>
      </w:r>
      <w:r>
        <w:tab/>
        <w:t>Victorian Government, Victorian Government Gazette, No 54 1961, 3 July 1961.</w:t>
      </w:r>
    </w:p>
  </w:footnote>
  <w:footnote w:id="864">
    <w:p w:rsidR="00224E75" w:rsidRDefault="00224E75" w:rsidP="00D1590E">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 113.</w:t>
      </w:r>
    </w:p>
  </w:footnote>
  <w:footnote w:id="865">
    <w:p w:rsidR="00224E75" w:rsidRDefault="00224E75" w:rsidP="00D1590E">
      <w:pPr>
        <w:pStyle w:val="FootnoteText"/>
      </w:pPr>
      <w:r>
        <w:rPr>
          <w:rStyle w:val="FootnoteReference"/>
        </w:rPr>
        <w:footnoteRef/>
      </w:r>
      <w:r>
        <w:t xml:space="preserve"> </w:t>
      </w:r>
      <w:r>
        <w:tab/>
        <w:t>Advisian, Review of AER benchmarking: Networks NSW, 16 January 2015, p. 46</w:t>
      </w:r>
    </w:p>
  </w:footnote>
  <w:footnote w:id="866">
    <w:p w:rsidR="00224E75" w:rsidRDefault="00224E75" w:rsidP="00D1590E">
      <w:pPr>
        <w:pStyle w:val="FootnoteText"/>
      </w:pPr>
      <w:r>
        <w:rPr>
          <w:rStyle w:val="FootnoteReference"/>
        </w:rPr>
        <w:footnoteRef/>
      </w:r>
      <w:r>
        <w:t xml:space="preserve"> </w:t>
      </w:r>
      <w:r>
        <w:tab/>
        <w:t>Essential Energy, Revised Proposal: Attachment 7.4, 20 January 2015, p. 32.</w:t>
      </w:r>
    </w:p>
  </w:footnote>
  <w:footnote w:id="867">
    <w:p w:rsidR="00224E75" w:rsidRDefault="00224E75" w:rsidP="00D1590E">
      <w:pPr>
        <w:pStyle w:val="FootnoteText"/>
      </w:pPr>
      <w:r>
        <w:rPr>
          <w:rStyle w:val="FootnoteReference"/>
        </w:rPr>
        <w:footnoteRef/>
      </w:r>
      <w:r>
        <w:t xml:space="preserve"> </w:t>
      </w:r>
      <w:r>
        <w:tab/>
        <w:t>Ofgem, RIIO-ED1: Glossary of terms, 2014, p. 23.</w:t>
      </w:r>
    </w:p>
  </w:footnote>
  <w:footnote w:id="868">
    <w:p w:rsidR="00224E75" w:rsidRDefault="00224E75" w:rsidP="00D1590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69">
    <w:p w:rsidR="00224E75" w:rsidRDefault="00224E75" w:rsidP="00D1590E">
      <w:pPr>
        <w:pStyle w:val="FootnoteText"/>
      </w:pPr>
      <w:r>
        <w:rPr>
          <w:rStyle w:val="FootnoteReference"/>
        </w:rPr>
        <w:footnoteRef/>
      </w:r>
      <w:r>
        <w:t xml:space="preserve"> </w:t>
      </w:r>
      <w:r>
        <w:tab/>
        <w:t>SP Energy Networks, SP Energy Networks 2015-2023 Business Plan: Annex Rising Mains and Laterals Strategy, March 2014, pp. 3-4.</w:t>
      </w:r>
    </w:p>
  </w:footnote>
  <w:footnote w:id="870">
    <w:p w:rsidR="00224E75" w:rsidRDefault="00224E75" w:rsidP="00D1590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71">
    <w:p w:rsidR="00224E75" w:rsidRDefault="00224E75" w:rsidP="00D1590E">
      <w:pPr>
        <w:pStyle w:val="FootnoteText"/>
      </w:pPr>
      <w:r>
        <w:rPr>
          <w:rStyle w:val="FootnoteReference"/>
        </w:rPr>
        <w:footnoteRef/>
      </w:r>
      <w:r>
        <w:t xml:space="preserve"> </w:t>
      </w:r>
      <w:r>
        <w:tab/>
        <w:t xml:space="preserve">Energex, Response to information request AER EGX 001 Question A, </w:t>
      </w:r>
      <w:r w:rsidRPr="0006722B">
        <w:t>17 December 2014</w:t>
      </w:r>
      <w:r>
        <w:t>, p. 9.</w:t>
      </w:r>
    </w:p>
  </w:footnote>
  <w:footnote w:id="872">
    <w:p w:rsidR="00224E75" w:rsidRDefault="00224E75" w:rsidP="00D1590E">
      <w:pPr>
        <w:pStyle w:val="FootnoteText"/>
      </w:pPr>
      <w:r>
        <w:rPr>
          <w:rStyle w:val="FootnoteReference"/>
        </w:rPr>
        <w:footnoteRef/>
      </w:r>
      <w:r>
        <w:t xml:space="preserve"> </w:t>
      </w:r>
      <w:r>
        <w:tab/>
        <w:t xml:space="preserve">Clean Energy Regulator, Small-scale installations by postcode, available at: </w:t>
      </w:r>
      <w:hyperlink r:id="rId13" w:history="1">
        <w:r w:rsidRPr="00694740">
          <w:rPr>
            <w:rStyle w:val="Hyperlink"/>
            <w:sz w:val="16"/>
          </w:rPr>
          <w:t>http://ret.cleanenergyregulator.gov.au/REC-Registry/Data-reports</w:t>
        </w:r>
      </w:hyperlink>
      <w:r>
        <w:t xml:space="preserve"> [last accessed 31 March 2015].</w:t>
      </w:r>
    </w:p>
  </w:footnote>
  <w:footnote w:id="873">
    <w:p w:rsidR="00224E75" w:rsidRDefault="00224E75" w:rsidP="00D1590E">
      <w:pPr>
        <w:pStyle w:val="FootnoteText"/>
      </w:pPr>
      <w:r>
        <w:rPr>
          <w:rStyle w:val="FootnoteReference"/>
        </w:rPr>
        <w:footnoteRef/>
      </w:r>
      <w:r>
        <w:t xml:space="preserve"> </w:t>
      </w:r>
      <w:r>
        <w:tab/>
        <w:t>Advisian, Review of AER benchmarking: Networks NSW, 16 January 2015, pp. 46 -49.</w:t>
      </w:r>
    </w:p>
  </w:footnote>
  <w:footnote w:id="874">
    <w:p w:rsidR="00224E75" w:rsidRDefault="00224E75" w:rsidP="00D1590E">
      <w:pPr>
        <w:pStyle w:val="FootnoteText"/>
      </w:pPr>
      <w:r>
        <w:rPr>
          <w:rStyle w:val="FootnoteReference"/>
        </w:rPr>
        <w:footnoteRef/>
      </w:r>
      <w:r>
        <w:t xml:space="preserve"> </w:t>
      </w:r>
      <w:r>
        <w:tab/>
        <w:t>Advisian, Opex Cost Drivers: ActewAGL Distribution Electricity (ACT), 16 January 2015, pp. 52 -55.</w:t>
      </w:r>
    </w:p>
  </w:footnote>
  <w:footnote w:id="875">
    <w:p w:rsidR="00224E75" w:rsidRPr="003579AA" w:rsidRDefault="00224E75" w:rsidP="00D1590E">
      <w:pPr>
        <w:pStyle w:val="FootnoteText"/>
      </w:pPr>
      <w:r>
        <w:rPr>
          <w:rStyle w:val="FootnoteReference"/>
        </w:rPr>
        <w:footnoteRef/>
      </w:r>
      <w:r>
        <w:t xml:space="preserve"> </w:t>
      </w:r>
      <w:r>
        <w:tab/>
      </w:r>
      <w:r w:rsidRPr="003579AA">
        <w:t>Frontier Economics,</w:t>
      </w:r>
      <w:r>
        <w:t xml:space="preserve"> </w:t>
      </w:r>
      <w:r w:rsidRPr="003579AA">
        <w:t>Taking account of heterogeneity between networks when conducting economic benchmarking analysis</w:t>
      </w:r>
      <w:r>
        <w:t>, February 2015, pp. 38-39</w:t>
      </w:r>
    </w:p>
  </w:footnote>
  <w:footnote w:id="876">
    <w:p w:rsidR="00224E75" w:rsidRDefault="00224E75" w:rsidP="00D1590E">
      <w:pPr>
        <w:pStyle w:val="FootnoteText"/>
      </w:pPr>
      <w:r>
        <w:rPr>
          <w:rStyle w:val="FootnoteReference"/>
        </w:rPr>
        <w:footnoteRef/>
      </w:r>
      <w:r>
        <w:t xml:space="preserve"> </w:t>
      </w:r>
      <w:r>
        <w:tab/>
      </w:r>
      <w:r w:rsidRPr="00A83CDC">
        <w:t xml:space="preserve">David Newbery, Cambridge Economic Policy </w:t>
      </w:r>
      <w:r w:rsidRPr="00B546AE">
        <w:t>Associates</w:t>
      </w:r>
      <w:r w:rsidRPr="00A83CDC">
        <w:t>: Expert report, January 2015</w:t>
      </w:r>
      <w:r>
        <w:t xml:space="preserve"> p</w:t>
      </w:r>
      <w:r w:rsidRPr="00A83CDC">
        <w:t>. 18.</w:t>
      </w:r>
    </w:p>
  </w:footnote>
  <w:footnote w:id="877">
    <w:p w:rsidR="00224E75" w:rsidRDefault="00224E75" w:rsidP="00D1590E">
      <w:pPr>
        <w:pStyle w:val="FootnoteText"/>
      </w:pPr>
      <w:r>
        <w:rPr>
          <w:rStyle w:val="FootnoteReference"/>
        </w:rPr>
        <w:footnoteRef/>
      </w:r>
      <w:r>
        <w:t xml:space="preserve"> </w:t>
      </w:r>
      <w:r>
        <w:tab/>
      </w:r>
      <w:r w:rsidRPr="0025588C">
        <w:t>Economic Insights</w:t>
      </w:r>
      <w:r>
        <w:t>, April 2015, p. vii.</w:t>
      </w:r>
    </w:p>
  </w:footnote>
  <w:footnote w:id="878">
    <w:p w:rsidR="00224E75" w:rsidRPr="005542F1" w:rsidRDefault="00224E75" w:rsidP="00D1590E">
      <w:pPr>
        <w:pStyle w:val="FootnoteText"/>
      </w:pPr>
      <w:r>
        <w:rPr>
          <w:rStyle w:val="FootnoteReference"/>
        </w:rPr>
        <w:footnoteRef/>
      </w:r>
      <w:r>
        <w:t xml:space="preserve"> </w:t>
      </w:r>
      <w:r>
        <w:tab/>
        <w:t>Four of the 27 included New Zealand DNSPs report very short lengths of line over 66 kV.</w:t>
      </w:r>
    </w:p>
  </w:footnote>
  <w:footnote w:id="879">
    <w:p w:rsidR="00224E75" w:rsidRDefault="00224E75" w:rsidP="00D1590E">
      <w:pPr>
        <w:pStyle w:val="FootnoteText"/>
      </w:pPr>
      <w:r>
        <w:rPr>
          <w:rStyle w:val="FootnoteReference"/>
        </w:rPr>
        <w:footnoteRef/>
      </w:r>
      <w:r>
        <w:t xml:space="preserve"> </w:t>
      </w:r>
      <w:r>
        <w:tab/>
      </w:r>
      <w:r w:rsidRPr="0025588C">
        <w:t>Economic Insights</w:t>
      </w:r>
      <w:r>
        <w:t>, April 2015, p. 49.</w:t>
      </w:r>
    </w:p>
  </w:footnote>
  <w:footnote w:id="880">
    <w:p w:rsidR="00224E75" w:rsidRDefault="00224E75" w:rsidP="00D1590E">
      <w:pPr>
        <w:pStyle w:val="FootnoteText"/>
      </w:pPr>
      <w:r>
        <w:rPr>
          <w:rStyle w:val="FootnoteReference"/>
        </w:rPr>
        <w:footnoteRef/>
      </w:r>
      <w:r>
        <w:t xml:space="preserve"> </w:t>
      </w:r>
      <w:r>
        <w:tab/>
        <w:t>Energy Australia regulatory accounts financial year 2001 to financial year 2009, Category Analysis data financial year 2009 to 2013.</w:t>
      </w:r>
    </w:p>
  </w:footnote>
  <w:footnote w:id="881">
    <w:p w:rsidR="00224E75" w:rsidRDefault="00224E75" w:rsidP="00D1590E">
      <w:pPr>
        <w:pStyle w:val="FootnoteText"/>
      </w:pPr>
      <w:r>
        <w:rPr>
          <w:rStyle w:val="FootnoteReference"/>
        </w:rPr>
        <w:footnoteRef/>
      </w:r>
      <w:r>
        <w:t xml:space="preserve"> 10.5-5.3=5.2</w:t>
      </w:r>
    </w:p>
  </w:footnote>
  <w:footnote w:id="882">
    <w:p w:rsidR="00224E75" w:rsidRDefault="00224E75" w:rsidP="00D1590E">
      <w:pPr>
        <w:pStyle w:val="FootnoteText"/>
      </w:pPr>
      <w:r>
        <w:rPr>
          <w:rStyle w:val="FootnoteReference"/>
        </w:rPr>
        <w:footnoteRef/>
      </w:r>
      <w:r>
        <w:t xml:space="preserve"> 10.2-5.3=4.9</w:t>
      </w:r>
    </w:p>
  </w:footnote>
  <w:footnote w:id="883">
    <w:p w:rsidR="00224E75" w:rsidRDefault="00224E75" w:rsidP="00D1590E">
      <w:pPr>
        <w:pStyle w:val="FootnoteText"/>
      </w:pPr>
      <w:r>
        <w:rPr>
          <w:rStyle w:val="FootnoteReference"/>
        </w:rPr>
        <w:footnoteRef/>
      </w:r>
      <w:r>
        <w:t xml:space="preserve"> 8.4-5.3=3.1</w:t>
      </w:r>
    </w:p>
  </w:footnote>
  <w:footnote w:id="884">
    <w:p w:rsidR="00224E75" w:rsidRDefault="00224E75" w:rsidP="00D1590E">
      <w:pPr>
        <w:pStyle w:val="FootnoteText"/>
      </w:pPr>
      <w:r>
        <w:rPr>
          <w:rStyle w:val="FootnoteReference"/>
        </w:rPr>
        <w:footnoteRef/>
      </w:r>
      <w:r>
        <w:t xml:space="preserve"> </w:t>
      </w:r>
      <w:r>
        <w:tab/>
      </w:r>
      <w:r w:rsidRPr="009D046E">
        <w:t>Advisian, Opex Cost Drivers: ActewAGL Distribution Electricity (</w:t>
      </w:r>
      <w:r>
        <w:t>ACT), 16 January 2015, pp. 57-59</w:t>
      </w:r>
      <w:r w:rsidRPr="009D046E">
        <w:t>.</w:t>
      </w:r>
    </w:p>
  </w:footnote>
  <w:footnote w:id="885">
    <w:p w:rsidR="00224E75" w:rsidRDefault="00224E75" w:rsidP="00D1590E">
      <w:pPr>
        <w:pStyle w:val="FootnoteText"/>
      </w:pPr>
      <w:r>
        <w:rPr>
          <w:rStyle w:val="FootnoteReference"/>
        </w:rPr>
        <w:footnoteRef/>
      </w:r>
      <w:r>
        <w:t xml:space="preserve"> </w:t>
      </w:r>
      <w:r>
        <w:tab/>
      </w:r>
      <w:r w:rsidRPr="00287897">
        <w:t xml:space="preserve">Advisian, Review of AER benchmarking: Networks </w:t>
      </w:r>
      <w:r>
        <w:t>NSW, 16 January 2015, pp. 50-52</w:t>
      </w:r>
      <w:r w:rsidRPr="00287897">
        <w:t>.</w:t>
      </w:r>
    </w:p>
  </w:footnote>
  <w:footnote w:id="886">
    <w:p w:rsidR="00224E75" w:rsidRDefault="00224E75" w:rsidP="00D1590E">
      <w:pPr>
        <w:pStyle w:val="FootnoteText"/>
      </w:pPr>
      <w:r>
        <w:rPr>
          <w:rStyle w:val="FootnoteReference"/>
        </w:rPr>
        <w:footnoteRef/>
      </w:r>
      <w:r>
        <w:t xml:space="preserve"> </w:t>
      </w:r>
      <w:r>
        <w:tab/>
      </w:r>
      <w:r w:rsidRPr="00287897">
        <w:t xml:space="preserve">CEPA, </w:t>
      </w:r>
      <w:r w:rsidR="00731E65" w:rsidRPr="00731E65">
        <w:t>Benchmarking and setting efficiency target</w:t>
      </w:r>
      <w:r w:rsidR="00647A95">
        <w:t>s for the Australian DNSPs, (ActewAGL</w:t>
      </w:r>
      <w:r w:rsidR="00731E65" w:rsidRPr="00731E65">
        <w:t>), 2015,</w:t>
      </w:r>
      <w:r w:rsidRPr="00287897">
        <w:t xml:space="preserve"> p</w:t>
      </w:r>
      <w:r>
        <w:t>p. 26, 30, and 68.</w:t>
      </w:r>
    </w:p>
  </w:footnote>
  <w:footnote w:id="887">
    <w:p w:rsidR="00224E75" w:rsidRDefault="00224E75" w:rsidP="00D1590E">
      <w:pPr>
        <w:pStyle w:val="FootnoteText"/>
      </w:pPr>
      <w:r>
        <w:rPr>
          <w:rStyle w:val="FootnoteReference"/>
        </w:rPr>
        <w:footnoteRef/>
      </w:r>
      <w:r>
        <w:t xml:space="preserve"> </w:t>
      </w:r>
      <w:r>
        <w:tab/>
        <w:t>Synergies, Concerns over the AER's use of benchmarking as it might apply in its forthcoming draft decision on Ergon, January 2015,  p. 26</w:t>
      </w:r>
    </w:p>
  </w:footnote>
  <w:footnote w:id="888">
    <w:p w:rsidR="00224E75" w:rsidRDefault="00224E75" w:rsidP="00D1590E">
      <w:pPr>
        <w:pStyle w:val="FootnoteText"/>
      </w:pPr>
      <w:r>
        <w:rPr>
          <w:rStyle w:val="FootnoteReference"/>
        </w:rPr>
        <w:footnoteRef/>
      </w:r>
      <w:r>
        <w:t xml:space="preserve"> </w:t>
      </w:r>
      <w:r>
        <w:tab/>
        <w:t>Parsons Brinckerhoff, Indicative costs for replacing SWER lines, 28 August 2009, p. iv.</w:t>
      </w:r>
    </w:p>
  </w:footnote>
  <w:footnote w:id="889">
    <w:p w:rsidR="00224E75" w:rsidRDefault="00224E75" w:rsidP="00D1590E">
      <w:pPr>
        <w:pStyle w:val="FootnoteText"/>
      </w:pPr>
      <w:r>
        <w:rPr>
          <w:rStyle w:val="FootnoteReference"/>
        </w:rPr>
        <w:footnoteRef/>
      </w:r>
      <w:r>
        <w:t xml:space="preserve"> </w:t>
      </w:r>
      <w:r>
        <w:tab/>
        <w:t>The World Bank, Sub-Saharan Africa: Introducing Low-cost Methods in Electricity Distribution Networks, October 2006, p. xvi.</w:t>
      </w:r>
    </w:p>
  </w:footnote>
  <w:footnote w:id="890">
    <w:p w:rsidR="00224E75" w:rsidRDefault="00224E75" w:rsidP="00D1590E">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91">
    <w:p w:rsidR="00224E75" w:rsidRDefault="00224E75" w:rsidP="00D1590E">
      <w:pPr>
        <w:pStyle w:val="FootnoteText"/>
      </w:pPr>
      <w:r>
        <w:rPr>
          <w:rStyle w:val="FootnoteReference"/>
        </w:rPr>
        <w:footnoteRef/>
      </w:r>
      <w:r>
        <w:t xml:space="preserve"> </w:t>
      </w:r>
      <w:r>
        <w:tab/>
        <w:t>Ausgrid, Revised Regulatory Proposal, pp. 10, 151; Endeavour Energy, Revised Regulatory Proposal, pp. 9, 179; Essential Energy, Revised Regulatory Proposal, pp. 13, 191.</w:t>
      </w:r>
    </w:p>
  </w:footnote>
  <w:footnote w:id="892">
    <w:p w:rsidR="00224E75" w:rsidRDefault="00224E75" w:rsidP="00D1590E">
      <w:pPr>
        <w:pStyle w:val="FootnoteText"/>
      </w:pPr>
      <w:r>
        <w:rPr>
          <w:rStyle w:val="FootnoteReference"/>
        </w:rPr>
        <w:footnoteRef/>
      </w:r>
      <w:r>
        <w:t xml:space="preserve"> </w:t>
      </w:r>
      <w:r>
        <w:tab/>
        <w:t>For example, ActewAGL, Revised Regulatory Proposal, 2015, pp. 117,</w:t>
      </w:r>
      <w:r w:rsidRPr="0042461B">
        <w:t xml:space="preserve"> 126-129</w:t>
      </w:r>
      <w:r>
        <w:t>, Ausgrid, RRP, 2015, pp. 139–140.</w:t>
      </w:r>
    </w:p>
  </w:footnote>
  <w:footnote w:id="893">
    <w:p w:rsidR="00224E75" w:rsidRDefault="00224E75" w:rsidP="00D1590E">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 22.</w:t>
      </w:r>
    </w:p>
  </w:footnote>
  <w:footnote w:id="894">
    <w:p w:rsidR="00224E75" w:rsidRDefault="00224E75" w:rsidP="00D1590E">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895">
    <w:p w:rsidR="00224E75" w:rsidRDefault="00224E75" w:rsidP="00D1590E">
      <w:pPr>
        <w:pStyle w:val="FootnoteText"/>
      </w:pPr>
      <w:r>
        <w:rPr>
          <w:rStyle w:val="FootnoteReference"/>
        </w:rPr>
        <w:footnoteRef/>
      </w:r>
      <w:r>
        <w:t xml:space="preserve"> </w:t>
      </w:r>
      <w:r>
        <w:tab/>
      </w:r>
      <w:r w:rsidRPr="00B2272D">
        <w:t xml:space="preserve">AEMC, Final Rule Determination: National Electricity Amendment (Economic Regulation of Network Service Providers) Rule 2012, 29 November 2012, pp 10.  </w:t>
      </w:r>
    </w:p>
  </w:footnote>
  <w:footnote w:id="896">
    <w:p w:rsidR="00224E75" w:rsidRDefault="00224E75" w:rsidP="00D1590E">
      <w:pPr>
        <w:pStyle w:val="FootnoteText"/>
      </w:pPr>
      <w:r>
        <w:rPr>
          <w:rStyle w:val="FootnoteReference"/>
        </w:rPr>
        <w:footnoteRef/>
      </w:r>
      <w:r>
        <w:t xml:space="preserve"> </w:t>
      </w:r>
      <w:r>
        <w:tab/>
        <w:t>ActewAGL, Revised Regulatory Proposal, 2015, pp. 117,</w:t>
      </w:r>
      <w:r w:rsidRPr="0042461B">
        <w:t xml:space="preserve"> 126-129</w:t>
      </w:r>
      <w:r>
        <w:t>, Ausgrid, RRP, 2015, pp. 139–140.</w:t>
      </w:r>
    </w:p>
  </w:footnote>
  <w:footnote w:id="897">
    <w:p w:rsidR="00224E75" w:rsidRDefault="00224E75" w:rsidP="00D1590E">
      <w:pPr>
        <w:pStyle w:val="FootnoteText"/>
      </w:pPr>
      <w:r>
        <w:rPr>
          <w:rStyle w:val="FootnoteReference"/>
        </w:rPr>
        <w:footnoteRef/>
      </w:r>
      <w:r>
        <w:t xml:space="preserve"> </w:t>
      </w:r>
      <w:r>
        <w:tab/>
        <w:t>ActewAGL, Revised Regulatory Proposal,, 2015, p. 118.</w:t>
      </w:r>
    </w:p>
  </w:footnote>
  <w:footnote w:id="898">
    <w:p w:rsidR="00224E75" w:rsidRDefault="00224E75" w:rsidP="00D1590E">
      <w:pPr>
        <w:pStyle w:val="FootnoteText"/>
      </w:pPr>
      <w:r>
        <w:rPr>
          <w:rStyle w:val="FootnoteReference"/>
        </w:rPr>
        <w:footnoteRef/>
      </w:r>
      <w:r>
        <w:t xml:space="preserve"> </w:t>
      </w:r>
      <w:r>
        <w:tab/>
        <w:t>ActewAGL, Revised Regulatory Proposal, pp. 168-173; CEPA</w:t>
      </w:r>
      <w:r w:rsidR="00731E65">
        <w:t>,</w:t>
      </w:r>
      <w:r w:rsidR="00731E65" w:rsidRPr="00731E65">
        <w:t xml:space="preserve"> Benchmarking and setting efficiency targets for the Australian DNSPs, (ActewAGL)</w:t>
      </w:r>
      <w:r>
        <w:t>, 2015, p. 134.</w:t>
      </w:r>
    </w:p>
  </w:footnote>
  <w:footnote w:id="899">
    <w:p w:rsidR="00224E75" w:rsidRDefault="00224E75" w:rsidP="00D1590E">
      <w:pPr>
        <w:pStyle w:val="FootnoteText"/>
      </w:pPr>
      <w:r>
        <w:rPr>
          <w:rStyle w:val="FootnoteReference"/>
        </w:rPr>
        <w:footnoteRef/>
      </w:r>
      <w:r>
        <w:t xml:space="preserve"> </w:t>
      </w:r>
      <w:r>
        <w:tab/>
      </w:r>
      <w:r w:rsidRPr="0028384E">
        <w:t>Ausgrid, Revised R</w:t>
      </w:r>
      <w:r>
        <w:t xml:space="preserve">egulatory Proposal, pp. 143-144; </w:t>
      </w:r>
      <w:r w:rsidRPr="003558D9">
        <w:t>ActewAGL Revised Regulatory Proposal, pp. 166-175.</w:t>
      </w:r>
    </w:p>
  </w:footnote>
  <w:footnote w:id="900">
    <w:p w:rsidR="00224E75" w:rsidRDefault="00224E75" w:rsidP="00D1590E">
      <w:pPr>
        <w:pStyle w:val="FootnoteText"/>
      </w:pPr>
      <w:r>
        <w:rPr>
          <w:rStyle w:val="FootnoteReference"/>
        </w:rPr>
        <w:footnoteRef/>
      </w:r>
      <w:r>
        <w:t xml:space="preserve"> </w:t>
      </w:r>
      <w:r>
        <w:tab/>
      </w:r>
      <w:r w:rsidRPr="0028384E">
        <w:t>ActewAGL Revi</w:t>
      </w:r>
      <w:r>
        <w:t xml:space="preserve">sed Regulatory Proposal, p. 166; </w:t>
      </w:r>
      <w:r w:rsidRPr="006C5941">
        <w:t>Frontier Economics, (NSW</w:t>
      </w:r>
      <w:r w:rsidR="00EC33DE">
        <w:t>/ACT</w:t>
      </w:r>
      <w:r w:rsidRPr="006C5941">
        <w:t>), 2015, p.97, PEGR, 2015, p.64. CEPA</w:t>
      </w:r>
      <w:r w:rsidR="00731E65">
        <w:t>,</w:t>
      </w:r>
      <w:r w:rsidRPr="006C5941">
        <w:t xml:space="preserve"> </w:t>
      </w:r>
      <w:r w:rsidR="00731E65" w:rsidRPr="00731E65">
        <w:t>Benchmarking and setting efficiency targets for the Australian DNSPs, (NSW DNSPs), 2015,</w:t>
      </w:r>
      <w:r w:rsidRPr="006C5941">
        <w:t xml:space="preserve"> p.35.</w:t>
      </w:r>
    </w:p>
  </w:footnote>
  <w:footnote w:id="901">
    <w:p w:rsidR="00224E75" w:rsidRDefault="00224E75" w:rsidP="00D1590E">
      <w:pPr>
        <w:pStyle w:val="FootnoteText"/>
      </w:pPr>
      <w:r>
        <w:rPr>
          <w:rStyle w:val="FootnoteReference"/>
        </w:rPr>
        <w:footnoteRef/>
      </w:r>
      <w:r>
        <w:t xml:space="preserve"> </w:t>
      </w:r>
      <w:r>
        <w:tab/>
        <w:t>Economic Insights (2014), section 5.</w:t>
      </w:r>
    </w:p>
  </w:footnote>
  <w:footnote w:id="902">
    <w:p w:rsidR="00224E75" w:rsidRDefault="00224E75" w:rsidP="00D1590E">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 22.</w:t>
      </w:r>
    </w:p>
  </w:footnote>
  <w:footnote w:id="903">
    <w:p w:rsidR="00224E75" w:rsidRDefault="00224E75" w:rsidP="00D1590E">
      <w:pPr>
        <w:pStyle w:val="FootnoteText"/>
      </w:pPr>
      <w:r>
        <w:rPr>
          <w:rStyle w:val="FootnoteReference"/>
        </w:rPr>
        <w:footnoteRef/>
      </w:r>
      <w:r>
        <w:t xml:space="preserve"> </w:t>
      </w:r>
      <w:r>
        <w:tab/>
        <w:t>NER, clause 6.5.6(c) states:</w:t>
      </w:r>
    </w:p>
    <w:p w:rsidR="00224E75" w:rsidRPr="003C56A8" w:rsidRDefault="00224E75" w:rsidP="00D1590E">
      <w:pPr>
        <w:pStyle w:val="FootnoteText"/>
        <w:rPr>
          <w:rStyle w:val="AERtextitalic"/>
        </w:rPr>
      </w:pPr>
      <w:r>
        <w:tab/>
      </w:r>
      <w:r w:rsidRPr="003C56A8">
        <w:rPr>
          <w:rStyle w:val="AERtextitalic"/>
        </w:rPr>
        <w:t xml:space="preserve">The AER must accept the forecast of required operating expenditure of a Distribution Network Service Provider that is included in a building block proposal if the AER is satisfied that the total of the forecast operating expenditure for the regulatory control period </w:t>
      </w:r>
      <w:r w:rsidRPr="003C56A8">
        <w:rPr>
          <w:rStyle w:val="AERtextbolditalics"/>
        </w:rPr>
        <w:t>reasonably reflects</w:t>
      </w:r>
      <w:r w:rsidRPr="003C56A8">
        <w:rPr>
          <w:rStyle w:val="AERtextitalic"/>
        </w:rPr>
        <w:t xml:space="preserve"> each of the following (the operating expenditure criteria):</w:t>
      </w:r>
    </w:p>
    <w:p w:rsidR="00224E75" w:rsidRDefault="00224E75" w:rsidP="00D1590E">
      <w:pPr>
        <w:pStyle w:val="FootnoteText"/>
      </w:pPr>
      <w:r w:rsidRPr="003C56A8">
        <w:rPr>
          <w:rStyle w:val="AERtextitalic"/>
        </w:rPr>
        <w:tab/>
      </w:r>
      <w:r w:rsidRPr="003C56A8">
        <w:rPr>
          <w:rStyle w:val="AERtextitalic"/>
        </w:rPr>
        <w:tab/>
        <w:t xml:space="preserve">(1) </w:t>
      </w:r>
      <w:r w:rsidRPr="003C56A8">
        <w:rPr>
          <w:rStyle w:val="AERtextbolditalics"/>
        </w:rPr>
        <w:t>the efficient costs</w:t>
      </w:r>
      <w:r w:rsidRPr="003C56A8">
        <w:rPr>
          <w:rStyle w:val="AERtextitalic"/>
        </w:rPr>
        <w:t xml:space="preserve"> of achieving the operating expenditure objectives…</w:t>
      </w:r>
    </w:p>
  </w:footnote>
  <w:footnote w:id="904">
    <w:p w:rsidR="00224E75" w:rsidRDefault="00224E75" w:rsidP="00D1590E">
      <w:pPr>
        <w:pStyle w:val="FootnoteText"/>
      </w:pPr>
      <w:r>
        <w:rPr>
          <w:rStyle w:val="FootnoteReference"/>
        </w:rPr>
        <w:footnoteRef/>
      </w:r>
      <w:r>
        <w:t xml:space="preserve"> </w:t>
      </w:r>
      <w:r>
        <w:tab/>
        <w:t>Economic Insights (2014), section 7.</w:t>
      </w:r>
    </w:p>
  </w:footnote>
  <w:footnote w:id="905">
    <w:p w:rsidR="00224E75" w:rsidRDefault="00224E75" w:rsidP="00D1590E">
      <w:pPr>
        <w:pStyle w:val="FootnoteText"/>
      </w:pPr>
      <w:r>
        <w:rPr>
          <w:rStyle w:val="FootnoteReference"/>
        </w:rPr>
        <w:footnoteRef/>
      </w:r>
      <w:r>
        <w:t xml:space="preserve"> </w:t>
      </w:r>
      <w:r>
        <w:tab/>
        <w:t>Ausgrid, pp. 150-151, Attachments 1.05 and 1.07.</w:t>
      </w:r>
    </w:p>
  </w:footnote>
  <w:footnote w:id="906">
    <w:p w:rsidR="00224E75" w:rsidRDefault="00224E75" w:rsidP="00D1590E">
      <w:pPr>
        <w:pStyle w:val="FootnoteText"/>
      </w:pPr>
      <w:r>
        <w:rPr>
          <w:rStyle w:val="FootnoteReference"/>
        </w:rPr>
        <w:footnoteRef/>
      </w:r>
      <w:r>
        <w:t xml:space="preserve"> </w:t>
      </w:r>
      <w:r>
        <w:tab/>
      </w:r>
      <w:r w:rsidRPr="00B94DD1">
        <w:t xml:space="preserve">ACCC/AER (2012), Benchmarking Opex and Capex in Energy Networks, ACCC/AER Working Paper number 6, May.  </w:t>
      </w:r>
    </w:p>
  </w:footnote>
  <w:footnote w:id="907">
    <w:p w:rsidR="00224E75" w:rsidRDefault="00224E75" w:rsidP="00D1590E">
      <w:pPr>
        <w:pStyle w:val="FootnoteText"/>
      </w:pPr>
      <w:r>
        <w:rPr>
          <w:rStyle w:val="FootnoteReference"/>
        </w:rPr>
        <w:footnoteRef/>
      </w:r>
      <w:r>
        <w:t xml:space="preserve"> </w:t>
      </w:r>
      <w:r>
        <w:tab/>
      </w:r>
      <w:r w:rsidRPr="00B94DD1">
        <w:t xml:space="preserve">ACCC/AER (2012), Benchmarking Opex and Capex in Energy Networks, ACCC/AER Working Paper number 6, May.  </w:t>
      </w:r>
    </w:p>
  </w:footnote>
  <w:footnote w:id="908">
    <w:p w:rsidR="00224E75" w:rsidRDefault="00224E75" w:rsidP="00D1590E">
      <w:pPr>
        <w:pStyle w:val="FootnoteText"/>
      </w:pPr>
      <w:r>
        <w:rPr>
          <w:rStyle w:val="FootnoteReference"/>
        </w:rPr>
        <w:footnoteRef/>
      </w:r>
      <w:r>
        <w:t xml:space="preserve"> </w:t>
      </w:r>
      <w:r>
        <w:tab/>
      </w:r>
      <w:r w:rsidRPr="006C5941">
        <w:t xml:space="preserve">CEPA, </w:t>
      </w:r>
      <w:r w:rsidR="00731E65" w:rsidRPr="00731E65">
        <w:t>Benchmarking and setting efficiency targets for the Australian DNSPs, (NSW DNSPs), 2015,</w:t>
      </w:r>
      <w:r>
        <w:t xml:space="preserve"> pp. 30-31.</w:t>
      </w:r>
    </w:p>
  </w:footnote>
  <w:footnote w:id="909">
    <w:p w:rsidR="00224E75" w:rsidRDefault="00224E75" w:rsidP="00D1590E">
      <w:pPr>
        <w:pStyle w:val="FootnoteText"/>
      </w:pPr>
      <w:r>
        <w:rPr>
          <w:rStyle w:val="FootnoteReference"/>
        </w:rPr>
        <w:footnoteRef/>
      </w:r>
      <w:r>
        <w:t xml:space="preserve"> </w:t>
      </w:r>
      <w:r>
        <w:tab/>
        <w:t>NEL, section 7A.</w:t>
      </w:r>
    </w:p>
  </w:footnote>
  <w:footnote w:id="910">
    <w:p w:rsidR="00224E75" w:rsidRDefault="00224E75" w:rsidP="00D1590E">
      <w:pPr>
        <w:pStyle w:val="FootnoteText"/>
      </w:pPr>
      <w:r>
        <w:rPr>
          <w:rStyle w:val="FootnoteReference"/>
        </w:rPr>
        <w:footnoteRef/>
      </w:r>
      <w:r>
        <w:t xml:space="preserve"> </w:t>
      </w:r>
      <w:r>
        <w:tab/>
        <w:t>Economic Insights (2015), section 5.1.</w:t>
      </w:r>
    </w:p>
  </w:footnote>
  <w:footnote w:id="911">
    <w:p w:rsidR="00224E75" w:rsidRDefault="00224E75" w:rsidP="00D1590E">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912">
    <w:p w:rsidR="00224E75" w:rsidRDefault="00224E75" w:rsidP="00D1590E">
      <w:pPr>
        <w:pStyle w:val="FootnoteText"/>
      </w:pPr>
      <w:r>
        <w:rPr>
          <w:rStyle w:val="FootnoteReference"/>
        </w:rPr>
        <w:footnoteRef/>
      </w:r>
      <w:r>
        <w:t xml:space="preserve"> </w:t>
      </w:r>
      <w:r>
        <w:tab/>
        <w:t>We use the standard control services opex as reported in the service provider's regulatory accounts.</w:t>
      </w:r>
    </w:p>
  </w:footnote>
  <w:footnote w:id="913">
    <w:p w:rsidR="00224E75" w:rsidRDefault="00224E75" w:rsidP="00D1590E">
      <w:pPr>
        <w:pStyle w:val="FootnoteText"/>
      </w:pPr>
      <w:r>
        <w:rPr>
          <w:rStyle w:val="FootnoteReference"/>
        </w:rPr>
        <w:footnoteRef/>
      </w:r>
      <w:r>
        <w:t xml:space="preserve"> </w:t>
      </w:r>
      <w:r>
        <w:tab/>
      </w:r>
      <w:r w:rsidRPr="0028384E">
        <w:t>Ausgrid, Revised R</w:t>
      </w:r>
      <w:r>
        <w:t xml:space="preserve">egulatory Proposal, pp. 143-144; </w:t>
      </w:r>
      <w:r w:rsidRPr="003558D9">
        <w:t>ActewAGL Revised R</w:t>
      </w:r>
      <w:r>
        <w:t xml:space="preserve">egulatory Proposal, pp. 166-175; </w:t>
      </w:r>
      <w:r w:rsidRPr="006C5941">
        <w:t>Frontier Economics, (NSW</w:t>
      </w:r>
      <w:r w:rsidR="00EC33DE">
        <w:t>/ACT</w:t>
      </w:r>
      <w:r w:rsidRPr="006C5941">
        <w:t xml:space="preserve">), 2015, p.97, PEGR, 2015, p.64. CEPA, </w:t>
      </w:r>
      <w:r w:rsidR="00773042" w:rsidRPr="00773042">
        <w:t>Benchmarking and setting efficiency targets for the Australian DNSPs, (NSW DNSPs), 2015,</w:t>
      </w:r>
      <w:r w:rsidRPr="006C5941">
        <w:t xml:space="preserve"> p.35.</w:t>
      </w:r>
    </w:p>
  </w:footnote>
  <w:footnote w:id="914">
    <w:p w:rsidR="00224E75" w:rsidRDefault="00224E75" w:rsidP="00D1590E">
      <w:pPr>
        <w:pStyle w:val="FootnoteText"/>
      </w:pPr>
      <w:r>
        <w:rPr>
          <w:rStyle w:val="FootnoteReference"/>
        </w:rPr>
        <w:footnoteRef/>
      </w:r>
      <w:r>
        <w:t xml:space="preserve"> </w:t>
      </w:r>
      <w:r>
        <w:tab/>
        <w:t>Economic Insights (2015), section 4.1.</w:t>
      </w:r>
    </w:p>
  </w:footnote>
  <w:footnote w:id="915">
    <w:p w:rsidR="00224E75" w:rsidRDefault="00224E75" w:rsidP="00D1590E">
      <w:pPr>
        <w:pStyle w:val="FootnoteText"/>
      </w:pPr>
      <w:r>
        <w:rPr>
          <w:rStyle w:val="FootnoteReference"/>
        </w:rPr>
        <w:footnoteRef/>
      </w:r>
      <w:r>
        <w:t xml:space="preserve"> </w:t>
      </w:r>
      <w:r>
        <w:tab/>
        <w:t>Economic Insights (2015), section 4.1.</w:t>
      </w:r>
    </w:p>
  </w:footnote>
  <w:footnote w:id="916">
    <w:p w:rsidR="00224E75" w:rsidRDefault="00224E75" w:rsidP="00D1590E">
      <w:pPr>
        <w:pStyle w:val="FootnoteText"/>
      </w:pPr>
      <w:r>
        <w:rPr>
          <w:rStyle w:val="FootnoteReference"/>
        </w:rPr>
        <w:footnoteRef/>
      </w:r>
      <w:r>
        <w:t xml:space="preserve"> </w:t>
      </w:r>
      <w:r>
        <w:tab/>
        <w:t>Economic Insights (2015), section 4.3.</w:t>
      </w:r>
    </w:p>
  </w:footnote>
  <w:footnote w:id="917">
    <w:p w:rsidR="00224E75" w:rsidRDefault="00224E75" w:rsidP="00D1590E">
      <w:pPr>
        <w:pStyle w:val="FootnoteText"/>
      </w:pPr>
      <w:r>
        <w:rPr>
          <w:rStyle w:val="FootnoteReference"/>
        </w:rPr>
        <w:footnoteRef/>
      </w:r>
      <w:r>
        <w:t xml:space="preserve"> </w:t>
      </w:r>
      <w:r>
        <w:tab/>
        <w:t>This differs slightly from the rate of change we apply in Appendix B. While the approach is the same, to trend base opex forward over the forecast period, we apply forecast growth. When rolling forward average efficient opex, we apply measured growth because we can observe what has actually changed between the period average and the base year.</w:t>
      </w:r>
    </w:p>
  </w:footnote>
  <w:footnote w:id="918">
    <w:p w:rsidR="00224E75" w:rsidRDefault="00224E75" w:rsidP="00D1590E">
      <w:pPr>
        <w:pStyle w:val="FootnoteText"/>
      </w:pPr>
      <w:r>
        <w:rPr>
          <w:rStyle w:val="FootnoteReference"/>
        </w:rPr>
        <w:footnoteRef/>
      </w:r>
      <w:r>
        <w:t xml:space="preserve"> </w:t>
      </w:r>
      <w:r>
        <w:tab/>
        <w:t>Economic Insights, 2015, pp. 45-46.</w:t>
      </w:r>
    </w:p>
  </w:footnote>
  <w:footnote w:id="919">
    <w:p w:rsidR="00224E75" w:rsidRDefault="00224E75" w:rsidP="00D1590E">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0">
    <w:p w:rsidR="00224E75" w:rsidRDefault="00224E75" w:rsidP="00D1590E">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1">
    <w:p w:rsidR="00224E75" w:rsidRDefault="00224E75" w:rsidP="00D1590E">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2">
    <w:p w:rsidR="00224E75" w:rsidRDefault="00224E75" w:rsidP="00D1590E">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3">
    <w:p w:rsidR="00224E75" w:rsidRDefault="00224E75" w:rsidP="00B8317F">
      <w:pPr>
        <w:pStyle w:val="FootnoteText"/>
      </w:pPr>
      <w:r>
        <w:rPr>
          <w:rStyle w:val="FootnoteReference"/>
        </w:rPr>
        <w:footnoteRef/>
      </w:r>
      <w:r>
        <w:t xml:space="preserve"> </w:t>
      </w:r>
      <w:r>
        <w:tab/>
        <w:t xml:space="preserve">AER. </w:t>
      </w:r>
      <w:r w:rsidRPr="00D26689">
        <w:rPr>
          <w:rStyle w:val="AERtextitalic"/>
        </w:rPr>
        <w:t>Better Regulation explanatory statement expenditure forecast assessment guideline</w:t>
      </w:r>
      <w:r>
        <w:t>, November 2013, p. 61.</w:t>
      </w:r>
    </w:p>
  </w:footnote>
  <w:footnote w:id="924">
    <w:p w:rsidR="00224E75" w:rsidRDefault="00224E75" w:rsidP="00B8317F">
      <w:pPr>
        <w:pStyle w:val="FootnoteText"/>
      </w:pPr>
      <w:r>
        <w:rPr>
          <w:rStyle w:val="FootnoteReference"/>
        </w:rPr>
        <w:footnoteRef/>
      </w:r>
      <w:r>
        <w:t xml:space="preserve"> </w:t>
      </w:r>
      <w:r>
        <w:tab/>
        <w:t xml:space="preserve">Endeavour Energy, </w:t>
      </w:r>
      <w:r w:rsidRPr="007545EB">
        <w:rPr>
          <w:rStyle w:val="AERtextitalic"/>
        </w:rPr>
        <w:t>Revised regulatory proposal to Australian Energy Regulator</w:t>
      </w:r>
      <w:r>
        <w:t>, January 2015, p. 190.</w:t>
      </w:r>
    </w:p>
  </w:footnote>
  <w:footnote w:id="925">
    <w:p w:rsidR="00224E75" w:rsidRDefault="00224E75" w:rsidP="00B8317F">
      <w:pPr>
        <w:pStyle w:val="FootnoteText"/>
      </w:pPr>
      <w:r>
        <w:rPr>
          <w:rStyle w:val="FootnoteReference"/>
        </w:rPr>
        <w:footnoteRef/>
      </w:r>
      <w:r>
        <w:t xml:space="preserve"> </w:t>
      </w:r>
      <w:r>
        <w:tab/>
        <w:t>Endeavour Energy opex model.xlsx 4c. output growth.</w:t>
      </w:r>
    </w:p>
  </w:footnote>
  <w:footnote w:id="926">
    <w:p w:rsidR="00224E75" w:rsidRDefault="00224E75" w:rsidP="00B8317F">
      <w:pPr>
        <w:pStyle w:val="FootnoteText"/>
      </w:pPr>
      <w:r>
        <w:rPr>
          <w:rStyle w:val="FootnoteReference"/>
        </w:rPr>
        <w:footnoteRef/>
      </w:r>
      <w:r>
        <w:t xml:space="preserve"> </w:t>
      </w:r>
      <w:r>
        <w:tab/>
        <w:t>Endeavour Energy, Regulatory proposal to Australian Energy Regulatory, June 2015, p. 88.</w:t>
      </w:r>
    </w:p>
  </w:footnote>
  <w:footnote w:id="927">
    <w:p w:rsidR="00224E75" w:rsidRDefault="00224E75" w:rsidP="00B8317F">
      <w:pPr>
        <w:pStyle w:val="FootnoteText"/>
      </w:pPr>
      <w:r>
        <w:rPr>
          <w:rStyle w:val="FootnoteReference"/>
        </w:rPr>
        <w:footnoteRef/>
      </w:r>
      <w:r>
        <w:t xml:space="preserve"> </w:t>
      </w:r>
      <w:r>
        <w:tab/>
      </w:r>
      <w:r w:rsidRPr="005667E0">
        <w:t>Endeavour Energy opex model.xlsx 4c. output growth.</w:t>
      </w:r>
    </w:p>
  </w:footnote>
  <w:footnote w:id="928">
    <w:p w:rsidR="00224E75" w:rsidRDefault="00224E75" w:rsidP="00B8317F">
      <w:pPr>
        <w:pStyle w:val="FootnoteText"/>
      </w:pPr>
      <w:r>
        <w:rPr>
          <w:rStyle w:val="FootnoteReference"/>
        </w:rPr>
        <w:footnoteRef/>
      </w:r>
      <w:r>
        <w:t xml:space="preserve"> </w:t>
      </w:r>
      <w:r>
        <w:tab/>
        <w:t xml:space="preserve">Endeavour Energy, </w:t>
      </w:r>
      <w:r w:rsidRPr="007545EB">
        <w:rPr>
          <w:rStyle w:val="AERtextitalic"/>
        </w:rPr>
        <w:t>Revised regulatory proposal to Australian Energy Regulator</w:t>
      </w:r>
      <w:r>
        <w:t>, January 2015, p. 191.</w:t>
      </w:r>
    </w:p>
  </w:footnote>
  <w:footnote w:id="929">
    <w:p w:rsidR="00224E75" w:rsidRDefault="00224E75" w:rsidP="00B8317F">
      <w:pPr>
        <w:pStyle w:val="FootnoteText"/>
      </w:pPr>
      <w:r>
        <w:rPr>
          <w:rStyle w:val="FootnoteReference"/>
        </w:rPr>
        <w:footnoteRef/>
      </w:r>
      <w:r>
        <w:t xml:space="preserve"> </w:t>
      </w:r>
      <w:r>
        <w:tab/>
        <w:t xml:space="preserve">Endeavour Energy, </w:t>
      </w:r>
      <w:r w:rsidRPr="007545EB">
        <w:rPr>
          <w:rStyle w:val="AERtextitalic"/>
        </w:rPr>
        <w:t>Revised regulatory proposal to Australian Energy Regulator</w:t>
      </w:r>
      <w:r>
        <w:t>, January 2015, p. 191.</w:t>
      </w:r>
    </w:p>
  </w:footnote>
  <w:footnote w:id="930">
    <w:p w:rsidR="00224E75" w:rsidRDefault="00224E75" w:rsidP="00B8317F">
      <w:pPr>
        <w:pStyle w:val="FootnoteText"/>
      </w:pPr>
      <w:r>
        <w:rPr>
          <w:rStyle w:val="FootnoteReference"/>
        </w:rPr>
        <w:footnoteRef/>
      </w:r>
      <w:r>
        <w:t xml:space="preserve"> </w:t>
      </w:r>
      <w:r>
        <w:tab/>
        <w:t xml:space="preserve">AusNet Services, </w:t>
      </w:r>
      <w:r w:rsidRPr="00A055D3">
        <w:rPr>
          <w:rStyle w:val="AERtextitalic"/>
        </w:rPr>
        <w:t>Draft decisions NSW/ACT electricity distribution determination 2015–19</w:t>
      </w:r>
      <w:r>
        <w:t>, 12 February 2015, p. 7.</w:t>
      </w:r>
    </w:p>
  </w:footnote>
  <w:footnote w:id="931">
    <w:p w:rsidR="00224E75" w:rsidRDefault="00224E75" w:rsidP="00B8317F">
      <w:pPr>
        <w:pStyle w:val="FootnoteText"/>
      </w:pPr>
      <w:r>
        <w:rPr>
          <w:rStyle w:val="FootnoteReference"/>
        </w:rPr>
        <w:footnoteRef/>
      </w:r>
      <w:r>
        <w:t xml:space="preserve"> </w:t>
      </w:r>
      <w:r>
        <w:tab/>
        <w:t xml:space="preserve">Energy Users Association of Australia, </w:t>
      </w:r>
      <w:r w:rsidRPr="00A055D3">
        <w:rPr>
          <w:rStyle w:val="AERtextitalic"/>
        </w:rPr>
        <w:t>Submission to NSW DNSP revised revenue proposal to AER draft determination (2014 to 2019)</w:t>
      </w:r>
      <w:r>
        <w:t>, 13 February 2015, p. 44.</w:t>
      </w:r>
    </w:p>
  </w:footnote>
  <w:footnote w:id="932">
    <w:p w:rsidR="00224E75" w:rsidRDefault="00224E75" w:rsidP="00B8317F">
      <w:pPr>
        <w:pStyle w:val="FootnoteText"/>
      </w:pPr>
      <w:r>
        <w:rPr>
          <w:rStyle w:val="FootnoteReference"/>
        </w:rPr>
        <w:footnoteRef/>
      </w:r>
      <w:r>
        <w:t xml:space="preserve"> </w:t>
      </w:r>
      <w:r>
        <w:tab/>
      </w:r>
      <w:r w:rsidRPr="003D20AA">
        <w:rPr>
          <w:rStyle w:val="AERtexthighlight"/>
          <w:shd w:val="clear" w:color="auto" w:fill="auto"/>
        </w:rPr>
        <w:t xml:space="preserve">AER, </w:t>
      </w:r>
      <w:r w:rsidRPr="003D20AA">
        <w:rPr>
          <w:rStyle w:val="Emphasis"/>
        </w:rPr>
        <w:t>Draft decision - Endeavour Energy distribution determination attachment 7 - Operating expenditure</w:t>
      </w:r>
      <w:r w:rsidRPr="003D20AA">
        <w:rPr>
          <w:rStyle w:val="AERtexthighlight"/>
          <w:shd w:val="clear" w:color="auto" w:fill="auto"/>
        </w:rPr>
        <w:t>, pp. 228-241.</w:t>
      </w:r>
    </w:p>
  </w:footnote>
  <w:footnote w:id="933">
    <w:p w:rsidR="00224E75" w:rsidRDefault="00224E75" w:rsidP="00B8317F">
      <w:pPr>
        <w:pStyle w:val="FootnoteText"/>
      </w:pPr>
      <w:r>
        <w:rPr>
          <w:rStyle w:val="FootnoteReference"/>
        </w:rPr>
        <w:footnoteRef/>
      </w:r>
      <w:r>
        <w:t xml:space="preserve"> </w:t>
      </w:r>
      <w:r>
        <w:tab/>
        <w:t>Endeavour Energy also used the term change factor to describe these cost increases.</w:t>
      </w:r>
    </w:p>
  </w:footnote>
  <w:footnote w:id="934">
    <w:p w:rsidR="00224E75" w:rsidRDefault="00224E75" w:rsidP="00B8317F">
      <w:pPr>
        <w:pStyle w:val="FootnoteText"/>
      </w:pPr>
      <w:r>
        <w:rPr>
          <w:rStyle w:val="FootnoteReference"/>
        </w:rPr>
        <w:footnoteRef/>
      </w:r>
      <w:r>
        <w:t xml:space="preserve"> </w:t>
      </w:r>
      <w:r>
        <w:tab/>
        <w:t xml:space="preserve">In our draft decision we reported the proposed step change to be $152.8 million ($ million, 2013–14). </w:t>
      </w:r>
    </w:p>
  </w:footnote>
  <w:footnote w:id="935">
    <w:p w:rsidR="00224E75" w:rsidRDefault="00224E75" w:rsidP="00B8317F">
      <w:pPr>
        <w:pStyle w:val="FootnoteText"/>
      </w:pPr>
      <w:r>
        <w:rPr>
          <w:rStyle w:val="FootnoteReference"/>
        </w:rPr>
        <w:footnoteRef/>
      </w:r>
      <w:r>
        <w:t xml:space="preserve"> </w:t>
      </w:r>
      <w:r>
        <w:tab/>
        <w:t>We considered the change in classification of services in our consideration of an efficient base level of opex.</w:t>
      </w:r>
    </w:p>
  </w:footnote>
  <w:footnote w:id="936">
    <w:p w:rsidR="00224E75" w:rsidRDefault="00224E75" w:rsidP="00B8317F">
      <w:pPr>
        <w:pStyle w:val="FootnoteText"/>
      </w:pPr>
      <w:r>
        <w:rPr>
          <w:rStyle w:val="FootnoteReference"/>
        </w:rPr>
        <w:footnoteRef/>
      </w:r>
      <w:r>
        <w:t xml:space="preserve"> </w:t>
      </w:r>
      <w:r>
        <w:tab/>
        <w:t xml:space="preserve">Endeavour Energy, </w:t>
      </w:r>
      <w:r w:rsidRPr="00BA5570">
        <w:rPr>
          <w:rStyle w:val="AERtextitalic"/>
        </w:rPr>
        <w:t>Regulatory Proposal</w:t>
      </w:r>
      <w:r>
        <w:t>, May 2014, p. 78.</w:t>
      </w:r>
    </w:p>
  </w:footnote>
  <w:footnote w:id="937">
    <w:p w:rsidR="00224E75" w:rsidRDefault="00224E75" w:rsidP="00B8317F">
      <w:pPr>
        <w:pStyle w:val="FootnoteText"/>
      </w:pPr>
      <w:r>
        <w:rPr>
          <w:rStyle w:val="FootnoteReference"/>
        </w:rPr>
        <w:footnoteRef/>
      </w:r>
      <w:r>
        <w:t xml:space="preserve"> </w:t>
      </w:r>
      <w:r>
        <w:tab/>
        <w:t xml:space="preserve">Endeavour Energy, </w:t>
      </w:r>
      <w:r w:rsidRPr="00BA5570">
        <w:rPr>
          <w:rStyle w:val="AERtextitalic"/>
        </w:rPr>
        <w:t>Response to AER Endeavour 009</w:t>
      </w:r>
      <w:r>
        <w:t>, p. 1.</w:t>
      </w:r>
    </w:p>
  </w:footnote>
  <w:footnote w:id="938">
    <w:p w:rsidR="00224E75" w:rsidRDefault="00224E75" w:rsidP="00B8317F">
      <w:pPr>
        <w:pStyle w:val="FootnoteText"/>
      </w:pPr>
      <w:r>
        <w:rPr>
          <w:rStyle w:val="FootnoteReference"/>
        </w:rPr>
        <w:footnoteRef/>
      </w:r>
      <w:r>
        <w:t xml:space="preserve"> </w:t>
      </w:r>
      <w:r>
        <w:tab/>
        <w:t xml:space="preserve">Endeavour Energy, </w:t>
      </w:r>
      <w:r w:rsidRPr="00BA5570">
        <w:rPr>
          <w:rStyle w:val="AERtextitalic"/>
        </w:rPr>
        <w:t>R</w:t>
      </w:r>
      <w:r>
        <w:rPr>
          <w:rStyle w:val="AERtextitalic"/>
        </w:rPr>
        <w:t>evised r</w:t>
      </w:r>
      <w:r w:rsidRPr="00BA5570">
        <w:rPr>
          <w:rStyle w:val="AERtextitalic"/>
        </w:rPr>
        <w:t xml:space="preserve">egulatory </w:t>
      </w:r>
      <w:r>
        <w:rPr>
          <w:rStyle w:val="AERtextitalic"/>
        </w:rPr>
        <w:t>p</w:t>
      </w:r>
      <w:r w:rsidRPr="00BA5570">
        <w:rPr>
          <w:rStyle w:val="AERtextitalic"/>
        </w:rPr>
        <w:t>roposal</w:t>
      </w:r>
      <w:r>
        <w:t>, January 2015, p. 188.</w:t>
      </w:r>
    </w:p>
  </w:footnote>
  <w:footnote w:id="939">
    <w:p w:rsidR="00224E75" w:rsidRDefault="00224E75" w:rsidP="00B8317F">
      <w:pPr>
        <w:pStyle w:val="FootnoteText"/>
      </w:pPr>
      <w:r>
        <w:rPr>
          <w:rStyle w:val="FootnoteReference"/>
        </w:rPr>
        <w:footnoteRef/>
      </w:r>
      <w:r>
        <w:t xml:space="preserve"> </w:t>
      </w:r>
      <w:r>
        <w:tab/>
        <w:t xml:space="preserve">Endeavour Energy, </w:t>
      </w:r>
      <w:r w:rsidRPr="00BA5570">
        <w:rPr>
          <w:rStyle w:val="AERtextitalic"/>
        </w:rPr>
        <w:t>R</w:t>
      </w:r>
      <w:r>
        <w:rPr>
          <w:rStyle w:val="AERtextitalic"/>
        </w:rPr>
        <w:t>evised r</w:t>
      </w:r>
      <w:r w:rsidRPr="00BA5570">
        <w:rPr>
          <w:rStyle w:val="AERtextitalic"/>
        </w:rPr>
        <w:t xml:space="preserve">egulatory </w:t>
      </w:r>
      <w:r>
        <w:rPr>
          <w:rStyle w:val="AERtextitalic"/>
        </w:rPr>
        <w:t>p</w:t>
      </w:r>
      <w:r w:rsidRPr="00BA5570">
        <w:rPr>
          <w:rStyle w:val="AERtextitalic"/>
        </w:rPr>
        <w:t>roposal</w:t>
      </w:r>
      <w:r>
        <w:t>, January 2015, p. 190.</w:t>
      </w:r>
    </w:p>
  </w:footnote>
  <w:footnote w:id="940">
    <w:p w:rsidR="00224E75" w:rsidRDefault="00224E75" w:rsidP="00B8317F">
      <w:pPr>
        <w:pStyle w:val="FootnoteText"/>
      </w:pPr>
      <w:r>
        <w:rPr>
          <w:rStyle w:val="FootnoteReference"/>
        </w:rPr>
        <w:footnoteRef/>
      </w:r>
      <w:r>
        <w:t xml:space="preserve"> </w:t>
      </w:r>
      <w:r>
        <w:tab/>
        <w:t xml:space="preserve">Endeavour Energy, </w:t>
      </w:r>
      <w:r w:rsidRPr="00BA5570">
        <w:rPr>
          <w:rStyle w:val="AERtextitalic"/>
        </w:rPr>
        <w:t>R</w:t>
      </w:r>
      <w:r>
        <w:rPr>
          <w:rStyle w:val="AERtextitalic"/>
        </w:rPr>
        <w:t>evised r</w:t>
      </w:r>
      <w:r w:rsidRPr="00BA5570">
        <w:rPr>
          <w:rStyle w:val="AERtextitalic"/>
        </w:rPr>
        <w:t>egulatory Proposal</w:t>
      </w:r>
      <w:r>
        <w:t>, January 2015, p. 142.</w:t>
      </w:r>
    </w:p>
  </w:footnote>
  <w:footnote w:id="941">
    <w:p w:rsidR="00224E75" w:rsidRDefault="00224E75" w:rsidP="00B8317F">
      <w:pPr>
        <w:pStyle w:val="FootnoteText"/>
      </w:pPr>
      <w:r>
        <w:rPr>
          <w:rStyle w:val="FootnoteReference"/>
        </w:rPr>
        <w:footnoteRef/>
      </w:r>
      <w:r>
        <w:t xml:space="preserve"> </w:t>
      </w:r>
      <w:r>
        <w:tab/>
      </w:r>
      <w:r w:rsidRPr="00EE2EEB">
        <w:t xml:space="preserve">Endeavour Energy, </w:t>
      </w:r>
      <w:r w:rsidRPr="00EE2EEB">
        <w:rPr>
          <w:rStyle w:val="AERtextitalic"/>
        </w:rPr>
        <w:t>Revised regulatory Proposal</w:t>
      </w:r>
      <w:r>
        <w:t>, January 2015, p. 143</w:t>
      </w:r>
      <w:r w:rsidRPr="00EE2EEB">
        <w:t>.</w:t>
      </w:r>
    </w:p>
  </w:footnote>
  <w:footnote w:id="942">
    <w:p w:rsidR="00224E75" w:rsidRDefault="00224E75" w:rsidP="00B8317F">
      <w:pPr>
        <w:pStyle w:val="FootnoteText"/>
      </w:pPr>
      <w:r>
        <w:rPr>
          <w:rStyle w:val="FootnoteReference"/>
        </w:rPr>
        <w:footnoteRef/>
      </w:r>
      <w:r>
        <w:t xml:space="preserve"> </w:t>
      </w:r>
      <w:r>
        <w:tab/>
      </w:r>
      <w:r w:rsidRPr="00EE2EEB">
        <w:t xml:space="preserve">Endeavour Energy, </w:t>
      </w:r>
      <w:r w:rsidRPr="00EE2EEB">
        <w:rPr>
          <w:rStyle w:val="AERtextitalic"/>
        </w:rPr>
        <w:t>Revised regulatory Proposal</w:t>
      </w:r>
      <w:r w:rsidRPr="00EE2EEB">
        <w:t xml:space="preserve">, </w:t>
      </w:r>
      <w:r>
        <w:t xml:space="preserve">January 2015, </w:t>
      </w:r>
      <w:r w:rsidRPr="00EE2EEB">
        <w:t>p. 14</w:t>
      </w:r>
      <w:r>
        <w:t>1</w:t>
      </w:r>
      <w:r w:rsidRPr="00EE2EEB">
        <w:t>.</w:t>
      </w:r>
    </w:p>
  </w:footnote>
  <w:footnote w:id="943">
    <w:p w:rsidR="00224E75" w:rsidRDefault="00224E75" w:rsidP="00B8317F">
      <w:pPr>
        <w:pStyle w:val="FootnoteText"/>
      </w:pPr>
      <w:r>
        <w:rPr>
          <w:rStyle w:val="FootnoteReference"/>
        </w:rPr>
        <w:footnoteRef/>
      </w:r>
      <w:r>
        <w:t xml:space="preserve"> </w:t>
      </w:r>
      <w:r>
        <w:tab/>
        <w:t xml:space="preserve">EUAA, </w:t>
      </w:r>
      <w:r w:rsidRPr="00956638">
        <w:rPr>
          <w:rStyle w:val="AERtextitalic"/>
        </w:rPr>
        <w:t>Submission to NSW DNSP revised revenue proposal to AER draft determination (2014 to 2019)</w:t>
      </w:r>
      <w:r>
        <w:rPr>
          <w:rStyle w:val="AERtextsize8"/>
        </w:rPr>
        <w:t>, 13 February 2015, p. 48.</w:t>
      </w:r>
    </w:p>
  </w:footnote>
  <w:footnote w:id="944">
    <w:p w:rsidR="00224E75" w:rsidRDefault="00224E75" w:rsidP="00B8317F">
      <w:pPr>
        <w:pStyle w:val="FootnoteText"/>
      </w:pPr>
      <w:r>
        <w:rPr>
          <w:rStyle w:val="FootnoteReference"/>
        </w:rPr>
        <w:footnoteRef/>
      </w:r>
      <w:r>
        <w:t xml:space="preserve"> </w:t>
      </w:r>
      <w:r>
        <w:tab/>
        <w:t>NER, clause 6.6.5(c).</w:t>
      </w:r>
    </w:p>
  </w:footnote>
  <w:footnote w:id="945">
    <w:p w:rsidR="00224E75" w:rsidRDefault="00224E75" w:rsidP="00B8317F">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p.11, 24.</w:t>
      </w:r>
    </w:p>
  </w:footnote>
  <w:footnote w:id="946">
    <w:p w:rsidR="00224E75" w:rsidRDefault="00224E75" w:rsidP="00B8317F">
      <w:pPr>
        <w:pStyle w:val="FootnoteText"/>
      </w:pPr>
      <w:r>
        <w:rPr>
          <w:rStyle w:val="FootnoteReference"/>
        </w:rPr>
        <w:footnoteRef/>
      </w:r>
      <w:r>
        <w:t xml:space="preserve"> </w:t>
      </w:r>
      <w:r>
        <w:tab/>
      </w:r>
      <w:r w:rsidRPr="006B5054">
        <w:t xml:space="preserve">AER, </w:t>
      </w:r>
      <w:r w:rsidRPr="006B5054">
        <w:rPr>
          <w:rStyle w:val="AERtextitalic"/>
        </w:rPr>
        <w:t>Explanatory guide: Expenditure assessment forecast guideline</w:t>
      </w:r>
      <w:r w:rsidRPr="006B5054">
        <w:t xml:space="preserve">, November 2013, </w:t>
      </w:r>
      <w:r>
        <w:t xml:space="preserve">p.73. See, for example, our decision in the Powerlink determination; AER, </w:t>
      </w:r>
      <w:r w:rsidRPr="00AC26CB">
        <w:rPr>
          <w:rStyle w:val="AERtextitalic"/>
        </w:rPr>
        <w:t>Final decision: Powerlink transmission determination 201</w:t>
      </w:r>
      <w:r>
        <w:rPr>
          <w:rStyle w:val="AERtextitalic"/>
        </w:rPr>
        <w:t>2–17</w:t>
      </w:r>
      <w:r>
        <w:t>, April 2012, pp, 164-5.</w:t>
      </w:r>
    </w:p>
  </w:footnote>
  <w:footnote w:id="947">
    <w:p w:rsidR="00224E75" w:rsidRDefault="00224E75" w:rsidP="00B8317F">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p.11.</w:t>
      </w:r>
    </w:p>
  </w:footnote>
  <w:footnote w:id="948">
    <w:p w:rsidR="00224E75" w:rsidRDefault="00224E75" w:rsidP="00B8317F">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24.</w:t>
      </w:r>
    </w:p>
  </w:footnote>
  <w:footnote w:id="949">
    <w:p w:rsidR="00224E75" w:rsidRDefault="00224E75" w:rsidP="00B8317F">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xml:space="preserve">, November 2013, p. 24; AER, </w:t>
      </w:r>
      <w:r w:rsidRPr="00A762C8">
        <w:rPr>
          <w:rStyle w:val="AERtextitalic"/>
        </w:rPr>
        <w:t>E</w:t>
      </w:r>
      <w:r>
        <w:rPr>
          <w:rStyle w:val="AERtextitalic"/>
        </w:rPr>
        <w:t>xplanatory guide: E</w:t>
      </w:r>
      <w:r w:rsidRPr="00A762C8">
        <w:rPr>
          <w:rStyle w:val="AERtextitalic"/>
        </w:rPr>
        <w:t>xpenditur</w:t>
      </w:r>
      <w:r>
        <w:rPr>
          <w:rStyle w:val="AERtextitalic"/>
        </w:rPr>
        <w:t>e assessment forecast guideline</w:t>
      </w:r>
      <w:r>
        <w:t>, November 2013, pp.51-52.</w:t>
      </w:r>
    </w:p>
  </w:footnote>
  <w:footnote w:id="950">
    <w:p w:rsidR="00224E75" w:rsidRDefault="00224E75" w:rsidP="00B8317F">
      <w:pPr>
        <w:pStyle w:val="FootnoteText"/>
      </w:pPr>
      <w:r>
        <w:rPr>
          <w:rStyle w:val="FootnoteReference"/>
        </w:rPr>
        <w:footnoteRef/>
      </w:r>
      <w:r>
        <w:t xml:space="preserve"> </w:t>
      </w:r>
      <w:r>
        <w:tab/>
        <w:t>Based on Endeavour Energy's proposed step change in initial proposal of $130.6 million and an additional increase in its revised proposal of $110.1 million.</w:t>
      </w:r>
    </w:p>
  </w:footnote>
  <w:footnote w:id="951">
    <w:p w:rsidR="00224E75" w:rsidRDefault="00224E75" w:rsidP="00B8317F">
      <w:pPr>
        <w:pStyle w:val="FootnoteText"/>
      </w:pPr>
      <w:r>
        <w:rPr>
          <w:rStyle w:val="FootnoteReference"/>
        </w:rPr>
        <w:footnoteRef/>
      </w:r>
      <w:r>
        <w:t xml:space="preserve"> </w:t>
      </w:r>
      <w:r>
        <w:tab/>
        <w:t xml:space="preserve">Note our classification is based on information Endeavour Energy reported to us about its vegetation management expenditure in 2012-13 in its category analysis RIN. </w:t>
      </w:r>
    </w:p>
  </w:footnote>
  <w:footnote w:id="952">
    <w:p w:rsidR="00224E75" w:rsidRDefault="00224E75" w:rsidP="00B8317F">
      <w:pPr>
        <w:pStyle w:val="FootnoteText"/>
      </w:pPr>
      <w:r>
        <w:rPr>
          <w:rStyle w:val="FootnoteReference"/>
        </w:rPr>
        <w:footnoteRef/>
      </w:r>
      <w:r>
        <w:t xml:space="preserve"> </w:t>
      </w:r>
      <w:r>
        <w:tab/>
        <w:t xml:space="preserve">In 2013–14, 74 percent of Endeavour Energy’s network overheads reflected internal labour costs and 34 per cent of corporate overheads. Other overheads expenditure is also likely to be related to the number of Endeavour Energy's employees. </w:t>
      </w:r>
    </w:p>
  </w:footnote>
  <w:footnote w:id="953">
    <w:p w:rsidR="00224E75" w:rsidRDefault="00224E75" w:rsidP="00B8317F">
      <w:pPr>
        <w:pStyle w:val="FootnoteText"/>
      </w:pPr>
      <w:r>
        <w:rPr>
          <w:rStyle w:val="FootnoteReference"/>
        </w:rPr>
        <w:footnoteRef/>
      </w:r>
      <w:r>
        <w:t xml:space="preserve"> </w:t>
      </w:r>
      <w:r>
        <w:tab/>
      </w:r>
      <w:r w:rsidRPr="00563EA0">
        <w:t xml:space="preserve">Deloitte Access Economic, </w:t>
      </w:r>
      <w:r w:rsidRPr="00F3256C">
        <w:rPr>
          <w:rStyle w:val="Emphasis"/>
        </w:rPr>
        <w:t>NSW distribution network service providers</w:t>
      </w:r>
      <w:r>
        <w:rPr>
          <w:rStyle w:val="Emphasis"/>
        </w:rPr>
        <w:t>'</w:t>
      </w:r>
      <w:r w:rsidRPr="00F3256C">
        <w:rPr>
          <w:rStyle w:val="Emphasis"/>
        </w:rPr>
        <w:t xml:space="preserve"> labour analysis: addendum to 2014 report</w:t>
      </w:r>
      <w:r w:rsidRPr="00563EA0">
        <w:t xml:space="preserve">, March 2015, pp. ii–v. </w:t>
      </w:r>
      <w:r>
        <w:t xml:space="preserve"> </w:t>
      </w:r>
    </w:p>
  </w:footnote>
  <w:footnote w:id="954">
    <w:p w:rsidR="00224E75" w:rsidRDefault="00224E75" w:rsidP="00B8317F">
      <w:pPr>
        <w:pStyle w:val="FootnoteText"/>
      </w:pPr>
      <w:r>
        <w:rPr>
          <w:rStyle w:val="FootnoteReference"/>
        </w:rPr>
        <w:footnoteRef/>
      </w:r>
      <w:r>
        <w:t xml:space="preserve"> </w:t>
      </w:r>
      <w:r>
        <w:tab/>
      </w:r>
      <w:r w:rsidRPr="00563EA0">
        <w:t>Deloitte Access Economic</w:t>
      </w:r>
      <w:r w:rsidRPr="00F3256C">
        <w:rPr>
          <w:rStyle w:val="Emphasis"/>
        </w:rPr>
        <w:t>, NSW distribution network service providers</w:t>
      </w:r>
      <w:r>
        <w:rPr>
          <w:rStyle w:val="Emphasis"/>
        </w:rPr>
        <w:t>'</w:t>
      </w:r>
      <w:r w:rsidRPr="00F3256C">
        <w:rPr>
          <w:rStyle w:val="Emphasis"/>
        </w:rPr>
        <w:t xml:space="preserve"> labour analysis: addendum to 2014 report</w:t>
      </w:r>
      <w:r w:rsidRPr="00563EA0">
        <w:t xml:space="preserve">, March 2015, </w:t>
      </w:r>
      <w:r>
        <w:t xml:space="preserve">p. iv. </w:t>
      </w:r>
    </w:p>
  </w:footnote>
  <w:footnote w:id="955">
    <w:p w:rsidR="00224E75" w:rsidRDefault="00224E75" w:rsidP="00B8317F">
      <w:pPr>
        <w:pStyle w:val="FootnoteText"/>
      </w:pPr>
      <w:r>
        <w:rPr>
          <w:rStyle w:val="FootnoteReference"/>
        </w:rPr>
        <w:footnoteRef/>
      </w:r>
      <w:r>
        <w:t xml:space="preserve"> </w:t>
      </w:r>
      <w:r>
        <w:tab/>
        <w:t xml:space="preserve">AER, </w:t>
      </w:r>
      <w:r w:rsidRPr="00F3256C">
        <w:rPr>
          <w:rStyle w:val="Emphasis"/>
        </w:rPr>
        <w:t>Expenditure forecast assessment guideline</w:t>
      </w:r>
      <w:r>
        <w:t>, November 2013, p. 28.</w:t>
      </w:r>
    </w:p>
  </w:footnote>
  <w:footnote w:id="956">
    <w:p w:rsidR="00224E75" w:rsidRPr="002637B8" w:rsidRDefault="00224E75" w:rsidP="00B8317F">
      <w:pPr>
        <w:pStyle w:val="FootnoteText"/>
        <w:rPr>
          <w:rStyle w:val="AERtexthighlight"/>
        </w:rPr>
      </w:pPr>
      <w:r>
        <w:rPr>
          <w:rStyle w:val="FootnoteReference"/>
        </w:rPr>
        <w:footnoteRef/>
      </w:r>
      <w:r>
        <w:t xml:space="preserve"> </w:t>
      </w:r>
      <w:r>
        <w:tab/>
      </w:r>
      <w:r w:rsidRPr="003D20AA">
        <w:rPr>
          <w:rStyle w:val="AERtextsize8"/>
        </w:rPr>
        <w:t xml:space="preserve">AER, </w:t>
      </w:r>
      <w:r w:rsidRPr="00F3256C">
        <w:rPr>
          <w:rStyle w:val="Emphasis"/>
        </w:rPr>
        <w:t>Regulatory information notice issued under section Division 4 of Part 3 of the National Electricity (NSW) Law</w:t>
      </w:r>
      <w:r w:rsidRPr="003D20AA">
        <w:rPr>
          <w:rStyle w:val="AERtextsize8"/>
        </w:rPr>
        <w:t>, 7 March 2014, p. 10.</w:t>
      </w:r>
    </w:p>
  </w:footnote>
  <w:footnote w:id="957">
    <w:p w:rsidR="00224E75" w:rsidRDefault="00224E75" w:rsidP="00B8317F">
      <w:pPr>
        <w:pStyle w:val="FootnoteText"/>
      </w:pPr>
      <w:r>
        <w:rPr>
          <w:rStyle w:val="FootnoteReference"/>
        </w:rPr>
        <w:footnoteRef/>
      </w:r>
      <w:r>
        <w:t xml:space="preserve"> </w:t>
      </w:r>
      <w:r>
        <w:tab/>
        <w:t>AER</w:t>
      </w:r>
      <w:r w:rsidRPr="00F3256C">
        <w:rPr>
          <w:rStyle w:val="Emphasis"/>
        </w:rPr>
        <w:t>, Information request AER Endeavour 009</w:t>
      </w:r>
      <w:r>
        <w:t>, 31 July 2014.</w:t>
      </w:r>
    </w:p>
  </w:footnote>
  <w:footnote w:id="958">
    <w:p w:rsidR="00224E75" w:rsidRDefault="00224E75" w:rsidP="00B8317F">
      <w:pPr>
        <w:pStyle w:val="FootnoteText"/>
      </w:pPr>
      <w:r>
        <w:rPr>
          <w:rStyle w:val="FootnoteReference"/>
        </w:rPr>
        <w:footnoteRef/>
      </w:r>
      <w:r>
        <w:t xml:space="preserve"> </w:t>
      </w:r>
      <w:r>
        <w:tab/>
      </w:r>
      <w:r w:rsidRPr="003D20AA">
        <w:rPr>
          <w:rStyle w:val="AERtextsize8"/>
        </w:rPr>
        <w:t xml:space="preserve">AER, </w:t>
      </w:r>
      <w:r w:rsidRPr="003D20AA">
        <w:rPr>
          <w:rStyle w:val="Emphasis"/>
        </w:rPr>
        <w:t>Draft decision - Endeavour Energy distribution determination attachment 7 - Operating expenditure</w:t>
      </w:r>
      <w:r w:rsidRPr="003D20AA">
        <w:rPr>
          <w:rStyle w:val="AERtextsize8"/>
        </w:rPr>
        <w:t>, pp. 2</w:t>
      </w:r>
      <w:r>
        <w:rPr>
          <w:rStyle w:val="AERtextsize8"/>
        </w:rPr>
        <w:t>36-238</w:t>
      </w:r>
      <w:r w:rsidRPr="003D20AA">
        <w:rPr>
          <w:rStyle w:val="AERtextsize8"/>
        </w:rPr>
        <w:t>.</w:t>
      </w:r>
    </w:p>
  </w:footnote>
  <w:footnote w:id="959">
    <w:p w:rsidR="00224E75" w:rsidRDefault="00224E75" w:rsidP="00B8317F">
      <w:pPr>
        <w:pStyle w:val="FootnoteText"/>
      </w:pPr>
      <w:r>
        <w:rPr>
          <w:rStyle w:val="FootnoteReference"/>
        </w:rPr>
        <w:footnoteRef/>
      </w:r>
      <w:r>
        <w:t xml:space="preserve"> </w:t>
      </w:r>
      <w:r>
        <w:tab/>
        <w:t xml:space="preserve">Endeavour Energy, </w:t>
      </w:r>
      <w:r w:rsidRPr="00E07E2E">
        <w:rPr>
          <w:rStyle w:val="Emphasis"/>
        </w:rPr>
        <w:t>Response to Information request AER Endeavour 009</w:t>
      </w:r>
      <w:r>
        <w:t>, 31 July 2014.</w:t>
      </w:r>
    </w:p>
  </w:footnote>
  <w:footnote w:id="960">
    <w:p w:rsidR="00224E75" w:rsidRDefault="00224E75" w:rsidP="00B8317F">
      <w:pPr>
        <w:pStyle w:val="FootnoteText"/>
      </w:pPr>
      <w:r>
        <w:rPr>
          <w:rStyle w:val="FootnoteReference"/>
        </w:rPr>
        <w:footnoteRef/>
      </w:r>
      <w:r>
        <w:t xml:space="preserve"> </w:t>
      </w:r>
      <w:r>
        <w:tab/>
        <w:t xml:space="preserve">Endeavour Energy, </w:t>
      </w:r>
      <w:r w:rsidRPr="00BA5570">
        <w:rPr>
          <w:rStyle w:val="AERtextitalic"/>
        </w:rPr>
        <w:t>R</w:t>
      </w:r>
      <w:r>
        <w:rPr>
          <w:rStyle w:val="AERtextitalic"/>
        </w:rPr>
        <w:t>evised r</w:t>
      </w:r>
      <w:r w:rsidRPr="00BA5570">
        <w:rPr>
          <w:rStyle w:val="AERtextitalic"/>
        </w:rPr>
        <w:t>egulatory Proposal</w:t>
      </w:r>
      <w:r>
        <w:t>, January 2015, p. 188.</w:t>
      </w:r>
    </w:p>
  </w:footnote>
  <w:footnote w:id="961">
    <w:p w:rsidR="00224E75" w:rsidRDefault="00224E75" w:rsidP="00B8317F">
      <w:pPr>
        <w:pStyle w:val="FootnoteText"/>
      </w:pPr>
      <w:r>
        <w:rPr>
          <w:rStyle w:val="FootnoteReference"/>
        </w:rPr>
        <w:footnoteRef/>
      </w:r>
      <w:r>
        <w:t xml:space="preserve"> </w:t>
      </w:r>
      <w:r>
        <w:tab/>
        <w:t xml:space="preserve">Essential Energy, </w:t>
      </w:r>
      <w:r w:rsidRPr="00E07E2E">
        <w:rPr>
          <w:rStyle w:val="Emphasis"/>
        </w:rPr>
        <w:t>Item 6.2 - Vegetation management review findings</w:t>
      </w:r>
      <w:r>
        <w:t>, p. 1, 17 October 2013, p. 2.</w:t>
      </w:r>
    </w:p>
  </w:footnote>
  <w:footnote w:id="962">
    <w:p w:rsidR="00224E75" w:rsidRDefault="00224E75" w:rsidP="00B8317F">
      <w:pPr>
        <w:pStyle w:val="FootnoteText"/>
      </w:pPr>
      <w:r>
        <w:rPr>
          <w:rStyle w:val="FootnoteReference"/>
        </w:rPr>
        <w:footnoteRef/>
      </w:r>
      <w:r>
        <w:t xml:space="preserve"> </w:t>
      </w:r>
      <w:r>
        <w:tab/>
        <w:t xml:space="preserve">Essential Energy, </w:t>
      </w:r>
      <w:r w:rsidRPr="00F3256C">
        <w:rPr>
          <w:rStyle w:val="Emphasis"/>
        </w:rPr>
        <w:t xml:space="preserve">Item 6.2 - Vegetation management review findings (Appendix), </w:t>
      </w:r>
      <w:r>
        <w:rPr>
          <w:rStyle w:val="Emphasis"/>
        </w:rPr>
        <w:t xml:space="preserve">17 </w:t>
      </w:r>
      <w:r w:rsidRPr="00F3256C">
        <w:rPr>
          <w:rStyle w:val="Emphasis"/>
        </w:rPr>
        <w:t>October 2013</w:t>
      </w:r>
      <w:r>
        <w:t>, p. 5.</w:t>
      </w:r>
    </w:p>
  </w:footnote>
  <w:footnote w:id="963">
    <w:p w:rsidR="00224E75" w:rsidRDefault="00224E75" w:rsidP="00B8317F">
      <w:pPr>
        <w:pStyle w:val="FootnoteText"/>
      </w:pPr>
      <w:r>
        <w:rPr>
          <w:rStyle w:val="FootnoteReference"/>
        </w:rPr>
        <w:footnoteRef/>
      </w:r>
      <w:r>
        <w:t xml:space="preserve"> </w:t>
      </w:r>
      <w:r>
        <w:tab/>
        <w:t xml:space="preserve">Essential Energy, </w:t>
      </w:r>
      <w:r w:rsidRPr="00F3256C">
        <w:rPr>
          <w:rStyle w:val="Emphasis"/>
        </w:rPr>
        <w:t xml:space="preserve">Item 6.2 - Vegetation management review findings (Appendix), </w:t>
      </w:r>
      <w:r>
        <w:rPr>
          <w:rStyle w:val="Emphasis"/>
        </w:rPr>
        <w:t xml:space="preserve">17 </w:t>
      </w:r>
      <w:r w:rsidRPr="00F3256C">
        <w:rPr>
          <w:rStyle w:val="Emphasis"/>
        </w:rPr>
        <w:t>October 2013</w:t>
      </w:r>
      <w:r>
        <w:t xml:space="preserve">. p, 12; Industry safety steering committee (ISSC 3), </w:t>
      </w:r>
      <w:r w:rsidRPr="0004149A">
        <w:rPr>
          <w:rStyle w:val="AERtextitalic"/>
        </w:rPr>
        <w:t>Guideline for Managing Vegetation near Powerlines</w:t>
      </w:r>
      <w:r>
        <w:t>, December 2005.</w:t>
      </w:r>
    </w:p>
  </w:footnote>
  <w:footnote w:id="964">
    <w:p w:rsidR="00224E75" w:rsidRDefault="00224E75" w:rsidP="00B8317F">
      <w:pPr>
        <w:pStyle w:val="FootnoteText"/>
      </w:pPr>
      <w:r>
        <w:rPr>
          <w:rStyle w:val="FootnoteReference"/>
        </w:rPr>
        <w:footnoteRef/>
      </w:r>
      <w:r>
        <w:t xml:space="preserve"> </w:t>
      </w:r>
      <w:r>
        <w:tab/>
        <w:t xml:space="preserve">Essential Energy, </w:t>
      </w:r>
      <w:r w:rsidRPr="00F3256C">
        <w:rPr>
          <w:rStyle w:val="Emphasis"/>
        </w:rPr>
        <w:t>Item 6.2 - Vegetation management review findings (Appendix), 17 October 2013</w:t>
      </w:r>
      <w:r>
        <w:t>, p. 12.</w:t>
      </w:r>
    </w:p>
  </w:footnote>
  <w:footnote w:id="965">
    <w:p w:rsidR="00224E75" w:rsidRDefault="00224E75" w:rsidP="00B8317F">
      <w:pPr>
        <w:pStyle w:val="FootnoteText"/>
      </w:pPr>
      <w:r>
        <w:rPr>
          <w:rStyle w:val="FootnoteReference"/>
        </w:rPr>
        <w:footnoteRef/>
      </w:r>
      <w:r>
        <w:t xml:space="preserve"> </w:t>
      </w:r>
      <w:r>
        <w:tab/>
        <w:t xml:space="preserve">Essential Energy, </w:t>
      </w:r>
      <w:r w:rsidRPr="00F3256C">
        <w:rPr>
          <w:rStyle w:val="Emphasis"/>
        </w:rPr>
        <w:t>Item 6.2 - Vegetation management review findings, p. 1, 17 October 2013</w:t>
      </w:r>
      <w:r>
        <w:t>, p. 10.</w:t>
      </w:r>
    </w:p>
  </w:footnote>
  <w:footnote w:id="966">
    <w:p w:rsidR="00224E75" w:rsidRDefault="00224E75" w:rsidP="00B8317F">
      <w:pPr>
        <w:pStyle w:val="FootnoteText"/>
      </w:pPr>
      <w:r>
        <w:rPr>
          <w:rStyle w:val="FootnoteReference"/>
        </w:rPr>
        <w:footnoteRef/>
      </w:r>
      <w:r>
        <w:t xml:space="preserve"> </w:t>
      </w:r>
      <w:r>
        <w:tab/>
        <w:t xml:space="preserve">Essential Energy, </w:t>
      </w:r>
      <w:r w:rsidRPr="00F3256C">
        <w:rPr>
          <w:rStyle w:val="Emphasis"/>
        </w:rPr>
        <w:t>Item 6.2 - Vegetation management review findings (Appendix)</w:t>
      </w:r>
      <w:r>
        <w:t>, 17 October 2013, p. 12.</w:t>
      </w:r>
    </w:p>
  </w:footnote>
  <w:footnote w:id="967">
    <w:p w:rsidR="00224E75" w:rsidRDefault="00224E75" w:rsidP="00B8317F">
      <w:pPr>
        <w:pStyle w:val="FootnoteText"/>
      </w:pPr>
      <w:r>
        <w:rPr>
          <w:rStyle w:val="FootnoteReference"/>
        </w:rPr>
        <w:footnoteRef/>
      </w:r>
      <w:r>
        <w:t xml:space="preserve"> </w:t>
      </w:r>
      <w:r>
        <w:tab/>
        <w:t>NER, cl. 6.5.8(e)(8).</w:t>
      </w:r>
    </w:p>
  </w:footnote>
  <w:footnote w:id="968">
    <w:p w:rsidR="00224E75" w:rsidRDefault="00224E75" w:rsidP="00B8317F">
      <w:pPr>
        <w:pStyle w:val="FootnoteText"/>
      </w:pPr>
      <w:r>
        <w:rPr>
          <w:rStyle w:val="FootnoteReference"/>
        </w:rPr>
        <w:footnoteRef/>
      </w:r>
      <w:r>
        <w:t xml:space="preserve"> </w:t>
      </w:r>
      <w:r>
        <w:tab/>
        <w:t>NER, cl. 6.5.8.</w:t>
      </w:r>
    </w:p>
  </w:footnote>
  <w:footnote w:id="969">
    <w:p w:rsidR="00224E75" w:rsidRDefault="00224E75" w:rsidP="00B8317F">
      <w:pPr>
        <w:pStyle w:val="FootnoteText"/>
      </w:pPr>
      <w:r>
        <w:rPr>
          <w:rStyle w:val="FootnoteReference"/>
        </w:rPr>
        <w:footnoteRef/>
      </w:r>
      <w:r>
        <w:t xml:space="preserve"> </w:t>
      </w:r>
      <w:r>
        <w:tab/>
        <w:t>NER, cl. 6.5.8(c)(1).</w:t>
      </w:r>
    </w:p>
  </w:footnote>
  <w:footnote w:id="970">
    <w:p w:rsidR="00224E75" w:rsidRDefault="00224E75" w:rsidP="00B8317F">
      <w:pPr>
        <w:pStyle w:val="FootnoteText"/>
      </w:pPr>
      <w:r>
        <w:rPr>
          <w:rStyle w:val="FootnoteReference"/>
        </w:rPr>
        <w:footnoteRef/>
      </w:r>
      <w:r>
        <w:t xml:space="preserve"> </w:t>
      </w:r>
      <w:r>
        <w:tab/>
        <w:t>Labelled as capex prioritisation in Endeavour Energy's initial proposal.</w:t>
      </w:r>
    </w:p>
  </w:footnote>
  <w:footnote w:id="971">
    <w:p w:rsidR="00224E75" w:rsidRDefault="00224E75" w:rsidP="00B8317F">
      <w:pPr>
        <w:pStyle w:val="FootnoteText"/>
      </w:pPr>
      <w:r>
        <w:rPr>
          <w:rStyle w:val="FootnoteReference"/>
        </w:rPr>
        <w:footnoteRef/>
      </w:r>
      <w:r>
        <w:t xml:space="preserve"> </w:t>
      </w:r>
      <w:r>
        <w:tab/>
      </w:r>
      <w:r w:rsidRPr="00C1263E">
        <w:rPr>
          <w:rStyle w:val="AERtextsize8"/>
        </w:rPr>
        <w:t xml:space="preserve">AER, </w:t>
      </w:r>
      <w:r w:rsidRPr="00C1263E">
        <w:rPr>
          <w:rStyle w:val="Emphasis"/>
        </w:rPr>
        <w:t>Draft decision - Endeavour Energy distribution determination attachment 7 - Operating expenditure</w:t>
      </w:r>
      <w:r w:rsidRPr="00C1263E">
        <w:rPr>
          <w:rStyle w:val="AERtextsize8"/>
        </w:rPr>
        <w:t xml:space="preserve">, </w:t>
      </w:r>
      <w:r>
        <w:rPr>
          <w:rStyle w:val="AERtextsize8"/>
        </w:rPr>
        <w:t>p. 241.</w:t>
      </w:r>
    </w:p>
  </w:footnote>
  <w:footnote w:id="972">
    <w:p w:rsidR="00224E75" w:rsidRDefault="00224E75" w:rsidP="00B8317F">
      <w:pPr>
        <w:pStyle w:val="FootnoteText"/>
      </w:pPr>
      <w:r>
        <w:rPr>
          <w:rStyle w:val="FootnoteReference"/>
        </w:rPr>
        <w:footnoteRef/>
      </w:r>
      <w:r>
        <w:t xml:space="preserve"> </w:t>
      </w:r>
      <w:r>
        <w:tab/>
        <w:t xml:space="preserve">Deloitte Access Economics, </w:t>
      </w:r>
      <w:r w:rsidRPr="00E07E2E">
        <w:rPr>
          <w:rStyle w:val="Emphasis"/>
        </w:rPr>
        <w:t>NSW Distribution Network Service Providers Labour Analysis–Addendum</w:t>
      </w:r>
      <w:r>
        <w:t>, April 2015, p. 31.</w:t>
      </w:r>
    </w:p>
  </w:footnote>
  <w:footnote w:id="973">
    <w:p w:rsidR="00224E75" w:rsidRDefault="00224E75" w:rsidP="00B8317F">
      <w:pPr>
        <w:pStyle w:val="FootnoteText"/>
      </w:pPr>
      <w:r>
        <w:rPr>
          <w:rStyle w:val="FootnoteReference"/>
        </w:rPr>
        <w:footnoteRef/>
      </w:r>
      <w:r>
        <w:t xml:space="preserve"> </w:t>
      </w:r>
      <w:r>
        <w:tab/>
        <w:t xml:space="preserve">Deloitte Access Economics, </w:t>
      </w:r>
      <w:r w:rsidRPr="00E07E2E">
        <w:rPr>
          <w:rStyle w:val="Emphasis"/>
        </w:rPr>
        <w:t>NSW Distribution Network Service Providers Labour Analysis–Addendum</w:t>
      </w:r>
      <w:r>
        <w:t>, April 2015, p. 31.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EA02F7B0"/>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2487" w:hanging="360"/>
      </w:pPr>
    </w:lvl>
    <w:lvl w:ilvl="1" w:tplc="0C090019" w:tentative="1">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2421"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14C660F6"/>
    <w:lvl w:ilvl="0">
      <w:start w:val="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jt/lCXttfgnFqnrrdbymks32nNEmHQLS0xEG5CAUjwA=" w:saltValue="0qeuI6khKzr3S6p5WUwfOw==" w:algorithmName="SHA-256"/>
  <w:defaultTabStop w:val="340"/>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832\AER15 447  AER - Final decision Endeavour Energy - Attachment 7 - Operating expenditure - April 2015.DOCX"/>
  </w:docVars>
  <w:rsids>
    <w:rsidRoot w:val="00961A4A"/>
    <w:rsid w:val="00005C24"/>
    <w:rsid w:val="00021202"/>
    <w:rsid w:val="00021C2B"/>
    <w:rsid w:val="0002517F"/>
    <w:rsid w:val="0003578C"/>
    <w:rsid w:val="00041302"/>
    <w:rsid w:val="00063247"/>
    <w:rsid w:val="00070F9F"/>
    <w:rsid w:val="0007137B"/>
    <w:rsid w:val="0007497E"/>
    <w:rsid w:val="00075F01"/>
    <w:rsid w:val="00077F8C"/>
    <w:rsid w:val="000834E9"/>
    <w:rsid w:val="00085663"/>
    <w:rsid w:val="00085A35"/>
    <w:rsid w:val="00085EBF"/>
    <w:rsid w:val="00091B15"/>
    <w:rsid w:val="00096BD0"/>
    <w:rsid w:val="000975E6"/>
    <w:rsid w:val="000A3020"/>
    <w:rsid w:val="000A6C7B"/>
    <w:rsid w:val="000C2B40"/>
    <w:rsid w:val="000C4E69"/>
    <w:rsid w:val="000D122C"/>
    <w:rsid w:val="000E1819"/>
    <w:rsid w:val="000E4821"/>
    <w:rsid w:val="000E6C72"/>
    <w:rsid w:val="000F037D"/>
    <w:rsid w:val="001073A6"/>
    <w:rsid w:val="00116EB2"/>
    <w:rsid w:val="00124609"/>
    <w:rsid w:val="00126A4C"/>
    <w:rsid w:val="00135772"/>
    <w:rsid w:val="0014573B"/>
    <w:rsid w:val="001511EE"/>
    <w:rsid w:val="00152DD0"/>
    <w:rsid w:val="001573E4"/>
    <w:rsid w:val="00160756"/>
    <w:rsid w:val="001704F3"/>
    <w:rsid w:val="0017232E"/>
    <w:rsid w:val="00172897"/>
    <w:rsid w:val="00174102"/>
    <w:rsid w:val="001754EE"/>
    <w:rsid w:val="00180157"/>
    <w:rsid w:val="00181156"/>
    <w:rsid w:val="00185CB9"/>
    <w:rsid w:val="00186F77"/>
    <w:rsid w:val="001926A4"/>
    <w:rsid w:val="00192AD5"/>
    <w:rsid w:val="00193817"/>
    <w:rsid w:val="001A6143"/>
    <w:rsid w:val="001B45A0"/>
    <w:rsid w:val="001B524D"/>
    <w:rsid w:val="001C1E36"/>
    <w:rsid w:val="001C28A4"/>
    <w:rsid w:val="001D055E"/>
    <w:rsid w:val="001D2902"/>
    <w:rsid w:val="001D560D"/>
    <w:rsid w:val="001F05A4"/>
    <w:rsid w:val="001F492E"/>
    <w:rsid w:val="001F53F3"/>
    <w:rsid w:val="001F6DA3"/>
    <w:rsid w:val="002010BC"/>
    <w:rsid w:val="002016E7"/>
    <w:rsid w:val="00202E03"/>
    <w:rsid w:val="00202F0F"/>
    <w:rsid w:val="0020492C"/>
    <w:rsid w:val="00224DB9"/>
    <w:rsid w:val="00224E75"/>
    <w:rsid w:val="00233775"/>
    <w:rsid w:val="0024275B"/>
    <w:rsid w:val="00242EE2"/>
    <w:rsid w:val="00251745"/>
    <w:rsid w:val="00257C6C"/>
    <w:rsid w:val="00257D0B"/>
    <w:rsid w:val="00263AC0"/>
    <w:rsid w:val="00264264"/>
    <w:rsid w:val="00265C57"/>
    <w:rsid w:val="0026772D"/>
    <w:rsid w:val="00286874"/>
    <w:rsid w:val="00290C63"/>
    <w:rsid w:val="00291CA3"/>
    <w:rsid w:val="00295F1C"/>
    <w:rsid w:val="00296B65"/>
    <w:rsid w:val="002A6D0D"/>
    <w:rsid w:val="002A7DEF"/>
    <w:rsid w:val="002B5F41"/>
    <w:rsid w:val="002C0B78"/>
    <w:rsid w:val="002C233C"/>
    <w:rsid w:val="002C43C7"/>
    <w:rsid w:val="002D27E3"/>
    <w:rsid w:val="002D72E8"/>
    <w:rsid w:val="002E7B22"/>
    <w:rsid w:val="002F7986"/>
    <w:rsid w:val="00301B40"/>
    <w:rsid w:val="003029EE"/>
    <w:rsid w:val="0030370B"/>
    <w:rsid w:val="00305CC8"/>
    <w:rsid w:val="00306752"/>
    <w:rsid w:val="00307F6D"/>
    <w:rsid w:val="003177A2"/>
    <w:rsid w:val="00322191"/>
    <w:rsid w:val="003237A8"/>
    <w:rsid w:val="00323CFE"/>
    <w:rsid w:val="003271B5"/>
    <w:rsid w:val="00327A1E"/>
    <w:rsid w:val="00331264"/>
    <w:rsid w:val="0033398A"/>
    <w:rsid w:val="00334C8D"/>
    <w:rsid w:val="003410F2"/>
    <w:rsid w:val="00343A18"/>
    <w:rsid w:val="003456E0"/>
    <w:rsid w:val="003518B3"/>
    <w:rsid w:val="00351BA9"/>
    <w:rsid w:val="00357100"/>
    <w:rsid w:val="00363D1B"/>
    <w:rsid w:val="003642F8"/>
    <w:rsid w:val="003721F0"/>
    <w:rsid w:val="003724C4"/>
    <w:rsid w:val="003846F1"/>
    <w:rsid w:val="00391F24"/>
    <w:rsid w:val="003927E7"/>
    <w:rsid w:val="00396306"/>
    <w:rsid w:val="003A1A06"/>
    <w:rsid w:val="003B484F"/>
    <w:rsid w:val="003B671A"/>
    <w:rsid w:val="003B794B"/>
    <w:rsid w:val="003B7FBA"/>
    <w:rsid w:val="003C4E62"/>
    <w:rsid w:val="003D1846"/>
    <w:rsid w:val="003D6F76"/>
    <w:rsid w:val="003E05D8"/>
    <w:rsid w:val="003E0967"/>
    <w:rsid w:val="003E2023"/>
    <w:rsid w:val="003F174D"/>
    <w:rsid w:val="00407EB7"/>
    <w:rsid w:val="00415F31"/>
    <w:rsid w:val="00423A77"/>
    <w:rsid w:val="00435958"/>
    <w:rsid w:val="0045777E"/>
    <w:rsid w:val="00472195"/>
    <w:rsid w:val="00475CCC"/>
    <w:rsid w:val="00480B4B"/>
    <w:rsid w:val="00485DC4"/>
    <w:rsid w:val="00487CE9"/>
    <w:rsid w:val="00495502"/>
    <w:rsid w:val="004A43D1"/>
    <w:rsid w:val="004B4059"/>
    <w:rsid w:val="004B4412"/>
    <w:rsid w:val="004C0639"/>
    <w:rsid w:val="004C0B79"/>
    <w:rsid w:val="004C348C"/>
    <w:rsid w:val="004D0133"/>
    <w:rsid w:val="004D55BA"/>
    <w:rsid w:val="004E2092"/>
    <w:rsid w:val="004E22EC"/>
    <w:rsid w:val="004F6A0E"/>
    <w:rsid w:val="0050235D"/>
    <w:rsid w:val="005048F1"/>
    <w:rsid w:val="005060C6"/>
    <w:rsid w:val="00506409"/>
    <w:rsid w:val="00530128"/>
    <w:rsid w:val="00532467"/>
    <w:rsid w:val="00535A49"/>
    <w:rsid w:val="0055374D"/>
    <w:rsid w:val="00564A4D"/>
    <w:rsid w:val="00564FAA"/>
    <w:rsid w:val="00567BA5"/>
    <w:rsid w:val="00571B35"/>
    <w:rsid w:val="00571D57"/>
    <w:rsid w:val="00574098"/>
    <w:rsid w:val="00577A09"/>
    <w:rsid w:val="005829C2"/>
    <w:rsid w:val="00584D8F"/>
    <w:rsid w:val="005A404D"/>
    <w:rsid w:val="005B1E3C"/>
    <w:rsid w:val="005B704A"/>
    <w:rsid w:val="005C26CC"/>
    <w:rsid w:val="005C49B9"/>
    <w:rsid w:val="005D3AF6"/>
    <w:rsid w:val="005D7BA2"/>
    <w:rsid w:val="005E36C2"/>
    <w:rsid w:val="00602C58"/>
    <w:rsid w:val="00610EF9"/>
    <w:rsid w:val="00611732"/>
    <w:rsid w:val="00611D8A"/>
    <w:rsid w:val="00612F4F"/>
    <w:rsid w:val="006139BC"/>
    <w:rsid w:val="006140E1"/>
    <w:rsid w:val="00615C6B"/>
    <w:rsid w:val="00621DCE"/>
    <w:rsid w:val="00632D6D"/>
    <w:rsid w:val="00642C3E"/>
    <w:rsid w:val="00642D94"/>
    <w:rsid w:val="00647A95"/>
    <w:rsid w:val="00660BF4"/>
    <w:rsid w:val="0066104A"/>
    <w:rsid w:val="00663DAD"/>
    <w:rsid w:val="0066439C"/>
    <w:rsid w:val="00666865"/>
    <w:rsid w:val="00675E20"/>
    <w:rsid w:val="00676679"/>
    <w:rsid w:val="00681330"/>
    <w:rsid w:val="00683C89"/>
    <w:rsid w:val="00683C94"/>
    <w:rsid w:val="00685FE5"/>
    <w:rsid w:val="00687D89"/>
    <w:rsid w:val="006A4E65"/>
    <w:rsid w:val="006B2395"/>
    <w:rsid w:val="006B4CF9"/>
    <w:rsid w:val="006B7AC8"/>
    <w:rsid w:val="006C1736"/>
    <w:rsid w:val="006C72DA"/>
    <w:rsid w:val="006C7BAA"/>
    <w:rsid w:val="006D550F"/>
    <w:rsid w:val="006D62BA"/>
    <w:rsid w:val="006D71EA"/>
    <w:rsid w:val="006E6D11"/>
    <w:rsid w:val="006E7AAE"/>
    <w:rsid w:val="0070011E"/>
    <w:rsid w:val="00701CAB"/>
    <w:rsid w:val="00707563"/>
    <w:rsid w:val="00712FEA"/>
    <w:rsid w:val="0072348C"/>
    <w:rsid w:val="00724A37"/>
    <w:rsid w:val="007303C3"/>
    <w:rsid w:val="00731E65"/>
    <w:rsid w:val="00736D9B"/>
    <w:rsid w:val="007429BE"/>
    <w:rsid w:val="00743223"/>
    <w:rsid w:val="0074386C"/>
    <w:rsid w:val="00746E01"/>
    <w:rsid w:val="00757364"/>
    <w:rsid w:val="00757BDF"/>
    <w:rsid w:val="007609D0"/>
    <w:rsid w:val="007639FE"/>
    <w:rsid w:val="00763E5D"/>
    <w:rsid w:val="0076401B"/>
    <w:rsid w:val="00764773"/>
    <w:rsid w:val="00767740"/>
    <w:rsid w:val="00773042"/>
    <w:rsid w:val="0077674C"/>
    <w:rsid w:val="00777450"/>
    <w:rsid w:val="00777EE6"/>
    <w:rsid w:val="00782EEA"/>
    <w:rsid w:val="00786213"/>
    <w:rsid w:val="00797834"/>
    <w:rsid w:val="007B186E"/>
    <w:rsid w:val="007B2C72"/>
    <w:rsid w:val="007B4FC3"/>
    <w:rsid w:val="007C1C53"/>
    <w:rsid w:val="007C2CD0"/>
    <w:rsid w:val="007C74BB"/>
    <w:rsid w:val="007D0B75"/>
    <w:rsid w:val="007D27B1"/>
    <w:rsid w:val="007D456E"/>
    <w:rsid w:val="007E3449"/>
    <w:rsid w:val="007E4129"/>
    <w:rsid w:val="007E4904"/>
    <w:rsid w:val="007E4CB5"/>
    <w:rsid w:val="007E5CF8"/>
    <w:rsid w:val="007E6FAD"/>
    <w:rsid w:val="007F066B"/>
    <w:rsid w:val="007F3692"/>
    <w:rsid w:val="008030C0"/>
    <w:rsid w:val="008033C4"/>
    <w:rsid w:val="00804713"/>
    <w:rsid w:val="00806C88"/>
    <w:rsid w:val="0081034E"/>
    <w:rsid w:val="0081413C"/>
    <w:rsid w:val="008163E1"/>
    <w:rsid w:val="00817DD2"/>
    <w:rsid w:val="00833DED"/>
    <w:rsid w:val="00834138"/>
    <w:rsid w:val="008344F6"/>
    <w:rsid w:val="0083510F"/>
    <w:rsid w:val="00835AE3"/>
    <w:rsid w:val="00851209"/>
    <w:rsid w:val="008552DD"/>
    <w:rsid w:val="00873862"/>
    <w:rsid w:val="008757F1"/>
    <w:rsid w:val="008837AC"/>
    <w:rsid w:val="008A54AC"/>
    <w:rsid w:val="008A587D"/>
    <w:rsid w:val="008B35CD"/>
    <w:rsid w:val="008B3E19"/>
    <w:rsid w:val="008B520D"/>
    <w:rsid w:val="008B5FCC"/>
    <w:rsid w:val="008C4ABB"/>
    <w:rsid w:val="008C5486"/>
    <w:rsid w:val="008D1661"/>
    <w:rsid w:val="008D3712"/>
    <w:rsid w:val="008D6800"/>
    <w:rsid w:val="008E7031"/>
    <w:rsid w:val="008E77DE"/>
    <w:rsid w:val="008F07A3"/>
    <w:rsid w:val="008F34DD"/>
    <w:rsid w:val="008F5544"/>
    <w:rsid w:val="009001B6"/>
    <w:rsid w:val="00900E1B"/>
    <w:rsid w:val="009160EE"/>
    <w:rsid w:val="0091633F"/>
    <w:rsid w:val="009233EE"/>
    <w:rsid w:val="009413E8"/>
    <w:rsid w:val="009460AA"/>
    <w:rsid w:val="00951978"/>
    <w:rsid w:val="009612EC"/>
    <w:rsid w:val="00961A4A"/>
    <w:rsid w:val="009661DE"/>
    <w:rsid w:val="009709B3"/>
    <w:rsid w:val="00982A11"/>
    <w:rsid w:val="00983C25"/>
    <w:rsid w:val="009856B7"/>
    <w:rsid w:val="00985C86"/>
    <w:rsid w:val="009A39A7"/>
    <w:rsid w:val="009A5FC3"/>
    <w:rsid w:val="009B6F84"/>
    <w:rsid w:val="009B74B0"/>
    <w:rsid w:val="009C755D"/>
    <w:rsid w:val="009D3906"/>
    <w:rsid w:val="009D6B46"/>
    <w:rsid w:val="009E36F6"/>
    <w:rsid w:val="009F4940"/>
    <w:rsid w:val="009F5BA1"/>
    <w:rsid w:val="00A02A88"/>
    <w:rsid w:val="00A0562E"/>
    <w:rsid w:val="00A0726D"/>
    <w:rsid w:val="00A223F3"/>
    <w:rsid w:val="00A31C1A"/>
    <w:rsid w:val="00A32FBB"/>
    <w:rsid w:val="00A36D42"/>
    <w:rsid w:val="00A428EE"/>
    <w:rsid w:val="00A4478A"/>
    <w:rsid w:val="00A44852"/>
    <w:rsid w:val="00A5004D"/>
    <w:rsid w:val="00A50502"/>
    <w:rsid w:val="00A57D04"/>
    <w:rsid w:val="00A60A26"/>
    <w:rsid w:val="00A61598"/>
    <w:rsid w:val="00A66A4E"/>
    <w:rsid w:val="00A84A99"/>
    <w:rsid w:val="00A84F46"/>
    <w:rsid w:val="00A871F4"/>
    <w:rsid w:val="00AA1A70"/>
    <w:rsid w:val="00AA363A"/>
    <w:rsid w:val="00AB3FD8"/>
    <w:rsid w:val="00AC1B2C"/>
    <w:rsid w:val="00AC3264"/>
    <w:rsid w:val="00AC4F1D"/>
    <w:rsid w:val="00AC5AE1"/>
    <w:rsid w:val="00AE1BF1"/>
    <w:rsid w:val="00AE2CBE"/>
    <w:rsid w:val="00AF0DD2"/>
    <w:rsid w:val="00AF23F8"/>
    <w:rsid w:val="00B070CA"/>
    <w:rsid w:val="00B10718"/>
    <w:rsid w:val="00B13048"/>
    <w:rsid w:val="00B1716D"/>
    <w:rsid w:val="00B17A1D"/>
    <w:rsid w:val="00B207A0"/>
    <w:rsid w:val="00B446C4"/>
    <w:rsid w:val="00B514DD"/>
    <w:rsid w:val="00B52AF0"/>
    <w:rsid w:val="00B54B91"/>
    <w:rsid w:val="00B561BD"/>
    <w:rsid w:val="00B56E03"/>
    <w:rsid w:val="00B7507D"/>
    <w:rsid w:val="00B8080B"/>
    <w:rsid w:val="00B82223"/>
    <w:rsid w:val="00B8317F"/>
    <w:rsid w:val="00B87BA5"/>
    <w:rsid w:val="00B87C39"/>
    <w:rsid w:val="00B9562D"/>
    <w:rsid w:val="00B973D3"/>
    <w:rsid w:val="00BA26CE"/>
    <w:rsid w:val="00BA4665"/>
    <w:rsid w:val="00BA59B1"/>
    <w:rsid w:val="00BB2FB2"/>
    <w:rsid w:val="00BB3304"/>
    <w:rsid w:val="00BD1EAD"/>
    <w:rsid w:val="00BD28FC"/>
    <w:rsid w:val="00BD3446"/>
    <w:rsid w:val="00BE1523"/>
    <w:rsid w:val="00BE1F1B"/>
    <w:rsid w:val="00BE2481"/>
    <w:rsid w:val="00BE47B5"/>
    <w:rsid w:val="00BE62C4"/>
    <w:rsid w:val="00C04223"/>
    <w:rsid w:val="00C04239"/>
    <w:rsid w:val="00C04FA0"/>
    <w:rsid w:val="00C06CB2"/>
    <w:rsid w:val="00C25FA6"/>
    <w:rsid w:val="00C46993"/>
    <w:rsid w:val="00C538A9"/>
    <w:rsid w:val="00C53B5A"/>
    <w:rsid w:val="00C54F5A"/>
    <w:rsid w:val="00C54F65"/>
    <w:rsid w:val="00C56106"/>
    <w:rsid w:val="00C569B4"/>
    <w:rsid w:val="00C57342"/>
    <w:rsid w:val="00C67A92"/>
    <w:rsid w:val="00C84560"/>
    <w:rsid w:val="00C86679"/>
    <w:rsid w:val="00C867C5"/>
    <w:rsid w:val="00C95FEE"/>
    <w:rsid w:val="00CA4654"/>
    <w:rsid w:val="00CA489E"/>
    <w:rsid w:val="00CB0279"/>
    <w:rsid w:val="00CB502F"/>
    <w:rsid w:val="00CB666B"/>
    <w:rsid w:val="00CC3783"/>
    <w:rsid w:val="00CC7F1D"/>
    <w:rsid w:val="00CE484B"/>
    <w:rsid w:val="00CF0DEE"/>
    <w:rsid w:val="00D006AE"/>
    <w:rsid w:val="00D01CF0"/>
    <w:rsid w:val="00D01F49"/>
    <w:rsid w:val="00D0442A"/>
    <w:rsid w:val="00D1590E"/>
    <w:rsid w:val="00D61388"/>
    <w:rsid w:val="00D61A54"/>
    <w:rsid w:val="00D64DEA"/>
    <w:rsid w:val="00D7168E"/>
    <w:rsid w:val="00D71E57"/>
    <w:rsid w:val="00D80893"/>
    <w:rsid w:val="00D84854"/>
    <w:rsid w:val="00D92CF1"/>
    <w:rsid w:val="00D92D38"/>
    <w:rsid w:val="00D950F5"/>
    <w:rsid w:val="00DA1910"/>
    <w:rsid w:val="00DA4752"/>
    <w:rsid w:val="00DA5383"/>
    <w:rsid w:val="00DA61F3"/>
    <w:rsid w:val="00DB0F93"/>
    <w:rsid w:val="00DB1A67"/>
    <w:rsid w:val="00DB5074"/>
    <w:rsid w:val="00DB5B21"/>
    <w:rsid w:val="00DB6F60"/>
    <w:rsid w:val="00DC7981"/>
    <w:rsid w:val="00DE1093"/>
    <w:rsid w:val="00DE4EFA"/>
    <w:rsid w:val="00DE5520"/>
    <w:rsid w:val="00DE563D"/>
    <w:rsid w:val="00DF2135"/>
    <w:rsid w:val="00E04818"/>
    <w:rsid w:val="00E06442"/>
    <w:rsid w:val="00E20480"/>
    <w:rsid w:val="00E23993"/>
    <w:rsid w:val="00E25B8C"/>
    <w:rsid w:val="00E30B9E"/>
    <w:rsid w:val="00E33B06"/>
    <w:rsid w:val="00E45ECA"/>
    <w:rsid w:val="00E47951"/>
    <w:rsid w:val="00E56593"/>
    <w:rsid w:val="00E65C85"/>
    <w:rsid w:val="00E66199"/>
    <w:rsid w:val="00E755EC"/>
    <w:rsid w:val="00E7624D"/>
    <w:rsid w:val="00E855FA"/>
    <w:rsid w:val="00E97DF1"/>
    <w:rsid w:val="00EA284C"/>
    <w:rsid w:val="00EA3D42"/>
    <w:rsid w:val="00EA6B1B"/>
    <w:rsid w:val="00EA6B40"/>
    <w:rsid w:val="00EB2966"/>
    <w:rsid w:val="00EC04F1"/>
    <w:rsid w:val="00EC33DE"/>
    <w:rsid w:val="00EC5D02"/>
    <w:rsid w:val="00EC6D46"/>
    <w:rsid w:val="00ED1A5D"/>
    <w:rsid w:val="00ED7323"/>
    <w:rsid w:val="00EE28F3"/>
    <w:rsid w:val="00EE50D1"/>
    <w:rsid w:val="00EF2276"/>
    <w:rsid w:val="00EF5110"/>
    <w:rsid w:val="00F10411"/>
    <w:rsid w:val="00F15882"/>
    <w:rsid w:val="00F15B7D"/>
    <w:rsid w:val="00F16C7E"/>
    <w:rsid w:val="00F171E0"/>
    <w:rsid w:val="00F20BD3"/>
    <w:rsid w:val="00F26C6C"/>
    <w:rsid w:val="00F3085B"/>
    <w:rsid w:val="00F373A5"/>
    <w:rsid w:val="00F42DD5"/>
    <w:rsid w:val="00F450D7"/>
    <w:rsid w:val="00F47559"/>
    <w:rsid w:val="00F62141"/>
    <w:rsid w:val="00F64C7B"/>
    <w:rsid w:val="00F676DD"/>
    <w:rsid w:val="00F75A26"/>
    <w:rsid w:val="00F76706"/>
    <w:rsid w:val="00F83FAD"/>
    <w:rsid w:val="00F8653A"/>
    <w:rsid w:val="00F92349"/>
    <w:rsid w:val="00F952A0"/>
    <w:rsid w:val="00FA3C7F"/>
    <w:rsid w:val="00FB4402"/>
    <w:rsid w:val="00FB60FE"/>
    <w:rsid w:val="00FB74E2"/>
    <w:rsid w:val="00FC77A7"/>
    <w:rsid w:val="00FD5614"/>
    <w:rsid w:val="00FD5E78"/>
    <w:rsid w:val="00FE0BE1"/>
    <w:rsid w:val="00FE1DE9"/>
    <w:rsid w:val="00FE36AF"/>
    <w:rsid w:val="00FE39C2"/>
    <w:rsid w:val="00FE3C32"/>
    <w:rsid w:val="00FE64AE"/>
    <w:rsid w:val="00FE6574"/>
    <w:rsid w:val="00FE71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qFormat="1"/>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uiPriority w:val="99"/>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lockText">
    <w:name w:val="Block Text"/>
    <w:basedOn w:val="Normal"/>
    <w:uiPriority w:val="99"/>
    <w:unhideWhenUsed/>
    <w:rsid w:val="0074386C"/>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 w:type="paragraph" w:styleId="BodyText">
    <w:name w:val="Body Text"/>
    <w:basedOn w:val="Normal"/>
    <w:link w:val="BodyTextChar"/>
    <w:uiPriority w:val="99"/>
    <w:unhideWhenUsed/>
    <w:rsid w:val="0074386C"/>
    <w:pPr>
      <w:spacing w:after="120"/>
    </w:pPr>
  </w:style>
  <w:style w:type="character" w:customStyle="1" w:styleId="BodyTextChar">
    <w:name w:val="Body Text Char"/>
    <w:basedOn w:val="DefaultParagraphFont"/>
    <w:link w:val="BodyText"/>
    <w:uiPriority w:val="99"/>
    <w:rsid w:val="0074386C"/>
    <w:rPr>
      <w:rFonts w:ascii="Arial" w:hAnsi="Arial"/>
    </w:rPr>
  </w:style>
  <w:style w:type="paragraph" w:styleId="NormalWeb">
    <w:name w:val="Normal (Web)"/>
    <w:basedOn w:val="Normal"/>
    <w:uiPriority w:val="99"/>
    <w:semiHidden/>
    <w:unhideWhenUsed/>
    <w:rsid w:val="0074386C"/>
    <w:pPr>
      <w:spacing w:before="0" w:after="240" w:line="288" w:lineRule="auto"/>
      <w:jc w:val="both"/>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qFormat="1"/>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uiPriority w:val="99"/>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lockText">
    <w:name w:val="Block Text"/>
    <w:basedOn w:val="Normal"/>
    <w:uiPriority w:val="99"/>
    <w:unhideWhenUsed/>
    <w:rsid w:val="0074386C"/>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 w:type="paragraph" w:styleId="BodyText">
    <w:name w:val="Body Text"/>
    <w:basedOn w:val="Normal"/>
    <w:link w:val="BodyTextChar"/>
    <w:uiPriority w:val="99"/>
    <w:unhideWhenUsed/>
    <w:rsid w:val="0074386C"/>
    <w:pPr>
      <w:spacing w:after="120"/>
    </w:pPr>
  </w:style>
  <w:style w:type="character" w:customStyle="1" w:styleId="BodyTextChar">
    <w:name w:val="Body Text Char"/>
    <w:basedOn w:val="DefaultParagraphFont"/>
    <w:link w:val="BodyText"/>
    <w:uiPriority w:val="99"/>
    <w:rsid w:val="0074386C"/>
    <w:rPr>
      <w:rFonts w:ascii="Arial" w:hAnsi="Arial"/>
    </w:rPr>
  </w:style>
  <w:style w:type="paragraph" w:styleId="NormalWeb">
    <w:name w:val="Normal (Web)"/>
    <w:basedOn w:val="Normal"/>
    <w:uiPriority w:val="99"/>
    <w:semiHidden/>
    <w:unhideWhenUsed/>
    <w:rsid w:val="0074386C"/>
    <w:pPr>
      <w:spacing w:before="0" w:after="240" w:line="288" w:lineRule="auto"/>
      <w:jc w:val="both"/>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47880">
      <w:bodyDiv w:val="1"/>
      <w:marLeft w:val="0"/>
      <w:marRight w:val="0"/>
      <w:marTop w:val="0"/>
      <w:marBottom w:val="0"/>
      <w:divBdr>
        <w:top w:val="none" w:sz="0" w:space="0" w:color="auto"/>
        <w:left w:val="none" w:sz="0" w:space="0" w:color="auto"/>
        <w:bottom w:val="none" w:sz="0" w:space="0" w:color="auto"/>
        <w:right w:val="none" w:sz="0" w:space="0" w:color="auto"/>
      </w:divBdr>
    </w:div>
    <w:div w:id="242958496">
      <w:bodyDiv w:val="1"/>
      <w:marLeft w:val="0"/>
      <w:marRight w:val="0"/>
      <w:marTop w:val="0"/>
      <w:marBottom w:val="0"/>
      <w:divBdr>
        <w:top w:val="none" w:sz="0" w:space="0" w:color="auto"/>
        <w:left w:val="none" w:sz="0" w:space="0" w:color="auto"/>
        <w:bottom w:val="none" w:sz="0" w:space="0" w:color="auto"/>
        <w:right w:val="none" w:sz="0" w:space="0" w:color="auto"/>
      </w:divBdr>
    </w:div>
    <w:div w:id="243034846">
      <w:bodyDiv w:val="1"/>
      <w:marLeft w:val="0"/>
      <w:marRight w:val="0"/>
      <w:marTop w:val="0"/>
      <w:marBottom w:val="0"/>
      <w:divBdr>
        <w:top w:val="none" w:sz="0" w:space="0" w:color="auto"/>
        <w:left w:val="none" w:sz="0" w:space="0" w:color="auto"/>
        <w:bottom w:val="none" w:sz="0" w:space="0" w:color="auto"/>
        <w:right w:val="none" w:sz="0" w:space="0" w:color="auto"/>
      </w:divBdr>
    </w:div>
    <w:div w:id="547913083">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10287936">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70917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diagramLayout" Target="diagrams/layout2.xml"/><Relationship Id="rId39" Type="http://schemas.openxmlformats.org/officeDocument/2006/relationships/image" Target="media/image12.emf"/><Relationship Id="rId21" Type="http://schemas.openxmlformats.org/officeDocument/2006/relationships/image" Target="media/image4.emf"/><Relationship Id="rId34" Type="http://schemas.microsoft.com/office/2007/relationships/diagramDrawing" Target="diagrams/drawing3.xml"/><Relationship Id="rId42" Type="http://schemas.openxmlformats.org/officeDocument/2006/relationships/image" Target="media/image15.emf"/><Relationship Id="rId47" Type="http://schemas.openxmlformats.org/officeDocument/2006/relationships/image" Target="media/image20.emf"/><Relationship Id="rId50" Type="http://schemas.openxmlformats.org/officeDocument/2006/relationships/image" Target="media/image23.emf"/><Relationship Id="rId55"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4.emf"/><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2.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diagramQuickStyle" Target="diagrams/quickStyle3.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image" Target="media/image31.emf"/><Relationship Id="rId66" Type="http://schemas.openxmlformats.org/officeDocument/2006/relationships/image" Target="media/image39.png"/><Relationship Id="rId7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diagramColors" Target="diagrams/colors2.xml"/><Relationship Id="rId36" Type="http://schemas.openxmlformats.org/officeDocument/2006/relationships/image" Target="media/image9.emf"/><Relationship Id="rId49" Type="http://schemas.openxmlformats.org/officeDocument/2006/relationships/image" Target="media/image22.emf"/><Relationship Id="rId57" Type="http://schemas.openxmlformats.org/officeDocument/2006/relationships/image" Target="media/image30.emf"/><Relationship Id="rId61" Type="http://schemas.openxmlformats.org/officeDocument/2006/relationships/image" Target="media/image34.emf"/><Relationship Id="rId10" Type="http://schemas.openxmlformats.org/officeDocument/2006/relationships/hyperlink" Target="mailto:AERInquiry@aer.gov.au" TargetMode="External"/><Relationship Id="rId19" Type="http://schemas.microsoft.com/office/2007/relationships/diagramDrawing" Target="diagrams/drawing1.xml"/><Relationship Id="rId31" Type="http://schemas.openxmlformats.org/officeDocument/2006/relationships/diagramLayout" Target="diagrams/layout3.xm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png"/><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image" Target="media/image11.png"/><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png"/><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bom.gov.au/jsp/awap/ndvi/index.jsp" TargetMode="External"/><Relationship Id="rId13" Type="http://schemas.openxmlformats.org/officeDocument/2006/relationships/hyperlink" Target="http://ret.cleanenergyregulator.gov.au/REC-Registry/Data-reports" TargetMode="External"/><Relationship Id="rId3" Type="http://schemas.openxmlformats.org/officeDocument/2006/relationships/hyperlink" Target="https://www.powerwater.com.au/about_power_and_water" TargetMode="External"/><Relationship Id="rId7" Type="http://schemas.openxmlformats.org/officeDocument/2006/relationships/hyperlink" Target="https://www.aer.gov.au/node/30944" TargetMode="External"/><Relationship Id="rId12" Type="http://schemas.openxmlformats.org/officeDocument/2006/relationships/hyperlink" Target="http://www.abcb.gov.au/about-the-australian-building-codes-board" TargetMode="External"/><Relationship Id="rId2" Type="http://schemas.openxmlformats.org/officeDocument/2006/relationships/hyperlink" Target="http://www.aer.gov.au/node/25078" TargetMode="External"/><Relationship Id="rId1" Type="http://schemas.openxmlformats.org/officeDocument/2006/relationships/hyperlink" Target="http://www.aer.gov.au/node/25078" TargetMode="External"/><Relationship Id="rId6" Type="http://schemas.openxmlformats.org/officeDocument/2006/relationships/hyperlink" Target="http://www.aer.gov.au/node/30100" TargetMode="External"/><Relationship Id="rId11" Type="http://schemas.openxmlformats.org/officeDocument/2006/relationships/hyperlink" Target="http://www.abcb.gov.au/about-the-australian-building-codes-board" TargetMode="External"/><Relationship Id="rId5" Type="http://schemas.openxmlformats.org/officeDocument/2006/relationships/hyperlink" Target="https://www.telstra.com.au/mobile-phones/coverage-networks/our-coverage" TargetMode="External"/><Relationship Id="rId10" Type="http://schemas.openxmlformats.org/officeDocument/2006/relationships/hyperlink" Target="http://www.abcb.gov.au/about-the-australian-building-codes-board" TargetMode="External"/><Relationship Id="rId4" Type="http://schemas.openxmlformats.org/officeDocument/2006/relationships/hyperlink" Target="https://www.powerwater.com.au/community_and_education/student_resources/maps/electricity_map" TargetMode="External"/><Relationship Id="rId9" Type="http://schemas.openxmlformats.org/officeDocument/2006/relationships/hyperlink" Target="http://www.bom.gov.au/jsp/ncc/climate_averages/rainfall/index.jsp"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4" loCatId="process" qsTypeId="urn:microsoft.com/office/officeart/2005/8/quickstyle/simple2" qsCatId="simple" csTypeId="urn:microsoft.com/office/officeart/2005/8/colors/accent3_2" csCatId="accent3" phldr="1"/>
      <dgm:spPr/>
      <dgm:t>
        <a:bodyPr/>
        <a:lstStyle/>
        <a:p>
          <a:endParaRPr lang="en-AU"/>
        </a:p>
      </dgm:t>
    </dgm:pt>
    <dgm:pt modelId="{9C47A6F4-2D2D-401E-8E8C-257F4F60A451}">
      <dgm:prSet phldrT="[Text]" custT="1"/>
      <dgm:spPr>
        <a:xfrm rot="10800000">
          <a:off x="0" y="3525"/>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1 - Start with service provider's opex. </a:t>
          </a:r>
        </a:p>
        <a:p>
          <a:r>
            <a:rPr lang="en-AU" sz="800">
              <a:solidFill>
                <a:sysClr val="window" lastClr="FFFFFF"/>
              </a:solidFill>
              <a:latin typeface="Arial"/>
              <a:ea typeface="+mn-ea"/>
              <a:cs typeface="+mn-cs"/>
            </a:rPr>
            <a:t>We typically use the service provider's actual opex in a single year as the starting point for our assessment. We call this the base year. While categories of opex can vary from year to year, total opex is relatively recurrent. We typically choose a recent year for our assessment</a:t>
          </a:r>
          <a:r>
            <a:rPr lang="en-AU" sz="1000">
              <a:solidFill>
                <a:sysClr val="window" lastClr="FFFFFF"/>
              </a:solidFill>
              <a:latin typeface="Arial"/>
              <a:ea typeface="+mn-ea"/>
              <a:cs typeface="+mn-cs"/>
            </a:rPr>
            <a:t>.</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custT="1"/>
      <dgm:spPr>
        <a:xfrm rot="10800000">
          <a:off x="0" y="1319930"/>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2- Assess base year opex </a:t>
          </a:r>
        </a:p>
        <a:p>
          <a:r>
            <a:rPr lang="en-AU" sz="800">
              <a:solidFill>
                <a:sysClr val="window" lastClr="FFFFFF"/>
              </a:solidFill>
              <a:latin typeface="Arial"/>
              <a:ea typeface="+mn-ea"/>
              <a:cs typeface="+mn-cs"/>
            </a:rPr>
            <a:t>We assess whether opex the service provider incurred in the base year reasonably reflects the opex criteria. We have a number of techniques including economic benchmarking by which we can test the efficiency of opex in the base year.</a:t>
          </a:r>
        </a:p>
        <a:p>
          <a:r>
            <a:rPr lang="en-AU" sz="800">
              <a:solidFill>
                <a:sysClr val="window" lastClr="FFFFFF"/>
              </a:solidFill>
              <a:latin typeface="Arial"/>
              <a:ea typeface="+mn-ea"/>
              <a:cs typeface="+mn-cs"/>
            </a:rPr>
            <a:t>If necessary we make an adjustment to the base year expenditure to ensure it reflects the opex critieria. We can utilise the same techniques available to assess the efficiency of base year opex to make an adjustment to base year opex.</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custT="1"/>
      <dgm:spPr>
        <a:xfrm rot="10800000">
          <a:off x="0" y="263633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3 - Add a rate of change to base opex. </a:t>
          </a:r>
        </a:p>
        <a:p>
          <a:r>
            <a:rPr lang="en-AU" sz="8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custT="1"/>
      <dgm:spPr>
        <a:xfrm rot="10800000">
          <a:off x="0" y="3952739"/>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4 - Add or subtract any step changes</a:t>
          </a:r>
        </a:p>
        <a:p>
          <a:r>
            <a:rPr lang="en-AU" sz="800">
              <a:solidFill>
                <a:sysClr val="window" lastClr="FFFFFF"/>
              </a:solidFill>
              <a:latin typeface="Arial"/>
              <a:ea typeface="+mn-ea"/>
              <a:cs typeface="+mn-cs"/>
            </a:rPr>
            <a:t>We then adjust base year expenditure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custT="1"/>
      <dgm:spPr>
        <a:xfrm rot="10800000">
          <a:off x="0" y="526914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5 - Other opex</a:t>
          </a:r>
        </a:p>
        <a:p>
          <a:r>
            <a:rPr lang="en-AU" sz="8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AD28C4B6-4B44-4864-9589-03EDCF6F1FFE}">
      <dgm:prSet custT="1"/>
      <dgm:spPr>
        <a:xfrm>
          <a:off x="0" y="6585548"/>
          <a:ext cx="5380075" cy="864349"/>
        </a:xfr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chemeClr val="accent5"/>
              </a:solidFill>
              <a:latin typeface="Arial"/>
              <a:ea typeface="+mn-ea"/>
              <a:cs typeface="+mn-cs"/>
            </a:rPr>
            <a:t>Having established our estimate of total forecast opex we can compare our alternative opex forecast with the service provider’s total forecast opex.</a:t>
          </a:r>
        </a:p>
        <a:p>
          <a:r>
            <a:rPr lang="en-AU" sz="800">
              <a:solidFill>
                <a:schemeClr val="accent5"/>
              </a:solidFill>
              <a:latin typeface="Arial"/>
              <a:ea typeface="+mn-ea"/>
              <a:cs typeface="+mn-cs"/>
            </a:rPr>
            <a:t> If we are not satisfied there is an adequate explanation for the difference between our opex forecast and the service provider's opex forecast, we will use our opex forecast </a:t>
          </a:r>
        </a:p>
      </dgm:t>
    </dgm:pt>
    <dgm:pt modelId="{944373D4-736F-42F2-801D-FD9C4BADBEB5}" type="parTrans" cxnId="{8218644E-50A9-4513-B75B-8AA832797482}">
      <dgm:prSet/>
      <dgm:spPr/>
      <dgm:t>
        <a:bodyPr/>
        <a:lstStyle/>
        <a:p>
          <a:endParaRPr lang="en-AU"/>
        </a:p>
      </dgm:t>
    </dgm:pt>
    <dgm:pt modelId="{75284E6C-E3C7-4DA6-807B-FB54B76983BC}" type="sibTrans" cxnId="{8218644E-50A9-4513-B75B-8AA832797482}">
      <dgm:prSet/>
      <dgm:spPr/>
      <dgm:t>
        <a:bodyPr/>
        <a:lstStyle/>
        <a:p>
          <a:endParaRPr lang="en-AU"/>
        </a:p>
      </dgm:t>
    </dgm:pt>
    <dgm:pt modelId="{BB4B5562-5C0F-4F0A-8534-0727E9C644AA}" type="pres">
      <dgm:prSet presAssocID="{0CD3B7BF-2FEE-4CCC-B56C-756F5811693B}" presName="Name0" presStyleCnt="0">
        <dgm:presLayoutVars>
          <dgm:dir/>
          <dgm:animLvl val="lvl"/>
          <dgm:resizeHandles val="exact"/>
        </dgm:presLayoutVars>
      </dgm:prSet>
      <dgm:spPr/>
      <dgm:t>
        <a:bodyPr/>
        <a:lstStyle/>
        <a:p>
          <a:endParaRPr lang="en-AU"/>
        </a:p>
      </dgm:t>
    </dgm:pt>
    <dgm:pt modelId="{DD5D9977-7E4F-472F-8460-168066ABE07B}" type="pres">
      <dgm:prSet presAssocID="{AD28C4B6-4B44-4864-9589-03EDCF6F1FFE}" presName="boxAndChildren" presStyleCnt="0"/>
      <dgm:spPr/>
      <dgm:t>
        <a:bodyPr/>
        <a:lstStyle/>
        <a:p>
          <a:endParaRPr lang="en-AU"/>
        </a:p>
      </dgm:t>
    </dgm:pt>
    <dgm:pt modelId="{A7D909A5-61D3-4FAC-9E1B-94BAFFE149C8}" type="pres">
      <dgm:prSet presAssocID="{AD28C4B6-4B44-4864-9589-03EDCF6F1FFE}" presName="parentTextBox" presStyleLbl="node1" presStyleIdx="0" presStyleCnt="6"/>
      <dgm:spPr>
        <a:prstGeom prst="rect">
          <a:avLst/>
        </a:prstGeom>
      </dgm:spPr>
      <dgm:t>
        <a:bodyPr/>
        <a:lstStyle/>
        <a:p>
          <a:endParaRPr lang="en-AU"/>
        </a:p>
      </dgm:t>
    </dgm:pt>
    <dgm:pt modelId="{A07F0B10-1172-4DA6-A189-AE7F32936E8F}" type="pres">
      <dgm:prSet presAssocID="{977ED627-47E6-4A3D-B6DD-60937E15F66C}" presName="sp" presStyleCnt="0"/>
      <dgm:spPr/>
      <dgm:t>
        <a:bodyPr/>
        <a:lstStyle/>
        <a:p>
          <a:endParaRPr lang="en-AU"/>
        </a:p>
      </dgm:t>
    </dgm:pt>
    <dgm:pt modelId="{0F1513B9-D83C-4927-9E52-35C8C3516930}" type="pres">
      <dgm:prSet presAssocID="{C46829A4-CBEA-434B-AFFA-A763D4F31F9F}" presName="arrowAndChildren" presStyleCnt="0"/>
      <dgm:spPr/>
      <dgm:t>
        <a:bodyPr/>
        <a:lstStyle/>
        <a:p>
          <a:endParaRPr lang="en-AU"/>
        </a:p>
      </dgm:t>
    </dgm:pt>
    <dgm:pt modelId="{5454B07C-516E-4134-9667-2DD9F64A5A54}" type="pres">
      <dgm:prSet presAssocID="{C46829A4-CBEA-434B-AFFA-A763D4F31F9F}" presName="parentTextArrow" presStyleLbl="node1" presStyleIdx="1" presStyleCnt="6"/>
      <dgm:spPr>
        <a:prstGeom prst="upArrowCallout">
          <a:avLst/>
        </a:prstGeom>
      </dgm:spPr>
      <dgm:t>
        <a:bodyPr/>
        <a:lstStyle/>
        <a:p>
          <a:endParaRPr lang="en-AU"/>
        </a:p>
      </dgm:t>
    </dgm:pt>
    <dgm:pt modelId="{B3D0E7D6-AE40-4251-92C1-275854055565}" type="pres">
      <dgm:prSet presAssocID="{3D8C6DCE-562A-4C6E-9B93-17E69BE7CF38}" presName="sp" presStyleCnt="0"/>
      <dgm:spPr/>
      <dgm:t>
        <a:bodyPr/>
        <a:lstStyle/>
        <a:p>
          <a:endParaRPr lang="en-AU"/>
        </a:p>
      </dgm:t>
    </dgm:pt>
    <dgm:pt modelId="{714C5785-9474-49A7-A73F-807127D89BCA}" type="pres">
      <dgm:prSet presAssocID="{1F9AEA4B-1889-4916-A8C4-02A7B409F8FD}" presName="arrowAndChildren" presStyleCnt="0"/>
      <dgm:spPr/>
      <dgm:t>
        <a:bodyPr/>
        <a:lstStyle/>
        <a:p>
          <a:endParaRPr lang="en-AU"/>
        </a:p>
      </dgm:t>
    </dgm:pt>
    <dgm:pt modelId="{D15D1D6F-7DCD-4AE5-B149-7785CC2469B6}" type="pres">
      <dgm:prSet presAssocID="{1F9AEA4B-1889-4916-A8C4-02A7B409F8FD}" presName="parentTextArrow" presStyleLbl="node1" presStyleIdx="2" presStyleCnt="6"/>
      <dgm:spPr>
        <a:prstGeom prst="upArrowCallout">
          <a:avLst/>
        </a:prstGeom>
      </dgm:spPr>
      <dgm:t>
        <a:bodyPr/>
        <a:lstStyle/>
        <a:p>
          <a:endParaRPr lang="en-AU"/>
        </a:p>
      </dgm:t>
    </dgm:pt>
    <dgm:pt modelId="{8A400F16-7CF3-4994-BFA9-EFC77DA1DC2A}" type="pres">
      <dgm:prSet presAssocID="{C4803D4A-E5FF-426D-9F2D-160DD91B3613}" presName="sp" presStyleCnt="0"/>
      <dgm:spPr/>
      <dgm:t>
        <a:bodyPr/>
        <a:lstStyle/>
        <a:p>
          <a:endParaRPr lang="en-AU"/>
        </a:p>
      </dgm:t>
    </dgm:pt>
    <dgm:pt modelId="{6B3250BC-549E-434B-8809-7435ACEF18C0}" type="pres">
      <dgm:prSet presAssocID="{0E807F0E-DCCE-4C5B-A50E-80BE0EADF331}" presName="arrowAndChildren" presStyleCnt="0"/>
      <dgm:spPr/>
      <dgm:t>
        <a:bodyPr/>
        <a:lstStyle/>
        <a:p>
          <a:endParaRPr lang="en-AU"/>
        </a:p>
      </dgm:t>
    </dgm:pt>
    <dgm:pt modelId="{7706543F-BD42-48EB-9BC6-91648880A2B7}" type="pres">
      <dgm:prSet presAssocID="{0E807F0E-DCCE-4C5B-A50E-80BE0EADF331}" presName="parentTextArrow" presStyleLbl="node1" presStyleIdx="3" presStyleCnt="6"/>
      <dgm:spPr>
        <a:prstGeom prst="upArrowCallout">
          <a:avLst/>
        </a:prstGeom>
      </dgm:spPr>
      <dgm:t>
        <a:bodyPr/>
        <a:lstStyle/>
        <a:p>
          <a:endParaRPr lang="en-AU"/>
        </a:p>
      </dgm:t>
    </dgm:pt>
    <dgm:pt modelId="{8CFCB65B-3915-4013-A96F-429D6794E64C}" type="pres">
      <dgm:prSet presAssocID="{54CDA9FB-18EA-4AA4-896E-AD575A113BCF}" presName="sp" presStyleCnt="0"/>
      <dgm:spPr/>
      <dgm:t>
        <a:bodyPr/>
        <a:lstStyle/>
        <a:p>
          <a:endParaRPr lang="en-AU"/>
        </a:p>
      </dgm:t>
    </dgm:pt>
    <dgm:pt modelId="{6C011B82-E905-4451-9B10-D18306875232}" type="pres">
      <dgm:prSet presAssocID="{AC473FD4-F2AF-45C9-A4B1-550F9CB6BB91}" presName="arrowAndChildren" presStyleCnt="0"/>
      <dgm:spPr/>
      <dgm:t>
        <a:bodyPr/>
        <a:lstStyle/>
        <a:p>
          <a:endParaRPr lang="en-AU"/>
        </a:p>
      </dgm:t>
    </dgm:pt>
    <dgm:pt modelId="{02266745-C7A2-4A75-B615-37EF6AD1DF72}" type="pres">
      <dgm:prSet presAssocID="{AC473FD4-F2AF-45C9-A4B1-550F9CB6BB91}" presName="parentTextArrow" presStyleLbl="node1" presStyleIdx="4" presStyleCnt="6" custScaleY="110296"/>
      <dgm:spPr>
        <a:prstGeom prst="upArrowCallout">
          <a:avLst/>
        </a:prstGeom>
      </dgm:spPr>
      <dgm:t>
        <a:bodyPr/>
        <a:lstStyle/>
        <a:p>
          <a:endParaRPr lang="en-AU"/>
        </a:p>
      </dgm:t>
    </dgm:pt>
    <dgm:pt modelId="{739FF07F-9438-4C1C-ABA5-1BBDD1414B3F}" type="pres">
      <dgm:prSet presAssocID="{184D268C-C8A6-4CB8-8996-1382A65562B7}" presName="sp" presStyleCnt="0"/>
      <dgm:spPr/>
      <dgm:t>
        <a:bodyPr/>
        <a:lstStyle/>
        <a:p>
          <a:endParaRPr lang="en-AU"/>
        </a:p>
      </dgm:t>
    </dgm:pt>
    <dgm:pt modelId="{B50945C0-8D1A-4679-A5CE-B82540D7EBEC}" type="pres">
      <dgm:prSet presAssocID="{9C47A6F4-2D2D-401E-8E8C-257F4F60A451}" presName="arrowAndChildren" presStyleCnt="0"/>
      <dgm:spPr/>
      <dgm:t>
        <a:bodyPr/>
        <a:lstStyle/>
        <a:p>
          <a:endParaRPr lang="en-AU"/>
        </a:p>
      </dgm:t>
    </dgm:pt>
    <dgm:pt modelId="{B4C9A1EC-3D30-4803-9C07-A599DAFC6514}" type="pres">
      <dgm:prSet presAssocID="{9C47A6F4-2D2D-401E-8E8C-257F4F60A451}" presName="parentTextArrow" presStyleLbl="node1" presStyleIdx="5" presStyleCnt="6"/>
      <dgm:spPr>
        <a:prstGeom prst="upArrowCallout">
          <a:avLst/>
        </a:prstGeom>
      </dgm:spPr>
      <dgm:t>
        <a:bodyPr/>
        <a:lstStyle/>
        <a:p>
          <a:endParaRPr lang="en-AU"/>
        </a:p>
      </dgm:t>
    </dgm:pt>
  </dgm:ptLst>
  <dgm:cxnLst>
    <dgm:cxn modelId="{9E049C38-11C6-4C21-935B-6673DC446529}" srcId="{0CD3B7BF-2FEE-4CCC-B56C-756F5811693B}" destId="{9C47A6F4-2D2D-401E-8E8C-257F4F60A451}" srcOrd="0" destOrd="0" parTransId="{FE7AE3C6-CE1F-44D6-B9C8-9CCC9162FA7B}" sibTransId="{184D268C-C8A6-4CB8-8996-1382A65562B7}"/>
    <dgm:cxn modelId="{CB7346EB-B481-4CA9-B140-879AC88ED89D}" type="presOf" srcId="{C46829A4-CBEA-434B-AFFA-A763D4F31F9F}" destId="{5454B07C-516E-4134-9667-2DD9F64A5A54}" srcOrd="0" destOrd="0" presId="urn:microsoft.com/office/officeart/2005/8/layout/process4"/>
    <dgm:cxn modelId="{8218644E-50A9-4513-B75B-8AA832797482}" srcId="{0CD3B7BF-2FEE-4CCC-B56C-756F5811693B}" destId="{AD28C4B6-4B44-4864-9589-03EDCF6F1FFE}" srcOrd="5" destOrd="0" parTransId="{944373D4-736F-42F2-801D-FD9C4BADBEB5}" sibTransId="{75284E6C-E3C7-4DA6-807B-FB54B76983BC}"/>
    <dgm:cxn modelId="{B2503261-5EB4-4F42-866A-35F1F6B50144}" type="presOf" srcId="{0CD3B7BF-2FEE-4CCC-B56C-756F5811693B}" destId="{BB4B5562-5C0F-4F0A-8534-0727E9C644AA}" srcOrd="0" destOrd="0" presId="urn:microsoft.com/office/officeart/2005/8/layout/process4"/>
    <dgm:cxn modelId="{EB4F8EE3-F53C-424B-9C2F-EEAF71DA0D20}" srcId="{0CD3B7BF-2FEE-4CCC-B56C-756F5811693B}" destId="{C46829A4-CBEA-434B-AFFA-A763D4F31F9F}" srcOrd="4" destOrd="0" parTransId="{60FF9687-DAC1-4E7A-A4E0-2B0412E31E73}" sibTransId="{977ED627-47E6-4A3D-B6DD-60937E15F66C}"/>
    <dgm:cxn modelId="{4C548E40-AD77-45A3-AE78-C56DA018AF5C}" srcId="{0CD3B7BF-2FEE-4CCC-B56C-756F5811693B}" destId="{AC473FD4-F2AF-45C9-A4B1-550F9CB6BB91}" srcOrd="1" destOrd="0" parTransId="{DA60D50A-1DF4-4440-9483-25B372B27DA5}" sibTransId="{54CDA9FB-18EA-4AA4-896E-AD575A113BCF}"/>
    <dgm:cxn modelId="{B4B113C1-08A8-4449-B767-E3C36ECC5C0C}" type="presOf" srcId="{9C47A6F4-2D2D-401E-8E8C-257F4F60A451}" destId="{B4C9A1EC-3D30-4803-9C07-A599DAFC6514}" srcOrd="0" destOrd="0" presId="urn:microsoft.com/office/officeart/2005/8/layout/process4"/>
    <dgm:cxn modelId="{19FC0A38-2EC3-4DE2-9A53-2E241712D36F}" type="presOf" srcId="{AD28C4B6-4B44-4864-9589-03EDCF6F1FFE}" destId="{A7D909A5-61D3-4FAC-9E1B-94BAFFE149C8}" srcOrd="0" destOrd="0" presId="urn:microsoft.com/office/officeart/2005/8/layout/process4"/>
    <dgm:cxn modelId="{95705CE1-AEBE-4577-9458-BF080A4CADC1}" type="presOf" srcId="{AC473FD4-F2AF-45C9-A4B1-550F9CB6BB91}" destId="{02266745-C7A2-4A75-B615-37EF6AD1DF72}" srcOrd="0" destOrd="0" presId="urn:microsoft.com/office/officeart/2005/8/layout/process4"/>
    <dgm:cxn modelId="{923AC015-ECC9-47E2-88D7-E9A923E5BEE8}" srcId="{0CD3B7BF-2FEE-4CCC-B56C-756F5811693B}" destId="{0E807F0E-DCCE-4C5B-A50E-80BE0EADF331}" srcOrd="2" destOrd="0" parTransId="{9E7BA093-3131-4FE5-AAE8-D69EEC781F25}" sibTransId="{C4803D4A-E5FF-426D-9F2D-160DD91B3613}"/>
    <dgm:cxn modelId="{4D99C0D1-48C0-4CE0-9392-0091F0148BFE}" type="presOf" srcId="{0E807F0E-DCCE-4C5B-A50E-80BE0EADF331}" destId="{7706543F-BD42-48EB-9BC6-91648880A2B7}" srcOrd="0" destOrd="0" presId="urn:microsoft.com/office/officeart/2005/8/layout/process4"/>
    <dgm:cxn modelId="{B96DC462-47F9-4030-88E9-C75E7CFAEF6C}" type="presOf" srcId="{1F9AEA4B-1889-4916-A8C4-02A7B409F8FD}" destId="{D15D1D6F-7DCD-4AE5-B149-7785CC2469B6}" srcOrd="0" destOrd="0" presId="urn:microsoft.com/office/officeart/2005/8/layout/process4"/>
    <dgm:cxn modelId="{C466E166-BD13-4EFA-8404-9D79D22C8B75}" srcId="{0CD3B7BF-2FEE-4CCC-B56C-756F5811693B}" destId="{1F9AEA4B-1889-4916-A8C4-02A7B409F8FD}" srcOrd="3" destOrd="0" parTransId="{1347B298-2B45-454A-9F87-C529E24A0862}" sibTransId="{3D8C6DCE-562A-4C6E-9B93-17E69BE7CF38}"/>
    <dgm:cxn modelId="{156ABE5E-EA9E-4B15-897E-DC3BEDF00665}" type="presParOf" srcId="{BB4B5562-5C0F-4F0A-8534-0727E9C644AA}" destId="{DD5D9977-7E4F-472F-8460-168066ABE07B}" srcOrd="0" destOrd="0" presId="urn:microsoft.com/office/officeart/2005/8/layout/process4"/>
    <dgm:cxn modelId="{82ACAA77-A7BF-434E-ABB6-7ED2AB0F7E08}" type="presParOf" srcId="{DD5D9977-7E4F-472F-8460-168066ABE07B}" destId="{A7D909A5-61D3-4FAC-9E1B-94BAFFE149C8}" srcOrd="0" destOrd="0" presId="urn:microsoft.com/office/officeart/2005/8/layout/process4"/>
    <dgm:cxn modelId="{AB5B9FB5-C79F-4423-B773-388FCB633A55}" type="presParOf" srcId="{BB4B5562-5C0F-4F0A-8534-0727E9C644AA}" destId="{A07F0B10-1172-4DA6-A189-AE7F32936E8F}" srcOrd="1" destOrd="0" presId="urn:microsoft.com/office/officeart/2005/8/layout/process4"/>
    <dgm:cxn modelId="{F506EB45-8680-4746-B495-48D797770C77}" type="presParOf" srcId="{BB4B5562-5C0F-4F0A-8534-0727E9C644AA}" destId="{0F1513B9-D83C-4927-9E52-35C8C3516930}" srcOrd="2" destOrd="0" presId="urn:microsoft.com/office/officeart/2005/8/layout/process4"/>
    <dgm:cxn modelId="{F44C6476-AC4E-4F37-858E-6D50693704BC}" type="presParOf" srcId="{0F1513B9-D83C-4927-9E52-35C8C3516930}" destId="{5454B07C-516E-4134-9667-2DD9F64A5A54}" srcOrd="0" destOrd="0" presId="urn:microsoft.com/office/officeart/2005/8/layout/process4"/>
    <dgm:cxn modelId="{A0ABF9E0-DE50-4738-9789-04D4BC8C6F2A}" type="presParOf" srcId="{BB4B5562-5C0F-4F0A-8534-0727E9C644AA}" destId="{B3D0E7D6-AE40-4251-92C1-275854055565}" srcOrd="3" destOrd="0" presId="urn:microsoft.com/office/officeart/2005/8/layout/process4"/>
    <dgm:cxn modelId="{B389E065-817F-4D61-A081-1CDB6B469195}" type="presParOf" srcId="{BB4B5562-5C0F-4F0A-8534-0727E9C644AA}" destId="{714C5785-9474-49A7-A73F-807127D89BCA}" srcOrd="4" destOrd="0" presId="urn:microsoft.com/office/officeart/2005/8/layout/process4"/>
    <dgm:cxn modelId="{7F815D5E-E467-4721-B2FB-C117867136C6}" type="presParOf" srcId="{714C5785-9474-49A7-A73F-807127D89BCA}" destId="{D15D1D6F-7DCD-4AE5-B149-7785CC2469B6}" srcOrd="0" destOrd="0" presId="urn:microsoft.com/office/officeart/2005/8/layout/process4"/>
    <dgm:cxn modelId="{0C4F3B53-3FBE-4087-82BF-A85933E308CE}" type="presParOf" srcId="{BB4B5562-5C0F-4F0A-8534-0727E9C644AA}" destId="{8A400F16-7CF3-4994-BFA9-EFC77DA1DC2A}" srcOrd="5" destOrd="0" presId="urn:microsoft.com/office/officeart/2005/8/layout/process4"/>
    <dgm:cxn modelId="{6491B254-F5A9-48BE-A793-939947DF8948}" type="presParOf" srcId="{BB4B5562-5C0F-4F0A-8534-0727E9C644AA}" destId="{6B3250BC-549E-434B-8809-7435ACEF18C0}" srcOrd="6" destOrd="0" presId="urn:microsoft.com/office/officeart/2005/8/layout/process4"/>
    <dgm:cxn modelId="{7B51CA76-656D-41C1-8B6F-309A38707C42}" type="presParOf" srcId="{6B3250BC-549E-434B-8809-7435ACEF18C0}" destId="{7706543F-BD42-48EB-9BC6-91648880A2B7}" srcOrd="0" destOrd="0" presId="urn:microsoft.com/office/officeart/2005/8/layout/process4"/>
    <dgm:cxn modelId="{D99A12CB-320F-4687-95E7-BE30580949A2}" type="presParOf" srcId="{BB4B5562-5C0F-4F0A-8534-0727E9C644AA}" destId="{8CFCB65B-3915-4013-A96F-429D6794E64C}" srcOrd="7" destOrd="0" presId="urn:microsoft.com/office/officeart/2005/8/layout/process4"/>
    <dgm:cxn modelId="{6F99DC4C-A15B-455E-90EF-A33063B480A4}" type="presParOf" srcId="{BB4B5562-5C0F-4F0A-8534-0727E9C644AA}" destId="{6C011B82-E905-4451-9B10-D18306875232}" srcOrd="8" destOrd="0" presId="urn:microsoft.com/office/officeart/2005/8/layout/process4"/>
    <dgm:cxn modelId="{53BD6453-1DA2-45EB-8BE2-D9E6EAB0E0B7}" type="presParOf" srcId="{6C011B82-E905-4451-9B10-D18306875232}" destId="{02266745-C7A2-4A75-B615-37EF6AD1DF72}" srcOrd="0" destOrd="0" presId="urn:microsoft.com/office/officeart/2005/8/layout/process4"/>
    <dgm:cxn modelId="{CC4B51F1-84C7-47A7-945C-FEB412D48AFC}" type="presParOf" srcId="{BB4B5562-5C0F-4F0A-8534-0727E9C644AA}" destId="{739FF07F-9438-4C1C-ABA5-1BBDD1414B3F}" srcOrd="9" destOrd="0" presId="urn:microsoft.com/office/officeart/2005/8/layout/process4"/>
    <dgm:cxn modelId="{988E120D-5E01-4296-95C2-0FD6CD3CC6C5}" type="presParOf" srcId="{BB4B5562-5C0F-4F0A-8534-0727E9C644AA}" destId="{B50945C0-8D1A-4679-A5CE-B82540D7EBEC}" srcOrd="10" destOrd="0" presId="urn:microsoft.com/office/officeart/2005/8/layout/process4"/>
    <dgm:cxn modelId="{69DA71FA-B413-4320-9F07-21EC816652E3}" type="presParOf" srcId="{B50945C0-8D1A-4679-A5CE-B82540D7EBEC}" destId="{B4C9A1EC-3D30-4803-9C07-A599DAFC6514}"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AU"/>
        </a:p>
      </dgm:t>
    </dgm:pt>
    <dgm:pt modelId="{9C47A6F4-2D2D-401E-8E8C-257F4F60A451}">
      <dgm:prSet phldrT="[Text]"/>
      <dgm:spPr>
        <a:solidFill>
          <a:srgbClr val="0070C0"/>
        </a:solidFill>
        <a:ln w="3175">
          <a:solidFill>
            <a:srgbClr val="0070C0"/>
          </a:solidFill>
        </a:ln>
      </dgm:spPr>
      <dgm:t>
        <a:bodyPr/>
        <a:lstStyle/>
        <a:p>
          <a:r>
            <a:rPr lang="en-AU">
              <a:solidFill>
                <a:schemeClr val="bg1"/>
              </a:solidFill>
            </a:rPr>
            <a:t>Step 1 - Start with service provider's opex</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dgm:spPr>
        <a:solidFill>
          <a:srgbClr val="0070C0"/>
        </a:solidFill>
        <a:ln w="3175">
          <a:solidFill>
            <a:srgbClr val="0070C0"/>
          </a:solidFill>
        </a:ln>
      </dgm:spPr>
      <dgm:t>
        <a:bodyPr/>
        <a:lstStyle/>
        <a:p>
          <a:r>
            <a:rPr lang="en-AU">
              <a:solidFill>
                <a:schemeClr val="bg1"/>
              </a:solidFill>
            </a:rPr>
            <a:t>Step 2 - Assess base year opex</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dgm:spPr>
        <a:solidFill>
          <a:schemeClr val="bg1">
            <a:lumMod val="85000"/>
          </a:schemeClr>
        </a:solidFill>
        <a:ln w="3175">
          <a:solidFill>
            <a:schemeClr val="tx2"/>
          </a:solidFill>
        </a:ln>
      </dgm:spPr>
      <dgm:t>
        <a:bodyPr/>
        <a:lstStyle/>
        <a:p>
          <a:r>
            <a:rPr lang="en-AU">
              <a:solidFill>
                <a:schemeClr val="accent5"/>
              </a:solidFill>
            </a:rPr>
            <a:t>Step 3 - Add a rate of change to base opex</a:t>
          </a:r>
          <a:r>
            <a:rPr lang="en-AU"/>
            <a:t> </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dgm:spPr>
        <a:solidFill>
          <a:schemeClr val="bg1">
            <a:lumMod val="85000"/>
          </a:schemeClr>
        </a:solidFill>
        <a:ln w="3175">
          <a:solidFill>
            <a:schemeClr val="tx2"/>
          </a:solidFill>
        </a:ln>
      </dgm:spPr>
      <dgm:t>
        <a:bodyPr/>
        <a:lstStyle/>
        <a:p>
          <a:r>
            <a:rPr lang="en-AU">
              <a:solidFill>
                <a:schemeClr val="accent5"/>
              </a:solidFill>
            </a:rPr>
            <a:t>Step 4 - Add or subtract any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dgm:spPr>
        <a:solidFill>
          <a:schemeClr val="bg1">
            <a:lumMod val="85000"/>
          </a:schemeClr>
        </a:solidFill>
        <a:ln w="3175">
          <a:solidFill>
            <a:schemeClr val="tx2"/>
          </a:solidFill>
        </a:ln>
      </dgm:spPr>
      <dgm:t>
        <a:bodyPr/>
        <a:lstStyle/>
        <a:p>
          <a:r>
            <a:rPr lang="en-AU">
              <a:solidFill>
                <a:schemeClr val="accent5"/>
              </a:solidFill>
            </a:rPr>
            <a:t>Step 5 - Other opex</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B946DEBE-5251-4688-B223-6D040D4455D7}">
      <dgm:prSet/>
      <dgm:spPr>
        <a:solidFill>
          <a:schemeClr val="bg1">
            <a:lumMod val="85000"/>
          </a:schemeClr>
        </a:solidFill>
        <a:ln w="3175">
          <a:solidFill>
            <a:schemeClr val="tx2"/>
          </a:solidFill>
        </a:ln>
      </dgm:spPr>
      <dgm:t>
        <a:bodyPr/>
        <a:lstStyle/>
        <a:p>
          <a:r>
            <a:rPr lang="en-AU">
              <a:solidFill>
                <a:schemeClr val="accent5"/>
              </a:solidFill>
            </a:rPr>
            <a:t>Step 6 - Compare our forecast to service provider's forecast</a:t>
          </a:r>
        </a:p>
      </dgm:t>
    </dgm:pt>
    <dgm:pt modelId="{9D45242B-A264-48E6-9CE8-69CC9FB3BF77}" type="parTrans" cxnId="{A9CBC89B-5C08-43EE-AEC6-A529E305C9B6}">
      <dgm:prSet/>
      <dgm:spPr/>
    </dgm:pt>
    <dgm:pt modelId="{B99B6403-14EE-42D2-A87B-B2A72E564218}" type="sibTrans" cxnId="{A9CBC89B-5C08-43EE-AEC6-A529E305C9B6}">
      <dgm:prSet/>
      <dgm:spPr/>
    </dgm:pt>
    <dgm:pt modelId="{68EF61B4-E18C-46F4-AF82-FDC885E34D56}" type="pres">
      <dgm:prSet presAssocID="{0CD3B7BF-2FEE-4CCC-B56C-756F5811693B}" presName="linearFlow" presStyleCnt="0">
        <dgm:presLayoutVars>
          <dgm:resizeHandles val="exact"/>
        </dgm:presLayoutVars>
      </dgm:prSet>
      <dgm:spPr/>
      <dgm:t>
        <a:bodyPr/>
        <a:lstStyle/>
        <a:p>
          <a:endParaRPr lang="en-AU"/>
        </a:p>
      </dgm:t>
    </dgm:pt>
    <dgm:pt modelId="{07D09216-A68C-4690-93C6-574B0EC4E5A5}" type="pres">
      <dgm:prSet presAssocID="{9C47A6F4-2D2D-401E-8E8C-257F4F60A451}" presName="node" presStyleLbl="node1" presStyleIdx="0" presStyleCnt="6">
        <dgm:presLayoutVars>
          <dgm:bulletEnabled val="1"/>
        </dgm:presLayoutVars>
      </dgm:prSet>
      <dgm:spPr/>
      <dgm:t>
        <a:bodyPr/>
        <a:lstStyle/>
        <a:p>
          <a:endParaRPr lang="en-AU"/>
        </a:p>
      </dgm:t>
    </dgm:pt>
    <dgm:pt modelId="{2893A2D2-2421-4C9C-9D40-F75DE2A1814A}" type="pres">
      <dgm:prSet presAssocID="{184D268C-C8A6-4CB8-8996-1382A65562B7}" presName="sibTrans" presStyleLbl="sibTrans2D1" presStyleIdx="0" presStyleCnt="5"/>
      <dgm:spPr/>
      <dgm:t>
        <a:bodyPr/>
        <a:lstStyle/>
        <a:p>
          <a:endParaRPr lang="en-AU"/>
        </a:p>
      </dgm:t>
    </dgm:pt>
    <dgm:pt modelId="{AB9D7333-EC86-4C83-AD8B-7C2A12AA3105}" type="pres">
      <dgm:prSet presAssocID="{184D268C-C8A6-4CB8-8996-1382A65562B7}" presName="connectorText" presStyleLbl="sibTrans2D1" presStyleIdx="0" presStyleCnt="5"/>
      <dgm:spPr/>
      <dgm:t>
        <a:bodyPr/>
        <a:lstStyle/>
        <a:p>
          <a:endParaRPr lang="en-AU"/>
        </a:p>
      </dgm:t>
    </dgm:pt>
    <dgm:pt modelId="{EA906748-4F49-43E0-BD4C-827F1D39BBA5}" type="pres">
      <dgm:prSet presAssocID="{AC473FD4-F2AF-45C9-A4B1-550F9CB6BB91}" presName="node" presStyleLbl="node1" presStyleIdx="1" presStyleCnt="6">
        <dgm:presLayoutVars>
          <dgm:bulletEnabled val="1"/>
        </dgm:presLayoutVars>
      </dgm:prSet>
      <dgm:spPr/>
      <dgm:t>
        <a:bodyPr/>
        <a:lstStyle/>
        <a:p>
          <a:endParaRPr lang="en-AU"/>
        </a:p>
      </dgm:t>
    </dgm:pt>
    <dgm:pt modelId="{1D95AC65-D756-45A0-89F9-7866FCEE34DB}" type="pres">
      <dgm:prSet presAssocID="{54CDA9FB-18EA-4AA4-896E-AD575A113BCF}" presName="sibTrans" presStyleLbl="sibTrans2D1" presStyleIdx="1" presStyleCnt="5"/>
      <dgm:spPr/>
      <dgm:t>
        <a:bodyPr/>
        <a:lstStyle/>
        <a:p>
          <a:endParaRPr lang="en-AU"/>
        </a:p>
      </dgm:t>
    </dgm:pt>
    <dgm:pt modelId="{11A9F7E1-E3B7-48A6-8A00-FD2EAF2EEE0E}" type="pres">
      <dgm:prSet presAssocID="{54CDA9FB-18EA-4AA4-896E-AD575A113BCF}" presName="connectorText" presStyleLbl="sibTrans2D1" presStyleIdx="1" presStyleCnt="5"/>
      <dgm:spPr/>
      <dgm:t>
        <a:bodyPr/>
        <a:lstStyle/>
        <a:p>
          <a:endParaRPr lang="en-AU"/>
        </a:p>
      </dgm:t>
    </dgm:pt>
    <dgm:pt modelId="{C5B8304F-D0AF-4175-A300-7ED9EA9557D4}" type="pres">
      <dgm:prSet presAssocID="{0E807F0E-DCCE-4C5B-A50E-80BE0EADF331}" presName="node" presStyleLbl="node1" presStyleIdx="2" presStyleCnt="6">
        <dgm:presLayoutVars>
          <dgm:bulletEnabled val="1"/>
        </dgm:presLayoutVars>
      </dgm:prSet>
      <dgm:spPr/>
      <dgm:t>
        <a:bodyPr/>
        <a:lstStyle/>
        <a:p>
          <a:endParaRPr lang="en-AU"/>
        </a:p>
      </dgm:t>
    </dgm:pt>
    <dgm:pt modelId="{88BBFE6E-FFC3-4719-98ED-6020EC4041FD}" type="pres">
      <dgm:prSet presAssocID="{C4803D4A-E5FF-426D-9F2D-160DD91B3613}" presName="sibTrans" presStyleLbl="sibTrans2D1" presStyleIdx="2" presStyleCnt="5"/>
      <dgm:spPr/>
      <dgm:t>
        <a:bodyPr/>
        <a:lstStyle/>
        <a:p>
          <a:endParaRPr lang="en-AU"/>
        </a:p>
      </dgm:t>
    </dgm:pt>
    <dgm:pt modelId="{855AC762-512D-4B4A-B2E3-57CFE9CE4C9B}" type="pres">
      <dgm:prSet presAssocID="{C4803D4A-E5FF-426D-9F2D-160DD91B3613}" presName="connectorText" presStyleLbl="sibTrans2D1" presStyleIdx="2" presStyleCnt="5"/>
      <dgm:spPr/>
      <dgm:t>
        <a:bodyPr/>
        <a:lstStyle/>
        <a:p>
          <a:endParaRPr lang="en-AU"/>
        </a:p>
      </dgm:t>
    </dgm:pt>
    <dgm:pt modelId="{177713EB-06DB-4865-A1C8-B262EDC2C69A}" type="pres">
      <dgm:prSet presAssocID="{1F9AEA4B-1889-4916-A8C4-02A7B409F8FD}" presName="node" presStyleLbl="node1" presStyleIdx="3" presStyleCnt="6" custScaleY="95833">
        <dgm:presLayoutVars>
          <dgm:bulletEnabled val="1"/>
        </dgm:presLayoutVars>
      </dgm:prSet>
      <dgm:spPr/>
      <dgm:t>
        <a:bodyPr/>
        <a:lstStyle/>
        <a:p>
          <a:endParaRPr lang="en-AU"/>
        </a:p>
      </dgm:t>
    </dgm:pt>
    <dgm:pt modelId="{088B141C-E6DA-47FF-9657-BCAD1158F602}" type="pres">
      <dgm:prSet presAssocID="{3D8C6DCE-562A-4C6E-9B93-17E69BE7CF38}" presName="sibTrans" presStyleLbl="sibTrans2D1" presStyleIdx="3" presStyleCnt="5"/>
      <dgm:spPr/>
      <dgm:t>
        <a:bodyPr/>
        <a:lstStyle/>
        <a:p>
          <a:endParaRPr lang="en-AU"/>
        </a:p>
      </dgm:t>
    </dgm:pt>
    <dgm:pt modelId="{7E284E55-E739-41E4-9C89-E199228AB900}" type="pres">
      <dgm:prSet presAssocID="{3D8C6DCE-562A-4C6E-9B93-17E69BE7CF38}" presName="connectorText" presStyleLbl="sibTrans2D1" presStyleIdx="3" presStyleCnt="5"/>
      <dgm:spPr/>
      <dgm:t>
        <a:bodyPr/>
        <a:lstStyle/>
        <a:p>
          <a:endParaRPr lang="en-AU"/>
        </a:p>
      </dgm:t>
    </dgm:pt>
    <dgm:pt modelId="{4562305E-195C-4728-BF67-9CC29B23C7DB}" type="pres">
      <dgm:prSet presAssocID="{C46829A4-CBEA-434B-AFFA-A763D4F31F9F}" presName="node" presStyleLbl="node1" presStyleIdx="4" presStyleCnt="6" custScaleY="102216">
        <dgm:presLayoutVars>
          <dgm:bulletEnabled val="1"/>
        </dgm:presLayoutVars>
      </dgm:prSet>
      <dgm:spPr/>
      <dgm:t>
        <a:bodyPr/>
        <a:lstStyle/>
        <a:p>
          <a:endParaRPr lang="en-AU"/>
        </a:p>
      </dgm:t>
    </dgm:pt>
    <dgm:pt modelId="{60691C4A-AF77-407F-905D-93513C867409}" type="pres">
      <dgm:prSet presAssocID="{977ED627-47E6-4A3D-B6DD-60937E15F66C}" presName="sibTrans" presStyleLbl="sibTrans2D1" presStyleIdx="4" presStyleCnt="5"/>
      <dgm:spPr/>
      <dgm:t>
        <a:bodyPr/>
        <a:lstStyle/>
        <a:p>
          <a:endParaRPr lang="en-AU"/>
        </a:p>
      </dgm:t>
    </dgm:pt>
    <dgm:pt modelId="{39499B18-4686-4268-A8DF-5BB9E38B87E7}" type="pres">
      <dgm:prSet presAssocID="{977ED627-47E6-4A3D-B6DD-60937E15F66C}" presName="connectorText" presStyleLbl="sibTrans2D1" presStyleIdx="4" presStyleCnt="5"/>
      <dgm:spPr/>
      <dgm:t>
        <a:bodyPr/>
        <a:lstStyle/>
        <a:p>
          <a:endParaRPr lang="en-AU"/>
        </a:p>
      </dgm:t>
    </dgm:pt>
    <dgm:pt modelId="{34F96972-70C8-4B9C-B81A-973D9F10ADAC}" type="pres">
      <dgm:prSet presAssocID="{B946DEBE-5251-4688-B223-6D040D4455D7}" presName="node" presStyleLbl="node1" presStyleIdx="5" presStyleCnt="6">
        <dgm:presLayoutVars>
          <dgm:bulletEnabled val="1"/>
        </dgm:presLayoutVars>
      </dgm:prSet>
      <dgm:spPr/>
      <dgm:t>
        <a:bodyPr/>
        <a:lstStyle/>
        <a:p>
          <a:endParaRPr lang="en-AU"/>
        </a:p>
      </dgm:t>
    </dgm:pt>
  </dgm:ptLst>
  <dgm:cxnLst>
    <dgm:cxn modelId="{9E049C38-11C6-4C21-935B-6673DC446529}" srcId="{0CD3B7BF-2FEE-4CCC-B56C-756F5811693B}" destId="{9C47A6F4-2D2D-401E-8E8C-257F4F60A451}" srcOrd="0" destOrd="0" parTransId="{FE7AE3C6-CE1F-44D6-B9C8-9CCC9162FA7B}" sibTransId="{184D268C-C8A6-4CB8-8996-1382A65562B7}"/>
    <dgm:cxn modelId="{5878E09D-F842-4645-92B5-7F538C123AE0}" type="presOf" srcId="{B946DEBE-5251-4688-B223-6D040D4455D7}" destId="{34F96972-70C8-4B9C-B81A-973D9F10ADAC}" srcOrd="0" destOrd="0" presId="urn:microsoft.com/office/officeart/2005/8/layout/process2"/>
    <dgm:cxn modelId="{B074CD98-987D-4A77-BE62-174256888878}" type="presOf" srcId="{C4803D4A-E5FF-426D-9F2D-160DD91B3613}" destId="{855AC762-512D-4B4A-B2E3-57CFE9CE4C9B}" srcOrd="1" destOrd="0" presId="urn:microsoft.com/office/officeart/2005/8/layout/process2"/>
    <dgm:cxn modelId="{6EBD4181-A08D-4DE1-B6AA-2E3AE7F1668E}" type="presOf" srcId="{0E807F0E-DCCE-4C5B-A50E-80BE0EADF331}" destId="{C5B8304F-D0AF-4175-A300-7ED9EA9557D4}" srcOrd="0" destOrd="0" presId="urn:microsoft.com/office/officeart/2005/8/layout/process2"/>
    <dgm:cxn modelId="{9462C298-C447-4CD8-A2E3-D678E3C924EA}" type="presOf" srcId="{9C47A6F4-2D2D-401E-8E8C-257F4F60A451}" destId="{07D09216-A68C-4690-93C6-574B0EC4E5A5}" srcOrd="0" destOrd="0" presId="urn:microsoft.com/office/officeart/2005/8/layout/process2"/>
    <dgm:cxn modelId="{7A6B8D92-3C91-4C68-89FC-23E821BD4A9E}" type="presOf" srcId="{184D268C-C8A6-4CB8-8996-1382A65562B7}" destId="{2893A2D2-2421-4C9C-9D40-F75DE2A1814A}" srcOrd="0" destOrd="0" presId="urn:microsoft.com/office/officeart/2005/8/layout/process2"/>
    <dgm:cxn modelId="{D160B292-DD4C-4AB5-8FA1-7D4888355E60}" type="presOf" srcId="{977ED627-47E6-4A3D-B6DD-60937E15F66C}" destId="{39499B18-4686-4268-A8DF-5BB9E38B87E7}" srcOrd="1" destOrd="0" presId="urn:microsoft.com/office/officeart/2005/8/layout/process2"/>
    <dgm:cxn modelId="{A874F155-C57B-4689-9F9E-590811D749F5}" type="presOf" srcId="{C46829A4-CBEA-434B-AFFA-A763D4F31F9F}" destId="{4562305E-195C-4728-BF67-9CC29B23C7DB}" srcOrd="0" destOrd="0" presId="urn:microsoft.com/office/officeart/2005/8/layout/process2"/>
    <dgm:cxn modelId="{86818797-7BAA-44D8-B71F-801E527148C6}" type="presOf" srcId="{54CDA9FB-18EA-4AA4-896E-AD575A113BCF}" destId="{1D95AC65-D756-45A0-89F9-7866FCEE34DB}" srcOrd="0" destOrd="0" presId="urn:microsoft.com/office/officeart/2005/8/layout/process2"/>
    <dgm:cxn modelId="{EB4F8EE3-F53C-424B-9C2F-EEAF71DA0D20}" srcId="{0CD3B7BF-2FEE-4CCC-B56C-756F5811693B}" destId="{C46829A4-CBEA-434B-AFFA-A763D4F31F9F}" srcOrd="4" destOrd="0" parTransId="{60FF9687-DAC1-4E7A-A4E0-2B0412E31E73}" sibTransId="{977ED627-47E6-4A3D-B6DD-60937E15F66C}"/>
    <dgm:cxn modelId="{F6C63053-3925-4E21-85BA-C1355F4DCE04}" type="presOf" srcId="{C4803D4A-E5FF-426D-9F2D-160DD91B3613}" destId="{88BBFE6E-FFC3-4719-98ED-6020EC4041FD}" srcOrd="0" destOrd="0" presId="urn:microsoft.com/office/officeart/2005/8/layout/process2"/>
    <dgm:cxn modelId="{F5EDB005-C594-453E-91FA-8188226F0E6F}" type="presOf" srcId="{184D268C-C8A6-4CB8-8996-1382A65562B7}" destId="{AB9D7333-EC86-4C83-AD8B-7C2A12AA3105}" srcOrd="1" destOrd="0" presId="urn:microsoft.com/office/officeart/2005/8/layout/process2"/>
    <dgm:cxn modelId="{6B559DD1-AE1A-4790-831B-172428B84FF5}" type="presOf" srcId="{977ED627-47E6-4A3D-B6DD-60937E15F66C}" destId="{60691C4A-AF77-407F-905D-93513C867409}" srcOrd="0" destOrd="0" presId="urn:microsoft.com/office/officeart/2005/8/layout/process2"/>
    <dgm:cxn modelId="{4C548E40-AD77-45A3-AE78-C56DA018AF5C}" srcId="{0CD3B7BF-2FEE-4CCC-B56C-756F5811693B}" destId="{AC473FD4-F2AF-45C9-A4B1-550F9CB6BB91}" srcOrd="1" destOrd="0" parTransId="{DA60D50A-1DF4-4440-9483-25B372B27DA5}" sibTransId="{54CDA9FB-18EA-4AA4-896E-AD575A113BCF}"/>
    <dgm:cxn modelId="{1472004B-C4A5-4E7A-B11B-B7D3B3EEF604}" type="presOf" srcId="{54CDA9FB-18EA-4AA4-896E-AD575A113BCF}" destId="{11A9F7E1-E3B7-48A6-8A00-FD2EAF2EEE0E}" srcOrd="1" destOrd="0" presId="urn:microsoft.com/office/officeart/2005/8/layout/process2"/>
    <dgm:cxn modelId="{30127B1E-36C4-4430-8594-CE2DA686C36A}" type="presOf" srcId="{3D8C6DCE-562A-4C6E-9B93-17E69BE7CF38}" destId="{7E284E55-E739-41E4-9C89-E199228AB900}" srcOrd="1" destOrd="0" presId="urn:microsoft.com/office/officeart/2005/8/layout/process2"/>
    <dgm:cxn modelId="{A9CBC89B-5C08-43EE-AEC6-A529E305C9B6}" srcId="{0CD3B7BF-2FEE-4CCC-B56C-756F5811693B}" destId="{B946DEBE-5251-4688-B223-6D040D4455D7}" srcOrd="5" destOrd="0" parTransId="{9D45242B-A264-48E6-9CE8-69CC9FB3BF77}" sibTransId="{B99B6403-14EE-42D2-A87B-B2A72E564218}"/>
    <dgm:cxn modelId="{F5FB3641-2201-405D-BB74-911EF04F0CA4}" type="presOf" srcId="{0CD3B7BF-2FEE-4CCC-B56C-756F5811693B}" destId="{68EF61B4-E18C-46F4-AF82-FDC885E34D56}" srcOrd="0" destOrd="0" presId="urn:microsoft.com/office/officeart/2005/8/layout/process2"/>
    <dgm:cxn modelId="{923AC015-ECC9-47E2-88D7-E9A923E5BEE8}" srcId="{0CD3B7BF-2FEE-4CCC-B56C-756F5811693B}" destId="{0E807F0E-DCCE-4C5B-A50E-80BE0EADF331}" srcOrd="2" destOrd="0" parTransId="{9E7BA093-3131-4FE5-AAE8-D69EEC781F25}" sibTransId="{C4803D4A-E5FF-426D-9F2D-160DD91B3613}"/>
    <dgm:cxn modelId="{0EA3FCAA-06E3-404C-9E62-9664739E2619}" type="presOf" srcId="{3D8C6DCE-562A-4C6E-9B93-17E69BE7CF38}" destId="{088B141C-E6DA-47FF-9657-BCAD1158F602}" srcOrd="0" destOrd="0" presId="urn:microsoft.com/office/officeart/2005/8/layout/process2"/>
    <dgm:cxn modelId="{CEB8FC22-73B2-4E88-A926-6F2810921904}" type="presOf" srcId="{1F9AEA4B-1889-4916-A8C4-02A7B409F8FD}" destId="{177713EB-06DB-4865-A1C8-B262EDC2C69A}" srcOrd="0" destOrd="0" presId="urn:microsoft.com/office/officeart/2005/8/layout/process2"/>
    <dgm:cxn modelId="{B13E10FA-6FD5-427F-B5AB-6ACFE60FBE44}" type="presOf" srcId="{AC473FD4-F2AF-45C9-A4B1-550F9CB6BB91}" destId="{EA906748-4F49-43E0-BD4C-827F1D39BBA5}" srcOrd="0" destOrd="0" presId="urn:microsoft.com/office/officeart/2005/8/layout/process2"/>
    <dgm:cxn modelId="{C466E166-BD13-4EFA-8404-9D79D22C8B75}" srcId="{0CD3B7BF-2FEE-4CCC-B56C-756F5811693B}" destId="{1F9AEA4B-1889-4916-A8C4-02A7B409F8FD}" srcOrd="3" destOrd="0" parTransId="{1347B298-2B45-454A-9F87-C529E24A0862}" sibTransId="{3D8C6DCE-562A-4C6E-9B93-17E69BE7CF38}"/>
    <dgm:cxn modelId="{81A8D479-975A-4279-8270-3B53F3E2B484}" type="presParOf" srcId="{68EF61B4-E18C-46F4-AF82-FDC885E34D56}" destId="{07D09216-A68C-4690-93C6-574B0EC4E5A5}" srcOrd="0" destOrd="0" presId="urn:microsoft.com/office/officeart/2005/8/layout/process2"/>
    <dgm:cxn modelId="{E1B4F948-62EE-41A3-96CA-7A547C8F5A1C}" type="presParOf" srcId="{68EF61B4-E18C-46F4-AF82-FDC885E34D56}" destId="{2893A2D2-2421-4C9C-9D40-F75DE2A1814A}" srcOrd="1" destOrd="0" presId="urn:microsoft.com/office/officeart/2005/8/layout/process2"/>
    <dgm:cxn modelId="{AF3FF52C-857D-48D5-ADA5-BDE2DA23D501}" type="presParOf" srcId="{2893A2D2-2421-4C9C-9D40-F75DE2A1814A}" destId="{AB9D7333-EC86-4C83-AD8B-7C2A12AA3105}" srcOrd="0" destOrd="0" presId="urn:microsoft.com/office/officeart/2005/8/layout/process2"/>
    <dgm:cxn modelId="{3C4762BC-0A32-4709-86BE-A550A9C5DF5F}" type="presParOf" srcId="{68EF61B4-E18C-46F4-AF82-FDC885E34D56}" destId="{EA906748-4F49-43E0-BD4C-827F1D39BBA5}" srcOrd="2" destOrd="0" presId="urn:microsoft.com/office/officeart/2005/8/layout/process2"/>
    <dgm:cxn modelId="{16528323-EDDF-475C-8F81-E64CABFC2FD0}" type="presParOf" srcId="{68EF61B4-E18C-46F4-AF82-FDC885E34D56}" destId="{1D95AC65-D756-45A0-89F9-7866FCEE34DB}" srcOrd="3" destOrd="0" presId="urn:microsoft.com/office/officeart/2005/8/layout/process2"/>
    <dgm:cxn modelId="{A1634618-8196-46B0-86C4-A67D9ABA9255}" type="presParOf" srcId="{1D95AC65-D756-45A0-89F9-7866FCEE34DB}" destId="{11A9F7E1-E3B7-48A6-8A00-FD2EAF2EEE0E}" srcOrd="0" destOrd="0" presId="urn:microsoft.com/office/officeart/2005/8/layout/process2"/>
    <dgm:cxn modelId="{4F2F25FE-7256-4F6D-9E3C-3568590D7810}" type="presParOf" srcId="{68EF61B4-E18C-46F4-AF82-FDC885E34D56}" destId="{C5B8304F-D0AF-4175-A300-7ED9EA9557D4}" srcOrd="4" destOrd="0" presId="urn:microsoft.com/office/officeart/2005/8/layout/process2"/>
    <dgm:cxn modelId="{FB471A6B-C92B-4B29-AD53-9D52055AC731}" type="presParOf" srcId="{68EF61B4-E18C-46F4-AF82-FDC885E34D56}" destId="{88BBFE6E-FFC3-4719-98ED-6020EC4041FD}" srcOrd="5" destOrd="0" presId="urn:microsoft.com/office/officeart/2005/8/layout/process2"/>
    <dgm:cxn modelId="{3B4934CF-5220-4286-B8B6-9A750FC421E1}" type="presParOf" srcId="{88BBFE6E-FFC3-4719-98ED-6020EC4041FD}" destId="{855AC762-512D-4B4A-B2E3-57CFE9CE4C9B}" srcOrd="0" destOrd="0" presId="urn:microsoft.com/office/officeart/2005/8/layout/process2"/>
    <dgm:cxn modelId="{7C9BBB44-63D8-485D-9038-E6E11C95627C}" type="presParOf" srcId="{68EF61B4-E18C-46F4-AF82-FDC885E34D56}" destId="{177713EB-06DB-4865-A1C8-B262EDC2C69A}" srcOrd="6" destOrd="0" presId="urn:microsoft.com/office/officeart/2005/8/layout/process2"/>
    <dgm:cxn modelId="{E48C4256-F5CE-4B36-A4B7-44E394AFACA3}" type="presParOf" srcId="{68EF61B4-E18C-46F4-AF82-FDC885E34D56}" destId="{088B141C-E6DA-47FF-9657-BCAD1158F602}" srcOrd="7" destOrd="0" presId="urn:microsoft.com/office/officeart/2005/8/layout/process2"/>
    <dgm:cxn modelId="{F6EA149E-818A-4D51-9C76-12685314A449}" type="presParOf" srcId="{088B141C-E6DA-47FF-9657-BCAD1158F602}" destId="{7E284E55-E739-41E4-9C89-E199228AB900}" srcOrd="0" destOrd="0" presId="urn:microsoft.com/office/officeart/2005/8/layout/process2"/>
    <dgm:cxn modelId="{04FA6F83-EB36-4CEB-A880-D312A7F955F5}" type="presParOf" srcId="{68EF61B4-E18C-46F4-AF82-FDC885E34D56}" destId="{4562305E-195C-4728-BF67-9CC29B23C7DB}" srcOrd="8" destOrd="0" presId="urn:microsoft.com/office/officeart/2005/8/layout/process2"/>
    <dgm:cxn modelId="{E5EB8618-CA72-46A8-9759-A79ED134E6EC}" type="presParOf" srcId="{68EF61B4-E18C-46F4-AF82-FDC885E34D56}" destId="{60691C4A-AF77-407F-905D-93513C867409}" srcOrd="9" destOrd="0" presId="urn:microsoft.com/office/officeart/2005/8/layout/process2"/>
    <dgm:cxn modelId="{BBDE07AF-C610-4F5D-8195-CE2515AB12F2}" type="presParOf" srcId="{60691C4A-AF77-407F-905D-93513C867409}" destId="{39499B18-4686-4268-A8DF-5BB9E38B87E7}" srcOrd="0" destOrd="0" presId="urn:microsoft.com/office/officeart/2005/8/layout/process2"/>
    <dgm:cxn modelId="{6CF8168D-0A2E-49F2-A463-D4566CEE027E}" type="presParOf" srcId="{68EF61B4-E18C-46F4-AF82-FDC885E34D56}" destId="{34F96972-70C8-4B9C-B81A-973D9F10ADAC}" srcOrd="10"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D3B7BF-2FEE-4CCC-B56C-756F5811693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9C47A6F4-2D2D-401E-8E8C-257F4F60A451}">
      <dgm:prSet phldrT="[Text]" custT="1"/>
      <dgm:spPr>
        <a:solidFill>
          <a:schemeClr val="accent3">
            <a:lumMod val="10000"/>
            <a:lumOff val="90000"/>
          </a:schemeClr>
        </a:solidFill>
        <a:ln w="3175">
          <a:solidFill>
            <a:srgbClr val="0070C0"/>
          </a:solidFill>
        </a:ln>
      </dgm:spPr>
      <dgm:t>
        <a:bodyPr/>
        <a:lstStyle/>
        <a:p>
          <a:r>
            <a:rPr lang="en-AU" sz="900">
              <a:solidFill>
                <a:sysClr val="windowText" lastClr="000000"/>
              </a:solidFill>
            </a:rPr>
            <a:t>Step 2a</a:t>
          </a:r>
        </a:p>
        <a:p>
          <a:r>
            <a:rPr lang="en-AU" sz="900">
              <a:solidFill>
                <a:sysClr val="windowText" lastClr="000000"/>
              </a:solidFill>
            </a:rPr>
            <a:t>Using several sources of evidence, form a view about the efficiency of base opex:</a:t>
          </a:r>
        </a:p>
        <a:p>
          <a:r>
            <a:rPr lang="en-AU" sz="900">
              <a:solidFill>
                <a:sysClr val="windowText" lastClr="000000"/>
              </a:solidFill>
            </a:rPr>
            <a:t>- Economic benchmarking techniques, adjusted for operating environment factors</a:t>
          </a:r>
        </a:p>
        <a:p>
          <a:r>
            <a:rPr lang="en-AU" sz="900">
              <a:solidFill>
                <a:sysClr val="windowText" lastClr="000000"/>
              </a:solidFill>
            </a:rPr>
            <a:t>- Detailed reviews</a:t>
          </a:r>
        </a:p>
        <a:p>
          <a:r>
            <a:rPr lang="en-AU" sz="900">
              <a:solidFill>
                <a:sysClr val="windowText" lastClr="000000"/>
              </a:solidFill>
            </a:rPr>
            <a:t>- Partial performance indicators</a:t>
          </a:r>
        </a:p>
        <a:p>
          <a:r>
            <a:rPr lang="en-AU" sz="900">
              <a:solidFill>
                <a:sysClr val="windowText" lastClr="000000"/>
              </a:solidFill>
            </a:rPr>
            <a:t>- Category analysis</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F8F0A148-A176-46B3-BDEE-847B6E95270B}">
      <dgm:prSet phldrT="[Text]" custT="1"/>
      <dgm:spPr>
        <a:solidFill>
          <a:srgbClr val="0070C0"/>
        </a:solidFill>
        <a:ln w="3175">
          <a:solidFill>
            <a:schemeClr val="tx1"/>
          </a:solidFill>
        </a:ln>
      </dgm:spPr>
      <dgm:t>
        <a:bodyPr/>
        <a:lstStyle/>
        <a:p>
          <a:r>
            <a:rPr lang="en-AU" sz="900">
              <a:solidFill>
                <a:schemeClr val="bg1"/>
              </a:solidFill>
            </a:rPr>
            <a:t>Step 2</a:t>
          </a:r>
          <a:br>
            <a:rPr lang="en-AU" sz="900">
              <a:solidFill>
                <a:schemeClr val="bg1"/>
              </a:solidFill>
            </a:rPr>
          </a:br>
          <a:r>
            <a:rPr lang="en-AU" sz="900">
              <a:solidFill>
                <a:schemeClr val="bg1"/>
              </a:solidFill>
            </a:rPr>
            <a:t>Assess base year opex</a:t>
          </a:r>
        </a:p>
      </dgm:t>
    </dgm:pt>
    <dgm:pt modelId="{5886E0A0-4C18-4CE1-9C4A-A28AD5EC27F7}" type="parTrans" cxnId="{CFB8A4B9-8F68-4DA4-B719-D88BD5F74E03}">
      <dgm:prSet/>
      <dgm:spPr/>
      <dgm:t>
        <a:bodyPr/>
        <a:lstStyle/>
        <a:p>
          <a:endParaRPr lang="en-AU"/>
        </a:p>
      </dgm:t>
    </dgm:pt>
    <dgm:pt modelId="{22104ACA-F144-4F70-BC48-5EA1657D1F66}" type="sibTrans" cxnId="{CFB8A4B9-8F68-4DA4-B719-D88BD5F74E03}">
      <dgm:prSet/>
      <dgm:spPr/>
      <dgm:t>
        <a:bodyPr/>
        <a:lstStyle/>
        <a:p>
          <a:endParaRPr lang="en-AU"/>
        </a:p>
      </dgm:t>
    </dgm:pt>
    <dgm:pt modelId="{B3A5BCCB-3025-46B4-8EA4-D2140A0E399E}">
      <dgm:prSet phldrT="[Text]" custT="1"/>
      <dgm:spPr>
        <a:solidFill>
          <a:schemeClr val="accent3">
            <a:lumMod val="10000"/>
            <a:lumOff val="90000"/>
          </a:schemeClr>
        </a:solidFill>
        <a:ln w="3175">
          <a:solidFill>
            <a:srgbClr val="0070C0"/>
          </a:solidFill>
        </a:ln>
      </dgm:spPr>
      <dgm:t>
        <a:bodyPr/>
        <a:lstStyle/>
        <a:p>
          <a:r>
            <a:rPr lang="en-AU" sz="900">
              <a:solidFill>
                <a:sysClr val="windowText" lastClr="000000"/>
              </a:solidFill>
            </a:rPr>
            <a:t>Step 2b</a:t>
          </a:r>
        </a:p>
        <a:p>
          <a:r>
            <a:rPr lang="en-AU" sz="900">
              <a:solidFill>
                <a:sysClr val="windowText" lastClr="000000"/>
              </a:solidFill>
            </a:rPr>
            <a:t>Determine the appropriate adjustment using the most robust benchmarking technique (SFA) and a benchmark comparison point that reflects 'materially inefficient' rather than the efficient frontier</a:t>
          </a:r>
        </a:p>
      </dgm:t>
    </dgm:pt>
    <dgm:pt modelId="{B5668126-78E2-41B6-94F4-87F7B9F62C88}" type="parTrans" cxnId="{B864BB49-1012-4B49-9CE1-7967818D9806}">
      <dgm:prSet/>
      <dgm:spPr/>
      <dgm:t>
        <a:bodyPr/>
        <a:lstStyle/>
        <a:p>
          <a:endParaRPr lang="en-AU"/>
        </a:p>
      </dgm:t>
    </dgm:pt>
    <dgm:pt modelId="{FC9ABE95-4898-40E4-915F-447B531E734D}" type="sibTrans" cxnId="{B864BB49-1012-4B49-9CE1-7967818D9806}">
      <dgm:prSet/>
      <dgm:spPr/>
      <dgm:t>
        <a:bodyPr/>
        <a:lstStyle/>
        <a:p>
          <a:endParaRPr lang="en-AU"/>
        </a:p>
      </dgm:t>
    </dgm:pt>
    <dgm:pt modelId="{17C24BF3-862B-48E3-AE3A-D397AECFFDD5}" type="pres">
      <dgm:prSet presAssocID="{0CD3B7BF-2FEE-4CCC-B56C-756F5811693B}" presName="diagram" presStyleCnt="0">
        <dgm:presLayoutVars>
          <dgm:dir/>
          <dgm:resizeHandles val="exact"/>
        </dgm:presLayoutVars>
      </dgm:prSet>
      <dgm:spPr/>
      <dgm:t>
        <a:bodyPr/>
        <a:lstStyle/>
        <a:p>
          <a:endParaRPr lang="en-AU"/>
        </a:p>
      </dgm:t>
    </dgm:pt>
    <dgm:pt modelId="{B1A0ABBA-18AF-449B-9111-4BEFF36CABC4}" type="pres">
      <dgm:prSet presAssocID="{F8F0A148-A176-46B3-BDEE-847B6E95270B}" presName="node" presStyleLbl="node1" presStyleIdx="0" presStyleCnt="3" custScaleX="216842" custScaleY="71271" custLinFactNeighborX="1973" custLinFactNeighborY="-2521">
        <dgm:presLayoutVars>
          <dgm:bulletEnabled val="1"/>
        </dgm:presLayoutVars>
      </dgm:prSet>
      <dgm:spPr/>
      <dgm:t>
        <a:bodyPr/>
        <a:lstStyle/>
        <a:p>
          <a:endParaRPr lang="en-AU"/>
        </a:p>
      </dgm:t>
    </dgm:pt>
    <dgm:pt modelId="{C85B4E6A-6662-47E5-A005-78E084BDB3B4}" type="pres">
      <dgm:prSet presAssocID="{22104ACA-F144-4F70-BC48-5EA1657D1F66}" presName="sibTrans" presStyleCnt="0"/>
      <dgm:spPr/>
    </dgm:pt>
    <dgm:pt modelId="{5E42C676-711C-43CF-8FE8-3FB83C403D7A}" type="pres">
      <dgm:prSet presAssocID="{9C47A6F4-2D2D-401E-8E8C-257F4F60A451}" presName="node" presStyleLbl="node1" presStyleIdx="1" presStyleCnt="3" custScaleX="217872" custScaleY="140693" custLinFactNeighborX="349" custLinFactNeighborY="-1942">
        <dgm:presLayoutVars>
          <dgm:bulletEnabled val="1"/>
        </dgm:presLayoutVars>
      </dgm:prSet>
      <dgm:spPr/>
      <dgm:t>
        <a:bodyPr/>
        <a:lstStyle/>
        <a:p>
          <a:endParaRPr lang="en-AU"/>
        </a:p>
      </dgm:t>
    </dgm:pt>
    <dgm:pt modelId="{5643A528-5DE6-4A6E-B2B5-80CAF2877D54}" type="pres">
      <dgm:prSet presAssocID="{184D268C-C8A6-4CB8-8996-1382A65562B7}" presName="sibTrans" presStyleCnt="0"/>
      <dgm:spPr/>
    </dgm:pt>
    <dgm:pt modelId="{4D66C65F-978B-4624-8081-EEA706DA8362}" type="pres">
      <dgm:prSet presAssocID="{B3A5BCCB-3025-46B4-8EA4-D2140A0E399E}" presName="node" presStyleLbl="node1" presStyleIdx="2" presStyleCnt="3" custScaleX="217807" custScaleY="82397" custLinFactNeighborX="382" custLinFactNeighborY="-2182">
        <dgm:presLayoutVars>
          <dgm:bulletEnabled val="1"/>
        </dgm:presLayoutVars>
      </dgm:prSet>
      <dgm:spPr/>
      <dgm:t>
        <a:bodyPr/>
        <a:lstStyle/>
        <a:p>
          <a:endParaRPr lang="en-AU"/>
        </a:p>
      </dgm:t>
    </dgm:pt>
  </dgm:ptLst>
  <dgm:cxnLst>
    <dgm:cxn modelId="{D00BBA23-2DA7-4708-AC4B-5EB513B9F172}" type="presOf" srcId="{B3A5BCCB-3025-46B4-8EA4-D2140A0E399E}" destId="{4D66C65F-978B-4624-8081-EEA706DA8362}" srcOrd="0" destOrd="0" presId="urn:microsoft.com/office/officeart/2005/8/layout/default"/>
    <dgm:cxn modelId="{24D123CE-762C-4036-8960-FD31E8A9887A}" type="presOf" srcId="{9C47A6F4-2D2D-401E-8E8C-257F4F60A451}" destId="{5E42C676-711C-43CF-8FE8-3FB83C403D7A}" srcOrd="0" destOrd="0" presId="urn:microsoft.com/office/officeart/2005/8/layout/default"/>
    <dgm:cxn modelId="{B864BB49-1012-4B49-9CE1-7967818D9806}" srcId="{0CD3B7BF-2FEE-4CCC-B56C-756F5811693B}" destId="{B3A5BCCB-3025-46B4-8EA4-D2140A0E399E}" srcOrd="2" destOrd="0" parTransId="{B5668126-78E2-41B6-94F4-87F7B9F62C88}" sibTransId="{FC9ABE95-4898-40E4-915F-447B531E734D}"/>
    <dgm:cxn modelId="{9E049C38-11C6-4C21-935B-6673DC446529}" srcId="{0CD3B7BF-2FEE-4CCC-B56C-756F5811693B}" destId="{9C47A6F4-2D2D-401E-8E8C-257F4F60A451}" srcOrd="1" destOrd="0" parTransId="{FE7AE3C6-CE1F-44D6-B9C8-9CCC9162FA7B}" sibTransId="{184D268C-C8A6-4CB8-8996-1382A65562B7}"/>
    <dgm:cxn modelId="{CFB8A4B9-8F68-4DA4-B719-D88BD5F74E03}" srcId="{0CD3B7BF-2FEE-4CCC-B56C-756F5811693B}" destId="{F8F0A148-A176-46B3-BDEE-847B6E95270B}" srcOrd="0" destOrd="0" parTransId="{5886E0A0-4C18-4CE1-9C4A-A28AD5EC27F7}" sibTransId="{22104ACA-F144-4F70-BC48-5EA1657D1F66}"/>
    <dgm:cxn modelId="{3757A76C-EB75-42B2-A6AE-4E3C1411D964}" type="presOf" srcId="{F8F0A148-A176-46B3-BDEE-847B6E95270B}" destId="{B1A0ABBA-18AF-449B-9111-4BEFF36CABC4}" srcOrd="0" destOrd="0" presId="urn:microsoft.com/office/officeart/2005/8/layout/default"/>
    <dgm:cxn modelId="{91DE663F-C1F6-4A97-B2B1-6A3179174271}" type="presOf" srcId="{0CD3B7BF-2FEE-4CCC-B56C-756F5811693B}" destId="{17C24BF3-862B-48E3-AE3A-D397AECFFDD5}" srcOrd="0" destOrd="0" presId="urn:microsoft.com/office/officeart/2005/8/layout/default"/>
    <dgm:cxn modelId="{C66B37E2-A649-4CD2-B728-883A65CE7050}" type="presParOf" srcId="{17C24BF3-862B-48E3-AE3A-D397AECFFDD5}" destId="{B1A0ABBA-18AF-449B-9111-4BEFF36CABC4}" srcOrd="0" destOrd="0" presId="urn:microsoft.com/office/officeart/2005/8/layout/default"/>
    <dgm:cxn modelId="{76191310-7330-4849-AD06-51B39B8F5D25}" type="presParOf" srcId="{17C24BF3-862B-48E3-AE3A-D397AECFFDD5}" destId="{C85B4E6A-6662-47E5-A005-78E084BDB3B4}" srcOrd="1" destOrd="0" presId="urn:microsoft.com/office/officeart/2005/8/layout/default"/>
    <dgm:cxn modelId="{BAA258AC-2AF8-48BC-9208-2CCD4E7B2974}" type="presParOf" srcId="{17C24BF3-862B-48E3-AE3A-D397AECFFDD5}" destId="{5E42C676-711C-43CF-8FE8-3FB83C403D7A}" srcOrd="2" destOrd="0" presId="urn:microsoft.com/office/officeart/2005/8/layout/default"/>
    <dgm:cxn modelId="{AB34FBBE-2B78-4594-B9EA-52B09CAA2C4B}" type="presParOf" srcId="{17C24BF3-862B-48E3-AE3A-D397AECFFDD5}" destId="{5643A528-5DE6-4A6E-B2B5-80CAF2877D54}" srcOrd="3" destOrd="0" presId="urn:microsoft.com/office/officeart/2005/8/layout/default"/>
    <dgm:cxn modelId="{60BFA71C-5133-4864-AF46-1F1D71A326D5}" type="presParOf" srcId="{17C24BF3-862B-48E3-AE3A-D397AECFFDD5}" destId="{4D66C65F-978B-4624-8081-EEA706DA8362}" srcOrd="4"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909A5-61D3-4FAC-9E1B-94BAFFE149C8}">
      <dsp:nvSpPr>
        <dsp:cNvPr id="0" name=""/>
        <dsp:cNvSpPr/>
      </dsp:nvSpPr>
      <dsp:spPr>
        <a:xfrm>
          <a:off x="0" y="6601601"/>
          <a:ext cx="5380075" cy="848882"/>
        </a:xfrm>
        <a:prstGeom prst="rect">
          <a:avLst/>
        </a:prstGeo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chemeClr val="accent5"/>
              </a:solidFill>
              <a:latin typeface="Arial"/>
              <a:ea typeface="+mn-ea"/>
              <a:cs typeface="+mn-cs"/>
            </a:rPr>
            <a:t>Having established our estimate of total forecast opex we can compare our alternative opex forecast with the service provider’s total forecast opex.</a:t>
          </a:r>
        </a:p>
        <a:p>
          <a:pPr lvl="0" algn="ctr" defTabSz="355600">
            <a:lnSpc>
              <a:spcPct val="90000"/>
            </a:lnSpc>
            <a:spcBef>
              <a:spcPct val="0"/>
            </a:spcBef>
            <a:spcAft>
              <a:spcPct val="35000"/>
            </a:spcAft>
          </a:pPr>
          <a:r>
            <a:rPr lang="en-AU" sz="800" kern="1200">
              <a:solidFill>
                <a:schemeClr val="accent5"/>
              </a:solidFill>
              <a:latin typeface="Arial"/>
              <a:ea typeface="+mn-ea"/>
              <a:cs typeface="+mn-cs"/>
            </a:rPr>
            <a:t> If we are not satisfied there is an adequate explanation for the difference between our opex forecast and the service provider's opex forecast, we will use our opex forecast </a:t>
          </a:r>
        </a:p>
      </dsp:txBody>
      <dsp:txXfrm>
        <a:off x="0" y="6601601"/>
        <a:ext cx="5380075" cy="848882"/>
      </dsp:txXfrm>
    </dsp:sp>
    <dsp:sp modelId="{5454B07C-516E-4134-9667-2DD9F64A5A54}">
      <dsp:nvSpPr>
        <dsp:cNvPr id="0" name=""/>
        <dsp:cNvSpPr/>
      </dsp:nvSpPr>
      <dsp:spPr>
        <a:xfrm rot="10800000">
          <a:off x="0" y="5308753"/>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5 - Other opex</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sp:txBody>
      <dsp:txXfrm rot="10800000">
        <a:off x="0" y="5308753"/>
        <a:ext cx="5380075" cy="848327"/>
      </dsp:txXfrm>
    </dsp:sp>
    <dsp:sp modelId="{D15D1D6F-7DCD-4AE5-B149-7785CC2469B6}">
      <dsp:nvSpPr>
        <dsp:cNvPr id="0" name=""/>
        <dsp:cNvSpPr/>
      </dsp:nvSpPr>
      <dsp:spPr>
        <a:xfrm rot="10800000">
          <a:off x="0" y="4015906"/>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4 - Add or subtract any step changes</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then adjust base year expenditure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sp:txBody>
      <dsp:txXfrm rot="10800000">
        <a:off x="0" y="4015906"/>
        <a:ext cx="5380075" cy="848327"/>
      </dsp:txXfrm>
    </dsp:sp>
    <dsp:sp modelId="{7706543F-BD42-48EB-9BC6-91648880A2B7}">
      <dsp:nvSpPr>
        <dsp:cNvPr id="0" name=""/>
        <dsp:cNvSpPr/>
      </dsp:nvSpPr>
      <dsp:spPr>
        <a:xfrm rot="10800000">
          <a:off x="0" y="2723058"/>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3 - Add a rate of change to base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sp:txBody>
      <dsp:txXfrm rot="10800000">
        <a:off x="0" y="2723058"/>
        <a:ext cx="5380075" cy="848327"/>
      </dsp:txXfrm>
    </dsp:sp>
    <dsp:sp modelId="{02266745-C7A2-4A75-B615-37EF6AD1DF72}">
      <dsp:nvSpPr>
        <dsp:cNvPr id="0" name=""/>
        <dsp:cNvSpPr/>
      </dsp:nvSpPr>
      <dsp:spPr>
        <a:xfrm rot="10800000">
          <a:off x="0" y="1295787"/>
          <a:ext cx="5380075" cy="1440003"/>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2- Assess base year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assess whether opex the service provider incurred in the base year reasonably reflects the opex criteria. We have a number of techniques including economic benchmarking by which we can test the efficiency of opex in the base year.</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If necessary we make an adjustment to the base year expenditure to ensure it reflects the opex critieria. We can utilise the same techniques available to assess the efficiency of base year opex to make an adjustment to base year opex.</a:t>
          </a:r>
        </a:p>
      </dsp:txBody>
      <dsp:txXfrm rot="10800000">
        <a:off x="0" y="1295787"/>
        <a:ext cx="5380075" cy="935671"/>
      </dsp:txXfrm>
    </dsp:sp>
    <dsp:sp modelId="{B4C9A1EC-3D30-4803-9C07-A599DAFC6514}">
      <dsp:nvSpPr>
        <dsp:cNvPr id="0" name=""/>
        <dsp:cNvSpPr/>
      </dsp:nvSpPr>
      <dsp:spPr>
        <a:xfrm rot="10800000">
          <a:off x="0" y="2939"/>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1 - Start with service provider's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typically use the service provider's actual opex in a single year as the starting point for our assessment. We call this the base year. While categories of opex can vary from year to year, total opex is relatively recurrent. We typically choose a recent year for our assessment</a:t>
          </a:r>
          <a:r>
            <a:rPr lang="en-AU" sz="1000" kern="1200">
              <a:solidFill>
                <a:sysClr val="window" lastClr="FFFFFF"/>
              </a:solidFill>
              <a:latin typeface="Arial"/>
              <a:ea typeface="+mn-ea"/>
              <a:cs typeface="+mn-cs"/>
            </a:rPr>
            <a:t>.</a:t>
          </a:r>
        </a:p>
      </dsp:txBody>
      <dsp:txXfrm rot="10800000">
        <a:off x="0" y="2939"/>
        <a:ext cx="5380075" cy="8483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09216-A68C-4690-93C6-574B0EC4E5A5}">
      <dsp:nvSpPr>
        <dsp:cNvPr id="0" name=""/>
        <dsp:cNvSpPr/>
      </dsp:nvSpPr>
      <dsp:spPr>
        <a:xfrm>
          <a:off x="356658" y="2196"/>
          <a:ext cx="1210098" cy="509174"/>
        </a:xfrm>
        <a:prstGeom prst="roundRect">
          <a:avLst>
            <a:gd name="adj" fmla="val 10000"/>
          </a:avLst>
        </a:prstGeom>
        <a:solidFill>
          <a:srgbClr val="0070C0"/>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1 - Start with service provider's opex</a:t>
          </a:r>
        </a:p>
      </dsp:txBody>
      <dsp:txXfrm>
        <a:off x="371571" y="17109"/>
        <a:ext cx="1180272" cy="479348"/>
      </dsp:txXfrm>
    </dsp:sp>
    <dsp:sp modelId="{2893A2D2-2421-4C9C-9D40-F75DE2A1814A}">
      <dsp:nvSpPr>
        <dsp:cNvPr id="0" name=""/>
        <dsp:cNvSpPr/>
      </dsp:nvSpPr>
      <dsp:spPr>
        <a:xfrm rot="5400000">
          <a:off x="866237" y="524100"/>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543194"/>
        <a:ext cx="137476" cy="133658"/>
      </dsp:txXfrm>
    </dsp:sp>
    <dsp:sp modelId="{EA906748-4F49-43E0-BD4C-827F1D39BBA5}">
      <dsp:nvSpPr>
        <dsp:cNvPr id="0" name=""/>
        <dsp:cNvSpPr/>
      </dsp:nvSpPr>
      <dsp:spPr>
        <a:xfrm>
          <a:off x="356658" y="765958"/>
          <a:ext cx="1210098" cy="509174"/>
        </a:xfrm>
        <a:prstGeom prst="roundRect">
          <a:avLst>
            <a:gd name="adj" fmla="val 10000"/>
          </a:avLst>
        </a:prstGeom>
        <a:solidFill>
          <a:srgbClr val="0070C0"/>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2 - Assess base year opex</a:t>
          </a:r>
        </a:p>
      </dsp:txBody>
      <dsp:txXfrm>
        <a:off x="371571" y="780871"/>
        <a:ext cx="1180272" cy="479348"/>
      </dsp:txXfrm>
    </dsp:sp>
    <dsp:sp modelId="{1D95AC65-D756-45A0-89F9-7866FCEE34DB}">
      <dsp:nvSpPr>
        <dsp:cNvPr id="0" name=""/>
        <dsp:cNvSpPr/>
      </dsp:nvSpPr>
      <dsp:spPr>
        <a:xfrm rot="5400000">
          <a:off x="866237" y="1287863"/>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1306957"/>
        <a:ext cx="137476" cy="133658"/>
      </dsp:txXfrm>
    </dsp:sp>
    <dsp:sp modelId="{C5B8304F-D0AF-4175-A300-7ED9EA9557D4}">
      <dsp:nvSpPr>
        <dsp:cNvPr id="0" name=""/>
        <dsp:cNvSpPr/>
      </dsp:nvSpPr>
      <dsp:spPr>
        <a:xfrm>
          <a:off x="356658" y="1529721"/>
          <a:ext cx="1210098" cy="509174"/>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3 - Add a rate of change to base opex</a:t>
          </a:r>
          <a:r>
            <a:rPr lang="en-AU" sz="900" kern="1200"/>
            <a:t> </a:t>
          </a:r>
        </a:p>
      </dsp:txBody>
      <dsp:txXfrm>
        <a:off x="371571" y="1544634"/>
        <a:ext cx="1180272" cy="479348"/>
      </dsp:txXfrm>
    </dsp:sp>
    <dsp:sp modelId="{88BBFE6E-FFC3-4719-98ED-6020EC4041FD}">
      <dsp:nvSpPr>
        <dsp:cNvPr id="0" name=""/>
        <dsp:cNvSpPr/>
      </dsp:nvSpPr>
      <dsp:spPr>
        <a:xfrm rot="5400000">
          <a:off x="866237" y="2051625"/>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2070719"/>
        <a:ext cx="137476" cy="133658"/>
      </dsp:txXfrm>
    </dsp:sp>
    <dsp:sp modelId="{177713EB-06DB-4865-A1C8-B262EDC2C69A}">
      <dsp:nvSpPr>
        <dsp:cNvPr id="0" name=""/>
        <dsp:cNvSpPr/>
      </dsp:nvSpPr>
      <dsp:spPr>
        <a:xfrm>
          <a:off x="356658" y="2293483"/>
          <a:ext cx="1210098" cy="487957"/>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4 - Add or subtract any step changes</a:t>
          </a:r>
        </a:p>
      </dsp:txBody>
      <dsp:txXfrm>
        <a:off x="370950" y="2307775"/>
        <a:ext cx="1181514" cy="459373"/>
      </dsp:txXfrm>
    </dsp:sp>
    <dsp:sp modelId="{088B141C-E6DA-47FF-9657-BCAD1158F602}">
      <dsp:nvSpPr>
        <dsp:cNvPr id="0" name=""/>
        <dsp:cNvSpPr/>
      </dsp:nvSpPr>
      <dsp:spPr>
        <a:xfrm rot="5400000">
          <a:off x="866237" y="2794169"/>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2813263"/>
        <a:ext cx="137476" cy="133658"/>
      </dsp:txXfrm>
    </dsp:sp>
    <dsp:sp modelId="{4562305E-195C-4728-BF67-9CC29B23C7DB}">
      <dsp:nvSpPr>
        <dsp:cNvPr id="0" name=""/>
        <dsp:cNvSpPr/>
      </dsp:nvSpPr>
      <dsp:spPr>
        <a:xfrm>
          <a:off x="356658" y="3036027"/>
          <a:ext cx="1210098" cy="520458"/>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5 - Other opex</a:t>
          </a:r>
        </a:p>
      </dsp:txBody>
      <dsp:txXfrm>
        <a:off x="371902" y="3051271"/>
        <a:ext cx="1179610" cy="489970"/>
      </dsp:txXfrm>
    </dsp:sp>
    <dsp:sp modelId="{60691C4A-AF77-407F-905D-93513C867409}">
      <dsp:nvSpPr>
        <dsp:cNvPr id="0" name=""/>
        <dsp:cNvSpPr/>
      </dsp:nvSpPr>
      <dsp:spPr>
        <a:xfrm rot="5400000">
          <a:off x="866237" y="3569215"/>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3588309"/>
        <a:ext cx="137476" cy="133658"/>
      </dsp:txXfrm>
    </dsp:sp>
    <dsp:sp modelId="{34F96972-70C8-4B9C-B81A-973D9F10ADAC}">
      <dsp:nvSpPr>
        <dsp:cNvPr id="0" name=""/>
        <dsp:cNvSpPr/>
      </dsp:nvSpPr>
      <dsp:spPr>
        <a:xfrm>
          <a:off x="356658" y="3811073"/>
          <a:ext cx="1210098" cy="509174"/>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6 - Compare our forecast to service provider's forecast</a:t>
          </a:r>
        </a:p>
      </dsp:txBody>
      <dsp:txXfrm>
        <a:off x="371571" y="3825986"/>
        <a:ext cx="1180272" cy="4793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0ABBA-18AF-449B-9111-4BEFF36CABC4}">
      <dsp:nvSpPr>
        <dsp:cNvPr id="0" name=""/>
        <dsp:cNvSpPr/>
      </dsp:nvSpPr>
      <dsp:spPr>
        <a:xfrm>
          <a:off x="27971" y="159237"/>
          <a:ext cx="3510248" cy="692243"/>
        </a:xfrm>
        <a:prstGeom prst="rect">
          <a:avLst/>
        </a:prstGeom>
        <a:solidFill>
          <a:srgbClr val="0070C0"/>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2</a:t>
          </a:r>
          <a:br>
            <a:rPr lang="en-AU" sz="900" kern="1200">
              <a:solidFill>
                <a:schemeClr val="bg1"/>
              </a:solidFill>
            </a:rPr>
          </a:br>
          <a:r>
            <a:rPr lang="en-AU" sz="900" kern="1200">
              <a:solidFill>
                <a:schemeClr val="bg1"/>
              </a:solidFill>
            </a:rPr>
            <a:t>Assess base year opex</a:t>
          </a:r>
        </a:p>
      </dsp:txBody>
      <dsp:txXfrm>
        <a:off x="27971" y="159237"/>
        <a:ext cx="3510248" cy="692243"/>
      </dsp:txXfrm>
    </dsp:sp>
    <dsp:sp modelId="{5E42C676-711C-43CF-8FE8-3FB83C403D7A}">
      <dsp:nvSpPr>
        <dsp:cNvPr id="0" name=""/>
        <dsp:cNvSpPr/>
      </dsp:nvSpPr>
      <dsp:spPr>
        <a:xfrm>
          <a:off x="11297" y="1018984"/>
          <a:ext cx="3526922" cy="1366526"/>
        </a:xfrm>
        <a:prstGeom prst="rect">
          <a:avLst/>
        </a:prstGeom>
        <a:solidFill>
          <a:schemeClr val="accent3">
            <a:lumMod val="10000"/>
            <a:lumOff val="90000"/>
          </a:schemeClr>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rPr>
            <a:t>Step 2a</a:t>
          </a:r>
        </a:p>
        <a:p>
          <a:pPr lvl="0" algn="ctr" defTabSz="400050">
            <a:lnSpc>
              <a:spcPct val="90000"/>
            </a:lnSpc>
            <a:spcBef>
              <a:spcPct val="0"/>
            </a:spcBef>
            <a:spcAft>
              <a:spcPct val="35000"/>
            </a:spcAft>
          </a:pPr>
          <a:r>
            <a:rPr lang="en-AU" sz="900" kern="1200">
              <a:solidFill>
                <a:sysClr val="windowText" lastClr="000000"/>
              </a:solidFill>
            </a:rPr>
            <a:t>Using several sources of evidence, form a view about the efficiency of base opex:</a:t>
          </a:r>
        </a:p>
        <a:p>
          <a:pPr lvl="0" algn="ctr" defTabSz="400050">
            <a:lnSpc>
              <a:spcPct val="90000"/>
            </a:lnSpc>
            <a:spcBef>
              <a:spcPct val="0"/>
            </a:spcBef>
            <a:spcAft>
              <a:spcPct val="35000"/>
            </a:spcAft>
          </a:pPr>
          <a:r>
            <a:rPr lang="en-AU" sz="900" kern="1200">
              <a:solidFill>
                <a:sysClr val="windowText" lastClr="000000"/>
              </a:solidFill>
            </a:rPr>
            <a:t>- Economic benchmarking techniques, adjusted for operating environment factors</a:t>
          </a:r>
        </a:p>
        <a:p>
          <a:pPr lvl="0" algn="ctr" defTabSz="400050">
            <a:lnSpc>
              <a:spcPct val="90000"/>
            </a:lnSpc>
            <a:spcBef>
              <a:spcPct val="0"/>
            </a:spcBef>
            <a:spcAft>
              <a:spcPct val="35000"/>
            </a:spcAft>
          </a:pPr>
          <a:r>
            <a:rPr lang="en-AU" sz="900" kern="1200">
              <a:solidFill>
                <a:sysClr val="windowText" lastClr="000000"/>
              </a:solidFill>
            </a:rPr>
            <a:t>- Detailed reviews</a:t>
          </a:r>
        </a:p>
        <a:p>
          <a:pPr lvl="0" algn="ctr" defTabSz="400050">
            <a:lnSpc>
              <a:spcPct val="90000"/>
            </a:lnSpc>
            <a:spcBef>
              <a:spcPct val="0"/>
            </a:spcBef>
            <a:spcAft>
              <a:spcPct val="35000"/>
            </a:spcAft>
          </a:pPr>
          <a:r>
            <a:rPr lang="en-AU" sz="900" kern="1200">
              <a:solidFill>
                <a:sysClr val="windowText" lastClr="000000"/>
              </a:solidFill>
            </a:rPr>
            <a:t>- Partial performance indicators</a:t>
          </a:r>
        </a:p>
        <a:p>
          <a:pPr lvl="0" algn="ctr" defTabSz="400050">
            <a:lnSpc>
              <a:spcPct val="90000"/>
            </a:lnSpc>
            <a:spcBef>
              <a:spcPct val="0"/>
            </a:spcBef>
            <a:spcAft>
              <a:spcPct val="35000"/>
            </a:spcAft>
          </a:pPr>
          <a:r>
            <a:rPr lang="en-AU" sz="900" kern="1200">
              <a:solidFill>
                <a:sysClr val="windowText" lastClr="000000"/>
              </a:solidFill>
            </a:rPr>
            <a:t>- Category analysis</a:t>
          </a:r>
        </a:p>
      </dsp:txBody>
      <dsp:txXfrm>
        <a:off x="11297" y="1018984"/>
        <a:ext cx="3526922" cy="1366526"/>
      </dsp:txXfrm>
    </dsp:sp>
    <dsp:sp modelId="{4D66C65F-978B-4624-8081-EEA706DA8362}">
      <dsp:nvSpPr>
        <dsp:cNvPr id="0" name=""/>
        <dsp:cNvSpPr/>
      </dsp:nvSpPr>
      <dsp:spPr>
        <a:xfrm>
          <a:off x="12349" y="2545060"/>
          <a:ext cx="3525870" cy="800307"/>
        </a:xfrm>
        <a:prstGeom prst="rect">
          <a:avLst/>
        </a:prstGeom>
        <a:solidFill>
          <a:schemeClr val="accent3">
            <a:lumMod val="10000"/>
            <a:lumOff val="90000"/>
          </a:schemeClr>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rPr>
            <a:t>Step 2b</a:t>
          </a:r>
        </a:p>
        <a:p>
          <a:pPr lvl="0" algn="ctr" defTabSz="400050">
            <a:lnSpc>
              <a:spcPct val="90000"/>
            </a:lnSpc>
            <a:spcBef>
              <a:spcPct val="0"/>
            </a:spcBef>
            <a:spcAft>
              <a:spcPct val="35000"/>
            </a:spcAft>
          </a:pPr>
          <a:r>
            <a:rPr lang="en-AU" sz="900" kern="1200">
              <a:solidFill>
                <a:sysClr val="windowText" lastClr="000000"/>
              </a:solidFill>
            </a:rPr>
            <a:t>Determine the appropriate adjustment using the most robust benchmarking technique (SFA) and a benchmark comparison point that reflects 'materially inefficient' rather than the efficient frontier</a:t>
          </a:r>
        </a:p>
      </dsp:txBody>
      <dsp:txXfrm>
        <a:off x="12349" y="2545060"/>
        <a:ext cx="3525870" cy="8003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7311EC63.dotm</Template>
  <TotalTime>0</TotalTime>
  <Pages>301</Pages>
  <Words>95159</Words>
  <Characters>542408</Characters>
  <Application>Microsoft Office Word</Application>
  <DocSecurity>0</DocSecurity>
  <Lines>4520</Lines>
  <Paragraphs>1272</Paragraphs>
  <ScaleCrop>false</ScaleCrop>
  <Company/>
  <LinksUpToDate>false</LinksUpToDate>
  <CharactersWithSpaces>636295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2015-04-28T06:51:00Z</dcterms:created>
  <dcterms:modified xsi:type="dcterms:W3CDTF">2015-04-28T06:51:00Z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