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8EAFEFE" wp14:editId="1A454D0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w:t>
          </w:r>
          <w:r w:rsidR="00F51F5F">
            <w:t>ndeavour</w:t>
          </w:r>
          <w:r>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1A530D" w:rsidP="008F07A3">
          <w:pPr>
            <w:pStyle w:val="ReportSubtitle"/>
          </w:pPr>
          <w:r>
            <w:t>Overview</w:t>
          </w:r>
        </w:p>
        <w:p w:rsidR="000A6C7B" w:rsidRPr="00327A1E" w:rsidRDefault="00DA4752" w:rsidP="00327A1E">
          <w:pPr>
            <w:pStyle w:val="ReportDate"/>
          </w:pPr>
          <w:r>
            <w:t>April 2015</w:t>
          </w:r>
        </w:p>
      </w:sdtContent>
    </w:sdt>
    <w:p w:rsidR="00327A1E" w:rsidRPr="00290C63" w:rsidRDefault="00327A1E" w:rsidP="00290C63">
      <w:r>
        <w:br w:type="page"/>
      </w:r>
    </w:p>
    <w:p w:rsidR="00360F32" w:rsidRDefault="00360F32" w:rsidP="00360F32">
      <w:bookmarkStart w:id="1" w:name="_Toc411428008"/>
      <w:r>
        <w:lastRenderedPageBreak/>
        <w:t>© Commonwealth of Australia 2015</w:t>
      </w:r>
    </w:p>
    <w:p w:rsidR="00360F32" w:rsidRDefault="00360F32" w:rsidP="00360F32">
      <w:r>
        <w:t>This work is copyright. In addition to any use permitted under the Copyright Act 1968, all material contained within this work is provided under a Creative Commons Attributions 3.0 Australia licence, with the exception of:</w:t>
      </w:r>
    </w:p>
    <w:p w:rsidR="00360F32" w:rsidRPr="00CE2A23" w:rsidRDefault="00360F32" w:rsidP="00360F32">
      <w:pPr>
        <w:pStyle w:val="AERbulletlistfirststyle"/>
      </w:pPr>
      <w:r w:rsidRPr="00CE2A23">
        <w:t>the Commonwealth Coat of Arms</w:t>
      </w:r>
    </w:p>
    <w:p w:rsidR="00360F32" w:rsidRPr="00CB734B" w:rsidRDefault="00360F32" w:rsidP="00360F32">
      <w:pPr>
        <w:pStyle w:val="AERbulletlistfirststyle"/>
      </w:pPr>
      <w:r w:rsidRPr="00CE2A23">
        <w:t>the ACCC and AER logos</w:t>
      </w:r>
    </w:p>
    <w:p w:rsidR="00360F32" w:rsidRPr="00CE2A23" w:rsidRDefault="00360F32" w:rsidP="00360F32">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360F32" w:rsidRDefault="00360F32" w:rsidP="00360F32">
      <w:r>
        <w:t>Requests and inquiries concerning reproduction and rights should be addressed to the:</w:t>
      </w:r>
    </w:p>
    <w:p w:rsidR="00360F32" w:rsidRDefault="00360F32" w:rsidP="00360F32">
      <w:r>
        <w:t>Director, Corporate Communications</w:t>
      </w:r>
      <w:r>
        <w:br/>
        <w:t xml:space="preserve">Australian Competition and Consumer Commission </w:t>
      </w:r>
      <w:r>
        <w:br/>
        <w:t>GPO Box 4141, Canberra ACT 2601</w:t>
      </w:r>
    </w:p>
    <w:p w:rsidR="00360F32" w:rsidRDefault="00360F32" w:rsidP="00360F32">
      <w:proofErr w:type="gramStart"/>
      <w:r>
        <w:t>or</w:t>
      </w:r>
      <w:proofErr w:type="gramEnd"/>
      <w:r>
        <w:t xml:space="preserve"> publishing.unit@accc.gov.au.</w:t>
      </w:r>
    </w:p>
    <w:p w:rsidR="00360F32" w:rsidRDefault="00360F32" w:rsidP="00360F32">
      <w:r>
        <w:t>Inquiries about this publication should be addressed to:</w:t>
      </w:r>
    </w:p>
    <w:p w:rsidR="00360F32" w:rsidRDefault="00360F32" w:rsidP="00360F32">
      <w:r>
        <w:t xml:space="preserve">Australian Energy </w:t>
      </w:r>
      <w:r w:rsidRPr="00F171E0">
        <w:t>Regulator</w:t>
      </w:r>
      <w:r>
        <w:br/>
        <w:t>GPO Box 520</w:t>
      </w:r>
      <w:r>
        <w:br/>
      </w:r>
      <w:proofErr w:type="gramStart"/>
      <w:r>
        <w:t>Melbourne  Vic</w:t>
      </w:r>
      <w:proofErr w:type="gramEnd"/>
      <w:r>
        <w:t xml:space="preserve">  3001</w:t>
      </w:r>
    </w:p>
    <w:p w:rsidR="00360F32" w:rsidRDefault="00360F32" w:rsidP="00360F32">
      <w:r>
        <w:t>Tel: (03) 9290 1444</w:t>
      </w:r>
      <w:r>
        <w:br/>
        <w:t>Fax: (03) 9290 1457</w:t>
      </w:r>
    </w:p>
    <w:p w:rsidR="00360F32" w:rsidRDefault="00360F32" w:rsidP="00360F32">
      <w:r>
        <w:t xml:space="preserve">Email: </w:t>
      </w:r>
      <w:hyperlink r:id="rId10" w:history="1">
        <w:r w:rsidRPr="00D64888">
          <w:rPr>
            <w:rStyle w:val="Hyperlink"/>
          </w:rPr>
          <w:t>AERInquiry@aer.gov.au</w:t>
        </w:r>
      </w:hyperlink>
      <w:r>
        <w:rPr>
          <w:rStyle w:val="Hyperlink"/>
        </w:rPr>
        <w:br/>
      </w:r>
    </w:p>
    <w:p w:rsidR="00360F32" w:rsidRDefault="00360F32" w:rsidP="00360F32">
      <w:r>
        <w:t>AER reference:</w:t>
      </w:r>
      <w:r>
        <w:tab/>
        <w:t>52294</w:t>
      </w:r>
    </w:p>
    <w:p w:rsidR="00360F32" w:rsidRPr="00D675D4" w:rsidRDefault="00360F32" w:rsidP="00360F32">
      <w:r>
        <w:br w:type="page"/>
      </w:r>
    </w:p>
    <w:p w:rsidR="00360F32" w:rsidRDefault="00360F32" w:rsidP="00117E02">
      <w:pPr>
        <w:pStyle w:val="UnnumberedHeading"/>
        <w:numPr>
          <w:ilvl w:val="0"/>
          <w:numId w:val="23"/>
        </w:numPr>
      </w:pPr>
      <w:bookmarkStart w:id="2" w:name="_Toc404153950"/>
      <w:bookmarkStart w:id="3" w:name="_Toc404437593"/>
      <w:bookmarkStart w:id="4" w:name="_Toc417916988"/>
      <w:r>
        <w:lastRenderedPageBreak/>
        <w:t>Note</w:t>
      </w:r>
      <w:bookmarkEnd w:id="2"/>
      <w:bookmarkEnd w:id="3"/>
      <w:bookmarkEnd w:id="4"/>
    </w:p>
    <w:p w:rsidR="00360F32" w:rsidRDefault="00360F32" w:rsidP="00117E02">
      <w:pPr>
        <w:numPr>
          <w:ilvl w:val="0"/>
          <w:numId w:val="24"/>
        </w:numPr>
      </w:pPr>
      <w:r>
        <w:t xml:space="preserve">This overview forms part of the AER's final decision on </w:t>
      </w:r>
      <w:r w:rsidR="0023193C">
        <w:t>Endeavour Energy</w:t>
      </w:r>
      <w:r>
        <w:t>’s distribution determination for 2015</w:t>
      </w:r>
      <w:r w:rsidRPr="00F02D30">
        <w:t>–</w:t>
      </w:r>
      <w:r>
        <w:t>19. It should be read with other parts of the final decision.</w:t>
      </w:r>
    </w:p>
    <w:p w:rsidR="00360F32" w:rsidRDefault="00360F32" w:rsidP="00117E02">
      <w:pPr>
        <w:numPr>
          <w:ilvl w:val="0"/>
          <w:numId w:val="24"/>
        </w:numPr>
      </w:pPr>
      <w:r>
        <w:t>The final decision includes the following documents:</w:t>
      </w:r>
    </w:p>
    <w:p w:rsidR="00360F32" w:rsidRDefault="00360F32" w:rsidP="00117E02">
      <w:pPr>
        <w:numPr>
          <w:ilvl w:val="0"/>
          <w:numId w:val="24"/>
        </w:numPr>
      </w:pPr>
      <w:r>
        <w:t>Overview</w:t>
      </w:r>
    </w:p>
    <w:p w:rsidR="00360F32" w:rsidRDefault="00360F32" w:rsidP="00117E02">
      <w:pPr>
        <w:numPr>
          <w:ilvl w:val="0"/>
          <w:numId w:val="24"/>
        </w:numPr>
      </w:pPr>
      <w:r>
        <w:t>Attachment 1 – annual revenue requirement</w:t>
      </w:r>
    </w:p>
    <w:p w:rsidR="00360F32" w:rsidRDefault="00360F32" w:rsidP="00117E02">
      <w:pPr>
        <w:numPr>
          <w:ilvl w:val="0"/>
          <w:numId w:val="24"/>
        </w:numPr>
      </w:pPr>
      <w:r>
        <w:t>Attachment 2 – regulatory asset base</w:t>
      </w:r>
    </w:p>
    <w:p w:rsidR="00360F32" w:rsidRDefault="00360F32" w:rsidP="00117E02">
      <w:pPr>
        <w:numPr>
          <w:ilvl w:val="0"/>
          <w:numId w:val="24"/>
        </w:numPr>
      </w:pPr>
      <w:r>
        <w:t>Attachment 3 – rate of return</w:t>
      </w:r>
    </w:p>
    <w:p w:rsidR="00360F32" w:rsidRDefault="00360F32" w:rsidP="00117E02">
      <w:pPr>
        <w:numPr>
          <w:ilvl w:val="0"/>
          <w:numId w:val="24"/>
        </w:numPr>
      </w:pPr>
      <w:r>
        <w:t>Attachment 4 – value of imputation credits</w:t>
      </w:r>
    </w:p>
    <w:p w:rsidR="00360F32" w:rsidRDefault="00360F32" w:rsidP="00117E02">
      <w:pPr>
        <w:numPr>
          <w:ilvl w:val="0"/>
          <w:numId w:val="24"/>
        </w:numPr>
      </w:pPr>
      <w:r>
        <w:t>Attachment 5 – regulatory depreciation</w:t>
      </w:r>
    </w:p>
    <w:p w:rsidR="00360F32" w:rsidRDefault="00360F32" w:rsidP="00117E02">
      <w:pPr>
        <w:numPr>
          <w:ilvl w:val="0"/>
          <w:numId w:val="24"/>
        </w:numPr>
      </w:pPr>
      <w:r>
        <w:t xml:space="preserve">Attachment 6 – capital expenditure </w:t>
      </w:r>
    </w:p>
    <w:p w:rsidR="00360F32" w:rsidRDefault="00360F32" w:rsidP="00117E02">
      <w:pPr>
        <w:numPr>
          <w:ilvl w:val="0"/>
          <w:numId w:val="24"/>
        </w:numPr>
      </w:pPr>
      <w:r>
        <w:t>Attachment 7 – operating expenditure</w:t>
      </w:r>
    </w:p>
    <w:p w:rsidR="00360F32" w:rsidRDefault="00360F32" w:rsidP="00117E02">
      <w:pPr>
        <w:numPr>
          <w:ilvl w:val="0"/>
          <w:numId w:val="24"/>
        </w:numPr>
      </w:pPr>
      <w:r>
        <w:t>Attachment 8 – corporate income tax</w:t>
      </w:r>
    </w:p>
    <w:p w:rsidR="00360F32" w:rsidRDefault="00360F32" w:rsidP="00117E02">
      <w:pPr>
        <w:numPr>
          <w:ilvl w:val="0"/>
          <w:numId w:val="24"/>
        </w:numPr>
      </w:pPr>
      <w:r>
        <w:t>Attachment 9 – efficiency benefit sharing scheme</w:t>
      </w:r>
    </w:p>
    <w:p w:rsidR="00360F32" w:rsidRDefault="00360F32" w:rsidP="00117E02">
      <w:pPr>
        <w:numPr>
          <w:ilvl w:val="0"/>
          <w:numId w:val="24"/>
        </w:numPr>
      </w:pPr>
      <w:r>
        <w:t>Attachment 10 – capital expenditure sharing scheme</w:t>
      </w:r>
    </w:p>
    <w:p w:rsidR="00360F32" w:rsidRDefault="00360F32" w:rsidP="00117E02">
      <w:pPr>
        <w:numPr>
          <w:ilvl w:val="0"/>
          <w:numId w:val="24"/>
        </w:numPr>
      </w:pPr>
      <w:r>
        <w:t>Attachment 11 – service target performance incentive scheme</w:t>
      </w:r>
    </w:p>
    <w:p w:rsidR="00360F32" w:rsidRPr="00F02D30" w:rsidRDefault="00360F32" w:rsidP="00117E02">
      <w:pPr>
        <w:numPr>
          <w:ilvl w:val="0"/>
          <w:numId w:val="24"/>
        </w:numPr>
      </w:pPr>
      <w:r>
        <w:t>Attachment 12 – demand management incentive scheme</w:t>
      </w:r>
    </w:p>
    <w:p w:rsidR="00360F32" w:rsidRDefault="00360F32" w:rsidP="00117E02">
      <w:pPr>
        <w:numPr>
          <w:ilvl w:val="0"/>
          <w:numId w:val="24"/>
        </w:numPr>
      </w:pPr>
      <w:r>
        <w:t>Attachment 13 – classification of services</w:t>
      </w:r>
    </w:p>
    <w:p w:rsidR="00360F32" w:rsidRDefault="00360F32" w:rsidP="00117E02">
      <w:pPr>
        <w:numPr>
          <w:ilvl w:val="0"/>
          <w:numId w:val="24"/>
        </w:numPr>
      </w:pPr>
      <w:r>
        <w:t>Attachment 14 – control mechanisms</w:t>
      </w:r>
    </w:p>
    <w:p w:rsidR="00360F32" w:rsidRDefault="00360F32" w:rsidP="00117E02">
      <w:pPr>
        <w:numPr>
          <w:ilvl w:val="0"/>
          <w:numId w:val="24"/>
        </w:numPr>
      </w:pPr>
      <w:r>
        <w:t>Attachment 15 – pass through events</w:t>
      </w:r>
    </w:p>
    <w:p w:rsidR="00360F32" w:rsidRDefault="00360F32" w:rsidP="00117E02">
      <w:pPr>
        <w:numPr>
          <w:ilvl w:val="0"/>
          <w:numId w:val="24"/>
        </w:numPr>
      </w:pPr>
      <w:r>
        <w:t>Attachment 16 – alternative control services</w:t>
      </w:r>
    </w:p>
    <w:p w:rsidR="00360F32" w:rsidRDefault="00360F32" w:rsidP="00117E02">
      <w:pPr>
        <w:numPr>
          <w:ilvl w:val="0"/>
          <w:numId w:val="24"/>
        </w:numPr>
      </w:pPr>
      <w:r>
        <w:t xml:space="preserve">Attachment 17 </w:t>
      </w:r>
      <w:r w:rsidRPr="00F02D30">
        <w:t>– negotiated services</w:t>
      </w:r>
      <w:r>
        <w:t xml:space="preserve"> framework and criteria</w:t>
      </w:r>
    </w:p>
    <w:p w:rsidR="00360F32" w:rsidRDefault="00360F32" w:rsidP="00117E02">
      <w:pPr>
        <w:numPr>
          <w:ilvl w:val="0"/>
          <w:numId w:val="24"/>
        </w:numPr>
      </w:pPr>
      <w:r>
        <w:t>Attachment 18 – connection policy</w:t>
      </w:r>
    </w:p>
    <w:p w:rsidR="00360F32" w:rsidRPr="00F02D30" w:rsidRDefault="00360F32" w:rsidP="00117E02">
      <w:pPr>
        <w:numPr>
          <w:ilvl w:val="0"/>
          <w:numId w:val="24"/>
        </w:numPr>
      </w:pPr>
      <w:r>
        <w:t>Attachment 19 –  pricing methodology</w:t>
      </w:r>
    </w:p>
    <w:p w:rsidR="00360F32" w:rsidRPr="009D3906" w:rsidRDefault="00360F32" w:rsidP="00360F32"/>
    <w:p w:rsidR="00360F32" w:rsidRPr="00CE2A23" w:rsidRDefault="00360F32" w:rsidP="00360F32">
      <w:bookmarkStart w:id="5" w:name="_Toc404354899"/>
      <w:bookmarkStart w:id="6" w:name="_Toc404353070"/>
      <w:bookmarkStart w:id="7" w:name="_Toc404684201"/>
      <w:bookmarkStart w:id="8" w:name="_Toc404700923"/>
      <w:r>
        <w:br w:type="page"/>
      </w:r>
    </w:p>
    <w:bookmarkEnd w:id="5"/>
    <w:bookmarkEnd w:id="6"/>
    <w:bookmarkEnd w:id="7"/>
    <w:bookmarkEnd w:id="8"/>
    <w:p w:rsidR="00360F32" w:rsidRPr="008F07A3" w:rsidRDefault="00360F32" w:rsidP="00117E02">
      <w:pPr>
        <w:numPr>
          <w:ilvl w:val="0"/>
          <w:numId w:val="24"/>
        </w:numPr>
        <w:sectPr w:rsidR="00360F32" w:rsidRPr="008F07A3" w:rsidSect="0023193C">
          <w:headerReference w:type="default" r:id="rId11"/>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360F32" w:rsidRPr="00A72B34" w:rsidRDefault="00360F32" w:rsidP="00117E02">
      <w:pPr>
        <w:pStyle w:val="UnnumberedHeading"/>
        <w:numPr>
          <w:ilvl w:val="0"/>
          <w:numId w:val="23"/>
        </w:numPr>
      </w:pPr>
      <w:bookmarkStart w:id="9" w:name="_Toc403144133"/>
      <w:bookmarkStart w:id="10" w:name="_Toc417916989"/>
      <w:r>
        <w:lastRenderedPageBreak/>
        <w:t>Contents</w:t>
      </w:r>
      <w:bookmarkEnd w:id="9"/>
      <w:bookmarkEnd w:id="10"/>
    </w:p>
    <w:p w:rsidR="00360F32" w:rsidRDefault="00360F32" w:rsidP="00360F32"/>
    <w:sdt>
      <w:sdtPr>
        <w:id w:val="1269200322"/>
        <w:docPartObj>
          <w:docPartGallery w:val="Table of Contents"/>
          <w:docPartUnique/>
        </w:docPartObj>
      </w:sdtPr>
      <w:sdtEndPr/>
      <w:sdtContent>
        <w:p w:rsidR="009D2F25" w:rsidRDefault="00360F32">
          <w:pPr>
            <w:pStyle w:val="TOC1"/>
            <w:rPr>
              <w:rFonts w:asciiTheme="minorHAnsi" w:eastAsiaTheme="minorEastAsia" w:hAnsiTheme="minorHAnsi"/>
              <w:b w:val="0"/>
              <w:color w:val="auto"/>
              <w:sz w:val="22"/>
              <w:lang w:val="en-AU" w:eastAsia="en-AU"/>
            </w:rPr>
          </w:pPr>
          <w:r w:rsidRPr="00CE2A23">
            <w:fldChar w:fldCharType="begin"/>
          </w:r>
          <w:r w:rsidRPr="00CE2A23">
            <w:instrText xml:space="preserve"> TOC \o "1-3" \h \z \u \t "Heading 7,1,Heading 8,2,Heading 9,3" </w:instrText>
          </w:r>
          <w:r w:rsidRPr="00CE2A23">
            <w:fldChar w:fldCharType="separate"/>
          </w:r>
          <w:hyperlink w:anchor="_Toc417916988" w:history="1">
            <w:r w:rsidR="009D2F25" w:rsidRPr="008908F1">
              <w:rPr>
                <w:rStyle w:val="Hyperlink"/>
              </w:rPr>
              <w:t>Note</w:t>
            </w:r>
            <w:r w:rsidR="009D2F25">
              <w:rPr>
                <w:webHidden/>
              </w:rPr>
              <w:tab/>
            </w:r>
            <w:r w:rsidR="009D2F25">
              <w:rPr>
                <w:webHidden/>
              </w:rPr>
              <w:fldChar w:fldCharType="begin"/>
            </w:r>
            <w:r w:rsidR="009D2F25">
              <w:rPr>
                <w:webHidden/>
              </w:rPr>
              <w:instrText xml:space="preserve"> PAGEREF _Toc417916988 \h </w:instrText>
            </w:r>
            <w:r w:rsidR="009D2F25">
              <w:rPr>
                <w:webHidden/>
              </w:rPr>
            </w:r>
            <w:r w:rsidR="009D2F25">
              <w:rPr>
                <w:webHidden/>
              </w:rPr>
              <w:fldChar w:fldCharType="separate"/>
            </w:r>
            <w:r w:rsidR="009D2F25">
              <w:rPr>
                <w:webHidden/>
              </w:rPr>
              <w:t>2</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6989" w:history="1">
            <w:r w:rsidR="009D2F25" w:rsidRPr="008908F1">
              <w:rPr>
                <w:rStyle w:val="Hyperlink"/>
              </w:rPr>
              <w:t>Contents</w:t>
            </w:r>
            <w:r w:rsidR="009D2F25">
              <w:rPr>
                <w:webHidden/>
              </w:rPr>
              <w:tab/>
            </w:r>
            <w:r w:rsidR="009D2F25">
              <w:rPr>
                <w:webHidden/>
              </w:rPr>
              <w:fldChar w:fldCharType="begin"/>
            </w:r>
            <w:r w:rsidR="009D2F25">
              <w:rPr>
                <w:webHidden/>
              </w:rPr>
              <w:instrText xml:space="preserve"> PAGEREF _Toc417916989 \h </w:instrText>
            </w:r>
            <w:r w:rsidR="009D2F25">
              <w:rPr>
                <w:webHidden/>
              </w:rPr>
            </w:r>
            <w:r w:rsidR="009D2F25">
              <w:rPr>
                <w:webHidden/>
              </w:rPr>
              <w:fldChar w:fldCharType="separate"/>
            </w:r>
            <w:r w:rsidR="009D2F25">
              <w:rPr>
                <w:webHidden/>
              </w:rPr>
              <w:t>3</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6990" w:history="1">
            <w:r w:rsidR="009D2F25" w:rsidRPr="008908F1">
              <w:rPr>
                <w:rStyle w:val="Hyperlink"/>
              </w:rPr>
              <w:t>Shortened forms</w:t>
            </w:r>
            <w:r w:rsidR="009D2F25">
              <w:rPr>
                <w:webHidden/>
              </w:rPr>
              <w:tab/>
            </w:r>
            <w:r w:rsidR="009D2F25">
              <w:rPr>
                <w:webHidden/>
              </w:rPr>
              <w:fldChar w:fldCharType="begin"/>
            </w:r>
            <w:r w:rsidR="009D2F25">
              <w:rPr>
                <w:webHidden/>
              </w:rPr>
              <w:instrText xml:space="preserve"> PAGEREF _Toc417916990 \h </w:instrText>
            </w:r>
            <w:r w:rsidR="009D2F25">
              <w:rPr>
                <w:webHidden/>
              </w:rPr>
            </w:r>
            <w:r w:rsidR="009D2F25">
              <w:rPr>
                <w:webHidden/>
              </w:rPr>
              <w:fldChar w:fldCharType="separate"/>
            </w:r>
            <w:r w:rsidR="009D2F25">
              <w:rPr>
                <w:webHidden/>
              </w:rPr>
              <w:t>5</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6991" w:history="1">
            <w:r w:rsidR="009D2F25" w:rsidRPr="008908F1">
              <w:rPr>
                <w:rStyle w:val="Hyperlink"/>
              </w:rPr>
              <w:t>1</w:t>
            </w:r>
            <w:r w:rsidR="009D2F25">
              <w:rPr>
                <w:rFonts w:asciiTheme="minorHAnsi" w:eastAsiaTheme="minorEastAsia" w:hAnsiTheme="minorHAnsi"/>
                <w:b w:val="0"/>
                <w:color w:val="auto"/>
                <w:sz w:val="22"/>
                <w:lang w:val="en-AU" w:eastAsia="en-AU"/>
              </w:rPr>
              <w:tab/>
            </w:r>
            <w:r w:rsidR="009D2F25" w:rsidRPr="008908F1">
              <w:rPr>
                <w:rStyle w:val="Hyperlink"/>
              </w:rPr>
              <w:t>Our final decision</w:t>
            </w:r>
            <w:r w:rsidR="009D2F25">
              <w:rPr>
                <w:webHidden/>
              </w:rPr>
              <w:tab/>
            </w:r>
            <w:r w:rsidR="009D2F25">
              <w:rPr>
                <w:webHidden/>
              </w:rPr>
              <w:fldChar w:fldCharType="begin"/>
            </w:r>
            <w:r w:rsidR="009D2F25">
              <w:rPr>
                <w:webHidden/>
              </w:rPr>
              <w:instrText xml:space="preserve"> PAGEREF _Toc417916991 \h </w:instrText>
            </w:r>
            <w:r w:rsidR="009D2F25">
              <w:rPr>
                <w:webHidden/>
              </w:rPr>
            </w:r>
            <w:r w:rsidR="009D2F25">
              <w:rPr>
                <w:webHidden/>
              </w:rPr>
              <w:fldChar w:fldCharType="separate"/>
            </w:r>
            <w:r w:rsidR="009D2F25">
              <w:rPr>
                <w:webHidden/>
              </w:rPr>
              <w:t>7</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6992" w:history="1">
            <w:r w:rsidR="009D2F25" w:rsidRPr="008908F1">
              <w:rPr>
                <w:rStyle w:val="Hyperlink"/>
              </w:rPr>
              <w:t>1.1</w:t>
            </w:r>
            <w:r w:rsidR="009D2F25">
              <w:rPr>
                <w:rFonts w:asciiTheme="minorHAnsi" w:eastAsiaTheme="minorEastAsia" w:hAnsiTheme="minorHAnsi"/>
                <w:b w:val="0"/>
                <w:color w:val="auto"/>
                <w:sz w:val="22"/>
                <w:lang w:eastAsia="en-AU"/>
              </w:rPr>
              <w:tab/>
            </w:r>
            <w:r w:rsidR="009D2F25" w:rsidRPr="008908F1">
              <w:rPr>
                <w:rStyle w:val="Hyperlink"/>
              </w:rPr>
              <w:t>Decision</w:t>
            </w:r>
            <w:r w:rsidR="009D2F25">
              <w:rPr>
                <w:webHidden/>
              </w:rPr>
              <w:tab/>
            </w:r>
            <w:r w:rsidR="009D2F25">
              <w:rPr>
                <w:webHidden/>
              </w:rPr>
              <w:fldChar w:fldCharType="begin"/>
            </w:r>
            <w:r w:rsidR="009D2F25">
              <w:rPr>
                <w:webHidden/>
              </w:rPr>
              <w:instrText xml:space="preserve"> PAGEREF _Toc417916992 \h </w:instrText>
            </w:r>
            <w:r w:rsidR="009D2F25">
              <w:rPr>
                <w:webHidden/>
              </w:rPr>
            </w:r>
            <w:r w:rsidR="009D2F25">
              <w:rPr>
                <w:webHidden/>
              </w:rPr>
              <w:fldChar w:fldCharType="separate"/>
            </w:r>
            <w:r w:rsidR="009D2F25">
              <w:rPr>
                <w:webHidden/>
              </w:rPr>
              <w:t>8</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6993" w:history="1">
            <w:r w:rsidR="009D2F25" w:rsidRPr="008908F1">
              <w:rPr>
                <w:rStyle w:val="Hyperlink"/>
              </w:rPr>
              <w:t>1.2</w:t>
            </w:r>
            <w:r w:rsidR="009D2F25">
              <w:rPr>
                <w:rFonts w:asciiTheme="minorHAnsi" w:eastAsiaTheme="minorEastAsia" w:hAnsiTheme="minorHAnsi"/>
                <w:b w:val="0"/>
                <w:color w:val="auto"/>
                <w:sz w:val="22"/>
                <w:lang w:eastAsia="en-AU"/>
              </w:rPr>
              <w:tab/>
            </w:r>
            <w:r w:rsidR="009D2F25" w:rsidRPr="008908F1">
              <w:rPr>
                <w:rStyle w:val="Hyperlink"/>
              </w:rPr>
              <w:t>Contribution to the achievement of the NEO</w:t>
            </w:r>
            <w:r w:rsidR="009D2F25">
              <w:rPr>
                <w:webHidden/>
              </w:rPr>
              <w:tab/>
            </w:r>
            <w:r w:rsidR="009D2F25">
              <w:rPr>
                <w:webHidden/>
              </w:rPr>
              <w:fldChar w:fldCharType="begin"/>
            </w:r>
            <w:r w:rsidR="009D2F25">
              <w:rPr>
                <w:webHidden/>
              </w:rPr>
              <w:instrText xml:space="preserve"> PAGEREF _Toc417916993 \h </w:instrText>
            </w:r>
            <w:r w:rsidR="009D2F25">
              <w:rPr>
                <w:webHidden/>
              </w:rPr>
            </w:r>
            <w:r w:rsidR="009D2F25">
              <w:rPr>
                <w:webHidden/>
              </w:rPr>
              <w:fldChar w:fldCharType="separate"/>
            </w:r>
            <w:r w:rsidR="009D2F25">
              <w:rPr>
                <w:webHidden/>
              </w:rPr>
              <w:t>10</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6994" w:history="1">
            <w:r w:rsidR="009D2F25" w:rsidRPr="008908F1">
              <w:rPr>
                <w:rStyle w:val="Hyperlink"/>
              </w:rPr>
              <w:t>1.2.1</w:t>
            </w:r>
            <w:r w:rsidR="009D2F25">
              <w:rPr>
                <w:rFonts w:asciiTheme="minorHAnsi" w:eastAsiaTheme="minorEastAsia" w:hAnsiTheme="minorHAnsi"/>
                <w:lang w:eastAsia="en-AU"/>
              </w:rPr>
              <w:tab/>
            </w:r>
            <w:r w:rsidR="009D2F25" w:rsidRPr="008908F1">
              <w:rPr>
                <w:rStyle w:val="Hyperlink"/>
              </w:rPr>
              <w:t>Rate of return</w:t>
            </w:r>
            <w:r w:rsidR="009D2F25">
              <w:rPr>
                <w:webHidden/>
              </w:rPr>
              <w:tab/>
            </w:r>
            <w:r w:rsidR="009D2F25">
              <w:rPr>
                <w:webHidden/>
              </w:rPr>
              <w:fldChar w:fldCharType="begin"/>
            </w:r>
            <w:r w:rsidR="009D2F25">
              <w:rPr>
                <w:webHidden/>
              </w:rPr>
              <w:instrText xml:space="preserve"> PAGEREF _Toc417916994 \h </w:instrText>
            </w:r>
            <w:r w:rsidR="009D2F25">
              <w:rPr>
                <w:webHidden/>
              </w:rPr>
            </w:r>
            <w:r w:rsidR="009D2F25">
              <w:rPr>
                <w:webHidden/>
              </w:rPr>
              <w:fldChar w:fldCharType="separate"/>
            </w:r>
            <w:r w:rsidR="009D2F25">
              <w:rPr>
                <w:webHidden/>
              </w:rPr>
              <w:t>12</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6995" w:history="1">
            <w:r w:rsidR="009D2F25" w:rsidRPr="008908F1">
              <w:rPr>
                <w:rStyle w:val="Hyperlink"/>
              </w:rPr>
              <w:t>1.2.2</w:t>
            </w:r>
            <w:r w:rsidR="009D2F25">
              <w:rPr>
                <w:rFonts w:asciiTheme="minorHAnsi" w:eastAsiaTheme="minorEastAsia" w:hAnsiTheme="minorHAnsi"/>
                <w:lang w:eastAsia="en-AU"/>
              </w:rPr>
              <w:tab/>
            </w:r>
            <w:r w:rsidR="009D2F25" w:rsidRPr="008908F1">
              <w:rPr>
                <w:rStyle w:val="Hyperlink"/>
              </w:rPr>
              <w:t>Operating Expenditure</w:t>
            </w:r>
            <w:r w:rsidR="009D2F25">
              <w:rPr>
                <w:webHidden/>
              </w:rPr>
              <w:tab/>
            </w:r>
            <w:r w:rsidR="009D2F25">
              <w:rPr>
                <w:webHidden/>
              </w:rPr>
              <w:fldChar w:fldCharType="begin"/>
            </w:r>
            <w:r w:rsidR="009D2F25">
              <w:rPr>
                <w:webHidden/>
              </w:rPr>
              <w:instrText xml:space="preserve"> PAGEREF _Toc417916995 \h </w:instrText>
            </w:r>
            <w:r w:rsidR="009D2F25">
              <w:rPr>
                <w:webHidden/>
              </w:rPr>
            </w:r>
            <w:r w:rsidR="009D2F25">
              <w:rPr>
                <w:webHidden/>
              </w:rPr>
              <w:fldChar w:fldCharType="separate"/>
            </w:r>
            <w:r w:rsidR="009D2F25">
              <w:rPr>
                <w:webHidden/>
              </w:rPr>
              <w:t>13</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6996" w:history="1">
            <w:r w:rsidR="009D2F25" w:rsidRPr="008908F1">
              <w:rPr>
                <w:rStyle w:val="Hyperlink"/>
              </w:rPr>
              <w:t>1.3</w:t>
            </w:r>
            <w:r w:rsidR="009D2F25">
              <w:rPr>
                <w:rFonts w:asciiTheme="minorHAnsi" w:eastAsiaTheme="minorEastAsia" w:hAnsiTheme="minorHAnsi"/>
                <w:b w:val="0"/>
                <w:color w:val="auto"/>
                <w:sz w:val="22"/>
                <w:lang w:eastAsia="en-AU"/>
              </w:rPr>
              <w:tab/>
            </w:r>
            <w:r w:rsidR="009D2F25" w:rsidRPr="008908F1">
              <w:rPr>
                <w:rStyle w:val="Hyperlink"/>
              </w:rPr>
              <w:t>Key issues raised in revised proposal</w:t>
            </w:r>
            <w:r w:rsidR="009D2F25">
              <w:rPr>
                <w:webHidden/>
              </w:rPr>
              <w:tab/>
            </w:r>
            <w:r w:rsidR="009D2F25">
              <w:rPr>
                <w:webHidden/>
              </w:rPr>
              <w:fldChar w:fldCharType="begin"/>
            </w:r>
            <w:r w:rsidR="009D2F25">
              <w:rPr>
                <w:webHidden/>
              </w:rPr>
              <w:instrText xml:space="preserve"> PAGEREF _Toc417916996 \h </w:instrText>
            </w:r>
            <w:r w:rsidR="009D2F25">
              <w:rPr>
                <w:webHidden/>
              </w:rPr>
            </w:r>
            <w:r w:rsidR="009D2F25">
              <w:rPr>
                <w:webHidden/>
              </w:rPr>
              <w:fldChar w:fldCharType="separate"/>
            </w:r>
            <w:r w:rsidR="009D2F25">
              <w:rPr>
                <w:webHidden/>
              </w:rPr>
              <w:t>14</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6997" w:history="1">
            <w:r w:rsidR="009D2F25" w:rsidRPr="008908F1">
              <w:rPr>
                <w:rStyle w:val="Hyperlink"/>
              </w:rPr>
              <w:t>1.3.1</w:t>
            </w:r>
            <w:r w:rsidR="009D2F25">
              <w:rPr>
                <w:rFonts w:asciiTheme="minorHAnsi" w:eastAsiaTheme="minorEastAsia" w:hAnsiTheme="minorHAnsi"/>
                <w:lang w:eastAsia="en-AU"/>
              </w:rPr>
              <w:tab/>
            </w:r>
            <w:r w:rsidR="009D2F25" w:rsidRPr="008908F1">
              <w:rPr>
                <w:rStyle w:val="Hyperlink"/>
              </w:rPr>
              <w:t>Safety and reliability</w:t>
            </w:r>
            <w:r w:rsidR="009D2F25">
              <w:rPr>
                <w:webHidden/>
              </w:rPr>
              <w:tab/>
            </w:r>
            <w:r w:rsidR="009D2F25">
              <w:rPr>
                <w:webHidden/>
              </w:rPr>
              <w:fldChar w:fldCharType="begin"/>
            </w:r>
            <w:r w:rsidR="009D2F25">
              <w:rPr>
                <w:webHidden/>
              </w:rPr>
              <w:instrText xml:space="preserve"> PAGEREF _Toc417916997 \h </w:instrText>
            </w:r>
            <w:r w:rsidR="009D2F25">
              <w:rPr>
                <w:webHidden/>
              </w:rPr>
            </w:r>
            <w:r w:rsidR="009D2F25">
              <w:rPr>
                <w:webHidden/>
              </w:rPr>
              <w:fldChar w:fldCharType="separate"/>
            </w:r>
            <w:r w:rsidR="009D2F25">
              <w:rPr>
                <w:webHidden/>
              </w:rPr>
              <w:t>14</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6998" w:history="1">
            <w:r w:rsidR="009D2F25" w:rsidRPr="008908F1">
              <w:rPr>
                <w:rStyle w:val="Hyperlink"/>
              </w:rPr>
              <w:t>1.3.2</w:t>
            </w:r>
            <w:r w:rsidR="009D2F25">
              <w:rPr>
                <w:rFonts w:asciiTheme="minorHAnsi" w:eastAsiaTheme="minorEastAsia" w:hAnsiTheme="minorHAnsi"/>
                <w:lang w:eastAsia="en-AU"/>
              </w:rPr>
              <w:tab/>
            </w:r>
            <w:r w:rsidR="009D2F25" w:rsidRPr="008908F1">
              <w:rPr>
                <w:rStyle w:val="Hyperlink"/>
              </w:rPr>
              <w:t>Use of benchmarking</w:t>
            </w:r>
            <w:r w:rsidR="009D2F25">
              <w:rPr>
                <w:webHidden/>
              </w:rPr>
              <w:tab/>
            </w:r>
            <w:r w:rsidR="009D2F25">
              <w:rPr>
                <w:webHidden/>
              </w:rPr>
              <w:fldChar w:fldCharType="begin"/>
            </w:r>
            <w:r w:rsidR="009D2F25">
              <w:rPr>
                <w:webHidden/>
              </w:rPr>
              <w:instrText xml:space="preserve"> PAGEREF _Toc417916998 \h </w:instrText>
            </w:r>
            <w:r w:rsidR="009D2F25">
              <w:rPr>
                <w:webHidden/>
              </w:rPr>
            </w:r>
            <w:r w:rsidR="009D2F25">
              <w:rPr>
                <w:webHidden/>
              </w:rPr>
              <w:fldChar w:fldCharType="separate"/>
            </w:r>
            <w:r w:rsidR="009D2F25">
              <w:rPr>
                <w:webHidden/>
              </w:rPr>
              <w:t>15</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6999" w:history="1">
            <w:r w:rsidR="009D2F25" w:rsidRPr="008908F1">
              <w:rPr>
                <w:rStyle w:val="Hyperlink"/>
              </w:rPr>
              <w:t>1.3.3</w:t>
            </w:r>
            <w:r w:rsidR="009D2F25">
              <w:rPr>
                <w:rFonts w:asciiTheme="minorHAnsi" w:eastAsiaTheme="minorEastAsia" w:hAnsiTheme="minorHAnsi"/>
                <w:lang w:eastAsia="en-AU"/>
              </w:rPr>
              <w:tab/>
            </w:r>
            <w:r w:rsidR="009D2F25" w:rsidRPr="008908F1">
              <w:rPr>
                <w:rStyle w:val="Hyperlink"/>
              </w:rPr>
              <w:t>Consumer engagement</w:t>
            </w:r>
            <w:r w:rsidR="009D2F25">
              <w:rPr>
                <w:webHidden/>
              </w:rPr>
              <w:tab/>
            </w:r>
            <w:r w:rsidR="009D2F25">
              <w:rPr>
                <w:webHidden/>
              </w:rPr>
              <w:fldChar w:fldCharType="begin"/>
            </w:r>
            <w:r w:rsidR="009D2F25">
              <w:rPr>
                <w:webHidden/>
              </w:rPr>
              <w:instrText xml:space="preserve"> PAGEREF _Toc417916999 \h </w:instrText>
            </w:r>
            <w:r w:rsidR="009D2F25">
              <w:rPr>
                <w:webHidden/>
              </w:rPr>
            </w:r>
            <w:r w:rsidR="009D2F25">
              <w:rPr>
                <w:webHidden/>
              </w:rPr>
              <w:fldChar w:fldCharType="separate"/>
            </w:r>
            <w:r w:rsidR="009D2F25">
              <w:rPr>
                <w:webHidden/>
              </w:rPr>
              <w:t>15</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00" w:history="1">
            <w:r w:rsidR="009D2F25" w:rsidRPr="008908F1">
              <w:rPr>
                <w:rStyle w:val="Hyperlink"/>
              </w:rPr>
              <w:t>1.3.4</w:t>
            </w:r>
            <w:r w:rsidR="009D2F25">
              <w:rPr>
                <w:rFonts w:asciiTheme="minorHAnsi" w:eastAsiaTheme="minorEastAsia" w:hAnsiTheme="minorHAnsi"/>
                <w:lang w:eastAsia="en-AU"/>
              </w:rPr>
              <w:tab/>
            </w:r>
            <w:r w:rsidR="009D2F25" w:rsidRPr="008908F1">
              <w:rPr>
                <w:rStyle w:val="Hyperlink"/>
              </w:rPr>
              <w:t>Financeability</w:t>
            </w:r>
            <w:r w:rsidR="009D2F25">
              <w:rPr>
                <w:webHidden/>
              </w:rPr>
              <w:tab/>
            </w:r>
            <w:r w:rsidR="009D2F25">
              <w:rPr>
                <w:webHidden/>
              </w:rPr>
              <w:fldChar w:fldCharType="begin"/>
            </w:r>
            <w:r w:rsidR="009D2F25">
              <w:rPr>
                <w:webHidden/>
              </w:rPr>
              <w:instrText xml:space="preserve"> PAGEREF _Toc417917000 \h </w:instrText>
            </w:r>
            <w:r w:rsidR="009D2F25">
              <w:rPr>
                <w:webHidden/>
              </w:rPr>
            </w:r>
            <w:r w:rsidR="009D2F25">
              <w:rPr>
                <w:webHidden/>
              </w:rPr>
              <w:fldChar w:fldCharType="separate"/>
            </w:r>
            <w:r w:rsidR="009D2F25">
              <w:rPr>
                <w:webHidden/>
              </w:rPr>
              <w:t>17</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01" w:history="1">
            <w:r w:rsidR="009D2F25" w:rsidRPr="008908F1">
              <w:rPr>
                <w:rStyle w:val="Hyperlink"/>
              </w:rPr>
              <w:t>1.4</w:t>
            </w:r>
            <w:r w:rsidR="009D2F25">
              <w:rPr>
                <w:rFonts w:asciiTheme="minorHAnsi" w:eastAsiaTheme="minorEastAsia" w:hAnsiTheme="minorHAnsi"/>
                <w:b w:val="0"/>
                <w:color w:val="auto"/>
                <w:sz w:val="22"/>
                <w:lang w:eastAsia="en-AU"/>
              </w:rPr>
              <w:tab/>
            </w:r>
            <w:r w:rsidR="009D2F25" w:rsidRPr="008908F1">
              <w:rPr>
                <w:rStyle w:val="Hyperlink"/>
              </w:rPr>
              <w:t>Assessment of options under the NEO</w:t>
            </w:r>
            <w:r w:rsidR="009D2F25">
              <w:rPr>
                <w:webHidden/>
              </w:rPr>
              <w:tab/>
            </w:r>
            <w:r w:rsidR="009D2F25">
              <w:rPr>
                <w:webHidden/>
              </w:rPr>
              <w:fldChar w:fldCharType="begin"/>
            </w:r>
            <w:r w:rsidR="009D2F25">
              <w:rPr>
                <w:webHidden/>
              </w:rPr>
              <w:instrText xml:space="preserve"> PAGEREF _Toc417917001 \h </w:instrText>
            </w:r>
            <w:r w:rsidR="009D2F25">
              <w:rPr>
                <w:webHidden/>
              </w:rPr>
            </w:r>
            <w:r w:rsidR="009D2F25">
              <w:rPr>
                <w:webHidden/>
              </w:rPr>
              <w:fldChar w:fldCharType="separate"/>
            </w:r>
            <w:r w:rsidR="009D2F25">
              <w:rPr>
                <w:webHidden/>
              </w:rPr>
              <w:t>18</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02" w:history="1">
            <w:r w:rsidR="009D2F25" w:rsidRPr="008908F1">
              <w:rPr>
                <w:rStyle w:val="Hyperlink"/>
              </w:rPr>
              <w:t>1.5</w:t>
            </w:r>
            <w:r w:rsidR="009D2F25">
              <w:rPr>
                <w:rFonts w:asciiTheme="minorHAnsi" w:eastAsiaTheme="minorEastAsia" w:hAnsiTheme="minorHAnsi"/>
                <w:b w:val="0"/>
                <w:color w:val="auto"/>
                <w:sz w:val="22"/>
                <w:lang w:eastAsia="en-AU"/>
              </w:rPr>
              <w:tab/>
            </w:r>
            <w:r w:rsidR="009D2F25" w:rsidRPr="008908F1">
              <w:rPr>
                <w:rStyle w:val="Hyperlink"/>
              </w:rPr>
              <w:t>Structure of the overview</w:t>
            </w:r>
            <w:r w:rsidR="009D2F25">
              <w:rPr>
                <w:webHidden/>
              </w:rPr>
              <w:tab/>
            </w:r>
            <w:r w:rsidR="009D2F25">
              <w:rPr>
                <w:webHidden/>
              </w:rPr>
              <w:fldChar w:fldCharType="begin"/>
            </w:r>
            <w:r w:rsidR="009D2F25">
              <w:rPr>
                <w:webHidden/>
              </w:rPr>
              <w:instrText xml:space="preserve"> PAGEREF _Toc417917002 \h </w:instrText>
            </w:r>
            <w:r w:rsidR="009D2F25">
              <w:rPr>
                <w:webHidden/>
              </w:rPr>
            </w:r>
            <w:r w:rsidR="009D2F25">
              <w:rPr>
                <w:webHidden/>
              </w:rPr>
              <w:fldChar w:fldCharType="separate"/>
            </w:r>
            <w:r w:rsidR="009D2F25">
              <w:rPr>
                <w:webHidden/>
              </w:rPr>
              <w:t>19</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7003" w:history="1">
            <w:r w:rsidR="009D2F25" w:rsidRPr="008908F1">
              <w:rPr>
                <w:rStyle w:val="Hyperlink"/>
              </w:rPr>
              <w:t>2</w:t>
            </w:r>
            <w:r w:rsidR="009D2F25">
              <w:rPr>
                <w:rFonts w:asciiTheme="minorHAnsi" w:eastAsiaTheme="minorEastAsia" w:hAnsiTheme="minorHAnsi"/>
                <w:b w:val="0"/>
                <w:color w:val="auto"/>
                <w:sz w:val="22"/>
                <w:lang w:val="en-AU" w:eastAsia="en-AU"/>
              </w:rPr>
              <w:tab/>
            </w:r>
            <w:r w:rsidR="009D2F25" w:rsidRPr="008908F1">
              <w:rPr>
                <w:rStyle w:val="Hyperlink"/>
              </w:rPr>
              <w:t>Key elements of the building blocks</w:t>
            </w:r>
            <w:r w:rsidR="009D2F25">
              <w:rPr>
                <w:webHidden/>
              </w:rPr>
              <w:tab/>
            </w:r>
            <w:r w:rsidR="009D2F25">
              <w:rPr>
                <w:webHidden/>
              </w:rPr>
              <w:fldChar w:fldCharType="begin"/>
            </w:r>
            <w:r w:rsidR="009D2F25">
              <w:rPr>
                <w:webHidden/>
              </w:rPr>
              <w:instrText xml:space="preserve"> PAGEREF _Toc417917003 \h </w:instrText>
            </w:r>
            <w:r w:rsidR="009D2F25">
              <w:rPr>
                <w:webHidden/>
              </w:rPr>
            </w:r>
            <w:r w:rsidR="009D2F25">
              <w:rPr>
                <w:webHidden/>
              </w:rPr>
              <w:fldChar w:fldCharType="separate"/>
            </w:r>
            <w:r w:rsidR="009D2F25">
              <w:rPr>
                <w:webHidden/>
              </w:rPr>
              <w:t>20</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04" w:history="1">
            <w:r w:rsidR="009D2F25" w:rsidRPr="008908F1">
              <w:rPr>
                <w:rStyle w:val="Hyperlink"/>
              </w:rPr>
              <w:t>2.1</w:t>
            </w:r>
            <w:r w:rsidR="009D2F25">
              <w:rPr>
                <w:rFonts w:asciiTheme="minorHAnsi" w:eastAsiaTheme="minorEastAsia" w:hAnsiTheme="minorHAnsi"/>
                <w:b w:val="0"/>
                <w:color w:val="auto"/>
                <w:sz w:val="22"/>
                <w:lang w:eastAsia="en-AU"/>
              </w:rPr>
              <w:tab/>
            </w:r>
            <w:r w:rsidR="009D2F25" w:rsidRPr="008908F1">
              <w:rPr>
                <w:rStyle w:val="Hyperlink"/>
              </w:rPr>
              <w:t>The building block approach</w:t>
            </w:r>
            <w:r w:rsidR="009D2F25">
              <w:rPr>
                <w:webHidden/>
              </w:rPr>
              <w:tab/>
            </w:r>
            <w:r w:rsidR="009D2F25">
              <w:rPr>
                <w:webHidden/>
              </w:rPr>
              <w:fldChar w:fldCharType="begin"/>
            </w:r>
            <w:r w:rsidR="009D2F25">
              <w:rPr>
                <w:webHidden/>
              </w:rPr>
              <w:instrText xml:space="preserve"> PAGEREF _Toc417917004 \h </w:instrText>
            </w:r>
            <w:r w:rsidR="009D2F25">
              <w:rPr>
                <w:webHidden/>
              </w:rPr>
            </w:r>
            <w:r w:rsidR="009D2F25">
              <w:rPr>
                <w:webHidden/>
              </w:rPr>
              <w:fldChar w:fldCharType="separate"/>
            </w:r>
            <w:r w:rsidR="009D2F25">
              <w:rPr>
                <w:webHidden/>
              </w:rPr>
              <w:t>21</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05" w:history="1">
            <w:r w:rsidR="009D2F25" w:rsidRPr="008908F1">
              <w:rPr>
                <w:rStyle w:val="Hyperlink"/>
              </w:rPr>
              <w:t>2.2</w:t>
            </w:r>
            <w:r w:rsidR="009D2F25">
              <w:rPr>
                <w:rFonts w:asciiTheme="minorHAnsi" w:eastAsiaTheme="minorEastAsia" w:hAnsiTheme="minorHAnsi"/>
                <w:b w:val="0"/>
                <w:color w:val="auto"/>
                <w:sz w:val="22"/>
                <w:lang w:eastAsia="en-AU"/>
              </w:rPr>
              <w:tab/>
            </w:r>
            <w:r w:rsidR="009D2F25" w:rsidRPr="008908F1">
              <w:rPr>
                <w:rStyle w:val="Hyperlink"/>
              </w:rPr>
              <w:t>Regulatory asset base</w:t>
            </w:r>
            <w:r w:rsidR="009D2F25">
              <w:rPr>
                <w:webHidden/>
              </w:rPr>
              <w:tab/>
            </w:r>
            <w:r w:rsidR="009D2F25">
              <w:rPr>
                <w:webHidden/>
              </w:rPr>
              <w:fldChar w:fldCharType="begin"/>
            </w:r>
            <w:r w:rsidR="009D2F25">
              <w:rPr>
                <w:webHidden/>
              </w:rPr>
              <w:instrText xml:space="preserve"> PAGEREF _Toc417917005 \h </w:instrText>
            </w:r>
            <w:r w:rsidR="009D2F25">
              <w:rPr>
                <w:webHidden/>
              </w:rPr>
            </w:r>
            <w:r w:rsidR="009D2F25">
              <w:rPr>
                <w:webHidden/>
              </w:rPr>
              <w:fldChar w:fldCharType="separate"/>
            </w:r>
            <w:r w:rsidR="009D2F25">
              <w:rPr>
                <w:webHidden/>
              </w:rPr>
              <w:t>22</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06" w:history="1">
            <w:r w:rsidR="009D2F25" w:rsidRPr="008908F1">
              <w:rPr>
                <w:rStyle w:val="Hyperlink"/>
              </w:rPr>
              <w:t>2.3</w:t>
            </w:r>
            <w:r w:rsidR="009D2F25">
              <w:rPr>
                <w:rFonts w:asciiTheme="minorHAnsi" w:eastAsiaTheme="minorEastAsia" w:hAnsiTheme="minorHAnsi"/>
                <w:b w:val="0"/>
                <w:color w:val="auto"/>
                <w:sz w:val="22"/>
                <w:lang w:eastAsia="en-AU"/>
              </w:rPr>
              <w:tab/>
            </w:r>
            <w:r w:rsidR="009D2F25" w:rsidRPr="008908F1">
              <w:rPr>
                <w:rStyle w:val="Hyperlink"/>
              </w:rPr>
              <w:t>Rate of return (return on capital)</w:t>
            </w:r>
            <w:r w:rsidR="009D2F25">
              <w:rPr>
                <w:webHidden/>
              </w:rPr>
              <w:tab/>
            </w:r>
            <w:r w:rsidR="009D2F25">
              <w:rPr>
                <w:webHidden/>
              </w:rPr>
              <w:fldChar w:fldCharType="begin"/>
            </w:r>
            <w:r w:rsidR="009D2F25">
              <w:rPr>
                <w:webHidden/>
              </w:rPr>
              <w:instrText xml:space="preserve"> PAGEREF _Toc417917006 \h </w:instrText>
            </w:r>
            <w:r w:rsidR="009D2F25">
              <w:rPr>
                <w:webHidden/>
              </w:rPr>
            </w:r>
            <w:r w:rsidR="009D2F25">
              <w:rPr>
                <w:webHidden/>
              </w:rPr>
              <w:fldChar w:fldCharType="separate"/>
            </w:r>
            <w:r w:rsidR="009D2F25">
              <w:rPr>
                <w:webHidden/>
              </w:rPr>
              <w:t>24</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07" w:history="1">
            <w:r w:rsidR="009D2F25" w:rsidRPr="008908F1">
              <w:rPr>
                <w:rStyle w:val="Hyperlink"/>
              </w:rPr>
              <w:t>Our approach</w:t>
            </w:r>
            <w:r w:rsidR="009D2F25">
              <w:rPr>
                <w:webHidden/>
              </w:rPr>
              <w:tab/>
            </w:r>
            <w:r w:rsidR="009D2F25">
              <w:rPr>
                <w:webHidden/>
              </w:rPr>
              <w:fldChar w:fldCharType="begin"/>
            </w:r>
            <w:r w:rsidR="009D2F25">
              <w:rPr>
                <w:webHidden/>
              </w:rPr>
              <w:instrText xml:space="preserve"> PAGEREF _Toc417917007 \h </w:instrText>
            </w:r>
            <w:r w:rsidR="009D2F25">
              <w:rPr>
                <w:webHidden/>
              </w:rPr>
            </w:r>
            <w:r w:rsidR="009D2F25">
              <w:rPr>
                <w:webHidden/>
              </w:rPr>
              <w:fldChar w:fldCharType="separate"/>
            </w:r>
            <w:r w:rsidR="009D2F25">
              <w:rPr>
                <w:webHidden/>
              </w:rPr>
              <w:t>26</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08" w:history="1">
            <w:r w:rsidR="009D2F25" w:rsidRPr="008908F1">
              <w:rPr>
                <w:rStyle w:val="Hyperlink"/>
              </w:rPr>
              <w:t>Return on debt</w:t>
            </w:r>
            <w:r w:rsidR="009D2F25">
              <w:rPr>
                <w:webHidden/>
              </w:rPr>
              <w:tab/>
            </w:r>
            <w:r w:rsidR="009D2F25">
              <w:rPr>
                <w:webHidden/>
              </w:rPr>
              <w:fldChar w:fldCharType="begin"/>
            </w:r>
            <w:r w:rsidR="009D2F25">
              <w:rPr>
                <w:webHidden/>
              </w:rPr>
              <w:instrText xml:space="preserve"> PAGEREF _Toc417917008 \h </w:instrText>
            </w:r>
            <w:r w:rsidR="009D2F25">
              <w:rPr>
                <w:webHidden/>
              </w:rPr>
            </w:r>
            <w:r w:rsidR="009D2F25">
              <w:rPr>
                <w:webHidden/>
              </w:rPr>
              <w:fldChar w:fldCharType="separate"/>
            </w:r>
            <w:r w:rsidR="009D2F25">
              <w:rPr>
                <w:webHidden/>
              </w:rPr>
              <w:t>26</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09" w:history="1">
            <w:r w:rsidR="009D2F25" w:rsidRPr="008908F1">
              <w:rPr>
                <w:rStyle w:val="Hyperlink"/>
              </w:rPr>
              <w:t>Return on equity</w:t>
            </w:r>
            <w:r w:rsidR="009D2F25">
              <w:rPr>
                <w:webHidden/>
              </w:rPr>
              <w:tab/>
            </w:r>
            <w:r w:rsidR="009D2F25">
              <w:rPr>
                <w:webHidden/>
              </w:rPr>
              <w:fldChar w:fldCharType="begin"/>
            </w:r>
            <w:r w:rsidR="009D2F25">
              <w:rPr>
                <w:webHidden/>
              </w:rPr>
              <w:instrText xml:space="preserve"> PAGEREF _Toc417917009 \h </w:instrText>
            </w:r>
            <w:r w:rsidR="009D2F25">
              <w:rPr>
                <w:webHidden/>
              </w:rPr>
            </w:r>
            <w:r w:rsidR="009D2F25">
              <w:rPr>
                <w:webHidden/>
              </w:rPr>
              <w:fldChar w:fldCharType="separate"/>
            </w:r>
            <w:r w:rsidR="009D2F25">
              <w:rPr>
                <w:webHidden/>
              </w:rPr>
              <w:t>28</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10" w:history="1">
            <w:r w:rsidR="009D2F25" w:rsidRPr="008908F1">
              <w:rPr>
                <w:rStyle w:val="Hyperlink"/>
              </w:rPr>
              <w:t>2.4</w:t>
            </w:r>
            <w:r w:rsidR="009D2F25">
              <w:rPr>
                <w:rFonts w:asciiTheme="minorHAnsi" w:eastAsiaTheme="minorEastAsia" w:hAnsiTheme="minorHAnsi"/>
                <w:b w:val="0"/>
                <w:color w:val="auto"/>
                <w:sz w:val="22"/>
                <w:lang w:eastAsia="en-AU"/>
              </w:rPr>
              <w:tab/>
            </w:r>
            <w:r w:rsidR="009D2F25" w:rsidRPr="008908F1">
              <w:rPr>
                <w:rStyle w:val="Hyperlink"/>
              </w:rPr>
              <w:t>Value of imputation credits (gamma)</w:t>
            </w:r>
            <w:r w:rsidR="009D2F25">
              <w:rPr>
                <w:webHidden/>
              </w:rPr>
              <w:tab/>
            </w:r>
            <w:r w:rsidR="009D2F25">
              <w:rPr>
                <w:webHidden/>
              </w:rPr>
              <w:fldChar w:fldCharType="begin"/>
            </w:r>
            <w:r w:rsidR="009D2F25">
              <w:rPr>
                <w:webHidden/>
              </w:rPr>
              <w:instrText xml:space="preserve"> PAGEREF _Toc417917010 \h </w:instrText>
            </w:r>
            <w:r w:rsidR="009D2F25">
              <w:rPr>
                <w:webHidden/>
              </w:rPr>
            </w:r>
            <w:r w:rsidR="009D2F25">
              <w:rPr>
                <w:webHidden/>
              </w:rPr>
              <w:fldChar w:fldCharType="separate"/>
            </w:r>
            <w:r w:rsidR="009D2F25">
              <w:rPr>
                <w:webHidden/>
              </w:rPr>
              <w:t>30</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11" w:history="1">
            <w:r w:rsidR="009D2F25" w:rsidRPr="008908F1">
              <w:rPr>
                <w:rStyle w:val="Hyperlink"/>
              </w:rPr>
              <w:t>2.5</w:t>
            </w:r>
            <w:r w:rsidR="009D2F25">
              <w:rPr>
                <w:rFonts w:asciiTheme="minorHAnsi" w:eastAsiaTheme="minorEastAsia" w:hAnsiTheme="minorHAnsi"/>
                <w:b w:val="0"/>
                <w:color w:val="auto"/>
                <w:sz w:val="22"/>
                <w:lang w:eastAsia="en-AU"/>
              </w:rPr>
              <w:tab/>
            </w:r>
            <w:r w:rsidR="009D2F25" w:rsidRPr="008908F1">
              <w:rPr>
                <w:rStyle w:val="Hyperlink"/>
              </w:rPr>
              <w:t>Regulatory depreciation (return of capital)</w:t>
            </w:r>
            <w:r w:rsidR="009D2F25">
              <w:rPr>
                <w:webHidden/>
              </w:rPr>
              <w:tab/>
            </w:r>
            <w:r w:rsidR="009D2F25">
              <w:rPr>
                <w:webHidden/>
              </w:rPr>
              <w:fldChar w:fldCharType="begin"/>
            </w:r>
            <w:r w:rsidR="009D2F25">
              <w:rPr>
                <w:webHidden/>
              </w:rPr>
              <w:instrText xml:space="preserve"> PAGEREF _Toc417917011 \h </w:instrText>
            </w:r>
            <w:r w:rsidR="009D2F25">
              <w:rPr>
                <w:webHidden/>
              </w:rPr>
            </w:r>
            <w:r w:rsidR="009D2F25">
              <w:rPr>
                <w:webHidden/>
              </w:rPr>
              <w:fldChar w:fldCharType="separate"/>
            </w:r>
            <w:r w:rsidR="009D2F25">
              <w:rPr>
                <w:webHidden/>
              </w:rPr>
              <w:t>31</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12" w:history="1">
            <w:r w:rsidR="009D2F25" w:rsidRPr="008908F1">
              <w:rPr>
                <w:rStyle w:val="Hyperlink"/>
              </w:rPr>
              <w:t>2.6</w:t>
            </w:r>
            <w:r w:rsidR="009D2F25">
              <w:rPr>
                <w:rFonts w:asciiTheme="minorHAnsi" w:eastAsiaTheme="minorEastAsia" w:hAnsiTheme="minorHAnsi"/>
                <w:b w:val="0"/>
                <w:color w:val="auto"/>
                <w:sz w:val="22"/>
                <w:lang w:eastAsia="en-AU"/>
              </w:rPr>
              <w:tab/>
            </w:r>
            <w:r w:rsidR="009D2F25" w:rsidRPr="008908F1">
              <w:rPr>
                <w:rStyle w:val="Hyperlink"/>
              </w:rPr>
              <w:t>Capital expenditure</w:t>
            </w:r>
            <w:r w:rsidR="009D2F25">
              <w:rPr>
                <w:webHidden/>
              </w:rPr>
              <w:tab/>
            </w:r>
            <w:r w:rsidR="009D2F25">
              <w:rPr>
                <w:webHidden/>
              </w:rPr>
              <w:fldChar w:fldCharType="begin"/>
            </w:r>
            <w:r w:rsidR="009D2F25">
              <w:rPr>
                <w:webHidden/>
              </w:rPr>
              <w:instrText xml:space="preserve"> PAGEREF _Toc417917012 \h </w:instrText>
            </w:r>
            <w:r w:rsidR="009D2F25">
              <w:rPr>
                <w:webHidden/>
              </w:rPr>
            </w:r>
            <w:r w:rsidR="009D2F25">
              <w:rPr>
                <w:webHidden/>
              </w:rPr>
              <w:fldChar w:fldCharType="separate"/>
            </w:r>
            <w:r w:rsidR="009D2F25">
              <w:rPr>
                <w:webHidden/>
              </w:rPr>
              <w:t>32</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13" w:history="1">
            <w:r w:rsidR="009D2F25" w:rsidRPr="008908F1">
              <w:rPr>
                <w:rStyle w:val="Hyperlink"/>
              </w:rPr>
              <w:t>2.7</w:t>
            </w:r>
            <w:r w:rsidR="009D2F25">
              <w:rPr>
                <w:rFonts w:asciiTheme="minorHAnsi" w:eastAsiaTheme="minorEastAsia" w:hAnsiTheme="minorHAnsi"/>
                <w:b w:val="0"/>
                <w:color w:val="auto"/>
                <w:sz w:val="22"/>
                <w:lang w:eastAsia="en-AU"/>
              </w:rPr>
              <w:tab/>
            </w:r>
            <w:r w:rsidR="009D2F25" w:rsidRPr="008908F1">
              <w:rPr>
                <w:rStyle w:val="Hyperlink"/>
              </w:rPr>
              <w:t>Operating expenditure</w:t>
            </w:r>
            <w:r w:rsidR="009D2F25">
              <w:rPr>
                <w:webHidden/>
              </w:rPr>
              <w:tab/>
            </w:r>
            <w:r w:rsidR="009D2F25">
              <w:rPr>
                <w:webHidden/>
              </w:rPr>
              <w:fldChar w:fldCharType="begin"/>
            </w:r>
            <w:r w:rsidR="009D2F25">
              <w:rPr>
                <w:webHidden/>
              </w:rPr>
              <w:instrText xml:space="preserve"> PAGEREF _Toc417917013 \h </w:instrText>
            </w:r>
            <w:r w:rsidR="009D2F25">
              <w:rPr>
                <w:webHidden/>
              </w:rPr>
            </w:r>
            <w:r w:rsidR="009D2F25">
              <w:rPr>
                <w:webHidden/>
              </w:rPr>
              <w:fldChar w:fldCharType="separate"/>
            </w:r>
            <w:r w:rsidR="009D2F25">
              <w:rPr>
                <w:webHidden/>
              </w:rPr>
              <w:t>33</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14" w:history="1">
            <w:r w:rsidR="009D2F25" w:rsidRPr="008908F1">
              <w:rPr>
                <w:rStyle w:val="Hyperlink"/>
              </w:rPr>
              <w:t>2.8</w:t>
            </w:r>
            <w:r w:rsidR="009D2F25">
              <w:rPr>
                <w:rFonts w:asciiTheme="minorHAnsi" w:eastAsiaTheme="minorEastAsia" w:hAnsiTheme="minorHAnsi"/>
                <w:b w:val="0"/>
                <w:color w:val="auto"/>
                <w:sz w:val="22"/>
                <w:lang w:eastAsia="en-AU"/>
              </w:rPr>
              <w:tab/>
            </w:r>
            <w:r w:rsidR="009D2F25" w:rsidRPr="008908F1">
              <w:rPr>
                <w:rStyle w:val="Hyperlink"/>
              </w:rPr>
              <w:t>Corporate income tax</w:t>
            </w:r>
            <w:r w:rsidR="009D2F25">
              <w:rPr>
                <w:webHidden/>
              </w:rPr>
              <w:tab/>
            </w:r>
            <w:r w:rsidR="009D2F25">
              <w:rPr>
                <w:webHidden/>
              </w:rPr>
              <w:fldChar w:fldCharType="begin"/>
            </w:r>
            <w:r w:rsidR="009D2F25">
              <w:rPr>
                <w:webHidden/>
              </w:rPr>
              <w:instrText xml:space="preserve"> PAGEREF _Toc417917014 \h </w:instrText>
            </w:r>
            <w:r w:rsidR="009D2F25">
              <w:rPr>
                <w:webHidden/>
              </w:rPr>
            </w:r>
            <w:r w:rsidR="009D2F25">
              <w:rPr>
                <w:webHidden/>
              </w:rPr>
              <w:fldChar w:fldCharType="separate"/>
            </w:r>
            <w:r w:rsidR="009D2F25">
              <w:rPr>
                <w:webHidden/>
              </w:rPr>
              <w:t>36</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7015" w:history="1">
            <w:r w:rsidR="009D2F25" w:rsidRPr="008908F1">
              <w:rPr>
                <w:rStyle w:val="Hyperlink"/>
              </w:rPr>
              <w:t>3</w:t>
            </w:r>
            <w:r w:rsidR="009D2F25">
              <w:rPr>
                <w:rFonts w:asciiTheme="minorHAnsi" w:eastAsiaTheme="minorEastAsia" w:hAnsiTheme="minorHAnsi"/>
                <w:b w:val="0"/>
                <w:color w:val="auto"/>
                <w:sz w:val="22"/>
                <w:lang w:val="en-AU" w:eastAsia="en-AU"/>
              </w:rPr>
              <w:tab/>
            </w:r>
            <w:r w:rsidR="009D2F25" w:rsidRPr="008908F1">
              <w:rPr>
                <w:rStyle w:val="Hyperlink"/>
              </w:rPr>
              <w:t>Service classification, control mechanisms, and incentive schemes</w:t>
            </w:r>
            <w:r w:rsidR="009D2F25">
              <w:rPr>
                <w:webHidden/>
              </w:rPr>
              <w:tab/>
            </w:r>
            <w:r w:rsidR="009D2F25">
              <w:rPr>
                <w:webHidden/>
              </w:rPr>
              <w:fldChar w:fldCharType="begin"/>
            </w:r>
            <w:r w:rsidR="009D2F25">
              <w:rPr>
                <w:webHidden/>
              </w:rPr>
              <w:instrText xml:space="preserve"> PAGEREF _Toc417917015 \h </w:instrText>
            </w:r>
            <w:r w:rsidR="009D2F25">
              <w:rPr>
                <w:webHidden/>
              </w:rPr>
            </w:r>
            <w:r w:rsidR="009D2F25">
              <w:rPr>
                <w:webHidden/>
              </w:rPr>
              <w:fldChar w:fldCharType="separate"/>
            </w:r>
            <w:r w:rsidR="009D2F25">
              <w:rPr>
                <w:webHidden/>
              </w:rPr>
              <w:t>38</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16" w:history="1">
            <w:r w:rsidR="009D2F25" w:rsidRPr="008908F1">
              <w:rPr>
                <w:rStyle w:val="Hyperlink"/>
              </w:rPr>
              <w:t>3.1</w:t>
            </w:r>
            <w:r w:rsidR="009D2F25">
              <w:rPr>
                <w:rFonts w:asciiTheme="minorHAnsi" w:eastAsiaTheme="minorEastAsia" w:hAnsiTheme="minorHAnsi"/>
                <w:b w:val="0"/>
                <w:color w:val="auto"/>
                <w:sz w:val="22"/>
                <w:lang w:eastAsia="en-AU"/>
              </w:rPr>
              <w:tab/>
            </w:r>
            <w:r w:rsidR="009D2F25" w:rsidRPr="008908F1">
              <w:rPr>
                <w:rStyle w:val="Hyperlink"/>
              </w:rPr>
              <w:t>Service classification and control mechanisms</w:t>
            </w:r>
            <w:r w:rsidR="009D2F25">
              <w:rPr>
                <w:webHidden/>
              </w:rPr>
              <w:tab/>
            </w:r>
            <w:r w:rsidR="009D2F25">
              <w:rPr>
                <w:webHidden/>
              </w:rPr>
              <w:fldChar w:fldCharType="begin"/>
            </w:r>
            <w:r w:rsidR="009D2F25">
              <w:rPr>
                <w:webHidden/>
              </w:rPr>
              <w:instrText xml:space="preserve"> PAGEREF _Toc417917016 \h </w:instrText>
            </w:r>
            <w:r w:rsidR="009D2F25">
              <w:rPr>
                <w:webHidden/>
              </w:rPr>
            </w:r>
            <w:r w:rsidR="009D2F25">
              <w:rPr>
                <w:webHidden/>
              </w:rPr>
              <w:fldChar w:fldCharType="separate"/>
            </w:r>
            <w:r w:rsidR="009D2F25">
              <w:rPr>
                <w:webHidden/>
              </w:rPr>
              <w:t>38</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17" w:history="1">
            <w:r w:rsidR="009D2F25" w:rsidRPr="008908F1">
              <w:rPr>
                <w:rStyle w:val="Hyperlink"/>
              </w:rPr>
              <w:t>3.2</w:t>
            </w:r>
            <w:r w:rsidR="009D2F25">
              <w:rPr>
                <w:rFonts w:asciiTheme="minorHAnsi" w:eastAsiaTheme="minorEastAsia" w:hAnsiTheme="minorHAnsi"/>
                <w:b w:val="0"/>
                <w:color w:val="auto"/>
                <w:sz w:val="22"/>
                <w:lang w:eastAsia="en-AU"/>
              </w:rPr>
              <w:tab/>
            </w:r>
            <w:r w:rsidR="009D2F25" w:rsidRPr="008908F1">
              <w:rPr>
                <w:rStyle w:val="Hyperlink"/>
              </w:rPr>
              <w:t>Alternative control services</w:t>
            </w:r>
            <w:r w:rsidR="009D2F25">
              <w:rPr>
                <w:webHidden/>
              </w:rPr>
              <w:tab/>
            </w:r>
            <w:r w:rsidR="009D2F25">
              <w:rPr>
                <w:webHidden/>
              </w:rPr>
              <w:fldChar w:fldCharType="begin"/>
            </w:r>
            <w:r w:rsidR="009D2F25">
              <w:rPr>
                <w:webHidden/>
              </w:rPr>
              <w:instrText xml:space="preserve"> PAGEREF _Toc417917017 \h </w:instrText>
            </w:r>
            <w:r w:rsidR="009D2F25">
              <w:rPr>
                <w:webHidden/>
              </w:rPr>
            </w:r>
            <w:r w:rsidR="009D2F25">
              <w:rPr>
                <w:webHidden/>
              </w:rPr>
              <w:fldChar w:fldCharType="separate"/>
            </w:r>
            <w:r w:rsidR="009D2F25">
              <w:rPr>
                <w:webHidden/>
              </w:rPr>
              <w:t>39</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18" w:history="1">
            <w:r w:rsidR="009D2F25" w:rsidRPr="008908F1">
              <w:rPr>
                <w:rStyle w:val="Hyperlink"/>
              </w:rPr>
              <w:t>3.3</w:t>
            </w:r>
            <w:r w:rsidR="009D2F25">
              <w:rPr>
                <w:rFonts w:asciiTheme="minorHAnsi" w:eastAsiaTheme="minorEastAsia" w:hAnsiTheme="minorHAnsi"/>
                <w:b w:val="0"/>
                <w:color w:val="auto"/>
                <w:sz w:val="22"/>
                <w:lang w:eastAsia="en-AU"/>
              </w:rPr>
              <w:tab/>
            </w:r>
            <w:r w:rsidR="009D2F25" w:rsidRPr="008908F1">
              <w:rPr>
                <w:rStyle w:val="Hyperlink"/>
              </w:rPr>
              <w:t>Incentive schemes</w:t>
            </w:r>
            <w:r w:rsidR="009D2F25">
              <w:rPr>
                <w:webHidden/>
              </w:rPr>
              <w:tab/>
            </w:r>
            <w:r w:rsidR="009D2F25">
              <w:rPr>
                <w:webHidden/>
              </w:rPr>
              <w:fldChar w:fldCharType="begin"/>
            </w:r>
            <w:r w:rsidR="009D2F25">
              <w:rPr>
                <w:webHidden/>
              </w:rPr>
              <w:instrText xml:space="preserve"> PAGEREF _Toc417917018 \h </w:instrText>
            </w:r>
            <w:r w:rsidR="009D2F25">
              <w:rPr>
                <w:webHidden/>
              </w:rPr>
            </w:r>
            <w:r w:rsidR="009D2F25">
              <w:rPr>
                <w:webHidden/>
              </w:rPr>
              <w:fldChar w:fldCharType="separate"/>
            </w:r>
            <w:r w:rsidR="009D2F25">
              <w:rPr>
                <w:webHidden/>
              </w:rPr>
              <w:t>40</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19" w:history="1">
            <w:r w:rsidR="009D2F25" w:rsidRPr="008908F1">
              <w:rPr>
                <w:rStyle w:val="Hyperlink"/>
              </w:rPr>
              <w:t>3.3.1</w:t>
            </w:r>
            <w:r w:rsidR="009D2F25">
              <w:rPr>
                <w:rFonts w:asciiTheme="minorHAnsi" w:eastAsiaTheme="minorEastAsia" w:hAnsiTheme="minorHAnsi"/>
                <w:lang w:eastAsia="en-AU"/>
              </w:rPr>
              <w:tab/>
            </w:r>
            <w:r w:rsidR="009D2F25" w:rsidRPr="008908F1">
              <w:rPr>
                <w:rStyle w:val="Hyperlink"/>
              </w:rPr>
              <w:t>Efficiency benefit sharing scheme</w:t>
            </w:r>
            <w:r w:rsidR="009D2F25">
              <w:rPr>
                <w:webHidden/>
              </w:rPr>
              <w:tab/>
            </w:r>
            <w:r w:rsidR="009D2F25">
              <w:rPr>
                <w:webHidden/>
              </w:rPr>
              <w:fldChar w:fldCharType="begin"/>
            </w:r>
            <w:r w:rsidR="009D2F25">
              <w:rPr>
                <w:webHidden/>
              </w:rPr>
              <w:instrText xml:space="preserve"> PAGEREF _Toc417917019 \h </w:instrText>
            </w:r>
            <w:r w:rsidR="009D2F25">
              <w:rPr>
                <w:webHidden/>
              </w:rPr>
            </w:r>
            <w:r w:rsidR="009D2F25">
              <w:rPr>
                <w:webHidden/>
              </w:rPr>
              <w:fldChar w:fldCharType="separate"/>
            </w:r>
            <w:r w:rsidR="009D2F25">
              <w:rPr>
                <w:webHidden/>
              </w:rPr>
              <w:t>41</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20" w:history="1">
            <w:r w:rsidR="009D2F25" w:rsidRPr="008908F1">
              <w:rPr>
                <w:rStyle w:val="Hyperlink"/>
              </w:rPr>
              <w:t>3.3.2</w:t>
            </w:r>
            <w:r w:rsidR="009D2F25">
              <w:rPr>
                <w:rFonts w:asciiTheme="minorHAnsi" w:eastAsiaTheme="minorEastAsia" w:hAnsiTheme="minorHAnsi"/>
                <w:lang w:eastAsia="en-AU"/>
              </w:rPr>
              <w:tab/>
            </w:r>
            <w:r w:rsidR="009D2F25" w:rsidRPr="008908F1">
              <w:rPr>
                <w:rStyle w:val="Hyperlink"/>
              </w:rPr>
              <w:t>Capital expenditure sharing scheme</w:t>
            </w:r>
            <w:r w:rsidR="009D2F25">
              <w:rPr>
                <w:webHidden/>
              </w:rPr>
              <w:tab/>
            </w:r>
            <w:r w:rsidR="009D2F25">
              <w:rPr>
                <w:webHidden/>
              </w:rPr>
              <w:fldChar w:fldCharType="begin"/>
            </w:r>
            <w:r w:rsidR="009D2F25">
              <w:rPr>
                <w:webHidden/>
              </w:rPr>
              <w:instrText xml:space="preserve"> PAGEREF _Toc417917020 \h </w:instrText>
            </w:r>
            <w:r w:rsidR="009D2F25">
              <w:rPr>
                <w:webHidden/>
              </w:rPr>
            </w:r>
            <w:r w:rsidR="009D2F25">
              <w:rPr>
                <w:webHidden/>
              </w:rPr>
              <w:fldChar w:fldCharType="separate"/>
            </w:r>
            <w:r w:rsidR="009D2F25">
              <w:rPr>
                <w:webHidden/>
              </w:rPr>
              <w:t>41</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21" w:history="1">
            <w:r w:rsidR="009D2F25" w:rsidRPr="008908F1">
              <w:rPr>
                <w:rStyle w:val="Hyperlink"/>
              </w:rPr>
              <w:t>3.3.3</w:t>
            </w:r>
            <w:r w:rsidR="009D2F25">
              <w:rPr>
                <w:rFonts w:asciiTheme="minorHAnsi" w:eastAsiaTheme="minorEastAsia" w:hAnsiTheme="minorHAnsi"/>
                <w:lang w:eastAsia="en-AU"/>
              </w:rPr>
              <w:tab/>
            </w:r>
            <w:r w:rsidR="009D2F25" w:rsidRPr="008908F1">
              <w:rPr>
                <w:rStyle w:val="Hyperlink"/>
              </w:rPr>
              <w:t>Service target performance incentive scheme</w:t>
            </w:r>
            <w:r w:rsidR="009D2F25">
              <w:rPr>
                <w:webHidden/>
              </w:rPr>
              <w:tab/>
            </w:r>
            <w:r w:rsidR="009D2F25">
              <w:rPr>
                <w:webHidden/>
              </w:rPr>
              <w:fldChar w:fldCharType="begin"/>
            </w:r>
            <w:r w:rsidR="009D2F25">
              <w:rPr>
                <w:webHidden/>
              </w:rPr>
              <w:instrText xml:space="preserve"> PAGEREF _Toc417917021 \h </w:instrText>
            </w:r>
            <w:r w:rsidR="009D2F25">
              <w:rPr>
                <w:webHidden/>
              </w:rPr>
            </w:r>
            <w:r w:rsidR="009D2F25">
              <w:rPr>
                <w:webHidden/>
              </w:rPr>
              <w:fldChar w:fldCharType="separate"/>
            </w:r>
            <w:r w:rsidR="009D2F25">
              <w:rPr>
                <w:webHidden/>
              </w:rPr>
              <w:t>42</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22" w:history="1">
            <w:r w:rsidR="009D2F25" w:rsidRPr="008908F1">
              <w:rPr>
                <w:rStyle w:val="Hyperlink"/>
              </w:rPr>
              <w:t>3.3.4</w:t>
            </w:r>
            <w:r w:rsidR="009D2F25">
              <w:rPr>
                <w:rFonts w:asciiTheme="minorHAnsi" w:eastAsiaTheme="minorEastAsia" w:hAnsiTheme="minorHAnsi"/>
                <w:lang w:eastAsia="en-AU"/>
              </w:rPr>
              <w:tab/>
            </w:r>
            <w:r w:rsidR="009D2F25" w:rsidRPr="008908F1">
              <w:rPr>
                <w:rStyle w:val="Hyperlink"/>
              </w:rPr>
              <w:t>Demand management incentive scheme</w:t>
            </w:r>
            <w:r w:rsidR="009D2F25">
              <w:rPr>
                <w:webHidden/>
              </w:rPr>
              <w:tab/>
            </w:r>
            <w:r w:rsidR="009D2F25">
              <w:rPr>
                <w:webHidden/>
              </w:rPr>
              <w:fldChar w:fldCharType="begin"/>
            </w:r>
            <w:r w:rsidR="009D2F25">
              <w:rPr>
                <w:webHidden/>
              </w:rPr>
              <w:instrText xml:space="preserve"> PAGEREF _Toc417917022 \h </w:instrText>
            </w:r>
            <w:r w:rsidR="009D2F25">
              <w:rPr>
                <w:webHidden/>
              </w:rPr>
            </w:r>
            <w:r w:rsidR="009D2F25">
              <w:rPr>
                <w:webHidden/>
              </w:rPr>
              <w:fldChar w:fldCharType="separate"/>
            </w:r>
            <w:r w:rsidR="009D2F25">
              <w:rPr>
                <w:webHidden/>
              </w:rPr>
              <w:t>43</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7023" w:history="1">
            <w:r w:rsidR="009D2F25" w:rsidRPr="008908F1">
              <w:rPr>
                <w:rStyle w:val="Hyperlink"/>
              </w:rPr>
              <w:t>4</w:t>
            </w:r>
            <w:r w:rsidR="009D2F25">
              <w:rPr>
                <w:rFonts w:asciiTheme="minorHAnsi" w:eastAsiaTheme="minorEastAsia" w:hAnsiTheme="minorHAnsi"/>
                <w:b w:val="0"/>
                <w:color w:val="auto"/>
                <w:sz w:val="22"/>
                <w:lang w:val="en-AU" w:eastAsia="en-AU"/>
              </w:rPr>
              <w:tab/>
            </w:r>
            <w:r w:rsidR="009D2F25" w:rsidRPr="008908F1">
              <w:rPr>
                <w:rStyle w:val="Hyperlink"/>
              </w:rPr>
              <w:t>Regulatory framework</w:t>
            </w:r>
            <w:r w:rsidR="009D2F25">
              <w:rPr>
                <w:webHidden/>
              </w:rPr>
              <w:tab/>
            </w:r>
            <w:r w:rsidR="009D2F25">
              <w:rPr>
                <w:webHidden/>
              </w:rPr>
              <w:fldChar w:fldCharType="begin"/>
            </w:r>
            <w:r w:rsidR="009D2F25">
              <w:rPr>
                <w:webHidden/>
              </w:rPr>
              <w:instrText xml:space="preserve"> PAGEREF _Toc417917023 \h </w:instrText>
            </w:r>
            <w:r w:rsidR="009D2F25">
              <w:rPr>
                <w:webHidden/>
              </w:rPr>
            </w:r>
            <w:r w:rsidR="009D2F25">
              <w:rPr>
                <w:webHidden/>
              </w:rPr>
              <w:fldChar w:fldCharType="separate"/>
            </w:r>
            <w:r w:rsidR="009D2F25">
              <w:rPr>
                <w:webHidden/>
              </w:rPr>
              <w:t>44</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24" w:history="1">
            <w:r w:rsidR="009D2F25" w:rsidRPr="008908F1">
              <w:rPr>
                <w:rStyle w:val="Hyperlink"/>
              </w:rPr>
              <w:t>4.1</w:t>
            </w:r>
            <w:r w:rsidR="009D2F25">
              <w:rPr>
                <w:rFonts w:asciiTheme="minorHAnsi" w:eastAsiaTheme="minorEastAsia" w:hAnsiTheme="minorHAnsi"/>
                <w:b w:val="0"/>
                <w:color w:val="auto"/>
                <w:sz w:val="22"/>
                <w:lang w:eastAsia="en-AU"/>
              </w:rPr>
              <w:tab/>
            </w:r>
            <w:r w:rsidR="009D2F25" w:rsidRPr="008908F1">
              <w:rPr>
                <w:rStyle w:val="Hyperlink"/>
              </w:rPr>
              <w:t>Understanding the NEO</w:t>
            </w:r>
            <w:r w:rsidR="009D2F25">
              <w:rPr>
                <w:webHidden/>
              </w:rPr>
              <w:tab/>
            </w:r>
            <w:r w:rsidR="009D2F25">
              <w:rPr>
                <w:webHidden/>
              </w:rPr>
              <w:fldChar w:fldCharType="begin"/>
            </w:r>
            <w:r w:rsidR="009D2F25">
              <w:rPr>
                <w:webHidden/>
              </w:rPr>
              <w:instrText xml:space="preserve"> PAGEREF _Toc417917024 \h </w:instrText>
            </w:r>
            <w:r w:rsidR="009D2F25">
              <w:rPr>
                <w:webHidden/>
              </w:rPr>
            </w:r>
            <w:r w:rsidR="009D2F25">
              <w:rPr>
                <w:webHidden/>
              </w:rPr>
              <w:fldChar w:fldCharType="separate"/>
            </w:r>
            <w:r w:rsidR="009D2F25">
              <w:rPr>
                <w:webHidden/>
              </w:rPr>
              <w:t>46</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25" w:history="1">
            <w:r w:rsidR="009D2F25" w:rsidRPr="008908F1">
              <w:rPr>
                <w:rStyle w:val="Hyperlink"/>
              </w:rPr>
              <w:t>4.2</w:t>
            </w:r>
            <w:r w:rsidR="009D2F25">
              <w:rPr>
                <w:rFonts w:asciiTheme="minorHAnsi" w:eastAsiaTheme="minorEastAsia" w:hAnsiTheme="minorHAnsi"/>
                <w:b w:val="0"/>
                <w:color w:val="auto"/>
                <w:sz w:val="22"/>
                <w:lang w:eastAsia="en-AU"/>
              </w:rPr>
              <w:tab/>
            </w:r>
            <w:r w:rsidR="009D2F25" w:rsidRPr="008908F1">
              <w:rPr>
                <w:rStyle w:val="Hyperlink"/>
              </w:rPr>
              <w:t>The 2012 framework changes</w:t>
            </w:r>
            <w:r w:rsidR="009D2F25">
              <w:rPr>
                <w:webHidden/>
              </w:rPr>
              <w:tab/>
            </w:r>
            <w:r w:rsidR="009D2F25">
              <w:rPr>
                <w:webHidden/>
              </w:rPr>
              <w:fldChar w:fldCharType="begin"/>
            </w:r>
            <w:r w:rsidR="009D2F25">
              <w:rPr>
                <w:webHidden/>
              </w:rPr>
              <w:instrText xml:space="preserve"> PAGEREF _Toc417917025 \h </w:instrText>
            </w:r>
            <w:r w:rsidR="009D2F25">
              <w:rPr>
                <w:webHidden/>
              </w:rPr>
            </w:r>
            <w:r w:rsidR="009D2F25">
              <w:rPr>
                <w:webHidden/>
              </w:rPr>
              <w:fldChar w:fldCharType="separate"/>
            </w:r>
            <w:r w:rsidR="009D2F25">
              <w:rPr>
                <w:webHidden/>
              </w:rPr>
              <w:t>47</w:t>
            </w:r>
            <w:r w:rsidR="009D2F25">
              <w:rPr>
                <w:webHidden/>
              </w:rPr>
              <w:fldChar w:fldCharType="end"/>
            </w:r>
          </w:hyperlink>
        </w:p>
        <w:p w:rsidR="009D2F25" w:rsidRDefault="0010003E">
          <w:pPr>
            <w:pStyle w:val="TOC3"/>
            <w:rPr>
              <w:rFonts w:asciiTheme="minorHAnsi" w:eastAsiaTheme="minorEastAsia" w:hAnsiTheme="minorHAnsi"/>
              <w:lang w:eastAsia="en-AU"/>
            </w:rPr>
          </w:pPr>
          <w:hyperlink w:anchor="_Toc417917026" w:history="1">
            <w:r w:rsidR="009D2F25" w:rsidRPr="008908F1">
              <w:rPr>
                <w:rStyle w:val="Hyperlink"/>
              </w:rPr>
              <w:t>4.2.1</w:t>
            </w:r>
            <w:r w:rsidR="009D2F25">
              <w:rPr>
                <w:rFonts w:asciiTheme="minorHAnsi" w:eastAsiaTheme="minorEastAsia" w:hAnsiTheme="minorHAnsi"/>
                <w:lang w:eastAsia="en-AU"/>
              </w:rPr>
              <w:tab/>
            </w:r>
            <w:r w:rsidR="009D2F25" w:rsidRPr="008908F1">
              <w:rPr>
                <w:rStyle w:val="Hyperlink"/>
              </w:rPr>
              <w:t>Interrelationships</w:t>
            </w:r>
            <w:r w:rsidR="009D2F25">
              <w:rPr>
                <w:webHidden/>
              </w:rPr>
              <w:tab/>
            </w:r>
            <w:r w:rsidR="009D2F25">
              <w:rPr>
                <w:webHidden/>
              </w:rPr>
              <w:fldChar w:fldCharType="begin"/>
            </w:r>
            <w:r w:rsidR="009D2F25">
              <w:rPr>
                <w:webHidden/>
              </w:rPr>
              <w:instrText xml:space="preserve"> PAGEREF _Toc417917026 \h </w:instrText>
            </w:r>
            <w:r w:rsidR="009D2F25">
              <w:rPr>
                <w:webHidden/>
              </w:rPr>
            </w:r>
            <w:r w:rsidR="009D2F25">
              <w:rPr>
                <w:webHidden/>
              </w:rPr>
              <w:fldChar w:fldCharType="separate"/>
            </w:r>
            <w:r w:rsidR="009D2F25">
              <w:rPr>
                <w:webHidden/>
              </w:rPr>
              <w:t>48</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7027" w:history="1">
            <w:r w:rsidR="009D2F25" w:rsidRPr="008908F1">
              <w:rPr>
                <w:rStyle w:val="Hyperlink"/>
              </w:rPr>
              <w:t>5</w:t>
            </w:r>
            <w:r w:rsidR="009D2F25">
              <w:rPr>
                <w:rFonts w:asciiTheme="minorHAnsi" w:eastAsiaTheme="minorEastAsia" w:hAnsiTheme="minorHAnsi"/>
                <w:b w:val="0"/>
                <w:color w:val="auto"/>
                <w:sz w:val="22"/>
                <w:lang w:val="en-AU" w:eastAsia="en-AU"/>
              </w:rPr>
              <w:tab/>
            </w:r>
            <w:r w:rsidR="009D2F25" w:rsidRPr="008908F1">
              <w:rPr>
                <w:rStyle w:val="Hyperlink"/>
              </w:rPr>
              <w:t>Process</w:t>
            </w:r>
            <w:r w:rsidR="009D2F25">
              <w:rPr>
                <w:webHidden/>
              </w:rPr>
              <w:tab/>
            </w:r>
            <w:r w:rsidR="009D2F25">
              <w:rPr>
                <w:webHidden/>
              </w:rPr>
              <w:fldChar w:fldCharType="begin"/>
            </w:r>
            <w:r w:rsidR="009D2F25">
              <w:rPr>
                <w:webHidden/>
              </w:rPr>
              <w:instrText xml:space="preserve"> PAGEREF _Toc417917027 \h </w:instrText>
            </w:r>
            <w:r w:rsidR="009D2F25">
              <w:rPr>
                <w:webHidden/>
              </w:rPr>
            </w:r>
            <w:r w:rsidR="009D2F25">
              <w:rPr>
                <w:webHidden/>
              </w:rPr>
              <w:fldChar w:fldCharType="separate"/>
            </w:r>
            <w:r w:rsidR="009D2F25">
              <w:rPr>
                <w:webHidden/>
              </w:rPr>
              <w:t>50</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28" w:history="1">
            <w:r w:rsidR="009D2F25" w:rsidRPr="008908F1">
              <w:rPr>
                <w:rStyle w:val="Hyperlink"/>
              </w:rPr>
              <w:t>5.1</w:t>
            </w:r>
            <w:r w:rsidR="009D2F25">
              <w:rPr>
                <w:rFonts w:asciiTheme="minorHAnsi" w:eastAsiaTheme="minorEastAsia" w:hAnsiTheme="minorHAnsi"/>
                <w:b w:val="0"/>
                <w:color w:val="auto"/>
                <w:sz w:val="22"/>
                <w:lang w:eastAsia="en-AU"/>
              </w:rPr>
              <w:tab/>
            </w:r>
            <w:r w:rsidR="009D2F25" w:rsidRPr="008908F1">
              <w:rPr>
                <w:rStyle w:val="Hyperlink"/>
              </w:rPr>
              <w:t>Better Regulation program</w:t>
            </w:r>
            <w:r w:rsidR="009D2F25">
              <w:rPr>
                <w:webHidden/>
              </w:rPr>
              <w:tab/>
            </w:r>
            <w:r w:rsidR="009D2F25">
              <w:rPr>
                <w:webHidden/>
              </w:rPr>
              <w:fldChar w:fldCharType="begin"/>
            </w:r>
            <w:r w:rsidR="009D2F25">
              <w:rPr>
                <w:webHidden/>
              </w:rPr>
              <w:instrText xml:space="preserve"> PAGEREF _Toc417917028 \h </w:instrText>
            </w:r>
            <w:r w:rsidR="009D2F25">
              <w:rPr>
                <w:webHidden/>
              </w:rPr>
            </w:r>
            <w:r w:rsidR="009D2F25">
              <w:rPr>
                <w:webHidden/>
              </w:rPr>
              <w:fldChar w:fldCharType="separate"/>
            </w:r>
            <w:r w:rsidR="009D2F25">
              <w:rPr>
                <w:webHidden/>
              </w:rPr>
              <w:t>50</w:t>
            </w:r>
            <w:r w:rsidR="009D2F25">
              <w:rPr>
                <w:webHidden/>
              </w:rPr>
              <w:fldChar w:fldCharType="end"/>
            </w:r>
          </w:hyperlink>
        </w:p>
        <w:p w:rsidR="009D2F25" w:rsidRDefault="0010003E">
          <w:pPr>
            <w:pStyle w:val="TOC2"/>
            <w:rPr>
              <w:rFonts w:asciiTheme="minorHAnsi" w:eastAsiaTheme="minorEastAsia" w:hAnsiTheme="minorHAnsi"/>
              <w:b w:val="0"/>
              <w:color w:val="auto"/>
              <w:sz w:val="22"/>
              <w:lang w:eastAsia="en-AU"/>
            </w:rPr>
          </w:pPr>
          <w:hyperlink w:anchor="_Toc417917029" w:history="1">
            <w:r w:rsidR="009D2F25" w:rsidRPr="008908F1">
              <w:rPr>
                <w:rStyle w:val="Hyperlink"/>
              </w:rPr>
              <w:t>5.2</w:t>
            </w:r>
            <w:r w:rsidR="009D2F25">
              <w:rPr>
                <w:rFonts w:asciiTheme="minorHAnsi" w:eastAsiaTheme="minorEastAsia" w:hAnsiTheme="minorHAnsi"/>
                <w:b w:val="0"/>
                <w:color w:val="auto"/>
                <w:sz w:val="22"/>
                <w:lang w:eastAsia="en-AU"/>
              </w:rPr>
              <w:tab/>
            </w:r>
            <w:r w:rsidR="009D2F25" w:rsidRPr="008908F1">
              <w:rPr>
                <w:rStyle w:val="Hyperlink"/>
              </w:rPr>
              <w:t>Our engagement during the decision making process</w:t>
            </w:r>
            <w:r w:rsidR="009D2F25">
              <w:rPr>
                <w:webHidden/>
              </w:rPr>
              <w:tab/>
            </w:r>
            <w:r w:rsidR="009D2F25">
              <w:rPr>
                <w:webHidden/>
              </w:rPr>
              <w:fldChar w:fldCharType="begin"/>
            </w:r>
            <w:r w:rsidR="009D2F25">
              <w:rPr>
                <w:webHidden/>
              </w:rPr>
              <w:instrText xml:space="preserve"> PAGEREF _Toc417917029 \h </w:instrText>
            </w:r>
            <w:r w:rsidR="009D2F25">
              <w:rPr>
                <w:webHidden/>
              </w:rPr>
            </w:r>
            <w:r w:rsidR="009D2F25">
              <w:rPr>
                <w:webHidden/>
              </w:rPr>
              <w:fldChar w:fldCharType="separate"/>
            </w:r>
            <w:r w:rsidR="009D2F25">
              <w:rPr>
                <w:webHidden/>
              </w:rPr>
              <w:t>50</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7030" w:history="1">
            <w:r w:rsidR="009D2F25" w:rsidRPr="008908F1">
              <w:rPr>
                <w:rStyle w:val="Hyperlink"/>
              </w:rPr>
              <w:t>6</w:t>
            </w:r>
            <w:r w:rsidR="009D2F25">
              <w:rPr>
                <w:rFonts w:asciiTheme="minorHAnsi" w:eastAsiaTheme="minorEastAsia" w:hAnsiTheme="minorHAnsi"/>
                <w:b w:val="0"/>
                <w:color w:val="auto"/>
                <w:sz w:val="22"/>
                <w:lang w:val="en-AU" w:eastAsia="en-AU"/>
              </w:rPr>
              <w:tab/>
            </w:r>
            <w:r w:rsidR="009D2F25" w:rsidRPr="008908F1">
              <w:rPr>
                <w:rStyle w:val="Hyperlink"/>
              </w:rPr>
              <w:t>Next steps</w:t>
            </w:r>
            <w:r w:rsidR="009D2F25">
              <w:rPr>
                <w:webHidden/>
              </w:rPr>
              <w:tab/>
            </w:r>
            <w:r w:rsidR="009D2F25">
              <w:rPr>
                <w:webHidden/>
              </w:rPr>
              <w:fldChar w:fldCharType="begin"/>
            </w:r>
            <w:r w:rsidR="009D2F25">
              <w:rPr>
                <w:webHidden/>
              </w:rPr>
              <w:instrText xml:space="preserve"> PAGEREF _Toc417917030 \h </w:instrText>
            </w:r>
            <w:r w:rsidR="009D2F25">
              <w:rPr>
                <w:webHidden/>
              </w:rPr>
            </w:r>
            <w:r w:rsidR="009D2F25">
              <w:rPr>
                <w:webHidden/>
              </w:rPr>
              <w:fldChar w:fldCharType="separate"/>
            </w:r>
            <w:r w:rsidR="009D2F25">
              <w:rPr>
                <w:webHidden/>
              </w:rPr>
              <w:t>52</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7031" w:history="1">
            <w:r w:rsidR="009D2F25" w:rsidRPr="008908F1">
              <w:rPr>
                <w:rStyle w:val="Hyperlink"/>
              </w:rPr>
              <w:t>Appendix A – Constituent decisions</w:t>
            </w:r>
            <w:r w:rsidR="009D2F25">
              <w:rPr>
                <w:webHidden/>
              </w:rPr>
              <w:tab/>
            </w:r>
            <w:r w:rsidR="009D2F25">
              <w:rPr>
                <w:webHidden/>
              </w:rPr>
              <w:fldChar w:fldCharType="begin"/>
            </w:r>
            <w:r w:rsidR="009D2F25">
              <w:rPr>
                <w:webHidden/>
              </w:rPr>
              <w:instrText xml:space="preserve"> PAGEREF _Toc417917031 \h </w:instrText>
            </w:r>
            <w:r w:rsidR="009D2F25">
              <w:rPr>
                <w:webHidden/>
              </w:rPr>
            </w:r>
            <w:r w:rsidR="009D2F25">
              <w:rPr>
                <w:webHidden/>
              </w:rPr>
              <w:fldChar w:fldCharType="separate"/>
            </w:r>
            <w:r w:rsidR="009D2F25">
              <w:rPr>
                <w:webHidden/>
              </w:rPr>
              <w:t>53</w:t>
            </w:r>
            <w:r w:rsidR="009D2F25">
              <w:rPr>
                <w:webHidden/>
              </w:rPr>
              <w:fldChar w:fldCharType="end"/>
            </w:r>
          </w:hyperlink>
        </w:p>
        <w:p w:rsidR="009D2F25" w:rsidRDefault="0010003E">
          <w:pPr>
            <w:pStyle w:val="TOC1"/>
            <w:rPr>
              <w:rFonts w:asciiTheme="minorHAnsi" w:eastAsiaTheme="minorEastAsia" w:hAnsiTheme="minorHAnsi"/>
              <w:b w:val="0"/>
              <w:color w:val="auto"/>
              <w:sz w:val="22"/>
              <w:lang w:val="en-AU" w:eastAsia="en-AU"/>
            </w:rPr>
          </w:pPr>
          <w:hyperlink w:anchor="_Toc417917032" w:history="1">
            <w:r w:rsidR="009D2F25" w:rsidRPr="008908F1">
              <w:rPr>
                <w:rStyle w:val="Hyperlink"/>
              </w:rPr>
              <w:t>Appendix B – List of submissions</w:t>
            </w:r>
            <w:r w:rsidR="009D2F25">
              <w:rPr>
                <w:webHidden/>
              </w:rPr>
              <w:tab/>
            </w:r>
            <w:r w:rsidR="009D2F25">
              <w:rPr>
                <w:webHidden/>
              </w:rPr>
              <w:fldChar w:fldCharType="begin"/>
            </w:r>
            <w:r w:rsidR="009D2F25">
              <w:rPr>
                <w:webHidden/>
              </w:rPr>
              <w:instrText xml:space="preserve"> PAGEREF _Toc417917032 \h </w:instrText>
            </w:r>
            <w:r w:rsidR="009D2F25">
              <w:rPr>
                <w:webHidden/>
              </w:rPr>
            </w:r>
            <w:r w:rsidR="009D2F25">
              <w:rPr>
                <w:webHidden/>
              </w:rPr>
              <w:fldChar w:fldCharType="separate"/>
            </w:r>
            <w:r w:rsidR="009D2F25">
              <w:rPr>
                <w:webHidden/>
              </w:rPr>
              <w:t>56</w:t>
            </w:r>
            <w:r w:rsidR="009D2F25">
              <w:rPr>
                <w:webHidden/>
              </w:rPr>
              <w:fldChar w:fldCharType="end"/>
            </w:r>
          </w:hyperlink>
        </w:p>
        <w:p w:rsidR="00360F32" w:rsidRDefault="00360F32" w:rsidP="00360F32">
          <w:pPr>
            <w:pStyle w:val="TOC1"/>
          </w:pPr>
          <w:r w:rsidRPr="00CE2A23">
            <w:fldChar w:fldCharType="end"/>
          </w:r>
        </w:p>
      </w:sdtContent>
    </w:sdt>
    <w:p w:rsidR="00360F32" w:rsidRPr="00271F7C" w:rsidRDefault="00360F32" w:rsidP="0023193C">
      <w:pPr>
        <w:pStyle w:val="UnnumberedHeading"/>
      </w:pPr>
      <w:bookmarkStart w:id="11" w:name="_Toc404700925"/>
      <w:bookmarkStart w:id="12" w:name="_Toc417916990"/>
      <w:r>
        <w:t>Shortened forms</w:t>
      </w:r>
      <w:bookmarkEnd w:id="11"/>
      <w:bookmarkEnd w:id="12"/>
    </w:p>
    <w:tbl>
      <w:tblPr>
        <w:tblStyle w:val="AERtable-text0"/>
        <w:tblW w:w="0" w:type="auto"/>
        <w:tblLook w:val="04A0" w:firstRow="1" w:lastRow="0" w:firstColumn="1" w:lastColumn="0" w:noHBand="0" w:noVBand="1"/>
      </w:tblPr>
      <w:tblGrid>
        <w:gridCol w:w="4349"/>
        <w:gridCol w:w="4344"/>
      </w:tblGrid>
      <w:tr w:rsidR="00A30BEC" w:rsidTr="0023193C">
        <w:trPr>
          <w:cnfStyle w:val="100000000000" w:firstRow="1" w:lastRow="0" w:firstColumn="0" w:lastColumn="0" w:oddVBand="0" w:evenVBand="0" w:oddHBand="0" w:evenHBand="0" w:firstRowFirstColumn="0" w:firstRowLastColumn="0" w:lastRowFirstColumn="0" w:lastRowLastColumn="0"/>
          <w:tblHeader/>
        </w:trPr>
        <w:tc>
          <w:tcPr>
            <w:tcW w:w="4349" w:type="dxa"/>
          </w:tcPr>
          <w:p w:rsidR="00A30BEC" w:rsidRPr="00A30BEC" w:rsidRDefault="00A30BEC" w:rsidP="00117E02">
            <w:pPr>
              <w:numPr>
                <w:ilvl w:val="0"/>
                <w:numId w:val="24"/>
              </w:numPr>
            </w:pPr>
            <w:r w:rsidRPr="00A30BEC">
              <w:t>Shortened form</w:t>
            </w:r>
          </w:p>
        </w:tc>
        <w:tc>
          <w:tcPr>
            <w:tcW w:w="4344" w:type="dxa"/>
          </w:tcPr>
          <w:p w:rsidR="00A30BEC" w:rsidRPr="00A30BEC" w:rsidRDefault="00A30BEC" w:rsidP="00117E02">
            <w:pPr>
              <w:numPr>
                <w:ilvl w:val="0"/>
                <w:numId w:val="24"/>
              </w:numPr>
            </w:pPr>
            <w:r w:rsidRPr="00A30BEC">
              <w:t>Extended form</w:t>
            </w:r>
          </w:p>
        </w:tc>
      </w:tr>
      <w:tr w:rsidR="00B827FC" w:rsidTr="0023193C">
        <w:tc>
          <w:tcPr>
            <w:tcW w:w="4349" w:type="dxa"/>
          </w:tcPr>
          <w:p w:rsidR="00B827FC" w:rsidRPr="00B827FC" w:rsidRDefault="00B827FC" w:rsidP="00117E02">
            <w:pPr>
              <w:numPr>
                <w:ilvl w:val="0"/>
                <w:numId w:val="24"/>
              </w:numPr>
            </w:pPr>
            <w:r w:rsidRPr="00B827FC">
              <w:t>AEMC</w:t>
            </w:r>
          </w:p>
        </w:tc>
        <w:tc>
          <w:tcPr>
            <w:tcW w:w="4344" w:type="dxa"/>
          </w:tcPr>
          <w:p w:rsidR="00B827FC" w:rsidRPr="00B827FC" w:rsidRDefault="00B827FC" w:rsidP="00117E02">
            <w:pPr>
              <w:numPr>
                <w:ilvl w:val="0"/>
                <w:numId w:val="24"/>
              </w:numPr>
            </w:pPr>
            <w:r w:rsidRPr="00B827FC">
              <w:t>Australian Energy Market Commission</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AEMO</w:t>
            </w:r>
          </w:p>
        </w:tc>
        <w:tc>
          <w:tcPr>
            <w:tcW w:w="4344" w:type="dxa"/>
          </w:tcPr>
          <w:p w:rsidR="00B827FC" w:rsidRPr="00B827FC" w:rsidRDefault="00B827FC" w:rsidP="00117E02">
            <w:pPr>
              <w:numPr>
                <w:ilvl w:val="0"/>
                <w:numId w:val="24"/>
              </w:numPr>
            </w:pPr>
            <w:r w:rsidRPr="00B827FC">
              <w:t>Australian Energy Market Operator</w:t>
            </w:r>
          </w:p>
        </w:tc>
      </w:tr>
      <w:tr w:rsidR="00B827FC" w:rsidTr="0023193C">
        <w:tc>
          <w:tcPr>
            <w:tcW w:w="4349" w:type="dxa"/>
          </w:tcPr>
          <w:p w:rsidR="00B827FC" w:rsidRPr="00B827FC" w:rsidRDefault="00B827FC" w:rsidP="00117E02">
            <w:pPr>
              <w:numPr>
                <w:ilvl w:val="0"/>
                <w:numId w:val="24"/>
              </w:numPr>
            </w:pPr>
            <w:r w:rsidRPr="00B827FC">
              <w:t>AER</w:t>
            </w:r>
          </w:p>
        </w:tc>
        <w:tc>
          <w:tcPr>
            <w:tcW w:w="4344" w:type="dxa"/>
          </w:tcPr>
          <w:p w:rsidR="00B827FC" w:rsidRPr="00B827FC" w:rsidRDefault="00B827FC" w:rsidP="00117E02">
            <w:pPr>
              <w:numPr>
                <w:ilvl w:val="0"/>
                <w:numId w:val="24"/>
              </w:numPr>
            </w:pPr>
            <w:r w:rsidRPr="00B827FC">
              <w:t>Australian Energy Regulator</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proofErr w:type="spellStart"/>
            <w:r w:rsidRPr="00B827FC">
              <w:t>augex</w:t>
            </w:r>
            <w:proofErr w:type="spellEnd"/>
          </w:p>
        </w:tc>
        <w:tc>
          <w:tcPr>
            <w:tcW w:w="4344" w:type="dxa"/>
          </w:tcPr>
          <w:p w:rsidR="00B827FC" w:rsidRPr="00B827FC" w:rsidRDefault="00B827FC" w:rsidP="00117E02">
            <w:pPr>
              <w:numPr>
                <w:ilvl w:val="0"/>
                <w:numId w:val="24"/>
              </w:numPr>
            </w:pPr>
            <w:r w:rsidRPr="00B827FC">
              <w:t>augmentation expenditure</w:t>
            </w:r>
          </w:p>
        </w:tc>
      </w:tr>
      <w:tr w:rsidR="00B827FC" w:rsidTr="0023193C">
        <w:tc>
          <w:tcPr>
            <w:tcW w:w="4349" w:type="dxa"/>
          </w:tcPr>
          <w:p w:rsidR="00B827FC" w:rsidRPr="00B827FC" w:rsidRDefault="00B827FC" w:rsidP="00117E02">
            <w:pPr>
              <w:numPr>
                <w:ilvl w:val="0"/>
                <w:numId w:val="24"/>
              </w:numPr>
            </w:pPr>
            <w:r w:rsidRPr="00B827FC">
              <w:t>capex</w:t>
            </w:r>
          </w:p>
        </w:tc>
        <w:tc>
          <w:tcPr>
            <w:tcW w:w="4344" w:type="dxa"/>
          </w:tcPr>
          <w:p w:rsidR="00B827FC" w:rsidRPr="00B827FC" w:rsidRDefault="00B827FC" w:rsidP="00117E02">
            <w:pPr>
              <w:numPr>
                <w:ilvl w:val="0"/>
                <w:numId w:val="24"/>
              </w:numPr>
            </w:pPr>
            <w:r w:rsidRPr="00B827FC">
              <w:t>capital expenditure</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CCP</w:t>
            </w:r>
          </w:p>
        </w:tc>
        <w:tc>
          <w:tcPr>
            <w:tcW w:w="4344" w:type="dxa"/>
          </w:tcPr>
          <w:p w:rsidR="00B827FC" w:rsidRPr="00B827FC" w:rsidRDefault="00B827FC" w:rsidP="00117E02">
            <w:pPr>
              <w:numPr>
                <w:ilvl w:val="0"/>
                <w:numId w:val="24"/>
              </w:numPr>
            </w:pPr>
            <w:r w:rsidRPr="00B827FC">
              <w:t>Consumer Challenge Panel</w:t>
            </w:r>
          </w:p>
        </w:tc>
      </w:tr>
      <w:tr w:rsidR="00B827FC" w:rsidTr="0023193C">
        <w:tc>
          <w:tcPr>
            <w:tcW w:w="4349" w:type="dxa"/>
          </w:tcPr>
          <w:p w:rsidR="00B827FC" w:rsidRPr="00B827FC" w:rsidRDefault="00B827FC" w:rsidP="00117E02">
            <w:pPr>
              <w:numPr>
                <w:ilvl w:val="0"/>
                <w:numId w:val="24"/>
              </w:numPr>
            </w:pPr>
            <w:r w:rsidRPr="00B827FC">
              <w:t>CESS</w:t>
            </w:r>
          </w:p>
        </w:tc>
        <w:tc>
          <w:tcPr>
            <w:tcW w:w="4344" w:type="dxa"/>
          </w:tcPr>
          <w:p w:rsidR="00B827FC" w:rsidRPr="00B827FC" w:rsidRDefault="00B827FC" w:rsidP="00117E02">
            <w:pPr>
              <w:numPr>
                <w:ilvl w:val="0"/>
                <w:numId w:val="24"/>
              </w:numPr>
            </w:pPr>
            <w:r w:rsidRPr="00B827FC">
              <w:t>capital expenditure sharing scheme</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CPI</w:t>
            </w:r>
          </w:p>
        </w:tc>
        <w:tc>
          <w:tcPr>
            <w:tcW w:w="4344" w:type="dxa"/>
          </w:tcPr>
          <w:p w:rsidR="00B827FC" w:rsidRPr="00B827FC" w:rsidRDefault="00B827FC" w:rsidP="00117E02">
            <w:pPr>
              <w:numPr>
                <w:ilvl w:val="0"/>
                <w:numId w:val="24"/>
              </w:numPr>
            </w:pPr>
            <w:r w:rsidRPr="00B827FC">
              <w:t>consumer price index</w:t>
            </w:r>
          </w:p>
        </w:tc>
      </w:tr>
      <w:tr w:rsidR="00B827FC" w:rsidTr="0023193C">
        <w:tc>
          <w:tcPr>
            <w:tcW w:w="4349" w:type="dxa"/>
          </w:tcPr>
          <w:p w:rsidR="00B827FC" w:rsidRPr="00B827FC" w:rsidRDefault="00B827FC" w:rsidP="00117E02">
            <w:pPr>
              <w:numPr>
                <w:ilvl w:val="0"/>
                <w:numId w:val="24"/>
              </w:numPr>
            </w:pPr>
            <w:r w:rsidRPr="00B827FC">
              <w:t>DRP</w:t>
            </w:r>
          </w:p>
        </w:tc>
        <w:tc>
          <w:tcPr>
            <w:tcW w:w="4344" w:type="dxa"/>
          </w:tcPr>
          <w:p w:rsidR="00B827FC" w:rsidRPr="00B827FC" w:rsidRDefault="00B827FC" w:rsidP="00117E02">
            <w:pPr>
              <w:numPr>
                <w:ilvl w:val="0"/>
                <w:numId w:val="24"/>
              </w:numPr>
            </w:pPr>
            <w:r w:rsidRPr="00B827FC">
              <w:t>debt risk premium</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DMIA</w:t>
            </w:r>
          </w:p>
        </w:tc>
        <w:tc>
          <w:tcPr>
            <w:tcW w:w="4344" w:type="dxa"/>
          </w:tcPr>
          <w:p w:rsidR="00B827FC" w:rsidRPr="00B827FC" w:rsidRDefault="00B827FC" w:rsidP="00117E02">
            <w:pPr>
              <w:numPr>
                <w:ilvl w:val="0"/>
                <w:numId w:val="24"/>
              </w:numPr>
            </w:pPr>
            <w:r w:rsidRPr="00B827FC">
              <w:t>demand management innovation allowance</w:t>
            </w:r>
          </w:p>
        </w:tc>
      </w:tr>
      <w:tr w:rsidR="00B827FC" w:rsidTr="0023193C">
        <w:tc>
          <w:tcPr>
            <w:tcW w:w="4349" w:type="dxa"/>
          </w:tcPr>
          <w:p w:rsidR="00B827FC" w:rsidRPr="00B827FC" w:rsidRDefault="00B827FC" w:rsidP="00117E02">
            <w:pPr>
              <w:numPr>
                <w:ilvl w:val="0"/>
                <w:numId w:val="24"/>
              </w:numPr>
            </w:pPr>
            <w:r w:rsidRPr="00B827FC">
              <w:t>DMIS</w:t>
            </w:r>
          </w:p>
        </w:tc>
        <w:tc>
          <w:tcPr>
            <w:tcW w:w="4344" w:type="dxa"/>
          </w:tcPr>
          <w:p w:rsidR="00B827FC" w:rsidRPr="00B827FC" w:rsidRDefault="00B827FC" w:rsidP="00117E02">
            <w:pPr>
              <w:numPr>
                <w:ilvl w:val="0"/>
                <w:numId w:val="24"/>
              </w:numPr>
            </w:pPr>
            <w:r w:rsidRPr="00B827FC">
              <w:t>demand management incentive scheme</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distributor</w:t>
            </w:r>
          </w:p>
        </w:tc>
        <w:tc>
          <w:tcPr>
            <w:tcW w:w="4344" w:type="dxa"/>
          </w:tcPr>
          <w:p w:rsidR="00B827FC" w:rsidRPr="00B827FC" w:rsidRDefault="00B827FC" w:rsidP="00117E02">
            <w:pPr>
              <w:numPr>
                <w:ilvl w:val="0"/>
                <w:numId w:val="24"/>
              </w:numPr>
            </w:pPr>
            <w:r w:rsidRPr="00B827FC">
              <w:t>distribution network service provider</w:t>
            </w:r>
          </w:p>
        </w:tc>
      </w:tr>
      <w:tr w:rsidR="00B827FC" w:rsidTr="0023193C">
        <w:tc>
          <w:tcPr>
            <w:tcW w:w="4349" w:type="dxa"/>
          </w:tcPr>
          <w:p w:rsidR="00B827FC" w:rsidRPr="00B827FC" w:rsidRDefault="00B827FC" w:rsidP="00117E02">
            <w:pPr>
              <w:numPr>
                <w:ilvl w:val="0"/>
                <w:numId w:val="24"/>
              </w:numPr>
            </w:pPr>
            <w:proofErr w:type="spellStart"/>
            <w:r w:rsidRPr="00B827FC">
              <w:t>DUoS</w:t>
            </w:r>
            <w:proofErr w:type="spellEnd"/>
          </w:p>
        </w:tc>
        <w:tc>
          <w:tcPr>
            <w:tcW w:w="4344" w:type="dxa"/>
          </w:tcPr>
          <w:p w:rsidR="00B827FC" w:rsidRPr="00B827FC" w:rsidRDefault="00B827FC" w:rsidP="00117E02">
            <w:pPr>
              <w:numPr>
                <w:ilvl w:val="0"/>
                <w:numId w:val="24"/>
              </w:numPr>
            </w:pPr>
            <w:r w:rsidRPr="00B827FC">
              <w:t>distribution use of system</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EBSS</w:t>
            </w:r>
          </w:p>
        </w:tc>
        <w:tc>
          <w:tcPr>
            <w:tcW w:w="4344" w:type="dxa"/>
          </w:tcPr>
          <w:p w:rsidR="00B827FC" w:rsidRPr="00B827FC" w:rsidRDefault="00B827FC" w:rsidP="00117E02">
            <w:pPr>
              <w:numPr>
                <w:ilvl w:val="0"/>
                <w:numId w:val="24"/>
              </w:numPr>
            </w:pPr>
            <w:r w:rsidRPr="00B827FC">
              <w:t>efficiency benefit sharing scheme</w:t>
            </w:r>
          </w:p>
        </w:tc>
      </w:tr>
      <w:tr w:rsidR="00B827FC" w:rsidTr="0023193C">
        <w:tc>
          <w:tcPr>
            <w:tcW w:w="4349" w:type="dxa"/>
          </w:tcPr>
          <w:p w:rsidR="00B827FC" w:rsidRPr="00B827FC" w:rsidRDefault="00B827FC" w:rsidP="00117E02">
            <w:pPr>
              <w:numPr>
                <w:ilvl w:val="0"/>
                <w:numId w:val="24"/>
              </w:numPr>
            </w:pPr>
            <w:r w:rsidRPr="00B827FC">
              <w:t>ERP</w:t>
            </w:r>
          </w:p>
        </w:tc>
        <w:tc>
          <w:tcPr>
            <w:tcW w:w="4344" w:type="dxa"/>
          </w:tcPr>
          <w:p w:rsidR="00B827FC" w:rsidRPr="00B827FC" w:rsidRDefault="00B827FC" w:rsidP="00117E02">
            <w:pPr>
              <w:numPr>
                <w:ilvl w:val="0"/>
                <w:numId w:val="24"/>
              </w:numPr>
            </w:pPr>
            <w:r w:rsidRPr="00B827FC">
              <w:t>equity risk premium</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Expenditure Assessment Guideline</w:t>
            </w:r>
          </w:p>
        </w:tc>
        <w:tc>
          <w:tcPr>
            <w:tcW w:w="4344" w:type="dxa"/>
          </w:tcPr>
          <w:p w:rsidR="00B827FC" w:rsidRPr="00B827FC" w:rsidRDefault="003939F5" w:rsidP="003939F5">
            <w:pPr>
              <w:numPr>
                <w:ilvl w:val="0"/>
                <w:numId w:val="24"/>
              </w:numPr>
            </w:pPr>
            <w:r>
              <w:t>E</w:t>
            </w:r>
            <w:r w:rsidRPr="00B827FC">
              <w:t xml:space="preserve">xpenditure </w:t>
            </w:r>
            <w:r>
              <w:t>F</w:t>
            </w:r>
            <w:r w:rsidRPr="00B827FC">
              <w:t xml:space="preserve">orecast </w:t>
            </w:r>
            <w:r>
              <w:t>A</w:t>
            </w:r>
            <w:r w:rsidRPr="00B827FC">
              <w:t xml:space="preserve">ssessment </w:t>
            </w:r>
            <w:r w:rsidR="00B827FC" w:rsidRPr="00B827FC">
              <w:t>Guideline for electricity distribution</w:t>
            </w:r>
          </w:p>
        </w:tc>
      </w:tr>
      <w:tr w:rsidR="00B827FC" w:rsidTr="0023193C">
        <w:tc>
          <w:tcPr>
            <w:tcW w:w="4349" w:type="dxa"/>
          </w:tcPr>
          <w:p w:rsidR="00B827FC" w:rsidRPr="00B827FC" w:rsidRDefault="00B827FC" w:rsidP="00117E02">
            <w:pPr>
              <w:numPr>
                <w:ilvl w:val="0"/>
                <w:numId w:val="24"/>
              </w:numPr>
            </w:pPr>
            <w:r w:rsidRPr="00B827FC">
              <w:t>F&amp;A</w:t>
            </w:r>
          </w:p>
        </w:tc>
        <w:tc>
          <w:tcPr>
            <w:tcW w:w="4344" w:type="dxa"/>
          </w:tcPr>
          <w:p w:rsidR="00B827FC" w:rsidRPr="00B827FC" w:rsidRDefault="00B827FC" w:rsidP="00117E02">
            <w:pPr>
              <w:numPr>
                <w:ilvl w:val="0"/>
                <w:numId w:val="24"/>
              </w:numPr>
            </w:pPr>
            <w:r w:rsidRPr="00B827FC">
              <w:t>framework and approach</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MRP</w:t>
            </w:r>
          </w:p>
        </w:tc>
        <w:tc>
          <w:tcPr>
            <w:tcW w:w="4344" w:type="dxa"/>
          </w:tcPr>
          <w:p w:rsidR="00B827FC" w:rsidRPr="00B827FC" w:rsidRDefault="00B827FC" w:rsidP="00117E02">
            <w:pPr>
              <w:numPr>
                <w:ilvl w:val="0"/>
                <w:numId w:val="24"/>
              </w:numPr>
            </w:pPr>
            <w:r w:rsidRPr="00B827FC">
              <w:t>market risk premium</w:t>
            </w:r>
          </w:p>
        </w:tc>
      </w:tr>
      <w:tr w:rsidR="00B827FC" w:rsidTr="0023193C">
        <w:tc>
          <w:tcPr>
            <w:tcW w:w="4349" w:type="dxa"/>
          </w:tcPr>
          <w:p w:rsidR="00B827FC" w:rsidRPr="00B827FC" w:rsidRDefault="00B827FC" w:rsidP="00117E02">
            <w:pPr>
              <w:numPr>
                <w:ilvl w:val="0"/>
                <w:numId w:val="24"/>
              </w:numPr>
            </w:pPr>
            <w:r w:rsidRPr="00B827FC">
              <w:t>NEL</w:t>
            </w:r>
          </w:p>
        </w:tc>
        <w:tc>
          <w:tcPr>
            <w:tcW w:w="4344" w:type="dxa"/>
          </w:tcPr>
          <w:p w:rsidR="00B827FC" w:rsidRPr="00B827FC" w:rsidRDefault="00B827FC" w:rsidP="00117E02">
            <w:pPr>
              <w:numPr>
                <w:ilvl w:val="0"/>
                <w:numId w:val="24"/>
              </w:numPr>
            </w:pPr>
            <w:r w:rsidRPr="00B827FC">
              <w:t>national electricity law</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NEM</w:t>
            </w:r>
          </w:p>
        </w:tc>
        <w:tc>
          <w:tcPr>
            <w:tcW w:w="4344" w:type="dxa"/>
          </w:tcPr>
          <w:p w:rsidR="00B827FC" w:rsidRPr="00B827FC" w:rsidRDefault="00B827FC" w:rsidP="00117E02">
            <w:pPr>
              <w:numPr>
                <w:ilvl w:val="0"/>
                <w:numId w:val="24"/>
              </w:numPr>
            </w:pPr>
            <w:r w:rsidRPr="00B827FC">
              <w:t>national electricity market</w:t>
            </w:r>
          </w:p>
        </w:tc>
      </w:tr>
      <w:tr w:rsidR="00B827FC" w:rsidTr="0023193C">
        <w:tc>
          <w:tcPr>
            <w:tcW w:w="4349" w:type="dxa"/>
          </w:tcPr>
          <w:p w:rsidR="00B827FC" w:rsidRPr="00B827FC" w:rsidRDefault="00B827FC" w:rsidP="00117E02">
            <w:pPr>
              <w:numPr>
                <w:ilvl w:val="0"/>
                <w:numId w:val="24"/>
              </w:numPr>
            </w:pPr>
            <w:r w:rsidRPr="00B827FC">
              <w:t>NEO</w:t>
            </w:r>
          </w:p>
        </w:tc>
        <w:tc>
          <w:tcPr>
            <w:tcW w:w="4344" w:type="dxa"/>
          </w:tcPr>
          <w:p w:rsidR="00B827FC" w:rsidRPr="00B827FC" w:rsidRDefault="00B827FC" w:rsidP="00117E02">
            <w:pPr>
              <w:numPr>
                <w:ilvl w:val="0"/>
                <w:numId w:val="24"/>
              </w:numPr>
            </w:pPr>
            <w:r w:rsidRPr="00B827FC">
              <w:t>national electricity objective</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NER</w:t>
            </w:r>
          </w:p>
        </w:tc>
        <w:tc>
          <w:tcPr>
            <w:tcW w:w="4344" w:type="dxa"/>
          </w:tcPr>
          <w:p w:rsidR="00B827FC" w:rsidRPr="00B827FC" w:rsidRDefault="00B827FC" w:rsidP="00117E02">
            <w:pPr>
              <w:numPr>
                <w:ilvl w:val="0"/>
                <w:numId w:val="24"/>
              </w:numPr>
            </w:pPr>
            <w:r w:rsidRPr="00B827FC">
              <w:t>national electricity rules</w:t>
            </w:r>
          </w:p>
        </w:tc>
      </w:tr>
      <w:tr w:rsidR="00B827FC" w:rsidTr="0023193C">
        <w:tc>
          <w:tcPr>
            <w:tcW w:w="4349" w:type="dxa"/>
          </w:tcPr>
          <w:p w:rsidR="00B827FC" w:rsidRPr="00B827FC" w:rsidRDefault="00B827FC" w:rsidP="00117E02">
            <w:pPr>
              <w:numPr>
                <w:ilvl w:val="0"/>
                <w:numId w:val="24"/>
              </w:numPr>
            </w:pPr>
            <w:r w:rsidRPr="00B827FC">
              <w:t>NSP</w:t>
            </w:r>
          </w:p>
        </w:tc>
        <w:tc>
          <w:tcPr>
            <w:tcW w:w="4344" w:type="dxa"/>
          </w:tcPr>
          <w:p w:rsidR="00B827FC" w:rsidRPr="00B827FC" w:rsidRDefault="00B827FC" w:rsidP="00117E02">
            <w:pPr>
              <w:numPr>
                <w:ilvl w:val="0"/>
                <w:numId w:val="24"/>
              </w:numPr>
            </w:pPr>
            <w:r w:rsidRPr="00B827FC">
              <w:t>network service provider</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proofErr w:type="spellStart"/>
            <w:r w:rsidRPr="00B827FC">
              <w:t>opex</w:t>
            </w:r>
            <w:proofErr w:type="spellEnd"/>
          </w:p>
        </w:tc>
        <w:tc>
          <w:tcPr>
            <w:tcW w:w="4344" w:type="dxa"/>
          </w:tcPr>
          <w:p w:rsidR="00B827FC" w:rsidRPr="00B827FC" w:rsidRDefault="00B827FC" w:rsidP="00117E02">
            <w:pPr>
              <w:numPr>
                <w:ilvl w:val="0"/>
                <w:numId w:val="24"/>
              </w:numPr>
            </w:pPr>
            <w:r w:rsidRPr="00B827FC">
              <w:t>operating expenditure</w:t>
            </w:r>
          </w:p>
        </w:tc>
      </w:tr>
      <w:tr w:rsidR="00B827FC" w:rsidTr="0023193C">
        <w:tc>
          <w:tcPr>
            <w:tcW w:w="4349" w:type="dxa"/>
          </w:tcPr>
          <w:p w:rsidR="00B827FC" w:rsidRPr="00B827FC" w:rsidRDefault="00B827FC" w:rsidP="00117E02">
            <w:pPr>
              <w:numPr>
                <w:ilvl w:val="0"/>
                <w:numId w:val="24"/>
              </w:numPr>
            </w:pPr>
            <w:r w:rsidRPr="00B827FC">
              <w:t>PPI</w:t>
            </w:r>
          </w:p>
        </w:tc>
        <w:tc>
          <w:tcPr>
            <w:tcW w:w="4344" w:type="dxa"/>
          </w:tcPr>
          <w:p w:rsidR="00B827FC" w:rsidRPr="00B827FC" w:rsidRDefault="00B827FC" w:rsidP="00117E02">
            <w:pPr>
              <w:numPr>
                <w:ilvl w:val="0"/>
                <w:numId w:val="24"/>
              </w:numPr>
            </w:pPr>
            <w:r w:rsidRPr="00B827FC">
              <w:t>partial performance indicators</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PTRM</w:t>
            </w:r>
          </w:p>
        </w:tc>
        <w:tc>
          <w:tcPr>
            <w:tcW w:w="4344" w:type="dxa"/>
          </w:tcPr>
          <w:p w:rsidR="00B827FC" w:rsidRPr="00B827FC" w:rsidRDefault="00B827FC" w:rsidP="00117E02">
            <w:pPr>
              <w:numPr>
                <w:ilvl w:val="0"/>
                <w:numId w:val="24"/>
              </w:numPr>
            </w:pPr>
            <w:r w:rsidRPr="00B827FC">
              <w:t>post-tax revenue model</w:t>
            </w:r>
          </w:p>
        </w:tc>
      </w:tr>
      <w:tr w:rsidR="00B827FC" w:rsidTr="0023193C">
        <w:tc>
          <w:tcPr>
            <w:tcW w:w="4349" w:type="dxa"/>
          </w:tcPr>
          <w:p w:rsidR="00B827FC" w:rsidRPr="00B827FC" w:rsidRDefault="00B827FC" w:rsidP="00117E02">
            <w:pPr>
              <w:numPr>
                <w:ilvl w:val="0"/>
                <w:numId w:val="24"/>
              </w:numPr>
            </w:pPr>
            <w:r w:rsidRPr="00B827FC">
              <w:t>RAB</w:t>
            </w:r>
          </w:p>
        </w:tc>
        <w:tc>
          <w:tcPr>
            <w:tcW w:w="4344" w:type="dxa"/>
          </w:tcPr>
          <w:p w:rsidR="00B827FC" w:rsidRPr="00B827FC" w:rsidRDefault="00B827FC" w:rsidP="00117E02">
            <w:pPr>
              <w:numPr>
                <w:ilvl w:val="0"/>
                <w:numId w:val="24"/>
              </w:numPr>
            </w:pPr>
            <w:r w:rsidRPr="00B827FC">
              <w:t>regulatory asset base</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RBA</w:t>
            </w:r>
          </w:p>
        </w:tc>
        <w:tc>
          <w:tcPr>
            <w:tcW w:w="4344" w:type="dxa"/>
          </w:tcPr>
          <w:p w:rsidR="00B827FC" w:rsidRPr="00B827FC" w:rsidRDefault="00B827FC" w:rsidP="00117E02">
            <w:pPr>
              <w:numPr>
                <w:ilvl w:val="0"/>
                <w:numId w:val="24"/>
              </w:numPr>
            </w:pPr>
            <w:r w:rsidRPr="00B827FC">
              <w:t>Reserve Bank of Australia</w:t>
            </w:r>
          </w:p>
        </w:tc>
      </w:tr>
      <w:tr w:rsidR="00B827FC" w:rsidTr="0023193C">
        <w:tc>
          <w:tcPr>
            <w:tcW w:w="4349" w:type="dxa"/>
          </w:tcPr>
          <w:p w:rsidR="00B827FC" w:rsidRPr="00B827FC" w:rsidRDefault="00B827FC" w:rsidP="00117E02">
            <w:pPr>
              <w:numPr>
                <w:ilvl w:val="0"/>
                <w:numId w:val="24"/>
              </w:numPr>
            </w:pPr>
            <w:proofErr w:type="spellStart"/>
            <w:r w:rsidRPr="00B827FC">
              <w:t>repex</w:t>
            </w:r>
            <w:proofErr w:type="spellEnd"/>
          </w:p>
        </w:tc>
        <w:tc>
          <w:tcPr>
            <w:tcW w:w="4344" w:type="dxa"/>
          </w:tcPr>
          <w:p w:rsidR="00B827FC" w:rsidRPr="00B827FC" w:rsidRDefault="00B827FC" w:rsidP="00117E02">
            <w:pPr>
              <w:numPr>
                <w:ilvl w:val="0"/>
                <w:numId w:val="24"/>
              </w:numPr>
            </w:pPr>
            <w:r w:rsidRPr="00B827FC">
              <w:t>replacement expenditure</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RFM</w:t>
            </w:r>
          </w:p>
        </w:tc>
        <w:tc>
          <w:tcPr>
            <w:tcW w:w="4344" w:type="dxa"/>
          </w:tcPr>
          <w:p w:rsidR="00B827FC" w:rsidRPr="00B827FC" w:rsidRDefault="00B827FC" w:rsidP="00117E02">
            <w:pPr>
              <w:numPr>
                <w:ilvl w:val="0"/>
                <w:numId w:val="24"/>
              </w:numPr>
            </w:pPr>
            <w:r w:rsidRPr="00B827FC">
              <w:t>roll forward model</w:t>
            </w:r>
          </w:p>
        </w:tc>
      </w:tr>
      <w:tr w:rsidR="00B827FC" w:rsidTr="0023193C">
        <w:tc>
          <w:tcPr>
            <w:tcW w:w="4349" w:type="dxa"/>
          </w:tcPr>
          <w:p w:rsidR="00B827FC" w:rsidRPr="00B827FC" w:rsidRDefault="00B827FC" w:rsidP="00117E02">
            <w:pPr>
              <w:numPr>
                <w:ilvl w:val="0"/>
                <w:numId w:val="24"/>
              </w:numPr>
            </w:pPr>
            <w:r w:rsidRPr="00B827FC">
              <w:t>RIN</w:t>
            </w:r>
          </w:p>
        </w:tc>
        <w:tc>
          <w:tcPr>
            <w:tcW w:w="4344" w:type="dxa"/>
          </w:tcPr>
          <w:p w:rsidR="00B827FC" w:rsidRPr="00B827FC" w:rsidRDefault="00B827FC" w:rsidP="00117E02">
            <w:pPr>
              <w:numPr>
                <w:ilvl w:val="0"/>
                <w:numId w:val="24"/>
              </w:numPr>
            </w:pPr>
            <w:r w:rsidRPr="00B827FC">
              <w:t>regulatory information notice</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RPP</w:t>
            </w:r>
          </w:p>
        </w:tc>
        <w:tc>
          <w:tcPr>
            <w:tcW w:w="4344" w:type="dxa"/>
          </w:tcPr>
          <w:p w:rsidR="00B827FC" w:rsidRPr="00B827FC" w:rsidRDefault="00B827FC" w:rsidP="00117E02">
            <w:pPr>
              <w:numPr>
                <w:ilvl w:val="0"/>
                <w:numId w:val="24"/>
              </w:numPr>
            </w:pPr>
            <w:r w:rsidRPr="00B827FC">
              <w:t>revenue and pricing principles</w:t>
            </w:r>
          </w:p>
        </w:tc>
      </w:tr>
      <w:tr w:rsidR="00B827FC" w:rsidTr="0023193C">
        <w:tc>
          <w:tcPr>
            <w:tcW w:w="4349" w:type="dxa"/>
          </w:tcPr>
          <w:p w:rsidR="00B827FC" w:rsidRPr="00B827FC" w:rsidRDefault="00B827FC" w:rsidP="00117E02">
            <w:pPr>
              <w:numPr>
                <w:ilvl w:val="0"/>
                <w:numId w:val="24"/>
              </w:numPr>
            </w:pPr>
            <w:r w:rsidRPr="00B827FC">
              <w:t>SAIDI</w:t>
            </w:r>
          </w:p>
        </w:tc>
        <w:tc>
          <w:tcPr>
            <w:tcW w:w="4344" w:type="dxa"/>
          </w:tcPr>
          <w:p w:rsidR="00B827FC" w:rsidRPr="00B827FC" w:rsidRDefault="00B827FC" w:rsidP="00117E02">
            <w:pPr>
              <w:numPr>
                <w:ilvl w:val="0"/>
                <w:numId w:val="24"/>
              </w:numPr>
            </w:pPr>
            <w:r w:rsidRPr="00B827FC">
              <w:t>system average interruption duration index</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SAIFI</w:t>
            </w:r>
          </w:p>
        </w:tc>
        <w:tc>
          <w:tcPr>
            <w:tcW w:w="4344" w:type="dxa"/>
          </w:tcPr>
          <w:p w:rsidR="00B827FC" w:rsidRPr="00B827FC" w:rsidRDefault="00B827FC" w:rsidP="00117E02">
            <w:pPr>
              <w:numPr>
                <w:ilvl w:val="0"/>
                <w:numId w:val="24"/>
              </w:numPr>
            </w:pPr>
            <w:r w:rsidRPr="00B827FC">
              <w:t>system average interruption frequency index</w:t>
            </w:r>
          </w:p>
        </w:tc>
      </w:tr>
      <w:tr w:rsidR="00B827FC" w:rsidTr="0023193C">
        <w:tc>
          <w:tcPr>
            <w:tcW w:w="4349" w:type="dxa"/>
          </w:tcPr>
          <w:p w:rsidR="00B827FC" w:rsidRPr="00B827FC" w:rsidRDefault="00B827FC" w:rsidP="00117E02">
            <w:pPr>
              <w:numPr>
                <w:ilvl w:val="0"/>
                <w:numId w:val="24"/>
              </w:numPr>
            </w:pPr>
            <w:r w:rsidRPr="00B827FC">
              <w:t>SLCAPM</w:t>
            </w:r>
          </w:p>
        </w:tc>
        <w:tc>
          <w:tcPr>
            <w:tcW w:w="4344" w:type="dxa"/>
          </w:tcPr>
          <w:p w:rsidR="00B827FC" w:rsidRPr="00B827FC" w:rsidRDefault="00B827FC" w:rsidP="00117E02">
            <w:pPr>
              <w:numPr>
                <w:ilvl w:val="0"/>
                <w:numId w:val="24"/>
              </w:numPr>
            </w:pPr>
            <w:r w:rsidRPr="00B827FC">
              <w:t>Sharpe-Lintner capital asset pricing model</w:t>
            </w:r>
          </w:p>
        </w:tc>
      </w:tr>
      <w:tr w:rsidR="00B827FC" w:rsidTr="0023193C">
        <w:trPr>
          <w:cnfStyle w:val="000000010000" w:firstRow="0" w:lastRow="0" w:firstColumn="0" w:lastColumn="0" w:oddVBand="0" w:evenVBand="0" w:oddHBand="0" w:evenHBand="1" w:firstRowFirstColumn="0" w:firstRowLastColumn="0" w:lastRowFirstColumn="0" w:lastRowLastColumn="0"/>
        </w:trPr>
        <w:tc>
          <w:tcPr>
            <w:tcW w:w="4349" w:type="dxa"/>
          </w:tcPr>
          <w:p w:rsidR="00B827FC" w:rsidRPr="00B827FC" w:rsidRDefault="00B827FC" w:rsidP="00117E02">
            <w:pPr>
              <w:numPr>
                <w:ilvl w:val="0"/>
                <w:numId w:val="24"/>
              </w:numPr>
            </w:pPr>
            <w:r w:rsidRPr="00B827FC">
              <w:t>STPIS</w:t>
            </w:r>
          </w:p>
        </w:tc>
        <w:tc>
          <w:tcPr>
            <w:tcW w:w="4344" w:type="dxa"/>
          </w:tcPr>
          <w:p w:rsidR="00B827FC" w:rsidRPr="00B827FC" w:rsidRDefault="00B827FC" w:rsidP="00117E02">
            <w:pPr>
              <w:numPr>
                <w:ilvl w:val="0"/>
                <w:numId w:val="24"/>
              </w:numPr>
            </w:pPr>
            <w:r w:rsidRPr="00B827FC">
              <w:t>service target performance incentive scheme</w:t>
            </w:r>
          </w:p>
        </w:tc>
      </w:tr>
      <w:tr w:rsidR="00B827FC" w:rsidTr="0023193C">
        <w:tc>
          <w:tcPr>
            <w:tcW w:w="4349" w:type="dxa"/>
          </w:tcPr>
          <w:p w:rsidR="00B827FC" w:rsidRPr="00B827FC" w:rsidRDefault="00B827FC" w:rsidP="00117E02">
            <w:pPr>
              <w:numPr>
                <w:ilvl w:val="0"/>
                <w:numId w:val="24"/>
              </w:numPr>
            </w:pPr>
            <w:r w:rsidRPr="00B827FC">
              <w:t>WACC</w:t>
            </w:r>
          </w:p>
        </w:tc>
        <w:tc>
          <w:tcPr>
            <w:tcW w:w="4344" w:type="dxa"/>
          </w:tcPr>
          <w:p w:rsidR="00B827FC" w:rsidRPr="00B827FC" w:rsidRDefault="00B827FC" w:rsidP="00117E02">
            <w:pPr>
              <w:numPr>
                <w:ilvl w:val="0"/>
                <w:numId w:val="24"/>
              </w:numPr>
            </w:pPr>
            <w:r w:rsidRPr="00B827FC">
              <w:t>weighted average cost of capital</w:t>
            </w:r>
          </w:p>
        </w:tc>
      </w:tr>
    </w:tbl>
    <w:p w:rsidR="00360F32" w:rsidRPr="008F3A0D" w:rsidRDefault="00360F32" w:rsidP="00360F32">
      <w:pPr>
        <w:pStyle w:val="Heading1"/>
      </w:pPr>
      <w:bookmarkStart w:id="13" w:name="_Ref416882735"/>
      <w:bookmarkStart w:id="14" w:name="_Toc417916991"/>
      <w:r w:rsidRPr="008F3A0D">
        <w:t xml:space="preserve">Our </w:t>
      </w:r>
      <w:r>
        <w:t>final</w:t>
      </w:r>
      <w:r w:rsidRPr="008F3A0D">
        <w:t xml:space="preserve"> decision</w:t>
      </w:r>
      <w:bookmarkEnd w:id="1"/>
      <w:bookmarkEnd w:id="13"/>
      <w:bookmarkEnd w:id="14"/>
    </w:p>
    <w:p w:rsidR="00360F32" w:rsidRDefault="00360F32" w:rsidP="00360F32">
      <w:r>
        <w:t xml:space="preserve">The </w:t>
      </w:r>
      <w:r w:rsidR="000D5E6B">
        <w:t>Australian Energy Regulator (</w:t>
      </w:r>
      <w:r>
        <w:t>AER</w:t>
      </w:r>
      <w:r w:rsidR="000D5E6B">
        <w:t>)</w:t>
      </w:r>
      <w:r>
        <w:t xml:space="preserve"> is responsible for the economic regulation of electricity transmission and distribution systems in all states and territories except Western Australian and the Northern Territory. </w:t>
      </w:r>
      <w:r w:rsidR="00D152FE">
        <w:t xml:space="preserve">Endeavour Energy </w:t>
      </w:r>
      <w:r>
        <w:t xml:space="preserve">is one of three distribution network service providers (distributors) in NSW and is responsible for providing electricity distribution services in </w:t>
      </w:r>
      <w:r w:rsidR="00FF466B">
        <w:t>Sydney's Greater West, the Blue Mountains, Southern Highlands, Illawarra and South Coast of NSW</w:t>
      </w:r>
      <w:r>
        <w:t xml:space="preserve">. We regulate the revenues </w:t>
      </w:r>
      <w:r w:rsidR="00D152FE">
        <w:t xml:space="preserve">Endeavour Energy </w:t>
      </w:r>
      <w:r>
        <w:t>and the other distributors can recover from their customers.</w:t>
      </w:r>
    </w:p>
    <w:p w:rsidR="00360F32" w:rsidRDefault="00360F32" w:rsidP="00117E02">
      <w:pPr>
        <w:numPr>
          <w:ilvl w:val="0"/>
          <w:numId w:val="24"/>
        </w:numPr>
      </w:pPr>
      <w:r w:rsidRPr="006C7462">
        <w:t xml:space="preserve">The </w:t>
      </w:r>
      <w:r>
        <w:t>National Electricity Law (</w:t>
      </w:r>
      <w:r w:rsidRPr="006C7462">
        <w:t>NEL</w:t>
      </w:r>
      <w:r>
        <w:t>)</w:t>
      </w:r>
      <w:r w:rsidRPr="006C7462">
        <w:t xml:space="preserve"> and </w:t>
      </w:r>
      <w:r>
        <w:t>National Electricity Rules (</w:t>
      </w:r>
      <w:r w:rsidRPr="006C7462">
        <w:t>NER</w:t>
      </w:r>
      <w:r>
        <w:t>)</w:t>
      </w:r>
      <w:r w:rsidRPr="006C7462">
        <w:t xml:space="preserve"> provide the </w:t>
      </w:r>
      <w:r>
        <w:t>regulatory</w:t>
      </w:r>
      <w:r w:rsidRPr="006C7462">
        <w:t xml:space="preserve"> framework under which we operate. </w:t>
      </w:r>
      <w:r>
        <w:t xml:space="preserve">Most relevantly, they set out how we must assess a regulatory proposal and make our decision. </w:t>
      </w:r>
    </w:p>
    <w:p w:rsidR="00360F32" w:rsidRPr="006C7462" w:rsidRDefault="00360F32" w:rsidP="00117E02">
      <w:pPr>
        <w:numPr>
          <w:ilvl w:val="0"/>
          <w:numId w:val="24"/>
        </w:numPr>
      </w:pPr>
      <w:r>
        <w:t>The National Electricity Objective (NEO) sits at the centre of the NEL and NER.</w:t>
      </w:r>
      <w:r w:rsidRPr="006C7462">
        <w:t xml:space="preserve"> The NEO is to promote efficient investment in, and efficient operation and use of, electricity services for the long term interests of consumers of electricity with respect to—</w:t>
      </w:r>
    </w:p>
    <w:p w:rsidR="00360F32" w:rsidRPr="006C7462" w:rsidRDefault="00360F32" w:rsidP="00360F32">
      <w:pPr>
        <w:pStyle w:val="AERquote"/>
      </w:pPr>
      <w:proofErr w:type="gramStart"/>
      <w:r w:rsidRPr="006C7462">
        <w:t>price</w:t>
      </w:r>
      <w:proofErr w:type="gramEnd"/>
      <w:r w:rsidRPr="006C7462">
        <w:t>, quality, safety, reliability and security of supply of electricity; and</w:t>
      </w:r>
    </w:p>
    <w:p w:rsidR="00360F32" w:rsidRPr="006C7462" w:rsidRDefault="00360F32" w:rsidP="00360F32">
      <w:pPr>
        <w:pStyle w:val="AERquote"/>
      </w:pPr>
      <w:proofErr w:type="gramStart"/>
      <w:r w:rsidRPr="006C7462">
        <w:t>the</w:t>
      </w:r>
      <w:proofErr w:type="gramEnd"/>
      <w:r w:rsidRPr="006C7462">
        <w:t xml:space="preserve"> reliability, safety and security of the national electricity system.</w:t>
      </w:r>
      <w:r w:rsidRPr="006C7462">
        <w:rPr>
          <w:rStyle w:val="FootnoteReference"/>
        </w:rPr>
        <w:footnoteReference w:id="1"/>
      </w:r>
      <w:r w:rsidRPr="006C7462">
        <w:t xml:space="preserve">  </w:t>
      </w:r>
    </w:p>
    <w:p w:rsidR="00360F32" w:rsidRDefault="00360F32" w:rsidP="00360F32">
      <w:r>
        <w:t xml:space="preserve">Under the NER, </w:t>
      </w:r>
      <w:r w:rsidR="00D152FE">
        <w:t xml:space="preserve">Endeavour Energy </w:t>
      </w:r>
      <w:r>
        <w:t>must submit a regulatory proposal to us for approval.</w:t>
      </w:r>
      <w:r>
        <w:rPr>
          <w:rStyle w:val="FootnoteReference"/>
        </w:rPr>
        <w:footnoteReference w:id="2"/>
      </w:r>
      <w:r>
        <w:t xml:space="preserve"> </w:t>
      </w:r>
      <w:r w:rsidRPr="003B504B">
        <w:t xml:space="preserve">The central component of a regulatory proposal is the amount of revenue </w:t>
      </w:r>
      <w:r w:rsidR="00D152FE">
        <w:t>Endeavour Energy</w:t>
      </w:r>
      <w:r w:rsidR="00D152FE" w:rsidRPr="003B504B">
        <w:t xml:space="preserve"> </w:t>
      </w:r>
      <w:r w:rsidRPr="003B504B">
        <w:t xml:space="preserve">proposes to recover from consumers over the 2015-19 regulatory control </w:t>
      </w:r>
      <w:proofErr w:type="gramStart"/>
      <w:r w:rsidRPr="003B504B">
        <w:t>period</w:t>
      </w:r>
      <w:proofErr w:type="gramEnd"/>
      <w:r w:rsidRPr="003B504B">
        <w:t>.</w:t>
      </w:r>
      <w:r>
        <w:rPr>
          <w:rStyle w:val="FootnoteReference"/>
        </w:rPr>
        <w:footnoteReference w:id="3"/>
      </w:r>
      <w:r w:rsidRPr="003B504B">
        <w:t xml:space="preserve"> </w:t>
      </w:r>
      <w:r>
        <w:t xml:space="preserve">We </w:t>
      </w:r>
      <w:r w:rsidRPr="003B504B">
        <w:t xml:space="preserve">must assess </w:t>
      </w:r>
      <w:r w:rsidR="00D152FE">
        <w:t xml:space="preserve">Endeavour Energy's </w:t>
      </w:r>
      <w:r w:rsidRPr="003B504B">
        <w:t>proposal</w:t>
      </w:r>
      <w:r>
        <w:t xml:space="preserve">, using the NER's detailed rules. </w:t>
      </w:r>
      <w:r w:rsidR="0075326F">
        <w:t>The NER address</w:t>
      </w:r>
      <w:r w:rsidR="000D5E6B">
        <w:t>es</w:t>
      </w:r>
      <w:r w:rsidR="0075326F">
        <w:t xml:space="preserve"> a range of constituent components of a revenue proposal.</w:t>
      </w:r>
      <w:r>
        <w:t xml:space="preserve"> We must </w:t>
      </w:r>
      <w:r w:rsidRPr="003B504B">
        <w:t xml:space="preserve">decide whether to accept </w:t>
      </w:r>
      <w:r w:rsidR="00D152FE">
        <w:t xml:space="preserve">Endeavour Energy's </w:t>
      </w:r>
      <w:r>
        <w:t>proposal</w:t>
      </w:r>
      <w:r w:rsidRPr="003B504B">
        <w:t xml:space="preserve">. If </w:t>
      </w:r>
      <w:r>
        <w:t xml:space="preserve">we do not accept that </w:t>
      </w:r>
      <w:r w:rsidR="00D152FE">
        <w:t xml:space="preserve">Endeavour Energy's </w:t>
      </w:r>
      <w:r>
        <w:t>proposal complies with the NER's requirements</w:t>
      </w:r>
      <w:r w:rsidRPr="003B504B">
        <w:t>,</w:t>
      </w:r>
      <w:r>
        <w:t xml:space="preserve"> we </w:t>
      </w:r>
      <w:r w:rsidRPr="003B504B">
        <w:t xml:space="preserve">must substitute an alternative amount of revenue that </w:t>
      </w:r>
      <w:r>
        <w:t>we are satisfied does comply</w:t>
      </w:r>
      <w:r w:rsidR="0075326F">
        <w:t>.</w:t>
      </w:r>
      <w:r>
        <w:t xml:space="preserve"> We must undertake this assessment and make this decision in a manner that </w:t>
      </w:r>
      <w:r w:rsidR="008E5E3A">
        <w:t xml:space="preserve">will or is likely to </w:t>
      </w:r>
      <w:r>
        <w:t>contribute to the achievement of the NEO</w:t>
      </w:r>
      <w:r w:rsidR="008E5E3A">
        <w:t xml:space="preserve"> and, where appropriate, contribute to the greatest degree</w:t>
      </w:r>
      <w:r>
        <w:t>.</w:t>
      </w:r>
    </w:p>
    <w:p w:rsidR="00360F32" w:rsidRPr="003424EA" w:rsidRDefault="00360F32" w:rsidP="00360F32">
      <w:pPr>
        <w:rPr>
          <w:rStyle w:val="AERbody"/>
        </w:rPr>
      </w:pPr>
      <w:r w:rsidRPr="003424EA">
        <w:rPr>
          <w:rStyle w:val="AERbody"/>
        </w:rPr>
        <w:t xml:space="preserve">We regulate </w:t>
      </w:r>
      <w:r w:rsidR="00D152FE">
        <w:rPr>
          <w:rStyle w:val="AERbody"/>
        </w:rPr>
        <w:t>Endeavour Energy</w:t>
      </w:r>
      <w:r w:rsidR="00D152FE" w:rsidRPr="003424EA">
        <w:rPr>
          <w:rStyle w:val="AERbody"/>
        </w:rPr>
        <w:t xml:space="preserve">'s </w:t>
      </w:r>
      <w:r w:rsidRPr="003424EA">
        <w:rPr>
          <w:rStyle w:val="AERbody"/>
        </w:rPr>
        <w:t xml:space="preserve">revenue, not its costs. </w:t>
      </w:r>
      <w:r w:rsidR="00D152FE">
        <w:rPr>
          <w:rStyle w:val="AERbody"/>
        </w:rPr>
        <w:t>Endeavour Energy</w:t>
      </w:r>
      <w:r w:rsidR="00D152FE" w:rsidRPr="003424EA">
        <w:rPr>
          <w:rStyle w:val="AERbody"/>
        </w:rPr>
        <w:t xml:space="preserve"> </w:t>
      </w:r>
      <w:r w:rsidR="00CF1C62">
        <w:rPr>
          <w:rStyle w:val="AERbody"/>
        </w:rPr>
        <w:t>must decide how best to use this revenue</w:t>
      </w:r>
      <w:r w:rsidRPr="003424EA">
        <w:rPr>
          <w:rStyle w:val="AERbody"/>
        </w:rPr>
        <w:t xml:space="preserve"> in providing distribution services and </w:t>
      </w:r>
      <w:r w:rsidR="00CF1C62">
        <w:rPr>
          <w:rStyle w:val="AERbody"/>
        </w:rPr>
        <w:t>fulfilling its obligations</w:t>
      </w:r>
      <w:r w:rsidRPr="003424EA">
        <w:rPr>
          <w:rStyle w:val="AERbody"/>
        </w:rPr>
        <w:t xml:space="preserve">. This provides incentives for distributors, such as </w:t>
      </w:r>
      <w:r w:rsidR="00D152FE">
        <w:rPr>
          <w:rStyle w:val="AERbody"/>
        </w:rPr>
        <w:t>Endeavour Energy</w:t>
      </w:r>
      <w:r w:rsidRPr="003424EA">
        <w:rPr>
          <w:rStyle w:val="AERbody"/>
        </w:rPr>
        <w:t>, to operate their businesses efficiently and, in the long run, at least cost to consumers. It also provides incentives for distributors to innovate and invest in response to changes in consumer needs and productive opportunities.</w:t>
      </w:r>
      <w:r>
        <w:rPr>
          <w:rStyle w:val="FootnoteReference"/>
        </w:rPr>
        <w:footnoteReference w:id="4"/>
      </w:r>
      <w:r w:rsidRPr="003424EA">
        <w:rPr>
          <w:rStyle w:val="AERbody"/>
        </w:rPr>
        <w:t xml:space="preserve"> This is consistent with economic efficiency principles. It</w:t>
      </w:r>
      <w:r>
        <w:rPr>
          <w:rStyle w:val="AERbody"/>
        </w:rPr>
        <w:t xml:space="preserve"> also</w:t>
      </w:r>
      <w:r w:rsidRPr="003424EA">
        <w:rPr>
          <w:rStyle w:val="AERbody"/>
        </w:rPr>
        <w:t xml:space="preserve"> means that the </w:t>
      </w:r>
      <w:proofErr w:type="gramStart"/>
      <w:r w:rsidRPr="003424EA">
        <w:rPr>
          <w:rStyle w:val="AERbody"/>
        </w:rPr>
        <w:t>person</w:t>
      </w:r>
      <w:proofErr w:type="gramEnd"/>
      <w:r w:rsidRPr="003424EA">
        <w:rPr>
          <w:rStyle w:val="AERbody"/>
        </w:rPr>
        <w:t xml:space="preserve"> who is best able to manage a risk, generally carries that risk.</w:t>
      </w:r>
      <w:r>
        <w:rPr>
          <w:rStyle w:val="AERbody"/>
        </w:rPr>
        <w:t xml:space="preserve"> </w:t>
      </w:r>
    </w:p>
    <w:p w:rsidR="00360F32" w:rsidRPr="003B504B" w:rsidRDefault="00D152FE" w:rsidP="00360F32">
      <w:r>
        <w:t xml:space="preserve">Endeavour Energy </w:t>
      </w:r>
      <w:r w:rsidR="00360F32">
        <w:t xml:space="preserve">submitted its regulatory proposal in May 2014. In November 2014 we made a draft decision and, in January 2015, </w:t>
      </w:r>
      <w:r>
        <w:t xml:space="preserve">Endeavour Energy </w:t>
      </w:r>
      <w:r w:rsidR="00360F32">
        <w:t xml:space="preserve">submitted a revised proposal. </w:t>
      </w:r>
      <w:r w:rsidR="008E5E3A">
        <w:t>We also received submissions from various stakeholders on Endeavour Energy's initial and revised proposal as well as our draft decision.</w:t>
      </w:r>
    </w:p>
    <w:p w:rsidR="00360F32" w:rsidRDefault="00360F32" w:rsidP="00360F32">
      <w:r>
        <w:t xml:space="preserve">This overview, together with its </w:t>
      </w:r>
      <w:r w:rsidRPr="003B504B">
        <w:t xml:space="preserve">attachments, constitutes our final decision on </w:t>
      </w:r>
      <w:r w:rsidR="00D152FE">
        <w:t xml:space="preserve">Endeavour Energy's </w:t>
      </w:r>
      <w:r>
        <w:t xml:space="preserve">revised proposal. </w:t>
      </w:r>
      <w:r w:rsidR="003E67D0">
        <w:t>The overview</w:t>
      </w:r>
      <w:r>
        <w:t xml:space="preserve"> provides</w:t>
      </w:r>
      <w:r w:rsidRPr="003B504B">
        <w:t xml:space="preserve"> a summary</w:t>
      </w:r>
      <w:r>
        <w:t xml:space="preserve"> of</w:t>
      </w:r>
      <w:r w:rsidRPr="003B504B">
        <w:t xml:space="preserve"> our decision</w:t>
      </w:r>
      <w:r>
        <w:t xml:space="preserve">, including all the constituent components that make up our final decision. It </w:t>
      </w:r>
      <w:r w:rsidR="00776B30">
        <w:t>sets out</w:t>
      </w:r>
      <w:r>
        <w:t xml:space="preserve"> the issues we covered, the conclusions we made, and how those conclusions were reached. We also explain</w:t>
      </w:r>
      <w:r w:rsidRPr="003B504B">
        <w:t xml:space="preserve"> why</w:t>
      </w:r>
      <w:r>
        <w:t xml:space="preserve"> we are satisfied our decision</w:t>
      </w:r>
      <w:r w:rsidRPr="003B504B">
        <w:t xml:space="preserve"> contributes to the achievement of the</w:t>
      </w:r>
      <w:r>
        <w:t xml:space="preserve"> NEO to </w:t>
      </w:r>
      <w:r w:rsidR="008E5E3A">
        <w:t>the greatest</w:t>
      </w:r>
      <w:r>
        <w:t xml:space="preserve"> degree</w:t>
      </w:r>
      <w:r w:rsidR="003E67D0">
        <w:t xml:space="preserve"> and why</w:t>
      </w:r>
      <w:r w:rsidR="008E5E3A">
        <w:t xml:space="preserve"> we do not consider</w:t>
      </w:r>
      <w:r>
        <w:t xml:space="preserve"> tha</w:t>
      </w:r>
      <w:r w:rsidR="00A67EC2">
        <w:t>t</w:t>
      </w:r>
      <w:r>
        <w:t xml:space="preserve"> </w:t>
      </w:r>
      <w:r w:rsidR="00D152FE">
        <w:t xml:space="preserve">Endeavour Energy's </w:t>
      </w:r>
      <w:r>
        <w:t>revised proposal</w:t>
      </w:r>
      <w:r w:rsidR="008E5E3A">
        <w:t xml:space="preserve"> contributes to the achievement of the NEO to a satisfactory degree</w:t>
      </w:r>
      <w:r w:rsidRPr="003B504B">
        <w:t xml:space="preserve">. In </w:t>
      </w:r>
      <w:r>
        <w:t>our</w:t>
      </w:r>
      <w:r w:rsidRPr="003B504B">
        <w:t xml:space="preserve"> attachments we set out detailed analysis of the constituent components that make up </w:t>
      </w:r>
      <w:r w:rsidR="00D152FE">
        <w:t>Endeavour Energy</w:t>
      </w:r>
      <w:r w:rsidR="00D152FE" w:rsidRPr="003B504B">
        <w:t xml:space="preserve">'s </w:t>
      </w:r>
      <w:r>
        <w:t>revised proposal</w:t>
      </w:r>
      <w:r w:rsidRPr="003B504B">
        <w:t xml:space="preserve"> and our decision on each of them.</w:t>
      </w:r>
      <w:r w:rsidR="00A67EC2">
        <w:t xml:space="preserve"> </w:t>
      </w:r>
      <w:r w:rsidR="00A67EC2" w:rsidRPr="00A67EC2">
        <w:t>There is a full list of the constituent components of this decision in appendix</w:t>
      </w:r>
      <w:r w:rsidR="009D2F25">
        <w:t xml:space="preserve"> A</w:t>
      </w:r>
      <w:r w:rsidR="00A67EC2" w:rsidRPr="00A67EC2">
        <w:t>.</w:t>
      </w:r>
    </w:p>
    <w:p w:rsidR="00360F32" w:rsidRPr="003B504B" w:rsidRDefault="00360F32" w:rsidP="00360F32">
      <w:pPr>
        <w:pStyle w:val="Heading2"/>
      </w:pPr>
      <w:bookmarkStart w:id="15" w:name="_Toc409422582"/>
      <w:bookmarkStart w:id="16" w:name="_Ref411418182"/>
      <w:bookmarkStart w:id="17" w:name="_Toc417916992"/>
      <w:bookmarkStart w:id="18" w:name="_Toc411428009"/>
      <w:r>
        <w:t>Decision</w:t>
      </w:r>
      <w:bookmarkEnd w:id="15"/>
      <w:bookmarkEnd w:id="16"/>
      <w:bookmarkEnd w:id="17"/>
      <w:r>
        <w:t xml:space="preserve"> </w:t>
      </w:r>
      <w:bookmarkEnd w:id="18"/>
    </w:p>
    <w:p w:rsidR="00360F32" w:rsidRDefault="00360F32" w:rsidP="00360F32">
      <w:r w:rsidRPr="003424EA">
        <w:rPr>
          <w:rStyle w:val="AERbody"/>
        </w:rPr>
        <w:t>Our final decision is</w:t>
      </w:r>
      <w:r w:rsidR="0075326F">
        <w:rPr>
          <w:rStyle w:val="AERbody"/>
        </w:rPr>
        <w:t xml:space="preserve"> that Endeavour Energy can recover $3182.</w:t>
      </w:r>
      <w:r w:rsidR="00430678">
        <w:rPr>
          <w:rStyle w:val="AERbody"/>
        </w:rPr>
        <w:t>8</w:t>
      </w:r>
      <w:r w:rsidR="0075326F">
        <w:rPr>
          <w:rStyle w:val="AERbody"/>
        </w:rPr>
        <w:t xml:space="preserve"> milli</w:t>
      </w:r>
      <w:r w:rsidR="00DB5FC1">
        <w:rPr>
          <w:rStyle w:val="AERbody"/>
        </w:rPr>
        <w:t xml:space="preserve">on </w:t>
      </w:r>
      <w:r w:rsidR="00776B30">
        <w:rPr>
          <w:rStyle w:val="AERbody"/>
        </w:rPr>
        <w:t xml:space="preserve">($ nominal) </w:t>
      </w:r>
      <w:r w:rsidR="00DB5FC1">
        <w:rPr>
          <w:rStyle w:val="AERbody"/>
        </w:rPr>
        <w:t>from consumers over the 2015–</w:t>
      </w:r>
      <w:r w:rsidR="0075326F">
        <w:rPr>
          <w:rStyle w:val="AERbody"/>
        </w:rPr>
        <w:t xml:space="preserve">19 regulatory control period. </w:t>
      </w:r>
      <w:r w:rsidR="0075326F">
        <w:fldChar w:fldCharType="begin"/>
      </w:r>
      <w:r w:rsidR="0075326F">
        <w:instrText xml:space="preserve"> REF _Ref416275960 \h </w:instrText>
      </w:r>
      <w:r w:rsidR="0075326F">
        <w:fldChar w:fldCharType="separate"/>
      </w:r>
      <w:r w:rsidR="009D2F25">
        <w:t xml:space="preserve">Figure </w:t>
      </w:r>
      <w:r w:rsidR="009D2F25">
        <w:rPr>
          <w:noProof/>
        </w:rPr>
        <w:t>1</w:t>
      </w:r>
      <w:r w:rsidR="0075326F">
        <w:fldChar w:fldCharType="end"/>
      </w:r>
      <w:r w:rsidR="0075326F">
        <w:t xml:space="preserve"> </w:t>
      </w:r>
      <w:r>
        <w:t>below illustrates our overall decision.</w:t>
      </w:r>
    </w:p>
    <w:p w:rsidR="00360F32" w:rsidRPr="003A371A" w:rsidRDefault="0075326F" w:rsidP="00C233EF">
      <w:pPr>
        <w:pStyle w:val="Caption"/>
        <w:rPr>
          <w:rStyle w:val="Strong"/>
        </w:rPr>
      </w:pPr>
      <w:bookmarkStart w:id="19" w:name="_Ref416275960"/>
      <w:r>
        <w:t xml:space="preserve">Figure </w:t>
      </w:r>
      <w:r w:rsidR="0010003E">
        <w:fldChar w:fldCharType="begin"/>
      </w:r>
      <w:r w:rsidR="0010003E">
        <w:instrText xml:space="preserve"> SEQ Figure \* ARABIC </w:instrText>
      </w:r>
      <w:r w:rsidR="0010003E">
        <w:fldChar w:fldCharType="separate"/>
      </w:r>
      <w:r w:rsidR="009D2F25">
        <w:rPr>
          <w:noProof/>
        </w:rPr>
        <w:t>1</w:t>
      </w:r>
      <w:r w:rsidR="0010003E">
        <w:rPr>
          <w:noProof/>
        </w:rPr>
        <w:fldChar w:fldCharType="end"/>
      </w:r>
      <w:bookmarkEnd w:id="19"/>
      <w:r w:rsidR="00360F32" w:rsidRPr="00727CE7">
        <w:tab/>
      </w:r>
      <w:r w:rsidR="00B6081E" w:rsidRPr="00C233EF">
        <w:rPr>
          <w:rStyle w:val="Strong"/>
          <w:b/>
          <w:bCs/>
        </w:rPr>
        <w:t xml:space="preserve">Endeavour Energy's </w:t>
      </w:r>
      <w:r w:rsidR="00360F32" w:rsidRPr="00C233EF">
        <w:rPr>
          <w:rStyle w:val="Strong"/>
          <w:b/>
          <w:bCs/>
        </w:rPr>
        <w:t>past total revenue, proposed total revenue and AER total revenue allowance ($ million, 2013–14)</w:t>
      </w:r>
    </w:p>
    <w:p w:rsidR="00360F32" w:rsidRPr="002B4076" w:rsidRDefault="00A547FC" w:rsidP="00A547FC">
      <w:pPr>
        <w:numPr>
          <w:ilvl w:val="0"/>
          <w:numId w:val="24"/>
        </w:numPr>
        <w:rPr>
          <w:rStyle w:val="Strong"/>
        </w:rPr>
      </w:pPr>
      <w:r w:rsidRPr="00A547FC">
        <w:rPr>
          <w:noProof/>
          <w:lang w:eastAsia="en-AU"/>
        </w:rPr>
        <w:drawing>
          <wp:inline distT="0" distB="0" distL="0" distR="0" wp14:anchorId="28AC29EB" wp14:editId="6FD0EB1E">
            <wp:extent cx="5382895" cy="322113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21130"/>
                    </a:xfrm>
                    <a:prstGeom prst="rect">
                      <a:avLst/>
                    </a:prstGeom>
                    <a:noFill/>
                    <a:ln>
                      <a:noFill/>
                    </a:ln>
                  </pic:spPr>
                </pic:pic>
              </a:graphicData>
            </a:graphic>
          </wp:inline>
        </w:drawing>
      </w:r>
    </w:p>
    <w:p w:rsidR="00360F32" w:rsidRPr="002B4076" w:rsidRDefault="00360F32" w:rsidP="00360F32">
      <w:pPr>
        <w:pStyle w:val="AERtablesource"/>
      </w:pPr>
      <w:r w:rsidRPr="002B4076">
        <w:t xml:space="preserve">Source: </w:t>
      </w:r>
      <w:r w:rsidRPr="002B4076">
        <w:tab/>
        <w:t>AER analysis.</w:t>
      </w:r>
    </w:p>
    <w:p w:rsidR="00360F32" w:rsidRDefault="00360F32" w:rsidP="00E21930">
      <w:pPr>
        <w:rPr>
          <w:rStyle w:val="AERbody"/>
        </w:rPr>
      </w:pPr>
      <w:r w:rsidRPr="00566323">
        <w:rPr>
          <w:rStyle w:val="AERbody"/>
        </w:rPr>
        <w:t>Distribution charges represent approximately 3</w:t>
      </w:r>
      <w:r w:rsidR="00511770">
        <w:rPr>
          <w:rStyle w:val="AERbody"/>
        </w:rPr>
        <w:t>9</w:t>
      </w:r>
      <w:r w:rsidRPr="005E2AC3">
        <w:rPr>
          <w:rStyle w:val="AERbody"/>
        </w:rPr>
        <w:t xml:space="preserve"> per cent, on average, of the annual electricity bill for </w:t>
      </w:r>
      <w:r w:rsidR="00B6081E">
        <w:rPr>
          <w:rStyle w:val="AERbody"/>
        </w:rPr>
        <w:t>Endeavour Energy</w:t>
      </w:r>
      <w:r w:rsidR="00B6081E" w:rsidRPr="005E2AC3">
        <w:rPr>
          <w:rStyle w:val="AERbody"/>
        </w:rPr>
        <w:t xml:space="preserve"> </w:t>
      </w:r>
      <w:r w:rsidRPr="005E2AC3">
        <w:rPr>
          <w:rStyle w:val="AERbody"/>
        </w:rPr>
        <w:t>customers.</w:t>
      </w:r>
      <w:r w:rsidR="00430678">
        <w:rPr>
          <w:rStyle w:val="FootnoteReference"/>
        </w:rPr>
        <w:footnoteReference w:id="5"/>
      </w:r>
      <w:r>
        <w:rPr>
          <w:rStyle w:val="AERbody"/>
        </w:rPr>
        <w:t xml:space="preserve"> </w:t>
      </w:r>
      <w:r w:rsidR="008E5E3A">
        <w:rPr>
          <w:rStyle w:val="AERbody"/>
        </w:rPr>
        <w:t>If</w:t>
      </w:r>
      <w:r w:rsidR="000C2FED" w:rsidRPr="000C2FED">
        <w:t xml:space="preserve"> the lower distribution charges </w:t>
      </w:r>
      <w:r w:rsidR="008E5E3A">
        <w:t xml:space="preserve">flowing </w:t>
      </w:r>
      <w:r w:rsidR="000C2FED" w:rsidRPr="000C2FED">
        <w:t xml:space="preserve">from our decision </w:t>
      </w:r>
      <w:r w:rsidR="008E5E3A">
        <w:t>are passed</w:t>
      </w:r>
      <w:r w:rsidR="000C2FED" w:rsidRPr="000C2FED">
        <w:t xml:space="preserve"> through to customers, we would expect the average annual electricity bill for residential and small business customers to reduce in </w:t>
      </w:r>
      <w:r w:rsidR="00C233EF">
        <w:t xml:space="preserve">the </w:t>
      </w:r>
      <w:r w:rsidR="000C2FED" w:rsidRPr="000C2FED">
        <w:t>2015–</w:t>
      </w:r>
      <w:r w:rsidR="00C233EF">
        <w:t xml:space="preserve">19 </w:t>
      </w:r>
      <w:r w:rsidR="00924E09">
        <w:t xml:space="preserve">regulatory control </w:t>
      </w:r>
      <w:r w:rsidR="00C233EF">
        <w:t>period</w:t>
      </w:r>
      <w:r w:rsidR="000C2FED" w:rsidRPr="000C2FED">
        <w:t>. However, other factors also affect a customer’s electricity bill, such as the wholesale price of electricity.</w:t>
      </w:r>
      <w:r w:rsidRPr="00E21930">
        <w:t xml:space="preserve"> </w:t>
      </w:r>
    </w:p>
    <w:p w:rsidR="00776B30" w:rsidRPr="005F0BD9" w:rsidRDefault="00776B30" w:rsidP="00E21930">
      <w:r>
        <w:rPr>
          <w:rStyle w:val="AERbody"/>
        </w:rPr>
        <w:fldChar w:fldCharType="begin"/>
      </w:r>
      <w:r>
        <w:instrText xml:space="preserve"> REF _Ref416878370 \h </w:instrText>
      </w:r>
      <w:r>
        <w:rPr>
          <w:rStyle w:val="AERbody"/>
        </w:rPr>
      </w:r>
      <w:r>
        <w:rPr>
          <w:rStyle w:val="AERbody"/>
        </w:rPr>
        <w:fldChar w:fldCharType="separate"/>
      </w:r>
      <w:r w:rsidR="009D2F25">
        <w:t xml:space="preserve">Table </w:t>
      </w:r>
      <w:r w:rsidR="009D2F25">
        <w:rPr>
          <w:noProof/>
        </w:rPr>
        <w:t>1</w:t>
      </w:r>
      <w:r>
        <w:rPr>
          <w:rStyle w:val="AERbody"/>
        </w:rPr>
        <w:fldChar w:fldCharType="end"/>
      </w:r>
      <w:r>
        <w:rPr>
          <w:rStyle w:val="AERbody"/>
        </w:rPr>
        <w:t xml:space="preserve"> shows the estimated impact of our final decision on the average residential and small business customers' annual electricity bills in Endeavour Energy's network area over the 2014–19 </w:t>
      </w:r>
      <w:proofErr w:type="gramStart"/>
      <w:r>
        <w:rPr>
          <w:rStyle w:val="AERbody"/>
        </w:rPr>
        <w:t>period</w:t>
      </w:r>
      <w:proofErr w:type="gramEnd"/>
      <w:r>
        <w:rPr>
          <w:rStyle w:val="AERbody"/>
        </w:rPr>
        <w:t>, compared with what was proposed.</w:t>
      </w:r>
    </w:p>
    <w:p w:rsidR="00360F32" w:rsidRPr="008839AD" w:rsidRDefault="0075326F" w:rsidP="0075326F">
      <w:pPr>
        <w:pStyle w:val="Caption"/>
      </w:pPr>
      <w:bookmarkStart w:id="20" w:name="_Ref416878370"/>
      <w:r>
        <w:t xml:space="preserve">Table </w:t>
      </w:r>
      <w:r w:rsidR="0010003E">
        <w:fldChar w:fldCharType="begin"/>
      </w:r>
      <w:r w:rsidR="0010003E">
        <w:instrText xml:space="preserve"> SEQ Table \* ARABIC </w:instrText>
      </w:r>
      <w:r w:rsidR="0010003E">
        <w:fldChar w:fldCharType="separate"/>
      </w:r>
      <w:r w:rsidR="009D2F25">
        <w:rPr>
          <w:noProof/>
        </w:rPr>
        <w:t>1</w:t>
      </w:r>
      <w:r w:rsidR="0010003E">
        <w:rPr>
          <w:noProof/>
        </w:rPr>
        <w:fldChar w:fldCharType="end"/>
      </w:r>
      <w:bookmarkEnd w:id="20"/>
      <w:r w:rsidR="00360F32" w:rsidRPr="008839AD">
        <w:tab/>
      </w:r>
      <w:r w:rsidR="00360F32">
        <w:t>AER's</w:t>
      </w:r>
      <w:r w:rsidR="00360F32" w:rsidRPr="008839AD">
        <w:t xml:space="preserve"> estimated impact </w:t>
      </w:r>
      <w:r w:rsidR="00360F32">
        <w:t>of the</w:t>
      </w:r>
      <w:r w:rsidR="00360F32" w:rsidRPr="008839AD">
        <w:t xml:space="preserve"> </w:t>
      </w:r>
      <w:r w:rsidR="00360F32">
        <w:t>final</w:t>
      </w:r>
      <w:r w:rsidR="00360F32" w:rsidRPr="008839AD">
        <w:t xml:space="preserve"> decision </w:t>
      </w:r>
      <w:r w:rsidR="00360F32">
        <w:t xml:space="preserve">on the average residential and small business customers' electricity bills in </w:t>
      </w:r>
      <w:r w:rsidR="00B6081E">
        <w:t xml:space="preserve">Endeavour Energy's </w:t>
      </w:r>
      <w:r w:rsidR="00360F32">
        <w:t xml:space="preserve">network </w:t>
      </w:r>
      <w:r w:rsidR="00360F32" w:rsidRPr="008839AD">
        <w:t>for the 2014–19 period ($ nominal)</w:t>
      </w:r>
      <w:r w:rsidR="00360F32" w:rsidRPr="008839AD" w:rsidDel="006E6462">
        <w:t xml:space="preserve"> </w:t>
      </w:r>
    </w:p>
    <w:tbl>
      <w:tblPr>
        <w:tblStyle w:val="AERtable-numbers"/>
        <w:tblW w:w="5000" w:type="pct"/>
        <w:tblLayout w:type="fixed"/>
        <w:tblLook w:val="04A0" w:firstRow="1" w:lastRow="0" w:firstColumn="1" w:lastColumn="0" w:noHBand="0" w:noVBand="1"/>
      </w:tblPr>
      <w:tblGrid>
        <w:gridCol w:w="2235"/>
        <w:gridCol w:w="850"/>
        <w:gridCol w:w="1134"/>
        <w:gridCol w:w="1194"/>
        <w:gridCol w:w="1094"/>
        <w:gridCol w:w="1094"/>
        <w:gridCol w:w="1092"/>
      </w:tblGrid>
      <w:tr w:rsidR="00BE56D7" w:rsidRPr="00BE56D7" w:rsidTr="00BE56D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360F32" w:rsidRPr="00BE56D7" w:rsidRDefault="00360F32" w:rsidP="00BE56D7">
            <w:r w:rsidRPr="00BE56D7">
              <w:t> </w:t>
            </w:r>
          </w:p>
        </w:tc>
        <w:tc>
          <w:tcPr>
            <w:tcW w:w="489" w:type="pct"/>
            <w:noWrap/>
            <w:hideMark/>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2013–14</w:t>
            </w:r>
          </w:p>
        </w:tc>
        <w:tc>
          <w:tcPr>
            <w:tcW w:w="652" w:type="pct"/>
            <w:noWrap/>
            <w:hideMark/>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2014–15</w:t>
            </w:r>
          </w:p>
        </w:tc>
        <w:tc>
          <w:tcPr>
            <w:tcW w:w="687" w:type="pct"/>
            <w:noWrap/>
            <w:hideMark/>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2015–16</w:t>
            </w:r>
          </w:p>
        </w:tc>
        <w:tc>
          <w:tcPr>
            <w:tcW w:w="629" w:type="pct"/>
            <w:noWrap/>
            <w:hideMark/>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2016–17</w:t>
            </w:r>
          </w:p>
        </w:tc>
        <w:tc>
          <w:tcPr>
            <w:tcW w:w="629" w:type="pct"/>
            <w:noWrap/>
            <w:hideMark/>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2017–18</w:t>
            </w:r>
          </w:p>
        </w:tc>
        <w:tc>
          <w:tcPr>
            <w:tcW w:w="628" w:type="pct"/>
            <w:noWrap/>
            <w:hideMark/>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2018–19</w:t>
            </w:r>
          </w:p>
        </w:tc>
      </w:tr>
      <w:tr w:rsidR="00BE56D7" w:rsidRPr="00BE56D7" w:rsidTr="00BE56D7">
        <w:trPr>
          <w:trHeight w:val="300"/>
        </w:trPr>
        <w:tc>
          <w:tcPr>
            <w:cnfStyle w:val="001000000000" w:firstRow="0" w:lastRow="0" w:firstColumn="1" w:lastColumn="0" w:oddVBand="0" w:evenVBand="0" w:oddHBand="0" w:evenHBand="0" w:firstRowFirstColumn="0" w:firstRowLastColumn="0" w:lastRowFirstColumn="0" w:lastRowLastColumn="0"/>
            <w:tcW w:w="1774" w:type="pct"/>
            <w:gridSpan w:val="2"/>
            <w:noWrap/>
            <w:hideMark/>
          </w:tcPr>
          <w:p w:rsidR="00BE56D7" w:rsidRPr="00BE56D7" w:rsidRDefault="00BE56D7" w:rsidP="008E5E3A">
            <w:pPr>
              <w:rPr>
                <w:rStyle w:val="Strong"/>
              </w:rPr>
            </w:pPr>
            <w:r w:rsidRPr="00BE56D7">
              <w:rPr>
                <w:rStyle w:val="Strong"/>
              </w:rPr>
              <w:t xml:space="preserve">Endeavour </w:t>
            </w:r>
            <w:r w:rsidR="008E5E3A" w:rsidRPr="00BE56D7">
              <w:rPr>
                <w:rStyle w:val="Strong"/>
              </w:rPr>
              <w:t>Energy</w:t>
            </w:r>
            <w:r w:rsidR="008E5E3A">
              <w:rPr>
                <w:rStyle w:val="Strong"/>
              </w:rPr>
              <w:t xml:space="preserve"> revised </w:t>
            </w:r>
            <w:r w:rsidRPr="00BE56D7">
              <w:rPr>
                <w:rStyle w:val="Strong"/>
              </w:rPr>
              <w:t>proposal</w:t>
            </w:r>
          </w:p>
        </w:tc>
        <w:tc>
          <w:tcPr>
            <w:tcW w:w="652" w:type="pct"/>
            <w:noWrap/>
          </w:tcPr>
          <w:p w:rsidR="00BE56D7" w:rsidRPr="00BE56D7" w:rsidRDefault="00BE56D7" w:rsidP="00360F32">
            <w:pPr>
              <w:pStyle w:val="AERtabletextright"/>
              <w:cnfStyle w:val="000000000000" w:firstRow="0" w:lastRow="0" w:firstColumn="0" w:lastColumn="0" w:oddVBand="0" w:evenVBand="0" w:oddHBand="0" w:evenHBand="0" w:firstRowFirstColumn="0" w:firstRowLastColumn="0" w:lastRowFirstColumn="0" w:lastRowLastColumn="0"/>
              <w:rPr>
                <w:rStyle w:val="Strong"/>
              </w:rPr>
            </w:pPr>
          </w:p>
        </w:tc>
        <w:tc>
          <w:tcPr>
            <w:tcW w:w="687" w:type="pct"/>
            <w:noWrap/>
          </w:tcPr>
          <w:p w:rsidR="00BE56D7" w:rsidRPr="00BE56D7" w:rsidRDefault="00BE56D7" w:rsidP="00360F32">
            <w:pPr>
              <w:pStyle w:val="AERtabletextright"/>
              <w:cnfStyle w:val="000000000000" w:firstRow="0" w:lastRow="0" w:firstColumn="0" w:lastColumn="0" w:oddVBand="0" w:evenVBand="0" w:oddHBand="0" w:evenHBand="0" w:firstRowFirstColumn="0" w:firstRowLastColumn="0" w:lastRowFirstColumn="0" w:lastRowLastColumn="0"/>
              <w:rPr>
                <w:rStyle w:val="Strong"/>
              </w:rPr>
            </w:pPr>
          </w:p>
        </w:tc>
        <w:tc>
          <w:tcPr>
            <w:tcW w:w="629" w:type="pct"/>
            <w:noWrap/>
          </w:tcPr>
          <w:p w:rsidR="00BE56D7" w:rsidRPr="00BE56D7" w:rsidRDefault="00BE56D7" w:rsidP="00360F32">
            <w:pPr>
              <w:pStyle w:val="AERtabletextright"/>
              <w:cnfStyle w:val="000000000000" w:firstRow="0" w:lastRow="0" w:firstColumn="0" w:lastColumn="0" w:oddVBand="0" w:evenVBand="0" w:oddHBand="0" w:evenHBand="0" w:firstRowFirstColumn="0" w:firstRowLastColumn="0" w:lastRowFirstColumn="0" w:lastRowLastColumn="0"/>
              <w:rPr>
                <w:rStyle w:val="Strong"/>
              </w:rPr>
            </w:pPr>
          </w:p>
        </w:tc>
        <w:tc>
          <w:tcPr>
            <w:tcW w:w="629" w:type="pct"/>
            <w:noWrap/>
          </w:tcPr>
          <w:p w:rsidR="00BE56D7" w:rsidRPr="00BE56D7" w:rsidRDefault="00BE56D7" w:rsidP="00360F32">
            <w:pPr>
              <w:pStyle w:val="AERtabletextright"/>
              <w:cnfStyle w:val="000000000000" w:firstRow="0" w:lastRow="0" w:firstColumn="0" w:lastColumn="0" w:oddVBand="0" w:evenVBand="0" w:oddHBand="0" w:evenHBand="0" w:firstRowFirstColumn="0" w:firstRowLastColumn="0" w:lastRowFirstColumn="0" w:lastRowLastColumn="0"/>
              <w:rPr>
                <w:rStyle w:val="Strong"/>
              </w:rPr>
            </w:pPr>
          </w:p>
        </w:tc>
        <w:tc>
          <w:tcPr>
            <w:tcW w:w="628" w:type="pct"/>
            <w:noWrap/>
          </w:tcPr>
          <w:p w:rsidR="00BE56D7" w:rsidRPr="00BE56D7" w:rsidRDefault="00BE56D7" w:rsidP="00360F32">
            <w:pPr>
              <w:pStyle w:val="AERtabletextright"/>
              <w:cnfStyle w:val="000000000000" w:firstRow="0" w:lastRow="0" w:firstColumn="0" w:lastColumn="0" w:oddVBand="0" w:evenVBand="0" w:oddHBand="0" w:evenHBand="0" w:firstRowFirstColumn="0" w:firstRowLastColumn="0" w:lastRowFirstColumn="0" w:lastRowLastColumn="0"/>
              <w:rPr>
                <w:rStyle w:val="Strong"/>
              </w:rPr>
            </w:pPr>
          </w:p>
        </w:tc>
      </w:tr>
      <w:tr w:rsidR="00BE56D7" w:rsidRPr="00164ED7" w:rsidTr="00BE56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511770" w:rsidRPr="00BE56D7" w:rsidRDefault="00511770" w:rsidP="00BE56D7">
            <w:r w:rsidRPr="00BE56D7">
              <w:t xml:space="preserve">Residential annual </w:t>
            </w:r>
            <w:proofErr w:type="spellStart"/>
            <w:r w:rsidRPr="00BE56D7">
              <w:t>bill</w:t>
            </w:r>
            <w:r w:rsidRPr="00BE56D7">
              <w:rPr>
                <w:rStyle w:val="AERsuperscript"/>
              </w:rPr>
              <w:t>a</w:t>
            </w:r>
            <w:proofErr w:type="spellEnd"/>
          </w:p>
        </w:tc>
        <w:tc>
          <w:tcPr>
            <w:tcW w:w="48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2026</w:t>
            </w:r>
          </w:p>
        </w:tc>
        <w:tc>
          <w:tcPr>
            <w:tcW w:w="652"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1978</w:t>
            </w:r>
          </w:p>
        </w:tc>
        <w:tc>
          <w:tcPr>
            <w:tcW w:w="687"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2075</w:t>
            </w:r>
          </w:p>
        </w:tc>
        <w:tc>
          <w:tcPr>
            <w:tcW w:w="62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2091</w:t>
            </w:r>
          </w:p>
        </w:tc>
        <w:tc>
          <w:tcPr>
            <w:tcW w:w="62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2108</w:t>
            </w:r>
          </w:p>
        </w:tc>
        <w:tc>
          <w:tcPr>
            <w:tcW w:w="628"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2126</w:t>
            </w:r>
          </w:p>
        </w:tc>
      </w:tr>
      <w:tr w:rsidR="00511770" w:rsidRPr="00164ED7" w:rsidTr="00BE56D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511770" w:rsidRPr="00BE56D7" w:rsidRDefault="00511770" w:rsidP="00BE56D7">
            <w:r w:rsidRPr="00BE56D7">
              <w:t>Annual change</w:t>
            </w:r>
          </w:p>
        </w:tc>
        <w:tc>
          <w:tcPr>
            <w:tcW w:w="489"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 </w:t>
            </w:r>
          </w:p>
        </w:tc>
        <w:tc>
          <w:tcPr>
            <w:tcW w:w="652"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t>–</w:t>
            </w:r>
            <w:r w:rsidRPr="00511770">
              <w:t>48 (</w:t>
            </w:r>
            <w:r>
              <w:t>–</w:t>
            </w:r>
            <w:r w:rsidRPr="00511770">
              <w:t>2.3%)</w:t>
            </w:r>
          </w:p>
        </w:tc>
        <w:tc>
          <w:tcPr>
            <w:tcW w:w="687"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96 (4.9%)</w:t>
            </w:r>
          </w:p>
        </w:tc>
        <w:tc>
          <w:tcPr>
            <w:tcW w:w="629"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17 (0.8%)</w:t>
            </w:r>
          </w:p>
        </w:tc>
        <w:tc>
          <w:tcPr>
            <w:tcW w:w="629"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17 (0.8%)</w:t>
            </w:r>
          </w:p>
        </w:tc>
        <w:tc>
          <w:tcPr>
            <w:tcW w:w="628"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17 (0.8%)</w:t>
            </w:r>
          </w:p>
        </w:tc>
      </w:tr>
      <w:tr w:rsidR="00BE56D7" w:rsidRPr="00164ED7" w:rsidTr="00BE56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511770" w:rsidRPr="00BE56D7" w:rsidRDefault="00511770" w:rsidP="00BE56D7">
            <w:r w:rsidRPr="00BE56D7">
              <w:t xml:space="preserve">Small business annual </w:t>
            </w:r>
            <w:proofErr w:type="spellStart"/>
            <w:r w:rsidRPr="00BE56D7">
              <w:t>bill</w:t>
            </w:r>
            <w:r w:rsidRPr="00BE56D7">
              <w:rPr>
                <w:rStyle w:val="AERsuperscript"/>
              </w:rPr>
              <w:t>b</w:t>
            </w:r>
            <w:proofErr w:type="spellEnd"/>
          </w:p>
        </w:tc>
        <w:tc>
          <w:tcPr>
            <w:tcW w:w="48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2909</w:t>
            </w:r>
          </w:p>
        </w:tc>
        <w:tc>
          <w:tcPr>
            <w:tcW w:w="652"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2841</w:t>
            </w:r>
          </w:p>
        </w:tc>
        <w:tc>
          <w:tcPr>
            <w:tcW w:w="687"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2979</w:t>
            </w:r>
          </w:p>
        </w:tc>
        <w:tc>
          <w:tcPr>
            <w:tcW w:w="62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3003</w:t>
            </w:r>
          </w:p>
        </w:tc>
        <w:tc>
          <w:tcPr>
            <w:tcW w:w="62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3027</w:t>
            </w:r>
          </w:p>
        </w:tc>
        <w:tc>
          <w:tcPr>
            <w:tcW w:w="628"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3052</w:t>
            </w:r>
          </w:p>
        </w:tc>
      </w:tr>
      <w:tr w:rsidR="00511770" w:rsidRPr="00164ED7" w:rsidTr="00BE56D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511770" w:rsidRPr="00BE56D7" w:rsidRDefault="00511770" w:rsidP="00BE56D7">
            <w:r w:rsidRPr="00BE56D7">
              <w:t>Annual change</w:t>
            </w:r>
          </w:p>
        </w:tc>
        <w:tc>
          <w:tcPr>
            <w:tcW w:w="489"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 </w:t>
            </w:r>
          </w:p>
        </w:tc>
        <w:tc>
          <w:tcPr>
            <w:tcW w:w="652"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t>–68 (–</w:t>
            </w:r>
            <w:r w:rsidRPr="00511770">
              <w:t>2.3%)</w:t>
            </w:r>
          </w:p>
        </w:tc>
        <w:tc>
          <w:tcPr>
            <w:tcW w:w="687"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138 (4.9%)</w:t>
            </w:r>
          </w:p>
        </w:tc>
        <w:tc>
          <w:tcPr>
            <w:tcW w:w="629"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24 (0.8%)</w:t>
            </w:r>
          </w:p>
        </w:tc>
        <w:tc>
          <w:tcPr>
            <w:tcW w:w="629"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24 (0.8%)</w:t>
            </w:r>
          </w:p>
        </w:tc>
        <w:tc>
          <w:tcPr>
            <w:tcW w:w="628" w:type="pct"/>
            <w:noWrap/>
          </w:tcPr>
          <w:p w:rsidR="00511770" w:rsidRPr="00511770" w:rsidRDefault="00511770">
            <w:pPr>
              <w:cnfStyle w:val="000000000000" w:firstRow="0" w:lastRow="0" w:firstColumn="0" w:lastColumn="0" w:oddVBand="0" w:evenVBand="0" w:oddHBand="0" w:evenHBand="0" w:firstRowFirstColumn="0" w:firstRowLastColumn="0" w:lastRowFirstColumn="0" w:lastRowLastColumn="0"/>
            </w:pPr>
            <w:r w:rsidRPr="00511770">
              <w:t>25 (0.8%)</w:t>
            </w:r>
          </w:p>
        </w:tc>
      </w:tr>
      <w:tr w:rsidR="00BE56D7" w:rsidRPr="00BE56D7" w:rsidTr="00BE56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360F32" w:rsidRPr="00BE56D7" w:rsidRDefault="00360F32" w:rsidP="00BE56D7">
            <w:pPr>
              <w:rPr>
                <w:rStyle w:val="Strong"/>
              </w:rPr>
            </w:pPr>
            <w:r w:rsidRPr="00BE56D7">
              <w:rPr>
                <w:rStyle w:val="Strong"/>
              </w:rPr>
              <w:t>AER final decision</w:t>
            </w:r>
          </w:p>
        </w:tc>
        <w:tc>
          <w:tcPr>
            <w:tcW w:w="489" w:type="pct"/>
            <w:noWrap/>
          </w:tcPr>
          <w:p w:rsidR="00360F32" w:rsidRPr="00BE56D7" w:rsidRDefault="00360F32" w:rsidP="00360F32">
            <w:pPr>
              <w:pStyle w:val="AERtabletextright"/>
              <w:cnfStyle w:val="000000010000" w:firstRow="0" w:lastRow="0" w:firstColumn="0" w:lastColumn="0" w:oddVBand="0" w:evenVBand="0" w:oddHBand="0" w:evenHBand="1" w:firstRowFirstColumn="0" w:firstRowLastColumn="0" w:lastRowFirstColumn="0" w:lastRowLastColumn="0"/>
              <w:rPr>
                <w:rStyle w:val="Strong"/>
              </w:rPr>
            </w:pPr>
          </w:p>
        </w:tc>
        <w:tc>
          <w:tcPr>
            <w:tcW w:w="652" w:type="pct"/>
            <w:noWrap/>
          </w:tcPr>
          <w:p w:rsidR="00360F32" w:rsidRPr="00BE56D7" w:rsidRDefault="00360F32" w:rsidP="00360F32">
            <w:pPr>
              <w:pStyle w:val="AERtabletextright"/>
              <w:cnfStyle w:val="000000010000" w:firstRow="0" w:lastRow="0" w:firstColumn="0" w:lastColumn="0" w:oddVBand="0" w:evenVBand="0" w:oddHBand="0" w:evenHBand="1" w:firstRowFirstColumn="0" w:firstRowLastColumn="0" w:lastRowFirstColumn="0" w:lastRowLastColumn="0"/>
              <w:rPr>
                <w:rStyle w:val="Strong"/>
              </w:rPr>
            </w:pPr>
          </w:p>
        </w:tc>
        <w:tc>
          <w:tcPr>
            <w:tcW w:w="687" w:type="pct"/>
            <w:noWrap/>
          </w:tcPr>
          <w:p w:rsidR="00360F32" w:rsidRPr="00BE56D7" w:rsidRDefault="00360F32" w:rsidP="00360F32">
            <w:pPr>
              <w:pStyle w:val="AERtabletextright"/>
              <w:cnfStyle w:val="000000010000" w:firstRow="0" w:lastRow="0" w:firstColumn="0" w:lastColumn="0" w:oddVBand="0" w:evenVBand="0" w:oddHBand="0" w:evenHBand="1" w:firstRowFirstColumn="0" w:firstRowLastColumn="0" w:lastRowFirstColumn="0" w:lastRowLastColumn="0"/>
              <w:rPr>
                <w:rStyle w:val="Strong"/>
              </w:rPr>
            </w:pPr>
          </w:p>
        </w:tc>
        <w:tc>
          <w:tcPr>
            <w:tcW w:w="629" w:type="pct"/>
            <w:noWrap/>
          </w:tcPr>
          <w:p w:rsidR="00360F32" w:rsidRPr="00BE56D7" w:rsidRDefault="00360F32" w:rsidP="00360F32">
            <w:pPr>
              <w:pStyle w:val="AERtabletextright"/>
              <w:cnfStyle w:val="000000010000" w:firstRow="0" w:lastRow="0" w:firstColumn="0" w:lastColumn="0" w:oddVBand="0" w:evenVBand="0" w:oddHBand="0" w:evenHBand="1" w:firstRowFirstColumn="0" w:firstRowLastColumn="0" w:lastRowFirstColumn="0" w:lastRowLastColumn="0"/>
              <w:rPr>
                <w:rStyle w:val="Strong"/>
              </w:rPr>
            </w:pPr>
          </w:p>
        </w:tc>
        <w:tc>
          <w:tcPr>
            <w:tcW w:w="629" w:type="pct"/>
            <w:noWrap/>
          </w:tcPr>
          <w:p w:rsidR="00360F32" w:rsidRPr="00BE56D7" w:rsidRDefault="00360F32" w:rsidP="00360F32">
            <w:pPr>
              <w:pStyle w:val="AERtabletextright"/>
              <w:cnfStyle w:val="000000010000" w:firstRow="0" w:lastRow="0" w:firstColumn="0" w:lastColumn="0" w:oddVBand="0" w:evenVBand="0" w:oddHBand="0" w:evenHBand="1" w:firstRowFirstColumn="0" w:firstRowLastColumn="0" w:lastRowFirstColumn="0" w:lastRowLastColumn="0"/>
              <w:rPr>
                <w:rStyle w:val="Strong"/>
              </w:rPr>
            </w:pPr>
          </w:p>
        </w:tc>
        <w:tc>
          <w:tcPr>
            <w:tcW w:w="628" w:type="pct"/>
            <w:noWrap/>
          </w:tcPr>
          <w:p w:rsidR="00360F32" w:rsidRPr="00BE56D7" w:rsidRDefault="00360F32" w:rsidP="00360F32">
            <w:pPr>
              <w:pStyle w:val="AERtabletextright"/>
              <w:cnfStyle w:val="000000010000" w:firstRow="0" w:lastRow="0" w:firstColumn="0" w:lastColumn="0" w:oddVBand="0" w:evenVBand="0" w:oddHBand="0" w:evenHBand="1" w:firstRowFirstColumn="0" w:firstRowLastColumn="0" w:lastRowFirstColumn="0" w:lastRowLastColumn="0"/>
              <w:rPr>
                <w:rStyle w:val="Strong"/>
              </w:rPr>
            </w:pPr>
          </w:p>
        </w:tc>
      </w:tr>
      <w:tr w:rsidR="00511770" w:rsidRPr="00164ED7" w:rsidTr="00BE56D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511770" w:rsidRPr="00BE56D7" w:rsidRDefault="00511770" w:rsidP="00BE56D7">
            <w:r w:rsidRPr="00BE56D7">
              <w:t xml:space="preserve">Residential annual </w:t>
            </w:r>
            <w:proofErr w:type="spellStart"/>
            <w:r w:rsidRPr="00BE56D7">
              <w:t>bill</w:t>
            </w:r>
            <w:r w:rsidRPr="00BE56D7">
              <w:rPr>
                <w:rStyle w:val="AERsuperscript"/>
              </w:rPr>
              <w:t>a</w:t>
            </w:r>
            <w:proofErr w:type="spellEnd"/>
          </w:p>
        </w:tc>
        <w:tc>
          <w:tcPr>
            <w:tcW w:w="489"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2026</w:t>
            </w:r>
          </w:p>
        </w:tc>
        <w:tc>
          <w:tcPr>
            <w:tcW w:w="652"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1978</w:t>
            </w:r>
          </w:p>
        </w:tc>
        <w:tc>
          <w:tcPr>
            <w:tcW w:w="687"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1873</w:t>
            </w:r>
          </w:p>
        </w:tc>
        <w:tc>
          <w:tcPr>
            <w:tcW w:w="629"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1861</w:t>
            </w:r>
          </w:p>
        </w:tc>
        <w:tc>
          <w:tcPr>
            <w:tcW w:w="629"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1852</w:t>
            </w:r>
          </w:p>
        </w:tc>
        <w:tc>
          <w:tcPr>
            <w:tcW w:w="628"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1836</w:t>
            </w:r>
          </w:p>
        </w:tc>
      </w:tr>
      <w:tr w:rsidR="00BE56D7" w:rsidRPr="00164ED7" w:rsidTr="00BE56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511770" w:rsidRPr="00BE56D7" w:rsidRDefault="00511770" w:rsidP="00BE56D7">
            <w:r w:rsidRPr="00BE56D7">
              <w:t>Annual change</w:t>
            </w:r>
          </w:p>
        </w:tc>
        <w:tc>
          <w:tcPr>
            <w:tcW w:w="489" w:type="pct"/>
            <w:noWrap/>
          </w:tcPr>
          <w:p w:rsidR="00511770" w:rsidRPr="00511770" w:rsidRDefault="00511770">
            <w:pPr>
              <w:cnfStyle w:val="000000010000" w:firstRow="0" w:lastRow="0" w:firstColumn="0" w:lastColumn="0" w:oddVBand="0" w:evenVBand="0" w:oddHBand="0" w:evenHBand="1" w:firstRowFirstColumn="0" w:firstRowLastColumn="0" w:lastRowFirstColumn="0" w:lastRowLastColumn="0"/>
            </w:pPr>
            <w:r w:rsidRPr="00511770">
              <w:t> </w:t>
            </w:r>
          </w:p>
        </w:tc>
        <w:tc>
          <w:tcPr>
            <w:tcW w:w="652"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–48 (–</w:t>
            </w:r>
            <w:r w:rsidRPr="00511770">
              <w:t>2.3%)</w:t>
            </w:r>
          </w:p>
        </w:tc>
        <w:tc>
          <w:tcPr>
            <w:tcW w:w="687"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106 (</w:t>
            </w:r>
            <w:r>
              <w:t>–</w:t>
            </w:r>
            <w:r w:rsidRPr="00511770">
              <w:t>5.3%)</w:t>
            </w:r>
          </w:p>
        </w:tc>
        <w:tc>
          <w:tcPr>
            <w:tcW w:w="62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12 (</w:t>
            </w:r>
            <w:r>
              <w:t>–</w:t>
            </w:r>
            <w:r w:rsidRPr="00511770">
              <w:t>0.6%)</w:t>
            </w:r>
          </w:p>
        </w:tc>
        <w:tc>
          <w:tcPr>
            <w:tcW w:w="62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10 (</w:t>
            </w:r>
            <w:r>
              <w:t>–</w:t>
            </w:r>
            <w:r w:rsidRPr="00511770">
              <w:t>0.5%)</w:t>
            </w:r>
          </w:p>
        </w:tc>
        <w:tc>
          <w:tcPr>
            <w:tcW w:w="628"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15 (</w:t>
            </w:r>
            <w:r>
              <w:t>–</w:t>
            </w:r>
            <w:r w:rsidRPr="00511770">
              <w:t>0.8%)</w:t>
            </w:r>
          </w:p>
        </w:tc>
      </w:tr>
      <w:tr w:rsidR="00511770" w:rsidRPr="00164ED7" w:rsidTr="00BE56D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511770" w:rsidRPr="00BE56D7" w:rsidRDefault="00511770" w:rsidP="00BE56D7">
            <w:r w:rsidRPr="00BE56D7">
              <w:t xml:space="preserve">Small business annual </w:t>
            </w:r>
            <w:proofErr w:type="spellStart"/>
            <w:r w:rsidRPr="00BE56D7">
              <w:t>bill</w:t>
            </w:r>
            <w:r w:rsidRPr="00BE56D7">
              <w:rPr>
                <w:rStyle w:val="AERsuperscript"/>
              </w:rPr>
              <w:t>b</w:t>
            </w:r>
            <w:proofErr w:type="spellEnd"/>
          </w:p>
        </w:tc>
        <w:tc>
          <w:tcPr>
            <w:tcW w:w="489"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2909</w:t>
            </w:r>
          </w:p>
        </w:tc>
        <w:tc>
          <w:tcPr>
            <w:tcW w:w="652"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2841</w:t>
            </w:r>
          </w:p>
        </w:tc>
        <w:tc>
          <w:tcPr>
            <w:tcW w:w="687"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2689</w:t>
            </w:r>
          </w:p>
        </w:tc>
        <w:tc>
          <w:tcPr>
            <w:tcW w:w="629"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2672</w:t>
            </w:r>
          </w:p>
        </w:tc>
        <w:tc>
          <w:tcPr>
            <w:tcW w:w="629"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2659</w:t>
            </w:r>
          </w:p>
        </w:tc>
        <w:tc>
          <w:tcPr>
            <w:tcW w:w="628" w:type="pct"/>
            <w:noWrap/>
          </w:tcPr>
          <w:p w:rsidR="00511770" w:rsidRPr="00511770" w:rsidRDefault="00511770" w:rsidP="00511770">
            <w:pPr>
              <w:cnfStyle w:val="000000000000" w:firstRow="0" w:lastRow="0" w:firstColumn="0" w:lastColumn="0" w:oddVBand="0" w:evenVBand="0" w:oddHBand="0" w:evenHBand="0" w:firstRowFirstColumn="0" w:firstRowLastColumn="0" w:lastRowFirstColumn="0" w:lastRowLastColumn="0"/>
            </w:pPr>
            <w:r w:rsidRPr="00511770">
              <w:t>2636</w:t>
            </w:r>
          </w:p>
        </w:tc>
      </w:tr>
      <w:tr w:rsidR="00BE56D7" w:rsidRPr="00164ED7" w:rsidTr="00BE56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rsidR="00511770" w:rsidRPr="00BE56D7" w:rsidRDefault="00511770" w:rsidP="00BE56D7">
            <w:r w:rsidRPr="00BE56D7">
              <w:t>Annual change</w:t>
            </w:r>
          </w:p>
        </w:tc>
        <w:tc>
          <w:tcPr>
            <w:tcW w:w="489" w:type="pct"/>
            <w:noWrap/>
          </w:tcPr>
          <w:p w:rsidR="00511770" w:rsidRPr="00511770" w:rsidRDefault="00511770">
            <w:pPr>
              <w:cnfStyle w:val="000000010000" w:firstRow="0" w:lastRow="0" w:firstColumn="0" w:lastColumn="0" w:oddVBand="0" w:evenVBand="0" w:oddHBand="0" w:evenHBand="1" w:firstRowFirstColumn="0" w:firstRowLastColumn="0" w:lastRowFirstColumn="0" w:lastRowLastColumn="0"/>
            </w:pPr>
            <w:r w:rsidRPr="00511770">
              <w:t> </w:t>
            </w:r>
          </w:p>
        </w:tc>
        <w:tc>
          <w:tcPr>
            <w:tcW w:w="652"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68</w:t>
            </w:r>
            <w:r>
              <w:t xml:space="preserve"> (–</w:t>
            </w:r>
            <w:r w:rsidRPr="00511770">
              <w:t>2.3%)</w:t>
            </w:r>
          </w:p>
        </w:tc>
        <w:tc>
          <w:tcPr>
            <w:tcW w:w="687"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152 (</w:t>
            </w:r>
            <w:r>
              <w:t>–</w:t>
            </w:r>
            <w:r w:rsidRPr="00511770">
              <w:t>5.3%)</w:t>
            </w:r>
          </w:p>
        </w:tc>
        <w:tc>
          <w:tcPr>
            <w:tcW w:w="62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17 (</w:t>
            </w:r>
            <w:r>
              <w:t>–</w:t>
            </w:r>
            <w:r w:rsidRPr="00511770">
              <w:t>0.6%)</w:t>
            </w:r>
          </w:p>
        </w:tc>
        <w:tc>
          <w:tcPr>
            <w:tcW w:w="629"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14 (</w:t>
            </w:r>
            <w:r>
              <w:t>–</w:t>
            </w:r>
            <w:r w:rsidRPr="00511770">
              <w:t>0.5%)</w:t>
            </w:r>
          </w:p>
        </w:tc>
        <w:tc>
          <w:tcPr>
            <w:tcW w:w="628" w:type="pct"/>
            <w:noWrap/>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t>–</w:t>
            </w:r>
            <w:r w:rsidRPr="00511770">
              <w:t>22 (</w:t>
            </w:r>
            <w:r>
              <w:t>–</w:t>
            </w:r>
            <w:r w:rsidRPr="00511770">
              <w:t>0.8%)</w:t>
            </w:r>
          </w:p>
        </w:tc>
      </w:tr>
    </w:tbl>
    <w:p w:rsidR="00360F32" w:rsidRPr="008839AD" w:rsidRDefault="00360F32" w:rsidP="00360F32">
      <w:pPr>
        <w:pStyle w:val="AERtablesource"/>
      </w:pPr>
      <w:r w:rsidRPr="008839AD">
        <w:t>Source:</w:t>
      </w:r>
      <w:r w:rsidRPr="008839AD">
        <w:tab/>
        <w:t xml:space="preserve">AER analysis; AER, Energy Made Easy; IPART, </w:t>
      </w:r>
      <w:r w:rsidRPr="008839AD">
        <w:rPr>
          <w:rStyle w:val="AERtextitalic"/>
        </w:rPr>
        <w:t>Final report: Review of regulated retail prices for electricity - from 1 July 2013 to 30 June 2016</w:t>
      </w:r>
      <w:r w:rsidRPr="008839AD">
        <w:t>, June 2013, p.</w:t>
      </w:r>
      <w:r>
        <w:t> </w:t>
      </w:r>
      <w:r w:rsidRPr="008839AD">
        <w:t>5.</w:t>
      </w:r>
    </w:p>
    <w:p w:rsidR="00360F32" w:rsidRPr="008839AD" w:rsidRDefault="00360F32" w:rsidP="00360F32">
      <w:pPr>
        <w:pStyle w:val="AERtablesource"/>
      </w:pPr>
      <w:r w:rsidRPr="008839AD">
        <w:t>(a)</w:t>
      </w:r>
      <w:r w:rsidRPr="008839AD">
        <w:tab/>
        <w:t>Based on annual charge for typical consumption of 6500KWh per year during the period 1 July 2013 to 30 June 2014. The charges reflect regulated price only. Sample postcode: 2</w:t>
      </w:r>
      <w:r w:rsidR="00BE56D7">
        <w:t>500</w:t>
      </w:r>
      <w:r w:rsidRPr="008839AD">
        <w:t>.</w:t>
      </w:r>
    </w:p>
    <w:p w:rsidR="008E5E3A" w:rsidRDefault="00360F32" w:rsidP="008E5E3A">
      <w:pPr>
        <w:pStyle w:val="AERtablesource"/>
      </w:pPr>
      <w:r w:rsidRPr="008839AD">
        <w:t>(b)</w:t>
      </w:r>
      <w:r w:rsidRPr="008839AD">
        <w:tab/>
        <w:t>Based on the annual charge sourced from Energy Made Easy for a typical consumption of 10000 kWh per year during the period 1 July 2013 to 30 June 2014. The charges reflect regulated price only. Sample postcode: 2</w:t>
      </w:r>
      <w:r w:rsidR="00BE56D7">
        <w:t>500</w:t>
      </w:r>
      <w:r w:rsidRPr="008839AD">
        <w:t>.</w:t>
      </w:r>
      <w:r w:rsidR="008E5E3A" w:rsidRPr="008E5E3A">
        <w:t xml:space="preserve"> </w:t>
      </w:r>
    </w:p>
    <w:p w:rsidR="00776B30" w:rsidRPr="00F3747A" w:rsidRDefault="00776B30" w:rsidP="00776B30">
      <w:pPr>
        <w:pStyle w:val="Heading2"/>
      </w:pPr>
      <w:bookmarkStart w:id="21" w:name="_Ref416882975"/>
      <w:bookmarkStart w:id="22" w:name="_Toc417916993"/>
      <w:bookmarkStart w:id="23" w:name="_Toc411428011"/>
      <w:r w:rsidRPr="00F3747A">
        <w:t>Contribution to the achievement of the NEO</w:t>
      </w:r>
      <w:bookmarkEnd w:id="21"/>
      <w:bookmarkEnd w:id="22"/>
    </w:p>
    <w:p w:rsidR="00776B30" w:rsidRDefault="00776B30" w:rsidP="00776B30">
      <w:pPr>
        <w:rPr>
          <w:rStyle w:val="AERbody"/>
        </w:rPr>
      </w:pPr>
      <w:r>
        <w:rPr>
          <w:rStyle w:val="AERbody"/>
        </w:rPr>
        <w:t xml:space="preserve">We are satisfied that the total revenue approved in our final decision contributes to the achievement of the NEO to the greatest degree. This is because our total revenue reflects the efficient, sustainable costs of providing network services in Endeavour Energy's operating environment and the key drivers of </w:t>
      </w:r>
      <w:r w:rsidR="008E5E3A">
        <w:rPr>
          <w:rStyle w:val="AERbody"/>
        </w:rPr>
        <w:t xml:space="preserve">efficient </w:t>
      </w:r>
      <w:r>
        <w:rPr>
          <w:rStyle w:val="AERbody"/>
        </w:rPr>
        <w:t>costs facing Endeavour Energy.</w:t>
      </w:r>
      <w:r w:rsidRPr="00865F85">
        <w:rPr>
          <w:rStyle w:val="AERbody"/>
        </w:rPr>
        <w:t xml:space="preserve"> </w:t>
      </w:r>
      <w:r>
        <w:rPr>
          <w:rStyle w:val="AERbody"/>
        </w:rPr>
        <w:t>Our decision will promote the efficient investment in, and efficient operation and use of, electricity services for the long term interests of consumers, as required by the NEO.</w:t>
      </w:r>
      <w:r w:rsidR="00716D41">
        <w:rPr>
          <w:rStyle w:val="AERbody"/>
        </w:rPr>
        <w:t xml:space="preserve"> We set out our reasons below and in our attachments.</w:t>
      </w:r>
    </w:p>
    <w:p w:rsidR="00776B30" w:rsidRDefault="00776B30" w:rsidP="00776B30">
      <w:pPr>
        <w:rPr>
          <w:rStyle w:val="AERbody"/>
        </w:rPr>
      </w:pPr>
      <w:r>
        <w:rPr>
          <w:rStyle w:val="AERbody"/>
        </w:rPr>
        <w:t>The key drivers of costs facing a network service provider are:</w:t>
      </w:r>
      <w:r>
        <w:rPr>
          <w:rStyle w:val="FootnoteReference"/>
        </w:rPr>
        <w:footnoteReference w:id="6"/>
      </w:r>
    </w:p>
    <w:p w:rsidR="00776B30" w:rsidRDefault="00776B30" w:rsidP="00776B30">
      <w:pPr>
        <w:pStyle w:val="AERbulletlistfirststyle"/>
        <w:rPr>
          <w:rStyle w:val="AERbody"/>
        </w:rPr>
      </w:pPr>
      <w:r>
        <w:rPr>
          <w:rStyle w:val="AERbody"/>
        </w:rPr>
        <w:t>its accumulated network investment (reflected in the size of its Regulatory Asset Base, or RAB)</w:t>
      </w:r>
    </w:p>
    <w:p w:rsidR="00776B30" w:rsidRDefault="00776B30" w:rsidP="00776B30">
      <w:pPr>
        <w:pStyle w:val="AERbulletlistfirststyle"/>
        <w:rPr>
          <w:rStyle w:val="AERbody"/>
        </w:rPr>
      </w:pPr>
      <w:r>
        <w:rPr>
          <w:rStyle w:val="AERbody"/>
        </w:rPr>
        <w:t xml:space="preserve">its expected growth in network investment (reflected in its </w:t>
      </w:r>
      <w:r w:rsidR="008E5E3A">
        <w:rPr>
          <w:rStyle w:val="AERbody"/>
        </w:rPr>
        <w:t>capital expenditure (</w:t>
      </w:r>
      <w:r>
        <w:rPr>
          <w:rStyle w:val="AERbody"/>
        </w:rPr>
        <w:t>capex</w:t>
      </w:r>
      <w:r w:rsidR="008E5E3A">
        <w:rPr>
          <w:rStyle w:val="AERbody"/>
        </w:rPr>
        <w:t>)</w:t>
      </w:r>
      <w:r>
        <w:rPr>
          <w:rStyle w:val="AERbody"/>
        </w:rPr>
        <w:t xml:space="preserve"> program </w:t>
      </w:r>
      <w:r w:rsidRPr="00596FF6">
        <w:rPr>
          <w:rStyle w:val="AERbody"/>
        </w:rPr>
        <w:t>net of capital returned to the shareholders through depreciation</w:t>
      </w:r>
      <w:r>
        <w:rPr>
          <w:rStyle w:val="AERbody"/>
        </w:rPr>
        <w:t>)</w:t>
      </w:r>
    </w:p>
    <w:p w:rsidR="00776B30" w:rsidRDefault="00776B30" w:rsidP="00776B30">
      <w:pPr>
        <w:pStyle w:val="AERbulletlistfirststyle"/>
        <w:rPr>
          <w:rStyle w:val="AERbody"/>
        </w:rPr>
      </w:pPr>
      <w:r>
        <w:rPr>
          <w:rStyle w:val="AERbody"/>
        </w:rPr>
        <w:t>its financing costs (interest on borrowings and a return on equity to shareholders) and</w:t>
      </w:r>
    </w:p>
    <w:p w:rsidR="00776B30" w:rsidRDefault="00776B30" w:rsidP="00776B30">
      <w:pPr>
        <w:pStyle w:val="AERbulletlistfirststyle"/>
        <w:rPr>
          <w:rStyle w:val="AERbody"/>
        </w:rPr>
      </w:pPr>
      <w:r>
        <w:rPr>
          <w:rStyle w:val="AERbody"/>
        </w:rPr>
        <w:t>its operating expenditure (</w:t>
      </w:r>
      <w:proofErr w:type="spellStart"/>
      <w:r>
        <w:rPr>
          <w:rStyle w:val="AERbody"/>
        </w:rPr>
        <w:t>opex</w:t>
      </w:r>
      <w:proofErr w:type="spellEnd"/>
      <w:r>
        <w:rPr>
          <w:rStyle w:val="AERbody"/>
        </w:rPr>
        <w:t>) program (the cost of operating and maintaining its network)</w:t>
      </w:r>
    </w:p>
    <w:p w:rsidR="008E5E3A" w:rsidRDefault="008E5E3A" w:rsidP="00776B30">
      <w:pPr>
        <w:pStyle w:val="AERbulletlistfirststyle"/>
        <w:rPr>
          <w:rStyle w:val="AERbody"/>
        </w:rPr>
      </w:pPr>
      <w:proofErr w:type="gramStart"/>
      <w:r>
        <w:rPr>
          <w:rStyle w:val="AERbody"/>
        </w:rPr>
        <w:t>its</w:t>
      </w:r>
      <w:proofErr w:type="gramEnd"/>
      <w:r>
        <w:rPr>
          <w:rStyle w:val="AERbody"/>
        </w:rPr>
        <w:t xml:space="preserve"> taxation cost (taxable income at the corporate tax rate adjusted for the value of imputation credits).</w:t>
      </w:r>
    </w:p>
    <w:p w:rsidR="00776B30" w:rsidRPr="002C05E4" w:rsidRDefault="00776B30" w:rsidP="00776B30">
      <w:r w:rsidRPr="002C05E4">
        <w:t>From one regulatory period to the next, the pressures on each of these drivers may change. For example, in periods of high demand growth, a network service provider would expect to need a larger capex program. Similarly, during periods of high interest rates, a network service provider would expect to pay more in financing costs</w:t>
      </w:r>
      <w:r w:rsidR="00716D41">
        <w:t>.</w:t>
      </w:r>
      <w:r w:rsidR="00EA24CB">
        <w:t xml:space="preserve"> </w:t>
      </w:r>
    </w:p>
    <w:p w:rsidR="00776B30" w:rsidRPr="002C05E4" w:rsidRDefault="00776B30" w:rsidP="00776B30">
      <w:r w:rsidRPr="002C05E4">
        <w:t xml:space="preserve">The most important factors we see impacting on </w:t>
      </w:r>
      <w:r>
        <w:t>Endeavour Energy</w:t>
      </w:r>
      <w:r w:rsidRPr="002C05E4">
        <w:t xml:space="preserve">'s costs in the 2015–19 </w:t>
      </w:r>
      <w:r w:rsidR="003646AC">
        <w:t xml:space="preserve">regulatory control </w:t>
      </w:r>
      <w:proofErr w:type="gramStart"/>
      <w:r w:rsidRPr="002C05E4">
        <w:t>period</w:t>
      </w:r>
      <w:proofErr w:type="gramEnd"/>
      <w:r w:rsidRPr="002C05E4">
        <w:t xml:space="preserve"> include:</w:t>
      </w:r>
    </w:p>
    <w:p w:rsidR="00776B30" w:rsidRPr="003424EA" w:rsidRDefault="00776B30" w:rsidP="00776B30">
      <w:pPr>
        <w:pStyle w:val="AERbulletlistfirststyle"/>
        <w:rPr>
          <w:rStyle w:val="AERbody"/>
        </w:rPr>
      </w:pPr>
      <w:proofErr w:type="gramStart"/>
      <w:r w:rsidRPr="003424EA">
        <w:rPr>
          <w:rStyle w:val="AERbody"/>
        </w:rPr>
        <w:t>an</w:t>
      </w:r>
      <w:proofErr w:type="gramEnd"/>
      <w:r w:rsidRPr="003424EA">
        <w:rPr>
          <w:rStyle w:val="AERbody"/>
        </w:rPr>
        <w:t xml:space="preserve"> improved investment environment</w:t>
      </w:r>
      <w:r>
        <w:rPr>
          <w:rStyle w:val="AERbody"/>
        </w:rPr>
        <w:t xml:space="preserve"> compared to our 2009 decision, which translates to lower financing costs necessary to attract efficient investment.</w:t>
      </w:r>
    </w:p>
    <w:p w:rsidR="00776B30" w:rsidRPr="003424EA" w:rsidRDefault="00776B30" w:rsidP="00776B30">
      <w:pPr>
        <w:pStyle w:val="AERbulletlistfirststyle"/>
        <w:rPr>
          <w:rStyle w:val="AERbody"/>
        </w:rPr>
      </w:pPr>
      <w:proofErr w:type="gramStart"/>
      <w:r>
        <w:rPr>
          <w:rStyle w:val="AERbody"/>
        </w:rPr>
        <w:t>lower</w:t>
      </w:r>
      <w:proofErr w:type="gramEnd"/>
      <w:r>
        <w:rPr>
          <w:rStyle w:val="AERbody"/>
        </w:rPr>
        <w:t xml:space="preserve"> than expected demand growth in the previous regulatory period, which has led to falling levels of network utilisation across </w:t>
      </w:r>
      <w:r w:rsidR="0019264E">
        <w:rPr>
          <w:rStyle w:val="AERbody"/>
        </w:rPr>
        <w:t>Endeavour Energy</w:t>
      </w:r>
      <w:r>
        <w:rPr>
          <w:rStyle w:val="AERbody"/>
        </w:rPr>
        <w:t xml:space="preserve">'s network. </w:t>
      </w:r>
    </w:p>
    <w:p w:rsidR="00776B30" w:rsidRPr="003424EA" w:rsidRDefault="00776B30" w:rsidP="0019264E">
      <w:pPr>
        <w:pStyle w:val="AERbulletlistfirststyle"/>
        <w:rPr>
          <w:rStyle w:val="AERbody"/>
        </w:rPr>
      </w:pPr>
      <w:proofErr w:type="gramStart"/>
      <w:r>
        <w:rPr>
          <w:rStyle w:val="AERbody"/>
        </w:rPr>
        <w:t>forecast</w:t>
      </w:r>
      <w:proofErr w:type="gramEnd"/>
      <w:r>
        <w:rPr>
          <w:rStyle w:val="AERbody"/>
        </w:rPr>
        <w:t xml:space="preserve"> </w:t>
      </w:r>
      <w:r w:rsidRPr="003424EA">
        <w:rPr>
          <w:rStyle w:val="AERbody"/>
        </w:rPr>
        <w:t>demand</w:t>
      </w:r>
      <w:r>
        <w:rPr>
          <w:rStyle w:val="AERbody"/>
        </w:rPr>
        <w:t xml:space="preserve">, which is expected to remain reasonably flat over the 2015–19 regulatory control period. This means that </w:t>
      </w:r>
      <w:r w:rsidR="0019264E">
        <w:rPr>
          <w:rStyle w:val="AERbody"/>
        </w:rPr>
        <w:t>Endeavour Energy</w:t>
      </w:r>
      <w:r>
        <w:rPr>
          <w:rStyle w:val="AERbody"/>
        </w:rPr>
        <w:t xml:space="preserve"> is under less pressure to expand its network than in the previous regulatory control period to meet the needs of additional customers or any increased demand from existing customers.</w:t>
      </w:r>
    </w:p>
    <w:p w:rsidR="00776B30" w:rsidRDefault="00776B30" w:rsidP="00776B30">
      <w:pPr>
        <w:rPr>
          <w:rStyle w:val="AERbody"/>
        </w:rPr>
      </w:pPr>
      <w:r>
        <w:rPr>
          <w:rStyle w:val="AERbody"/>
        </w:rPr>
        <w:t xml:space="preserve">These factors are reflected throughout our final decision and </w:t>
      </w:r>
      <w:r w:rsidRPr="003424EA">
        <w:rPr>
          <w:rStyle w:val="AERbody"/>
        </w:rPr>
        <w:t xml:space="preserve">impact the </w:t>
      </w:r>
      <w:r w:rsidRPr="00E17E5E">
        <w:rPr>
          <w:rStyle w:val="AERbody"/>
        </w:rPr>
        <w:t>different constituent components of our decision to varying degrees</w:t>
      </w:r>
      <w:r>
        <w:rPr>
          <w:rStyle w:val="AERbody"/>
        </w:rPr>
        <w:t>. A</w:t>
      </w:r>
      <w:r w:rsidRPr="00E17E5E">
        <w:rPr>
          <w:rStyle w:val="AERbody"/>
        </w:rPr>
        <w:t>t the total revenue level, they provide a consistent picture</w:t>
      </w:r>
      <w:r>
        <w:rPr>
          <w:rStyle w:val="AERbody"/>
        </w:rPr>
        <w:t>:</w:t>
      </w:r>
      <w:r w:rsidRPr="00E17E5E">
        <w:rPr>
          <w:rStyle w:val="AERbody"/>
        </w:rPr>
        <w:t xml:space="preserve"> </w:t>
      </w:r>
      <w:r w:rsidR="0019264E">
        <w:rPr>
          <w:rStyle w:val="AERbody"/>
        </w:rPr>
        <w:t>Endeavour Energy</w:t>
      </w:r>
      <w:r w:rsidR="008E5E3A">
        <w:rPr>
          <w:rStyle w:val="AERbody"/>
        </w:rPr>
        <w:t>, operating prudently and efficiently,</w:t>
      </w:r>
      <w:r w:rsidR="0019264E">
        <w:rPr>
          <w:rStyle w:val="AERbody"/>
        </w:rPr>
        <w:t xml:space="preserve"> </w:t>
      </w:r>
      <w:r w:rsidRPr="00F322E9">
        <w:rPr>
          <w:rStyle w:val="AERbody"/>
        </w:rPr>
        <w:t>could provide distribution services with materially less revenue than it has proposed</w:t>
      </w:r>
      <w:r>
        <w:rPr>
          <w:rStyle w:val="AERbody"/>
        </w:rPr>
        <w:t xml:space="preserve"> for the 2015–19 </w:t>
      </w:r>
      <w:r w:rsidR="003646AC">
        <w:rPr>
          <w:rStyle w:val="AERbody"/>
        </w:rPr>
        <w:t xml:space="preserve">regulatory control </w:t>
      </w:r>
      <w:r>
        <w:rPr>
          <w:rStyle w:val="AERbody"/>
        </w:rPr>
        <w:t>period</w:t>
      </w:r>
      <w:r w:rsidRPr="00F322E9">
        <w:rPr>
          <w:rStyle w:val="AERbody"/>
        </w:rPr>
        <w:t xml:space="preserve">. </w:t>
      </w:r>
      <w:r>
        <w:rPr>
          <w:rStyle w:val="AERbody"/>
        </w:rPr>
        <w:t xml:space="preserve">Further, the </w:t>
      </w:r>
      <w:r w:rsidR="008E5E3A">
        <w:rPr>
          <w:rStyle w:val="AERbody"/>
        </w:rPr>
        <w:t xml:space="preserve">average annual </w:t>
      </w:r>
      <w:r>
        <w:rPr>
          <w:rStyle w:val="AERbody"/>
        </w:rPr>
        <w:t xml:space="preserve">revenue </w:t>
      </w:r>
      <w:r w:rsidR="0019264E">
        <w:rPr>
          <w:rStyle w:val="AERbody"/>
        </w:rPr>
        <w:t>Endeavour Energy</w:t>
      </w:r>
      <w:r>
        <w:rPr>
          <w:rStyle w:val="AERbody"/>
        </w:rPr>
        <w:t xml:space="preserve"> requires in the 2015–19 </w:t>
      </w:r>
      <w:r w:rsidR="003646AC">
        <w:rPr>
          <w:rStyle w:val="AERbody"/>
        </w:rPr>
        <w:t xml:space="preserve">regulatory control </w:t>
      </w:r>
      <w:r>
        <w:rPr>
          <w:rStyle w:val="AERbody"/>
        </w:rPr>
        <w:t xml:space="preserve">period is materially less than the revenue it recovered from customers in the </w:t>
      </w:r>
      <w:r w:rsidR="000867E7">
        <w:rPr>
          <w:rStyle w:val="AERbody"/>
        </w:rPr>
        <w:t>previous regulatory control period</w:t>
      </w:r>
      <w:r>
        <w:rPr>
          <w:rStyle w:val="AERbody"/>
        </w:rPr>
        <w:t>.</w:t>
      </w:r>
    </w:p>
    <w:p w:rsidR="00776B30" w:rsidRDefault="00776B30" w:rsidP="00776B30">
      <w:pPr>
        <w:rPr>
          <w:rStyle w:val="AERbody"/>
        </w:rPr>
      </w:pPr>
      <w:r>
        <w:rPr>
          <w:rStyle w:val="AERbody"/>
        </w:rPr>
        <w:t xml:space="preserve">In our final decision we </w:t>
      </w:r>
      <w:r w:rsidR="00716D41">
        <w:rPr>
          <w:rStyle w:val="AERbody"/>
        </w:rPr>
        <w:t xml:space="preserve">consider </w:t>
      </w:r>
      <w:r>
        <w:rPr>
          <w:rStyle w:val="AERbody"/>
        </w:rPr>
        <w:t xml:space="preserve">that </w:t>
      </w:r>
      <w:r w:rsidR="0019264E">
        <w:rPr>
          <w:rStyle w:val="AERbody"/>
        </w:rPr>
        <w:t>Endeavour Energy</w:t>
      </w:r>
      <w:r>
        <w:rPr>
          <w:rStyle w:val="AERbody"/>
        </w:rPr>
        <w:t xml:space="preserve">'s proposal does not reflect the factors impacting on its cost drivers to a satisfactory extent. As a consequence, we conclude that </w:t>
      </w:r>
      <w:r w:rsidR="0019264E">
        <w:rPr>
          <w:rStyle w:val="AERbody"/>
        </w:rPr>
        <w:t>Endeavour Energy</w:t>
      </w:r>
      <w:r>
        <w:rPr>
          <w:rStyle w:val="AERbody"/>
        </w:rPr>
        <w:t xml:space="preserve"> has proposed to recover more revenue from its customers than is necessary</w:t>
      </w:r>
      <w:r w:rsidR="00716D41">
        <w:rPr>
          <w:rStyle w:val="AERbody"/>
        </w:rPr>
        <w:t xml:space="preserve"> for the safe and reliable operation of its network</w:t>
      </w:r>
      <w:r>
        <w:rPr>
          <w:rStyle w:val="AERbody"/>
        </w:rPr>
        <w:t>.</w:t>
      </w:r>
      <w:r w:rsidR="00133349">
        <w:rPr>
          <w:rStyle w:val="AERbody"/>
        </w:rPr>
        <w:t xml:space="preserve"> It follows that we consider that </w:t>
      </w:r>
      <w:r w:rsidR="000867E7">
        <w:rPr>
          <w:rStyle w:val="AERbody"/>
        </w:rPr>
        <w:t>Endeavour Energy'</w:t>
      </w:r>
      <w:r w:rsidR="00133349">
        <w:rPr>
          <w:rStyle w:val="AERbody"/>
        </w:rPr>
        <w:t>s revised proposal does not contribute to the achievement of the NEO to a satisfactory degree.</w:t>
      </w:r>
    </w:p>
    <w:p w:rsidR="00776B30" w:rsidRDefault="00776B30" w:rsidP="00776B30">
      <w:pPr>
        <w:rPr>
          <w:rStyle w:val="AERbody"/>
        </w:rPr>
      </w:pPr>
      <w:r>
        <w:rPr>
          <w:rStyle w:val="AERbody"/>
        </w:rPr>
        <w:t>Two constituent components of our decision drive m</w:t>
      </w:r>
      <w:r w:rsidRPr="003424EA">
        <w:rPr>
          <w:rStyle w:val="AERbody"/>
        </w:rPr>
        <w:t xml:space="preserve">ost of the </w:t>
      </w:r>
      <w:r>
        <w:rPr>
          <w:rStyle w:val="AERbody"/>
        </w:rPr>
        <w:t xml:space="preserve">difference between </w:t>
      </w:r>
      <w:r w:rsidR="0019264E">
        <w:rPr>
          <w:rStyle w:val="AERbody"/>
        </w:rPr>
        <w:t>Endeavour Energy</w:t>
      </w:r>
      <w:r>
        <w:rPr>
          <w:rStyle w:val="AERbody"/>
        </w:rPr>
        <w:t>'s proposed revenue and our final decision</w:t>
      </w:r>
      <w:r w:rsidRPr="003424EA">
        <w:rPr>
          <w:rStyle w:val="AERbody"/>
        </w:rPr>
        <w:t xml:space="preserve">: rate of return and </w:t>
      </w:r>
      <w:proofErr w:type="spellStart"/>
      <w:r w:rsidRPr="003424EA">
        <w:rPr>
          <w:rStyle w:val="AERbody"/>
        </w:rPr>
        <w:t>opex</w:t>
      </w:r>
      <w:proofErr w:type="spellEnd"/>
      <w:r w:rsidRPr="003424EA">
        <w:rPr>
          <w:rStyle w:val="AERbody"/>
        </w:rPr>
        <w:t>.</w:t>
      </w:r>
      <w:r>
        <w:rPr>
          <w:rStyle w:val="AERbody"/>
        </w:rPr>
        <w:t xml:space="preserve"> We discuss these further below. </w:t>
      </w:r>
      <w:r w:rsidR="0019264E">
        <w:fldChar w:fldCharType="begin"/>
      </w:r>
      <w:r w:rsidR="0019264E">
        <w:rPr>
          <w:rStyle w:val="AERbody"/>
        </w:rPr>
        <w:instrText xml:space="preserve"> REF _Ref416276228 \h </w:instrText>
      </w:r>
      <w:r w:rsidR="0019264E">
        <w:fldChar w:fldCharType="separate"/>
      </w:r>
      <w:r w:rsidR="009D2F25">
        <w:t xml:space="preserve">Figure </w:t>
      </w:r>
      <w:r w:rsidR="009D2F25">
        <w:rPr>
          <w:noProof/>
        </w:rPr>
        <w:t>2</w:t>
      </w:r>
      <w:r w:rsidR="0019264E">
        <w:fldChar w:fldCharType="end"/>
      </w:r>
      <w:r w:rsidR="0019264E">
        <w:t xml:space="preserve"> </w:t>
      </w:r>
      <w:r w:rsidRPr="00136FBD">
        <w:rPr>
          <w:rStyle w:val="AERbody"/>
        </w:rPr>
        <w:t xml:space="preserve">illustrates the key differences (in terms of constituent components, or building blocks, making up total revenue) between our decision and </w:t>
      </w:r>
      <w:r w:rsidR="0019264E">
        <w:rPr>
          <w:rStyle w:val="AERbody"/>
        </w:rPr>
        <w:t>Endeavour Energy</w:t>
      </w:r>
      <w:r w:rsidRPr="00136FBD">
        <w:rPr>
          <w:rStyle w:val="AERbody"/>
        </w:rPr>
        <w:t xml:space="preserve">'s </w:t>
      </w:r>
      <w:r w:rsidR="00BE56D7">
        <w:rPr>
          <w:rStyle w:val="AERbody"/>
        </w:rPr>
        <w:t xml:space="preserve">revised </w:t>
      </w:r>
      <w:r w:rsidRPr="00136FBD">
        <w:rPr>
          <w:rStyle w:val="AERbody"/>
        </w:rPr>
        <w:t>propos</w:t>
      </w:r>
      <w:r w:rsidR="00BE56D7">
        <w:rPr>
          <w:rStyle w:val="AERbody"/>
        </w:rPr>
        <w:t>al</w:t>
      </w:r>
      <w:r w:rsidRPr="00136FBD">
        <w:rPr>
          <w:rStyle w:val="AERbody"/>
        </w:rPr>
        <w:t>.</w:t>
      </w:r>
    </w:p>
    <w:p w:rsidR="00360F32" w:rsidRPr="000B5711" w:rsidRDefault="00720C67" w:rsidP="00BE56D7">
      <w:pPr>
        <w:pStyle w:val="Caption"/>
        <w:rPr>
          <w:rStyle w:val="Strong"/>
        </w:rPr>
      </w:pPr>
      <w:bookmarkStart w:id="24" w:name="_Ref416276228"/>
      <w:r>
        <w:t xml:space="preserve">Figure </w:t>
      </w:r>
      <w:r w:rsidR="0010003E">
        <w:fldChar w:fldCharType="begin"/>
      </w:r>
      <w:r w:rsidR="0010003E">
        <w:instrText xml:space="preserve"> SEQ F</w:instrText>
      </w:r>
      <w:r w:rsidR="0010003E">
        <w:instrText xml:space="preserve">igure \* ARABIC </w:instrText>
      </w:r>
      <w:r w:rsidR="0010003E">
        <w:fldChar w:fldCharType="separate"/>
      </w:r>
      <w:r w:rsidR="009D2F25">
        <w:rPr>
          <w:noProof/>
        </w:rPr>
        <w:t>2</w:t>
      </w:r>
      <w:r w:rsidR="0010003E">
        <w:rPr>
          <w:noProof/>
        </w:rPr>
        <w:fldChar w:fldCharType="end"/>
      </w:r>
      <w:bookmarkEnd w:id="24"/>
      <w:r w:rsidR="00360F32" w:rsidRPr="0001428B">
        <w:tab/>
      </w:r>
      <w:r w:rsidR="00360F32" w:rsidRPr="00BE56D7">
        <w:rPr>
          <w:rStyle w:val="Strong"/>
          <w:b/>
          <w:bCs/>
        </w:rPr>
        <w:t xml:space="preserve">AER's final decision and </w:t>
      </w:r>
      <w:r w:rsidR="00B6081E" w:rsidRPr="00BE56D7">
        <w:rPr>
          <w:rStyle w:val="Strong"/>
          <w:b/>
          <w:bCs/>
        </w:rPr>
        <w:t xml:space="preserve">Endeavour Energy's </w:t>
      </w:r>
      <w:r w:rsidR="006A73D9" w:rsidRPr="00BE56D7">
        <w:rPr>
          <w:rStyle w:val="Strong"/>
          <w:b/>
          <w:bCs/>
        </w:rPr>
        <w:t xml:space="preserve">revised </w:t>
      </w:r>
      <w:r w:rsidR="00360F32" w:rsidRPr="00BE56D7">
        <w:rPr>
          <w:rStyle w:val="Strong"/>
          <w:b/>
          <w:bCs/>
        </w:rPr>
        <w:t>proposed annual building block costs ($ million 2013–14)</w:t>
      </w:r>
    </w:p>
    <w:p w:rsidR="00360F32" w:rsidRDefault="00A547FC" w:rsidP="00A547FC">
      <w:pPr>
        <w:numPr>
          <w:ilvl w:val="0"/>
          <w:numId w:val="24"/>
        </w:numPr>
      </w:pPr>
      <w:r w:rsidRPr="00A547FC">
        <w:rPr>
          <w:noProof/>
          <w:lang w:eastAsia="en-AU"/>
        </w:rPr>
        <w:drawing>
          <wp:inline distT="0" distB="0" distL="0" distR="0" wp14:anchorId="7429E1AC" wp14:editId="05C3730E">
            <wp:extent cx="5382895" cy="3152927"/>
            <wp:effectExtent l="0" t="0" r="825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152927"/>
                    </a:xfrm>
                    <a:prstGeom prst="rect">
                      <a:avLst/>
                    </a:prstGeom>
                    <a:noFill/>
                    <a:ln>
                      <a:noFill/>
                    </a:ln>
                  </pic:spPr>
                </pic:pic>
              </a:graphicData>
            </a:graphic>
          </wp:inline>
        </w:drawing>
      </w:r>
    </w:p>
    <w:p w:rsidR="00360F32" w:rsidRDefault="00360F32" w:rsidP="00360F32">
      <w:pPr>
        <w:pStyle w:val="AERtablesource"/>
      </w:pPr>
      <w:r w:rsidRPr="00A81B80">
        <w:t>Source:</w:t>
      </w:r>
      <w:r w:rsidRPr="00A81B80">
        <w:tab/>
        <w:t>AER analysis</w:t>
      </w:r>
      <w:r w:rsidRPr="004D4804">
        <w:t>.</w:t>
      </w:r>
    </w:p>
    <w:p w:rsidR="00360F32" w:rsidRDefault="00360F32" w:rsidP="00360F32">
      <w:pPr>
        <w:pStyle w:val="Heading3"/>
      </w:pPr>
      <w:bookmarkStart w:id="25" w:name="_Toc415927220"/>
      <w:bookmarkStart w:id="26" w:name="_Ref415659224"/>
      <w:bookmarkStart w:id="27" w:name="_Toc417916994"/>
      <w:bookmarkEnd w:id="25"/>
      <w:r>
        <w:t>Rate of return</w:t>
      </w:r>
      <w:bookmarkEnd w:id="23"/>
      <w:bookmarkEnd w:id="26"/>
      <w:bookmarkEnd w:id="27"/>
    </w:p>
    <w:p w:rsidR="00720C67" w:rsidRDefault="00720C67" w:rsidP="00720C67">
      <w:r w:rsidRPr="0016716A">
        <w:t xml:space="preserve">The rate of return </w:t>
      </w:r>
      <w:r w:rsidRPr="00486693">
        <w:t>provides a service provider with revenue to service the interest on its loans and to give a return on equity to shareholders.</w:t>
      </w:r>
      <w:r w:rsidR="0019264E">
        <w:t xml:space="preserve"> The allowed rate of return is a key determinant of allowed revenue.</w:t>
      </w:r>
      <w:r w:rsidRPr="0016716A">
        <w:t xml:space="preserve"> </w:t>
      </w:r>
    </w:p>
    <w:p w:rsidR="00720C67" w:rsidRPr="00823B8F" w:rsidRDefault="00720C67" w:rsidP="00E21930">
      <w:r w:rsidRPr="00823B8F">
        <w:t xml:space="preserve">The rate of return must be commensurate with the efficient financing costs of a benchmark efficient entity with a similar degree of risk as that which applies to the </w:t>
      </w:r>
      <w:r w:rsidRPr="00E21930">
        <w:t>distributor in respect of the provision of distribution services.</w:t>
      </w:r>
      <w:r w:rsidR="0019264E">
        <w:rPr>
          <w:rStyle w:val="FootnoteReference"/>
        </w:rPr>
        <w:footnoteReference w:id="7"/>
      </w:r>
      <w:r w:rsidRPr="00E21930">
        <w:t xml:space="preserve"> The NER refers</w:t>
      </w:r>
      <w:r w:rsidRPr="00823B8F">
        <w:t xml:space="preserve"> to this requirement as the allowed </w:t>
      </w:r>
      <w:r w:rsidR="002A16BD">
        <w:t>rate of return objective</w:t>
      </w:r>
      <w:r w:rsidRPr="00823B8F">
        <w:t xml:space="preserve">. </w:t>
      </w:r>
    </w:p>
    <w:p w:rsidR="00720C67" w:rsidRPr="00823B8F" w:rsidRDefault="00720C67" w:rsidP="00CA3AA0">
      <w:r w:rsidRPr="00823B8F">
        <w:t xml:space="preserve">Our final decision is for a rate of </w:t>
      </w:r>
      <w:r w:rsidRPr="00CA3AA0">
        <w:t xml:space="preserve">return of </w:t>
      </w:r>
      <w:r w:rsidR="00E21930" w:rsidRPr="00CA3AA0">
        <w:t>6.</w:t>
      </w:r>
      <w:r w:rsidR="00763B0B">
        <w:t>74</w:t>
      </w:r>
      <w:r w:rsidR="00763B0B" w:rsidRPr="00CA3AA0">
        <w:t xml:space="preserve"> </w:t>
      </w:r>
      <w:r w:rsidRPr="00CA3AA0">
        <w:t xml:space="preserve">per cent </w:t>
      </w:r>
      <w:r w:rsidR="00595107">
        <w:t xml:space="preserve">(for 2014–15) </w:t>
      </w:r>
      <w:r w:rsidRPr="00CA3AA0">
        <w:t xml:space="preserve">compared to </w:t>
      </w:r>
      <w:r w:rsidR="000E4C49">
        <w:t>8.</w:t>
      </w:r>
      <w:r w:rsidR="00763B0B">
        <w:t>85</w:t>
      </w:r>
      <w:r w:rsidR="00763B0B" w:rsidRPr="00CA3AA0">
        <w:t xml:space="preserve"> </w:t>
      </w:r>
      <w:r w:rsidRPr="00CA3AA0">
        <w:t>per</w:t>
      </w:r>
      <w:r w:rsidRPr="00823B8F">
        <w:t xml:space="preserve"> cent put forward by </w:t>
      </w:r>
      <w:r>
        <w:t>Endeavour Energy</w:t>
      </w:r>
      <w:r w:rsidRPr="00823B8F">
        <w:t xml:space="preserve"> in its revised proposal.</w:t>
      </w:r>
      <w:r w:rsidR="003E67D0">
        <w:rPr>
          <w:rStyle w:val="FootnoteReference"/>
        </w:rPr>
        <w:footnoteReference w:id="8"/>
      </w:r>
      <w:r w:rsidRPr="00823B8F">
        <w:t xml:space="preserve"> </w:t>
      </w:r>
      <w:r w:rsidR="00595107" w:rsidRPr="00595107">
        <w:t>The rate of return for 2015–16 will be 6.68 per cent. For the rest of the regulatory control period, we will update the rate of return annually.</w:t>
      </w:r>
    </w:p>
    <w:p w:rsidR="00720C67" w:rsidRPr="0016716A" w:rsidRDefault="00720C67" w:rsidP="00720C67">
      <w:r w:rsidRPr="0016716A">
        <w:t xml:space="preserve">We set out our approach to determining the rate of return in </w:t>
      </w:r>
      <w:r w:rsidR="0019264E">
        <w:t>the Rate of Return G</w:t>
      </w:r>
      <w:r w:rsidRPr="0016716A">
        <w:t>uideline</w:t>
      </w:r>
      <w:r w:rsidR="0019264E">
        <w:t xml:space="preserve"> (Guideline)</w:t>
      </w:r>
      <w:r w:rsidRPr="0016716A">
        <w:t xml:space="preserve"> we published in December 20</w:t>
      </w:r>
      <w:r>
        <w:t>1</w:t>
      </w:r>
      <w:r w:rsidRPr="0016716A">
        <w:t>3</w:t>
      </w:r>
      <w:r w:rsidR="00E21930">
        <w:t>.</w:t>
      </w:r>
      <w:r w:rsidR="00E21930">
        <w:rPr>
          <w:rStyle w:val="FootnoteReference"/>
        </w:rPr>
        <w:footnoteReference w:id="9"/>
      </w:r>
      <w:r w:rsidR="00E21930">
        <w:t xml:space="preserve"> </w:t>
      </w:r>
      <w:r w:rsidRPr="0016716A">
        <w:t xml:space="preserve">This </w:t>
      </w:r>
      <w:r w:rsidR="0019264E">
        <w:t>G</w:t>
      </w:r>
      <w:r w:rsidR="0019264E" w:rsidRPr="0016716A">
        <w:t xml:space="preserve">uideline </w:t>
      </w:r>
      <w:r w:rsidRPr="0016716A">
        <w:t xml:space="preserve">is not binding. However, a </w:t>
      </w:r>
      <w:r w:rsidR="0019264E">
        <w:t>distributor</w:t>
      </w:r>
      <w:r>
        <w:t xml:space="preserve"> </w:t>
      </w:r>
      <w:r w:rsidRPr="0016716A">
        <w:t xml:space="preserve">must provide reasons to justify any departure from the </w:t>
      </w:r>
      <w:r w:rsidR="0019264E">
        <w:t>G</w:t>
      </w:r>
      <w:r w:rsidRPr="0016716A">
        <w:t xml:space="preserve">uideline. </w:t>
      </w:r>
      <w:r>
        <w:t>Endeavour Energy</w:t>
      </w:r>
      <w:r w:rsidRPr="0016716A">
        <w:t xml:space="preserve"> has proposed we depart from the </w:t>
      </w:r>
      <w:r w:rsidR="0019264E">
        <w:t>G</w:t>
      </w:r>
      <w:r w:rsidRPr="0016716A">
        <w:t xml:space="preserve">uideline. We disagree. </w:t>
      </w:r>
    </w:p>
    <w:p w:rsidR="00720C67" w:rsidRPr="0016716A" w:rsidRDefault="00720C67" w:rsidP="00720C67">
      <w:r w:rsidRPr="0016716A">
        <w:t xml:space="preserve">Prevailing market conditions for debt and equity heavily influence the rate of return. In our draft decision we pointed out that financial conditions have improved markedly since our 2009 final decision, resulting in a lower rate of return. Since our draft decision, interest rates have fallen further and financial market conditions have continued to ease. This means that the cost of debt and the returns required to attract equity are lower than when we made our draft decision. We consider these factors should be reflected in the final rate of return.  </w:t>
      </w:r>
    </w:p>
    <w:p w:rsidR="00720C67" w:rsidRDefault="00720C67" w:rsidP="00720C67">
      <w:bookmarkStart w:id="28" w:name="_Toc411428012"/>
      <w:r>
        <w:t>On a more technical level, there are two key difference</w:t>
      </w:r>
      <w:r w:rsidR="0019264E">
        <w:t>s</w:t>
      </w:r>
      <w:r>
        <w:t xml:space="preserve"> between our final decision and Endeavour Energy's revised proposal in relation to rate of return:</w:t>
      </w:r>
    </w:p>
    <w:p w:rsidR="00720C67" w:rsidRDefault="00720C67" w:rsidP="00720C67">
      <w:pPr>
        <w:pStyle w:val="AERbulletlistfirststyle"/>
      </w:pPr>
      <w:r>
        <w:t>whether to use a</w:t>
      </w:r>
      <w:r w:rsidR="0019264E">
        <w:t xml:space="preserve"> forwards or</w:t>
      </w:r>
      <w:r>
        <w:t xml:space="preserve"> backwards looking approach in transitioning between approaches to setting our estimate of the return on debt</w:t>
      </w:r>
    </w:p>
    <w:p w:rsidR="00720C67" w:rsidRDefault="00720C67" w:rsidP="00720C67">
      <w:pPr>
        <w:pStyle w:val="AERbulletlistfirststyle"/>
      </w:pPr>
      <w:proofErr w:type="gramStart"/>
      <w:r>
        <w:t>whether</w:t>
      </w:r>
      <w:proofErr w:type="gramEnd"/>
      <w:r>
        <w:t xml:space="preserve"> to give weight to </w:t>
      </w:r>
      <w:r w:rsidR="0019264E">
        <w:t xml:space="preserve">other </w:t>
      </w:r>
      <w:r>
        <w:t xml:space="preserve">indicators of the return on equity that </w:t>
      </w:r>
      <w:r w:rsidR="0019264E">
        <w:t xml:space="preserve">Endeavour Energy considers to be informative but which </w:t>
      </w:r>
      <w:r>
        <w:t>we do not consider to be robust and which other regulators do not use.</w:t>
      </w:r>
    </w:p>
    <w:p w:rsidR="00720C67" w:rsidRDefault="00133349" w:rsidP="00720C67">
      <w:r>
        <w:t>T</w:t>
      </w:r>
      <w:r w:rsidR="0019264E">
        <w:t>he Guideline</w:t>
      </w:r>
      <w:r>
        <w:t xml:space="preserve"> (and indeed,</w:t>
      </w:r>
      <w:r w:rsidR="0019264E" w:rsidRPr="00EC14A5">
        <w:t xml:space="preserve"> this decision</w:t>
      </w:r>
      <w:r>
        <w:t>) marks a departure</w:t>
      </w:r>
      <w:r w:rsidR="0019264E">
        <w:t xml:space="preserve"> from our previous approach to estimating the return on debt and the return on equity. F</w:t>
      </w:r>
      <w:r w:rsidR="00720C67">
        <w:t>or the return on debt, w</w:t>
      </w:r>
      <w:r w:rsidR="00720C67" w:rsidRPr="00EC14A5">
        <w:t xml:space="preserve">e have used a gradual, forward looking transition to do so. We set out this transition in the </w:t>
      </w:r>
      <w:r w:rsidR="0019264E">
        <w:t>G</w:t>
      </w:r>
      <w:r w:rsidR="0019264E" w:rsidRPr="00EC14A5">
        <w:t>uideline</w:t>
      </w:r>
      <w:r w:rsidR="00720C67" w:rsidRPr="00EC14A5">
        <w:t xml:space="preserve">. </w:t>
      </w:r>
      <w:r w:rsidR="0019264E">
        <w:t>Our approach to setting the return on debt</w:t>
      </w:r>
      <w:r w:rsidR="0019264E" w:rsidRPr="00EC14A5">
        <w:t xml:space="preserve"> </w:t>
      </w:r>
      <w:r w:rsidR="00720C67" w:rsidRPr="00EC14A5">
        <w:t xml:space="preserve">received broad support </w:t>
      </w:r>
      <w:r w:rsidR="0019264E">
        <w:t>across</w:t>
      </w:r>
      <w:r w:rsidR="0019264E" w:rsidRPr="00EC14A5">
        <w:t xml:space="preserve"> </w:t>
      </w:r>
      <w:r w:rsidR="00720C67" w:rsidRPr="00EC14A5">
        <w:t xml:space="preserve">many stakeholders, including </w:t>
      </w:r>
      <w:r>
        <w:t xml:space="preserve">some </w:t>
      </w:r>
      <w:r w:rsidR="00720C67">
        <w:t>service providers</w:t>
      </w:r>
      <w:r w:rsidR="00720C67" w:rsidRPr="00EC14A5">
        <w:t>.</w:t>
      </w:r>
      <w:r w:rsidR="00720C67" w:rsidRPr="00EC14A5">
        <w:rPr>
          <w:rStyle w:val="FootnoteReference"/>
        </w:rPr>
        <w:footnoteReference w:id="10"/>
      </w:r>
      <w:r w:rsidR="00720C67" w:rsidRPr="00EC14A5">
        <w:t xml:space="preserve"> The evidence </w:t>
      </w:r>
      <w:r>
        <w:t>Endeavour Energy provided</w:t>
      </w:r>
      <w:r w:rsidR="00720C67" w:rsidRPr="00EC14A5">
        <w:t xml:space="preserve"> does not convince us that we should depart from the approach in our </w:t>
      </w:r>
      <w:r w:rsidR="0019264E">
        <w:t>G</w:t>
      </w:r>
      <w:r w:rsidR="0019264E" w:rsidRPr="00EC14A5">
        <w:t>uideline</w:t>
      </w:r>
      <w:r w:rsidR="00720C67" w:rsidRPr="00EC14A5">
        <w:t>, for this final decision.</w:t>
      </w:r>
      <w:r w:rsidR="00720C67" w:rsidRPr="00EC14A5">
        <w:rPr>
          <w:rStyle w:val="FootnoteReference"/>
        </w:rPr>
        <w:footnoteReference w:id="11"/>
      </w:r>
      <w:r w:rsidR="00720C67">
        <w:t xml:space="preserve"> For the return on equity, t</w:t>
      </w:r>
      <w:r w:rsidR="00720C67" w:rsidRPr="00EC14A5">
        <w:t xml:space="preserve">he expert evidence before us indicates that </w:t>
      </w:r>
      <w:r>
        <w:t xml:space="preserve">on balance </w:t>
      </w:r>
      <w:r w:rsidR="00720C67" w:rsidRPr="00EC14A5">
        <w:t xml:space="preserve">employing our approach is expected to lead to a rate of return that achieves the </w:t>
      </w:r>
      <w:r w:rsidR="002A16BD" w:rsidRPr="00823B8F">
        <w:t>allowed rate of return objective</w:t>
      </w:r>
      <w:r w:rsidR="00720C67" w:rsidRPr="00EC14A5">
        <w:t>.</w:t>
      </w:r>
      <w:r w:rsidR="00720C67">
        <w:t xml:space="preserve"> </w:t>
      </w:r>
    </w:p>
    <w:p w:rsidR="00927287" w:rsidRDefault="00927287" w:rsidP="00927287">
      <w:pPr>
        <w:pStyle w:val="Heading3"/>
      </w:pPr>
      <w:bookmarkStart w:id="29" w:name="_Toc417916995"/>
      <w:r>
        <w:t>Operating Expenditure</w:t>
      </w:r>
      <w:bookmarkEnd w:id="29"/>
    </w:p>
    <w:p w:rsidR="00927287" w:rsidRDefault="0019264E" w:rsidP="00927287">
      <w:proofErr w:type="spellStart"/>
      <w:r>
        <w:t>O</w:t>
      </w:r>
      <w:r w:rsidR="00927287">
        <w:t>pex</w:t>
      </w:r>
      <w:proofErr w:type="spellEnd"/>
      <w:r w:rsidR="00927287">
        <w:t xml:space="preserve"> is required to operate and maintain the distributor's network. Like rate of return, it is a key driver of total revenue. </w:t>
      </w:r>
    </w:p>
    <w:p w:rsidR="00626C1E" w:rsidRDefault="00626C1E" w:rsidP="00927287">
      <w:r>
        <w:t xml:space="preserve">Our final decision is for a forecast </w:t>
      </w:r>
      <w:proofErr w:type="spellStart"/>
      <w:r>
        <w:t>opex</w:t>
      </w:r>
      <w:proofErr w:type="spellEnd"/>
      <w:r>
        <w:t xml:space="preserve"> amount </w:t>
      </w:r>
      <w:r w:rsidRPr="00612D52">
        <w:t xml:space="preserve">of </w:t>
      </w:r>
      <w:r>
        <w:t>$1.22</w:t>
      </w:r>
      <w:r w:rsidRPr="00612D52">
        <w:t xml:space="preserve"> </w:t>
      </w:r>
      <w:r>
        <w:t>billion ($2013–14)</w:t>
      </w:r>
      <w:r w:rsidRPr="00612D52">
        <w:t xml:space="preserve"> compared to </w:t>
      </w:r>
      <w:r>
        <w:t>$1.4</w:t>
      </w:r>
      <w:r w:rsidR="008C525B">
        <w:t>7</w:t>
      </w:r>
      <w:r>
        <w:t xml:space="preserve"> billion ($2013–14)</w:t>
      </w:r>
      <w:r w:rsidRPr="00612D52">
        <w:t xml:space="preserve"> put forward by </w:t>
      </w:r>
      <w:r>
        <w:t>Endeavour Energy</w:t>
      </w:r>
      <w:r w:rsidRPr="00612D52">
        <w:t xml:space="preserve"> in its revised proposal. This </w:t>
      </w:r>
      <w:r>
        <w:t>reflects a 1</w:t>
      </w:r>
      <w:r w:rsidR="008C525B">
        <w:t>6.9</w:t>
      </w:r>
      <w:r>
        <w:t xml:space="preserve"> per cent reduction.</w:t>
      </w:r>
    </w:p>
    <w:p w:rsidR="00927287" w:rsidRDefault="00927287" w:rsidP="00927287">
      <w:r>
        <w:t xml:space="preserve">Whether we should use historical costs as the starting point for forecasting its future costs is </w:t>
      </w:r>
      <w:r w:rsidR="00626C1E">
        <w:t>a</w:t>
      </w:r>
      <w:r>
        <w:t xml:space="preserve"> key issue in determining a distributor's </w:t>
      </w:r>
      <w:proofErr w:type="spellStart"/>
      <w:r>
        <w:t>opex</w:t>
      </w:r>
      <w:proofErr w:type="spellEnd"/>
      <w:r>
        <w:t xml:space="preserve"> forecast. </w:t>
      </w:r>
      <w:r w:rsidR="003500E4">
        <w:t xml:space="preserve">In contrast to </w:t>
      </w:r>
      <w:proofErr w:type="spellStart"/>
      <w:r w:rsidR="003500E4">
        <w:t>Ausgrid</w:t>
      </w:r>
      <w:proofErr w:type="spellEnd"/>
      <w:r w:rsidR="003500E4">
        <w:t xml:space="preserve"> and Essential Energy</w:t>
      </w:r>
      <w:r>
        <w:t xml:space="preserve">, we consider </w:t>
      </w:r>
      <w:r w:rsidR="003C461D">
        <w:t xml:space="preserve">that </w:t>
      </w:r>
      <w:r>
        <w:t>we</w:t>
      </w:r>
      <w:r w:rsidR="003B05A8">
        <w:t xml:space="preserve"> </w:t>
      </w:r>
      <w:r w:rsidR="00626C1E">
        <w:t>are able to rely</w:t>
      </w:r>
      <w:r>
        <w:t xml:space="preserve"> </w:t>
      </w:r>
      <w:r w:rsidR="003B05A8">
        <w:t xml:space="preserve">on Endeavour Energy's revealed expenditure as the starting point for determining our estimate of Endeavour Energy's efficient total forecast </w:t>
      </w:r>
      <w:proofErr w:type="spellStart"/>
      <w:r w:rsidR="003B05A8">
        <w:t>opex</w:t>
      </w:r>
      <w:proofErr w:type="spellEnd"/>
      <w:r w:rsidR="003B05A8">
        <w:t xml:space="preserve">. </w:t>
      </w:r>
      <w:r w:rsidR="003500E4">
        <w:t>This is explained further in attachment 7.</w:t>
      </w:r>
    </w:p>
    <w:p w:rsidR="00927287" w:rsidRDefault="00927287" w:rsidP="00927287">
      <w:r>
        <w:t>Under the NER, a distributor's</w:t>
      </w:r>
      <w:r w:rsidRPr="007E4981">
        <w:t xml:space="preserve"> proposal</w:t>
      </w:r>
      <w:r>
        <w:t xml:space="preserve"> must include the total forecast operating expenditure which the distributor considers is required in order to achieve each of the following (</w:t>
      </w:r>
      <w:proofErr w:type="spellStart"/>
      <w:r>
        <w:t>opex</w:t>
      </w:r>
      <w:proofErr w:type="spellEnd"/>
      <w:r>
        <w:t>) objectives:</w:t>
      </w:r>
    </w:p>
    <w:p w:rsidR="00927287" w:rsidRDefault="00927287" w:rsidP="00927287">
      <w:pPr>
        <w:pStyle w:val="AERbulletlistfirststyle"/>
      </w:pPr>
      <w:r>
        <w:t>meet or manage expected demand</w:t>
      </w:r>
    </w:p>
    <w:p w:rsidR="00927287" w:rsidRDefault="00927287" w:rsidP="00927287">
      <w:pPr>
        <w:pStyle w:val="AERbulletlistfirststyle"/>
      </w:pPr>
      <w:r>
        <w:t xml:space="preserve">comply with certain obligations and service standards </w:t>
      </w:r>
    </w:p>
    <w:p w:rsidR="00927287" w:rsidRDefault="00927287" w:rsidP="00927287">
      <w:pPr>
        <w:pStyle w:val="AERbulletlistfirststyle"/>
      </w:pPr>
      <w:proofErr w:type="gramStart"/>
      <w:r>
        <w:t>maintain</w:t>
      </w:r>
      <w:proofErr w:type="gramEnd"/>
      <w:r>
        <w:t xml:space="preserve"> the safety of the distribution system.</w:t>
      </w:r>
      <w:r>
        <w:rPr>
          <w:rStyle w:val="FootnoteReference"/>
        </w:rPr>
        <w:footnoteReference w:id="12"/>
      </w:r>
    </w:p>
    <w:p w:rsidR="000829D8" w:rsidRDefault="000829D8" w:rsidP="003B05A8">
      <w:pPr>
        <w:pStyle w:val="AERbulletlistfirststyle"/>
        <w:numPr>
          <w:ilvl w:val="0"/>
          <w:numId w:val="0"/>
        </w:numPr>
      </w:pPr>
      <w:r>
        <w:t xml:space="preserve">For Endeavour Energy, the key issue driving the difference between our final decision and Endeavour Energy's revised forecast </w:t>
      </w:r>
      <w:proofErr w:type="spellStart"/>
      <w:r>
        <w:t>opex</w:t>
      </w:r>
      <w:proofErr w:type="spellEnd"/>
      <w:r>
        <w:t xml:space="preserve"> is our </w:t>
      </w:r>
      <w:r w:rsidR="00092CE7">
        <w:t xml:space="preserve">decision not to include a step change for increased vegetation management costs. </w:t>
      </w:r>
    </w:p>
    <w:p w:rsidR="00EC4A35" w:rsidRDefault="00092CE7">
      <w:pPr>
        <w:pStyle w:val="AERbulletlistfirststyle"/>
        <w:numPr>
          <w:ilvl w:val="0"/>
          <w:numId w:val="0"/>
        </w:numPr>
      </w:pPr>
      <w:r>
        <w:t xml:space="preserve">Endeavour Energy's proposed increase in </w:t>
      </w:r>
      <w:proofErr w:type="spellStart"/>
      <w:r>
        <w:t>opex</w:t>
      </w:r>
      <w:proofErr w:type="spellEnd"/>
      <w:r>
        <w:t xml:space="preserve"> relates to compliance with its existing regulatory obligations. We are satisfied Endeavour Energy's </w:t>
      </w:r>
      <w:r w:rsidR="00597849">
        <w:t xml:space="preserve">revealed </w:t>
      </w:r>
      <w:proofErr w:type="spellStart"/>
      <w:r w:rsidR="00597849">
        <w:t>opex</w:t>
      </w:r>
      <w:proofErr w:type="spellEnd"/>
      <w:r>
        <w:t xml:space="preserve"> is sufficient for it to meet</w:t>
      </w:r>
      <w:r w:rsidR="0015215E">
        <w:t xml:space="preserve"> all of</w:t>
      </w:r>
      <w:r>
        <w:t xml:space="preserve"> its existing regulatory obligations</w:t>
      </w:r>
      <w:r w:rsidR="0015215E">
        <w:t xml:space="preserve"> including for vegetation management</w:t>
      </w:r>
      <w:r>
        <w:t xml:space="preserve">. We did not consider there was sufficient evidence to support a material increase above </w:t>
      </w:r>
      <w:r w:rsidR="00600768">
        <w:t xml:space="preserve">Endeavour Energy's </w:t>
      </w:r>
      <w:r>
        <w:t>revealed expenditure.</w:t>
      </w:r>
    </w:p>
    <w:p w:rsidR="00360F32" w:rsidRDefault="00360F32" w:rsidP="00360F32">
      <w:pPr>
        <w:pStyle w:val="Heading2"/>
      </w:pPr>
      <w:bookmarkStart w:id="30" w:name="_Toc415927223"/>
      <w:bookmarkStart w:id="31" w:name="_Toc417916996"/>
      <w:bookmarkEnd w:id="28"/>
      <w:bookmarkEnd w:id="30"/>
      <w:r>
        <w:t>Key issues raised in revised proposal</w:t>
      </w:r>
      <w:bookmarkEnd w:id="31"/>
    </w:p>
    <w:p w:rsidR="00360F32" w:rsidRDefault="00360F32" w:rsidP="00360F32">
      <w:r>
        <w:t xml:space="preserve">In its revised proposal, </w:t>
      </w:r>
      <w:r w:rsidR="00957E1B">
        <w:t xml:space="preserve">Endeavour Energy </w:t>
      </w:r>
      <w:r>
        <w:t>raised some overarching concerns it had with our draft determination, including:</w:t>
      </w:r>
    </w:p>
    <w:p w:rsidR="00360F32" w:rsidRDefault="00360F32" w:rsidP="00360F32">
      <w:pPr>
        <w:pStyle w:val="AERbulletlistfirststyle"/>
      </w:pPr>
      <w:r>
        <w:t>safety implications of our draft decision</w:t>
      </w:r>
    </w:p>
    <w:p w:rsidR="00360F32" w:rsidRDefault="00360F32" w:rsidP="00360F32">
      <w:pPr>
        <w:pStyle w:val="AERbulletlistfirststyle"/>
      </w:pPr>
      <w:r>
        <w:t>use of benchmarking in setting revenue allowances</w:t>
      </w:r>
    </w:p>
    <w:p w:rsidR="00360F32" w:rsidRDefault="00360F32" w:rsidP="00360F32">
      <w:pPr>
        <w:pStyle w:val="AERbulletlistfirststyle"/>
      </w:pPr>
      <w:r>
        <w:t>consumer engagement</w:t>
      </w:r>
    </w:p>
    <w:p w:rsidR="00360F32" w:rsidRDefault="00360F32" w:rsidP="00360F32">
      <w:pPr>
        <w:pStyle w:val="AERbulletlistfirststyle"/>
      </w:pPr>
      <w:proofErr w:type="spellStart"/>
      <w:proofErr w:type="gramStart"/>
      <w:r>
        <w:t>financeability</w:t>
      </w:r>
      <w:proofErr w:type="spellEnd"/>
      <w:proofErr w:type="gramEnd"/>
      <w:r>
        <w:t>.</w:t>
      </w:r>
    </w:p>
    <w:p w:rsidR="00360F32" w:rsidRDefault="00360F32" w:rsidP="00360F32">
      <w:r>
        <w:t xml:space="preserve">We have considered </w:t>
      </w:r>
      <w:r w:rsidR="00957E1B">
        <w:t xml:space="preserve">Endeavour Energy's </w:t>
      </w:r>
      <w:r>
        <w:t xml:space="preserve">views on these issues in detail in the relevant attachments. However, we consider these issues are sufficiently important that we </w:t>
      </w:r>
      <w:r w:rsidR="00133349">
        <w:t xml:space="preserve">also </w:t>
      </w:r>
      <w:r>
        <w:t>address them briefly here.</w:t>
      </w:r>
    </w:p>
    <w:p w:rsidR="00360F32" w:rsidRDefault="00360F32" w:rsidP="00360F32">
      <w:pPr>
        <w:pStyle w:val="Heading3"/>
      </w:pPr>
      <w:bookmarkStart w:id="32" w:name="_Toc417916997"/>
      <w:r>
        <w:t>Safety</w:t>
      </w:r>
      <w:r w:rsidR="0019264E">
        <w:t xml:space="preserve"> and reliability</w:t>
      </w:r>
      <w:bookmarkEnd w:id="32"/>
    </w:p>
    <w:p w:rsidR="00360F32" w:rsidRDefault="00957E1B" w:rsidP="00360F32">
      <w:r>
        <w:t xml:space="preserve">Endeavour Energy </w:t>
      </w:r>
      <w:r w:rsidR="00360F32">
        <w:t>argued that our draft decision would not provide sufficient revenue for the company to operate its system safely an</w:t>
      </w:r>
      <w:r>
        <w:t>d reliably. We have considered Endeavour Energy</w:t>
      </w:r>
      <w:r w:rsidR="00360F32">
        <w:t>'s and other stakeholders' submissions</w:t>
      </w:r>
      <w:r w:rsidR="00726FAF">
        <w:t>. This final decision approves</w:t>
      </w:r>
      <w:r w:rsidR="00360F32">
        <w:t xml:space="preserve"> a revenue allowance that will fund the </w:t>
      </w:r>
      <w:r w:rsidR="00360F32" w:rsidRPr="00117E02">
        <w:rPr>
          <w:rStyle w:val="AERtextitalic"/>
        </w:rPr>
        <w:t>efficient</w:t>
      </w:r>
      <w:r w:rsidR="00360F32">
        <w:t xml:space="preserve"> costs that</w:t>
      </w:r>
      <w:r w:rsidR="000F60AF">
        <w:t xml:space="preserve"> Endeavour Energy acting as</w:t>
      </w:r>
      <w:r w:rsidR="00360F32">
        <w:t xml:space="preserve"> a prudent operator would require to run the system safely and reliably.</w:t>
      </w:r>
      <w:r w:rsidR="0019264E" w:rsidRPr="0019264E">
        <w:t xml:space="preserve"> </w:t>
      </w:r>
      <w:r w:rsidR="0019264E">
        <w:t>To the extent that Endeavour Energy incurs costs that are above efficient levels they should be borne by Endeavour Energy's shareholders and not its consumers.</w:t>
      </w:r>
    </w:p>
    <w:p w:rsidR="00360F32" w:rsidRPr="00D629FE" w:rsidRDefault="00360F32" w:rsidP="00360F32">
      <w:r>
        <w:t>We</w:t>
      </w:r>
      <w:r w:rsidRPr="00D629FE">
        <w:t xml:space="preserve"> ha</w:t>
      </w:r>
      <w:r>
        <w:t>ve</w:t>
      </w:r>
      <w:r w:rsidRPr="00D629FE">
        <w:t xml:space="preserve"> considered safety, reliability and security</w:t>
      </w:r>
      <w:r>
        <w:t xml:space="preserve"> in a number of ways:</w:t>
      </w:r>
    </w:p>
    <w:p w:rsidR="00360F32" w:rsidRDefault="00360F32" w:rsidP="00360F32">
      <w:pPr>
        <w:pStyle w:val="AERbulletlistfirststyle"/>
      </w:pPr>
      <w:r>
        <w:t xml:space="preserve">our </w:t>
      </w:r>
      <w:r w:rsidRPr="00D629FE">
        <w:t xml:space="preserve">consultant </w:t>
      </w:r>
      <w:r>
        <w:t xml:space="preserve">has reviewed </w:t>
      </w:r>
      <w:r w:rsidR="00957E1B">
        <w:t>Endeavour Energy</w:t>
      </w:r>
      <w:r>
        <w:t xml:space="preserve">'s </w:t>
      </w:r>
      <w:r w:rsidRPr="00D629FE">
        <w:t>risk and governance practices</w:t>
      </w:r>
      <w:r>
        <w:t xml:space="preserve"> </w:t>
      </w:r>
    </w:p>
    <w:p w:rsidR="00360F32" w:rsidRDefault="00360F32" w:rsidP="00360F32">
      <w:pPr>
        <w:pStyle w:val="AERbulletlistfirststyle"/>
      </w:pPr>
      <w:r>
        <w:t xml:space="preserve">we have considered </w:t>
      </w:r>
      <w:r w:rsidR="00433195">
        <w:t xml:space="preserve">operating environment </w:t>
      </w:r>
      <w:r>
        <w:t>factors, such as network conditions and other regulatory obligations, that may impact safety, reliability and security</w:t>
      </w:r>
    </w:p>
    <w:p w:rsidR="00360F32" w:rsidRDefault="00360F32" w:rsidP="00360F32">
      <w:pPr>
        <w:pStyle w:val="AERbulletlistfirststyle"/>
      </w:pPr>
      <w:r>
        <w:t>we have considered the reliability and security of the network when considering individual aspects of the proposal, such as step changes and expenditure on bushfire mitigation projects</w:t>
      </w:r>
    </w:p>
    <w:p w:rsidR="00433195" w:rsidRDefault="00360F32" w:rsidP="00360F32">
      <w:pPr>
        <w:pStyle w:val="AERbulletlistfirststyle"/>
      </w:pPr>
      <w:r>
        <w:t xml:space="preserve">our benchmarking </w:t>
      </w:r>
      <w:r w:rsidR="002D49B8">
        <w:t xml:space="preserve">analysis </w:t>
      </w:r>
      <w:r>
        <w:t xml:space="preserve">accounts for safety, reliability and security, so that our substitute </w:t>
      </w:r>
      <w:proofErr w:type="spellStart"/>
      <w:r>
        <w:t>opex</w:t>
      </w:r>
      <w:proofErr w:type="spellEnd"/>
      <w:r>
        <w:t xml:space="preserve"> allowance represents the efficient </w:t>
      </w:r>
      <w:r w:rsidR="00433195">
        <w:t>costs that a prudent operator would require to run the system at the existing level of safety and reliability</w:t>
      </w:r>
      <w:r w:rsidR="00716D41">
        <w:t xml:space="preserve"> </w:t>
      </w:r>
      <w:r w:rsidR="006A5CE1">
        <w:t xml:space="preserve">we have </w:t>
      </w:r>
      <w:r w:rsidR="00726FAF">
        <w:t xml:space="preserve">allowed all the capex that </w:t>
      </w:r>
      <w:r w:rsidR="00957E1B">
        <w:t xml:space="preserve">Endeavour </w:t>
      </w:r>
      <w:r w:rsidR="00726FAF">
        <w:t>Energy sought that is associated with safety, reliability and security issues</w:t>
      </w:r>
    </w:p>
    <w:p w:rsidR="00360F32" w:rsidRDefault="00433195" w:rsidP="00360F32">
      <w:pPr>
        <w:pStyle w:val="AERbulletlistfirststyle"/>
      </w:pPr>
      <w:proofErr w:type="gramStart"/>
      <w:r>
        <w:t>the</w:t>
      </w:r>
      <w:proofErr w:type="gramEnd"/>
      <w:r>
        <w:t xml:space="preserve"> </w:t>
      </w:r>
      <w:r w:rsidR="00716D41">
        <w:t>Service Target Performance Incentive Scheme (</w:t>
      </w:r>
      <w:r>
        <w:t>STPIS</w:t>
      </w:r>
      <w:r w:rsidR="00716D41">
        <w:t>) provides incentives to distributors to efficiently maintain and improve service performance.</w:t>
      </w:r>
      <w:r w:rsidR="00726FAF">
        <w:t>.</w:t>
      </w:r>
    </w:p>
    <w:p w:rsidR="00360F32" w:rsidRPr="00D629FE" w:rsidRDefault="00360F32" w:rsidP="00360F32">
      <w:r>
        <w:t xml:space="preserve">After making these inquiries, we conclude that </w:t>
      </w:r>
      <w:r w:rsidR="00957E1B">
        <w:t>Endeavour Energy</w:t>
      </w:r>
      <w:r w:rsidRPr="005679D5">
        <w:t xml:space="preserve">'s distribution services </w:t>
      </w:r>
      <w:r w:rsidR="00133349">
        <w:t>should</w:t>
      </w:r>
      <w:r w:rsidR="00133349" w:rsidRPr="005679D5">
        <w:t xml:space="preserve"> </w:t>
      </w:r>
      <w:r w:rsidRPr="005679D5">
        <w:t>be provided at substantially lower cost while still maintaining safety and complying with reliability obligations.</w:t>
      </w:r>
    </w:p>
    <w:p w:rsidR="00360F32" w:rsidRDefault="00360F32" w:rsidP="00360F32">
      <w:pPr>
        <w:pStyle w:val="Heading3"/>
      </w:pPr>
      <w:bookmarkStart w:id="33" w:name="_Toc415927226"/>
      <w:bookmarkStart w:id="34" w:name="_Toc417916998"/>
      <w:bookmarkEnd w:id="33"/>
      <w:r>
        <w:t>Use of benchmarking</w:t>
      </w:r>
      <w:bookmarkEnd w:id="34"/>
    </w:p>
    <w:p w:rsidR="00360F32" w:rsidRDefault="00957E1B" w:rsidP="00360F32">
      <w:r>
        <w:t>Endeavour Energy</w:t>
      </w:r>
      <w:r w:rsidR="00360F32">
        <w:t xml:space="preserve"> rejected the way we applied </w:t>
      </w:r>
      <w:r w:rsidR="00433195">
        <w:t>benchmarking</w:t>
      </w:r>
      <w:r w:rsidR="00360F32">
        <w:t xml:space="preserve"> in the draft decision. </w:t>
      </w:r>
      <w:r>
        <w:t>Endeavour Energy</w:t>
      </w:r>
      <w:r w:rsidR="00360F32">
        <w:t xml:space="preserve"> suggested that our benchmarking data was untested and unreliable, and should not play a role in the final determinations.</w:t>
      </w:r>
    </w:p>
    <w:p w:rsidR="00433195" w:rsidRDefault="00433195" w:rsidP="00433195">
      <w:r>
        <w:t xml:space="preserve">We have considered Endeavour Energy's submissions and the submissions made by other stakeholders about our benchmarking models and data. </w:t>
      </w:r>
      <w:r w:rsidRPr="00A15AD3">
        <w:t xml:space="preserve">We have confidence in the data that we used </w:t>
      </w:r>
      <w:r>
        <w:t xml:space="preserve">in our benchmarking models as it was developed in conjunction with industry </w:t>
      </w:r>
      <w:r w:rsidR="00133349">
        <w:t>it has been subject to</w:t>
      </w:r>
      <w:r>
        <w:t xml:space="preserve"> extensive review and test</w:t>
      </w:r>
      <w:r w:rsidR="00133349">
        <w:t>ing</w:t>
      </w:r>
      <w:r>
        <w:t>.  We note that benchmarking is a well-developed technique used extensively by regulators</w:t>
      </w:r>
      <w:r w:rsidR="00133349">
        <w:t xml:space="preserve"> in many other jurisdictions</w:t>
      </w:r>
      <w:r>
        <w:t xml:space="preserve">. Supported by the views of our benchmarking expert, we consider our models are the best available for measuring the efficiency of the service providers.  Our benchmarking model was carefully chosen after considering the results of previous work, the models used by regulators in overseas jurisdictions and the main cost drivers of electricity distribution businesses. </w:t>
      </w:r>
      <w:r w:rsidR="002B4A9D">
        <w:t xml:space="preserve">We </w:t>
      </w:r>
      <w:r>
        <w:t xml:space="preserve">have adopted a benchmark comparison point which has a lower efficiency score than the frontier service provider. The benchmark comparison point </w:t>
      </w:r>
      <w:r w:rsidR="002B4A9D">
        <w:t xml:space="preserve">for our final decision </w:t>
      </w:r>
      <w:r>
        <w:t xml:space="preserve">is AusNet Services.  </w:t>
      </w:r>
    </w:p>
    <w:p w:rsidR="00433195" w:rsidRDefault="00433195" w:rsidP="00433195">
      <w:r>
        <w:t xml:space="preserve">This approach is consistent with our Expenditure Forecast Assessment Guideline, which established a materiality threshold for making adjustments to base </w:t>
      </w:r>
      <w:proofErr w:type="spellStart"/>
      <w:r>
        <w:t>opex</w:t>
      </w:r>
      <w:proofErr w:type="spellEnd"/>
      <w:r>
        <w:t xml:space="preserve">. </w:t>
      </w:r>
    </w:p>
    <w:p w:rsidR="00360F32" w:rsidRDefault="00433195" w:rsidP="00360F32">
      <w:r w:rsidRPr="00E20B76">
        <w:t>While we consider that En</w:t>
      </w:r>
      <w:r>
        <w:t>deavour Energy</w:t>
      </w:r>
      <w:r w:rsidRPr="00E20B76">
        <w:t xml:space="preserve">'s revealed </w:t>
      </w:r>
      <w:proofErr w:type="spellStart"/>
      <w:r w:rsidRPr="00E20B76">
        <w:t>opex</w:t>
      </w:r>
      <w:proofErr w:type="spellEnd"/>
      <w:r w:rsidRPr="00E20B76">
        <w:t xml:space="preserve"> still includes inefficiencies, we have determined that they are not materially inefficient for the purposes of developing an alternative forecast that we are satisfied reasonably reflects the </w:t>
      </w:r>
      <w:proofErr w:type="spellStart"/>
      <w:r w:rsidRPr="00E20B76">
        <w:t>opex</w:t>
      </w:r>
      <w:proofErr w:type="spellEnd"/>
      <w:r w:rsidRPr="00E20B76">
        <w:t xml:space="preserve"> criteria. </w:t>
      </w:r>
      <w:r>
        <w:t xml:space="preserve">On this basis our final decision is to rely on Endeavour Energy's revealed </w:t>
      </w:r>
      <w:proofErr w:type="spellStart"/>
      <w:r>
        <w:t>opex</w:t>
      </w:r>
      <w:proofErr w:type="spellEnd"/>
      <w:r>
        <w:t xml:space="preserve"> as a starting point for forecasting its future </w:t>
      </w:r>
      <w:proofErr w:type="spellStart"/>
      <w:r>
        <w:t>opex</w:t>
      </w:r>
      <w:proofErr w:type="spellEnd"/>
      <w:r>
        <w:t>.</w:t>
      </w:r>
    </w:p>
    <w:p w:rsidR="009D2F25" w:rsidRDefault="009D2F25" w:rsidP="00360F32"/>
    <w:p w:rsidR="00360F32" w:rsidRDefault="00360F32" w:rsidP="00360F32">
      <w:pPr>
        <w:pStyle w:val="Heading3"/>
      </w:pPr>
      <w:bookmarkStart w:id="35" w:name="_Toc417916999"/>
      <w:r>
        <w:t>Consumer engagement</w:t>
      </w:r>
      <w:bookmarkEnd w:id="35"/>
    </w:p>
    <w:p w:rsidR="000A633B" w:rsidRPr="000A633B" w:rsidRDefault="000A633B" w:rsidP="000A633B">
      <w:bookmarkStart w:id="36" w:name="_Toc409422581"/>
      <w:bookmarkStart w:id="37" w:name="_Toc411428013"/>
      <w:bookmarkStart w:id="38" w:name="_Toc409422584"/>
      <w:r w:rsidRPr="000A633B">
        <w:t>Endeavour Energy considers we discounted evidence relating to consumer and stakeholder preferences.</w:t>
      </w:r>
      <w:r w:rsidRPr="00A51D54">
        <w:rPr>
          <w:rStyle w:val="AERsuperscript"/>
        </w:rPr>
        <w:footnoteReference w:id="13"/>
      </w:r>
      <w:r w:rsidRPr="000A633B">
        <w:t xml:space="preserve"> In support of its revised proposal, Networks NSW on behalf of </w:t>
      </w:r>
      <w:proofErr w:type="spellStart"/>
      <w:r w:rsidRPr="000A633B">
        <w:t>Ausgrid</w:t>
      </w:r>
      <w:proofErr w:type="spellEnd"/>
      <w:r w:rsidRPr="000A633B">
        <w:t>, Endeavour Energy and Essential Energy commissioned further work</w:t>
      </w:r>
      <w:r w:rsidR="006602E0">
        <w:t xml:space="preserve"> by </w:t>
      </w:r>
      <w:proofErr w:type="spellStart"/>
      <w:r w:rsidR="006602E0">
        <w:t>Ipsos</w:t>
      </w:r>
      <w:proofErr w:type="spellEnd"/>
      <w:r w:rsidRPr="000A633B">
        <w:t xml:space="preserve"> into consumer preferences and submitted a report on the preliminary findings of this research.</w:t>
      </w:r>
      <w:r w:rsidRPr="00A51D54">
        <w:rPr>
          <w:rStyle w:val="AERsuperscript"/>
        </w:rPr>
        <w:footnoteReference w:id="14"/>
      </w:r>
      <w:r w:rsidRPr="000A633B">
        <w:t xml:space="preserve"> Based on the findings of the research, Endeavour Energy concluded that:</w:t>
      </w:r>
    </w:p>
    <w:p w:rsidR="000A633B" w:rsidRPr="000A633B" w:rsidRDefault="000A633B" w:rsidP="000A633B">
      <w:pPr>
        <w:pStyle w:val="AERquoteindent2"/>
        <w:rPr>
          <w:rFonts w:eastAsia="Arial"/>
        </w:rPr>
      </w:pPr>
      <w:r w:rsidRPr="000A633B">
        <w:rPr>
          <w:rFonts w:eastAsia="Arial"/>
        </w:rPr>
        <w:t>“…customers are unwilling to sacrifice service offerings (particularly in terms of number and duration of unplanned blackouts and service restoration times) for a large reduction in quarterly network charge.”</w:t>
      </w:r>
    </w:p>
    <w:p w:rsidR="000A633B" w:rsidRPr="000A633B" w:rsidRDefault="000A633B" w:rsidP="000A633B">
      <w:r w:rsidRPr="000A633B">
        <w:t xml:space="preserve">We considered the report provided by Endeavour Energy and the supporting material provided in response to our information requests. </w:t>
      </w:r>
      <w:r w:rsidR="006602E0">
        <w:t>The findings of the research were based on the assumption that our draft decision would require the NSW distributors to reduce safety, service and reliability levels.  We do not agree with this assumption and as such give little weight to the research's findings in our final decision</w:t>
      </w:r>
      <w:r w:rsidR="006602E0" w:rsidRPr="000A633B">
        <w:t xml:space="preserve">. In our view, each of the NSW distributors can </w:t>
      </w:r>
      <w:r w:rsidR="006602E0">
        <w:t>maintain their levels of</w:t>
      </w:r>
      <w:r w:rsidRPr="000A633B">
        <w:t xml:space="preserve"> efficiency and provide safety, service and reliability at lower cost to consumers.  </w:t>
      </w:r>
    </w:p>
    <w:p w:rsidR="000A633B" w:rsidRPr="000A633B" w:rsidRDefault="000A633B" w:rsidP="000A633B">
      <w:r w:rsidRPr="000A633B">
        <w:t xml:space="preserve">We commissioned Oakley Greenwood to peer review the willingness to pay research conducted by </w:t>
      </w:r>
      <w:proofErr w:type="spellStart"/>
      <w:r w:rsidRPr="000A633B">
        <w:t>Ipsos</w:t>
      </w:r>
      <w:proofErr w:type="spellEnd"/>
      <w:r w:rsidRPr="000A633B">
        <w:t xml:space="preserve">. Oakley Greenwood </w:t>
      </w:r>
      <w:r w:rsidR="00A51D54">
        <w:t xml:space="preserve">also </w:t>
      </w:r>
      <w:r w:rsidRPr="000A633B">
        <w:t>commented on the key assumption underpinning the research, that being that</w:t>
      </w:r>
      <w:r w:rsidR="006602E0">
        <w:t xml:space="preserve"> Endeavour Energy's assertion that</w:t>
      </w:r>
      <w:r w:rsidRPr="000A633B">
        <w:t xml:space="preserve"> ‘the cuts proposed by the AER will reduce reliability’. Oakley Greenwood pointed out in its report that this assumption ‘may have limited the scope as compared to what might have been a fuller treatment of consumers’ preferences’.</w:t>
      </w:r>
      <w:r w:rsidRPr="000A633B">
        <w:rPr>
          <w:rStyle w:val="FootnoteReference"/>
        </w:rPr>
        <w:footnoteReference w:id="15"/>
      </w:r>
      <w:r w:rsidRPr="000A633B">
        <w:t xml:space="preserve"> In other words, research findings are sensitive to the assumptions used.</w:t>
      </w:r>
    </w:p>
    <w:p w:rsidR="000A633B" w:rsidRDefault="000A633B" w:rsidP="00DD6AE0">
      <w:r w:rsidRPr="000A633B">
        <w:t xml:space="preserve">In commenting on the conclusions that can be drawn from the </w:t>
      </w:r>
      <w:proofErr w:type="spellStart"/>
      <w:r w:rsidR="006602E0">
        <w:t>Ipsos</w:t>
      </w:r>
      <w:proofErr w:type="spellEnd"/>
      <w:r w:rsidR="006602E0">
        <w:t xml:space="preserve"> </w:t>
      </w:r>
      <w:r w:rsidRPr="000A633B">
        <w:t>research, Oakley Greenwood identified that many customers</w:t>
      </w:r>
      <w:r w:rsidR="006602E0">
        <w:t xml:space="preserve"> appear to have</w:t>
      </w:r>
      <w:r w:rsidRPr="000A633B">
        <w:t xml:space="preserve"> misperceived the level of service they were currently </w:t>
      </w:r>
      <w:r w:rsidR="009F49D9">
        <w:t>receiving</w:t>
      </w:r>
      <w:r w:rsidRPr="000A633B">
        <w:t>.</w:t>
      </w:r>
      <w:r w:rsidRPr="000A633B">
        <w:rPr>
          <w:rStyle w:val="FootnoteReference"/>
        </w:rPr>
        <w:footnoteReference w:id="16"/>
      </w:r>
      <w:r w:rsidRPr="000A633B">
        <w:t xml:space="preserve"> </w:t>
      </w:r>
      <w:r w:rsidR="009D443F">
        <w:t>Oakley Greenwood concluded that:</w:t>
      </w:r>
    </w:p>
    <w:p w:rsidR="009D443F" w:rsidRPr="000A633B" w:rsidRDefault="009D443F" w:rsidP="009D443F">
      <w:pPr>
        <w:pStyle w:val="AERquoteindent2"/>
        <w:rPr>
          <w:rFonts w:eastAsia="Arial"/>
        </w:rPr>
      </w:pPr>
      <w:r>
        <w:rPr>
          <w:rFonts w:eastAsia="Arial"/>
        </w:rPr>
        <w:t>"…</w:t>
      </w:r>
      <w:r w:rsidRPr="009D443F">
        <w:rPr>
          <w:rFonts w:eastAsia="Arial"/>
        </w:rPr>
        <w:t>the statement that ‘the majority [of customers] are not willing to trade reliability, safety and service for lower charges’ is an oversimplification of the survey results.”</w:t>
      </w:r>
      <w:r w:rsidRPr="009D443F">
        <w:rPr>
          <w:rStyle w:val="FootnoteReference"/>
          <w:rFonts w:eastAsia="Arial"/>
        </w:rPr>
        <w:footnoteReference w:id="17"/>
      </w:r>
    </w:p>
    <w:p w:rsidR="00360F32" w:rsidRDefault="000A633B" w:rsidP="000A633B">
      <w:r w:rsidRPr="000A633B">
        <w:t xml:space="preserve">We </w:t>
      </w:r>
      <w:r w:rsidR="006602E0">
        <w:t xml:space="preserve">find </w:t>
      </w:r>
      <w:r w:rsidRPr="000A633B">
        <w:t>Oakley Greenwood</w:t>
      </w:r>
      <w:r w:rsidR="006602E0">
        <w:t>'s conclusions compelling</w:t>
      </w:r>
      <w:r w:rsidRPr="000A633B">
        <w:t xml:space="preserve">. While willingness to pay research is useful in certain circumstances, it is highly sensitive to the assumptions used and consumer understanding of those assumptions. The willingness to pay research commissioned by Networks NSW does provide useful insights. However, the willingness of customers to make trade-offs is likely to be more complex than the </w:t>
      </w:r>
      <w:r w:rsidR="006602E0">
        <w:t>binary</w:t>
      </w:r>
      <w:r w:rsidRPr="000A633B">
        <w:t xml:space="preserve"> conclusions reached by the NSW distribution businesses</w:t>
      </w:r>
      <w:r w:rsidR="00360F32">
        <w:t>.</w:t>
      </w:r>
      <w:r w:rsidR="00A51D54">
        <w:rPr>
          <w:rStyle w:val="FootnoteReference"/>
        </w:rPr>
        <w:footnoteReference w:id="18"/>
      </w:r>
    </w:p>
    <w:p w:rsidR="009F49D9" w:rsidRDefault="006602E0" w:rsidP="000A633B">
      <w:r>
        <w:t>We</w:t>
      </w:r>
      <w:r w:rsidR="009F49D9">
        <w:t xml:space="preserve"> consider that the primary purpose of consumer engagement is for consumers to have a meaningful opportunity to engage in Endeavour Energy's processes. In particular, we consider that consumers should be provided with the opportunity to help shape Endeavour Energy's proposal and the services it offers. Our view is that Endeavour Energy has not provided consumers with sufficient opportunity to influence its processes.</w:t>
      </w:r>
    </w:p>
    <w:p w:rsidR="00360F32" w:rsidRDefault="00360F32" w:rsidP="00360F32">
      <w:pPr>
        <w:pStyle w:val="Heading3"/>
      </w:pPr>
      <w:bookmarkStart w:id="39" w:name="_Toc417917000"/>
      <w:bookmarkStart w:id="40" w:name="_Toc411428015"/>
      <w:bookmarkStart w:id="41" w:name="_Toc409422585"/>
      <w:bookmarkEnd w:id="36"/>
      <w:bookmarkEnd w:id="37"/>
      <w:bookmarkEnd w:id="38"/>
      <w:proofErr w:type="spellStart"/>
      <w:r>
        <w:t>Financeability</w:t>
      </w:r>
      <w:bookmarkEnd w:id="39"/>
      <w:proofErr w:type="spellEnd"/>
    </w:p>
    <w:p w:rsidR="00C45281" w:rsidRDefault="00C45281" w:rsidP="00C45281">
      <w:r>
        <w:t>In its revised proposal, Endeavour Energy indicated that its financial viability would be threatened as a result of our draft decision. In support of this, Endeavour Energy submitted a range of material including:</w:t>
      </w:r>
    </w:p>
    <w:p w:rsidR="00C45281" w:rsidRPr="00DC08BE" w:rsidRDefault="00C45281" w:rsidP="00C45281">
      <w:pPr>
        <w:pStyle w:val="AERbulletlistfirststyle"/>
      </w:pPr>
      <w:r>
        <w:t>a</w:t>
      </w:r>
      <w:r w:rsidRPr="00DC08BE">
        <w:t>n expert</w:t>
      </w:r>
      <w:r w:rsidR="008E2866">
        <w:t>'</w:t>
      </w:r>
      <w:r w:rsidRPr="00DC08BE">
        <w:t>s report from David Newb</w:t>
      </w:r>
      <w:r>
        <w:t>e</w:t>
      </w:r>
      <w:r w:rsidRPr="00DC08BE">
        <w:t xml:space="preserve">ry </w:t>
      </w:r>
      <w:r>
        <w:t>submitting</w:t>
      </w:r>
      <w:r w:rsidRPr="00DC08BE">
        <w:t xml:space="preserve"> that sizeable </w:t>
      </w:r>
      <w:proofErr w:type="spellStart"/>
      <w:r w:rsidRPr="00DC08BE">
        <w:t>opex</w:t>
      </w:r>
      <w:proofErr w:type="spellEnd"/>
      <w:r w:rsidRPr="00DC08BE">
        <w:t xml:space="preserve"> reductions in a short period of time would negatively impact the ongoing </w:t>
      </w:r>
      <w:proofErr w:type="spellStart"/>
      <w:r w:rsidRPr="00DC08BE">
        <w:t>financeability</w:t>
      </w:r>
      <w:proofErr w:type="spellEnd"/>
      <w:r w:rsidRPr="00DC08BE">
        <w:t xml:space="preserve"> of the DNSPs and their viability as economic entities</w:t>
      </w:r>
      <w:r>
        <w:rPr>
          <w:rStyle w:val="FootnoteReference"/>
        </w:rPr>
        <w:footnoteReference w:id="19"/>
      </w:r>
      <w:r w:rsidRPr="00DC08BE">
        <w:t xml:space="preserve"> </w:t>
      </w:r>
    </w:p>
    <w:p w:rsidR="00C45281" w:rsidRPr="007765EF" w:rsidRDefault="00C45281" w:rsidP="00C45281">
      <w:pPr>
        <w:pStyle w:val="AERbulletlistfirststyle"/>
      </w:pPr>
      <w:r w:rsidRPr="007765EF">
        <w:t xml:space="preserve">a confidential credit profile report by Standard and </w:t>
      </w:r>
      <w:proofErr w:type="spellStart"/>
      <w:r w:rsidRPr="007765EF">
        <w:t>Poors</w:t>
      </w:r>
      <w:proofErr w:type="spellEnd"/>
      <w:r w:rsidRPr="007765EF">
        <w:t xml:space="preserve"> (S&amp;P)</w:t>
      </w:r>
      <w:r>
        <w:rPr>
          <w:rStyle w:val="FootnoteReference"/>
        </w:rPr>
        <w:footnoteReference w:id="20"/>
      </w:r>
      <w:r w:rsidRPr="007765EF">
        <w:t xml:space="preserve"> </w:t>
      </w:r>
    </w:p>
    <w:p w:rsidR="00C45281" w:rsidRPr="007765EF" w:rsidRDefault="00C45281" w:rsidP="00C45281">
      <w:pPr>
        <w:pStyle w:val="AERbulletlistfirststyle"/>
      </w:pPr>
      <w:r w:rsidRPr="007765EF">
        <w:t>A report by UBS</w:t>
      </w:r>
      <w:r>
        <w:t xml:space="preserve"> including confidential content relevant to </w:t>
      </w:r>
      <w:proofErr w:type="spellStart"/>
      <w:r>
        <w:t>financeability</w:t>
      </w:r>
      <w:proofErr w:type="spellEnd"/>
      <w:r>
        <w:rPr>
          <w:rStyle w:val="FootnoteReference"/>
        </w:rPr>
        <w:footnoteReference w:id="21"/>
      </w:r>
      <w:r w:rsidRPr="007765EF">
        <w:t xml:space="preserve"> </w:t>
      </w:r>
    </w:p>
    <w:p w:rsidR="00C45281" w:rsidRDefault="00C45281" w:rsidP="00C45281">
      <w:r w:rsidRPr="00A2207D">
        <w:t xml:space="preserve">Neither the NEL nor the </w:t>
      </w:r>
      <w:r>
        <w:t>NER</w:t>
      </w:r>
      <w:r w:rsidRPr="00A2207D">
        <w:t xml:space="preserve"> include an explicit obligation requiring us to consider the impact of our determination on the viability of the service provider in its actual circumstances. </w:t>
      </w:r>
      <w:r w:rsidRPr="00A04EEA">
        <w:t xml:space="preserve">Our task is to determine the revenue that </w:t>
      </w:r>
      <w:r>
        <w:t>a service provider</w:t>
      </w:r>
      <w:r w:rsidRPr="00A04EEA">
        <w:t xml:space="preserve"> can recover from its customers with reference to </w:t>
      </w:r>
      <w:r>
        <w:t>an</w:t>
      </w:r>
      <w:r w:rsidRPr="00A04EEA">
        <w:t xml:space="preserve"> efficient </w:t>
      </w:r>
      <w:r>
        <w:t>and</w:t>
      </w:r>
      <w:r w:rsidRPr="00A04EEA">
        <w:t xml:space="preserve"> prudent level of expenditure. </w:t>
      </w:r>
      <w:r>
        <w:t xml:space="preserve">The </w:t>
      </w:r>
      <w:r w:rsidRPr="00A2207D">
        <w:t xml:space="preserve">service provider’s actual ownership circumstances </w:t>
      </w:r>
      <w:r>
        <w:t xml:space="preserve">and the financial structure of its shareholders are not factors that we are required to consider in fulfilling </w:t>
      </w:r>
      <w:r w:rsidRPr="00A2207D">
        <w:t xml:space="preserve">our task under the NEL or the </w:t>
      </w:r>
      <w:r>
        <w:t>NER</w:t>
      </w:r>
      <w:r w:rsidRPr="00A2207D">
        <w:t>.</w:t>
      </w:r>
      <w:r>
        <w:t xml:space="preserve"> </w:t>
      </w:r>
    </w:p>
    <w:p w:rsidR="00C45281" w:rsidRDefault="00C45281" w:rsidP="00C45281">
      <w:r w:rsidRPr="00A2207D">
        <w:t xml:space="preserve">We are satisfied that a </w:t>
      </w:r>
      <w:r>
        <w:t>revenue</w:t>
      </w:r>
      <w:r w:rsidRPr="00A2207D">
        <w:t xml:space="preserve"> allowance that meets the requirements of the rules will provide for </w:t>
      </w:r>
      <w:r>
        <w:t>Endeavour Energy</w:t>
      </w:r>
      <w:r w:rsidRPr="00A2207D">
        <w:t>, acting as a prudent operator with efficient costs, using a realistic expectation of demand and cost inputs, wi</w:t>
      </w:r>
      <w:r>
        <w:t>th the revenue it require</w:t>
      </w:r>
      <w:r w:rsidR="003E67D0">
        <w:t>s</w:t>
      </w:r>
      <w:r w:rsidRPr="00A2207D">
        <w:t xml:space="preserve"> to operate viably. However, to the extent that a service provider departs from such expenditure levels, it may be at greater financial risk. Since </w:t>
      </w:r>
      <w:r>
        <w:t>Endeavour Energy</w:t>
      </w:r>
      <w:r w:rsidRPr="00A2207D">
        <w:t xml:space="preserve"> raised this issue as a concern, we have considered it and the material put forward in support of its concerns. </w:t>
      </w:r>
      <w:r>
        <w:t>Endeavour Energy has not been clear about what it means by the term financial viability. In our analysis we have considered whether Endeavour Energy would be at material risk of insolvency. We understand this to be consistent with Endeavour Energy's interpretation of threats to its financial viability. We undertook analysis using our PTRM to model Endeavour Energy’s cash flows under a number of different scenarios. We then engaged RSM Bird Cameron to review and provide comment on our analysis. We are satisfied that Endeavour Energy would not be at material risk of insolvency because:</w:t>
      </w:r>
    </w:p>
    <w:p w:rsidR="00C45281" w:rsidRPr="00DC08BE" w:rsidRDefault="00C45281" w:rsidP="00C45281">
      <w:pPr>
        <w:pStyle w:val="AERbulletlistfirststyle"/>
      </w:pPr>
      <w:r>
        <w:t>Endeavour Energy is subject to a stable regulatory environment</w:t>
      </w:r>
      <w:r w:rsidRPr="00DC08BE">
        <w:t xml:space="preserve"> </w:t>
      </w:r>
      <w:r>
        <w:t>that is</w:t>
      </w:r>
      <w:r w:rsidRPr="00DC08BE">
        <w:t xml:space="preserve"> favourable for capital raising</w:t>
      </w:r>
      <w:r>
        <w:rPr>
          <w:rStyle w:val="FootnoteReference"/>
        </w:rPr>
        <w:footnoteReference w:id="22"/>
      </w:r>
    </w:p>
    <w:p w:rsidR="00C45281" w:rsidRDefault="00C45281" w:rsidP="00C45281">
      <w:pPr>
        <w:pStyle w:val="AERbulletlistfirststyle"/>
      </w:pPr>
      <w:proofErr w:type="gramStart"/>
      <w:r>
        <w:t>we</w:t>
      </w:r>
      <w:proofErr w:type="gramEnd"/>
      <w:r>
        <w:t xml:space="preserve"> are not persuaded that the assumptions Endeavour Energy provided to S&amp;P were reasonable. The conclusions in the stand-alone credit profile</w:t>
      </w:r>
      <w:r w:rsidRPr="00DC08BE">
        <w:t xml:space="preserve"> </w:t>
      </w:r>
      <w:r>
        <w:t xml:space="preserve">prepared by S&amp;P derive from the assumptions provided by Endeavour Energy.  </w:t>
      </w:r>
    </w:p>
    <w:p w:rsidR="00C45281" w:rsidRDefault="00C45281" w:rsidP="00C45281">
      <w:pPr>
        <w:pStyle w:val="AERbulletlistfirststyle"/>
      </w:pPr>
      <w:r w:rsidRPr="003E6267">
        <w:t>we are satisfied that our PTRM cash flow analysis and RSM Bird Cameron's review and comment on our analysis supports this conclusion.</w:t>
      </w:r>
    </w:p>
    <w:p w:rsidR="00360F32" w:rsidRPr="00A12E81" w:rsidRDefault="00C45281" w:rsidP="00C45281">
      <w:r>
        <w:t>RSM Bird Cameron’s report is attached to this decision. We discuss this report in greater detail in attachment 20.</w:t>
      </w:r>
    </w:p>
    <w:p w:rsidR="00360F32" w:rsidRDefault="00742F6C" w:rsidP="00360F32">
      <w:pPr>
        <w:pStyle w:val="Heading2"/>
      </w:pPr>
      <w:bookmarkStart w:id="42" w:name="_Toc417917001"/>
      <w:r>
        <w:t>Assessment of options under the NEO</w:t>
      </w:r>
      <w:bookmarkEnd w:id="42"/>
    </w:p>
    <w:p w:rsidR="00742F6C" w:rsidRDefault="00742F6C" w:rsidP="00117E02">
      <w:pPr>
        <w:numPr>
          <w:ilvl w:val="0"/>
          <w:numId w:val="24"/>
        </w:numPr>
      </w:pPr>
      <w:r>
        <w:t xml:space="preserve">The NER recognises that there may be several decisions that contribute to the achievement of the NEO.  Our role is to make a decision that we are satisfied contributes to the achievement of the NEO to the </w:t>
      </w:r>
      <w:r w:rsidRPr="002C05E4">
        <w:rPr>
          <w:rStyle w:val="AERtextitalic"/>
        </w:rPr>
        <w:t>greatest</w:t>
      </w:r>
      <w:r>
        <w:t xml:space="preserve"> degree</w:t>
      </w:r>
      <w:r w:rsidRPr="00815882">
        <w:t>.</w:t>
      </w:r>
      <w:r>
        <w:rPr>
          <w:rStyle w:val="FootnoteReference"/>
        </w:rPr>
        <w:footnoteReference w:id="23"/>
      </w:r>
      <w:r w:rsidRPr="00815882">
        <w:t xml:space="preserve"> </w:t>
      </w:r>
    </w:p>
    <w:p w:rsidR="000F60AF" w:rsidRDefault="00742F6C" w:rsidP="000F60AF">
      <w:pPr>
        <w:numPr>
          <w:ilvl w:val="0"/>
          <w:numId w:val="24"/>
        </w:numPr>
      </w:pPr>
      <w:r>
        <w:t xml:space="preserve">For at least two reasons, we consider that there will almost always be several decisions that contribute to the achievement of the NEO. First, the NER requires us to make forecasts, which are predictions about unknown future circumstances. As a result, there will </w:t>
      </w:r>
      <w:r w:rsidR="00644D38">
        <w:t xml:space="preserve">likely </w:t>
      </w:r>
      <w:r>
        <w:t>always be more than one plausible forecast. Second, there is substantial debate amongst stakeholders about the costs we must forecast, with both sides often supported by expert opinion. As a result, f</w:t>
      </w:r>
      <w:r w:rsidRPr="00815882">
        <w:t>or several components of our decision</w:t>
      </w:r>
      <w:r w:rsidR="00072AF8">
        <w:t xml:space="preserve"> </w:t>
      </w:r>
      <w:r>
        <w:t xml:space="preserve">there </w:t>
      </w:r>
      <w:r w:rsidR="00644D38">
        <w:t xml:space="preserve">may be </w:t>
      </w:r>
      <w:r>
        <w:t xml:space="preserve">several plausible answers or </w:t>
      </w:r>
      <w:r w:rsidRPr="00815882">
        <w:t xml:space="preserve">several point estimates within a range. </w:t>
      </w:r>
      <w:r>
        <w:t>T</w:t>
      </w:r>
      <w:r w:rsidRPr="00815882">
        <w:t>his</w:t>
      </w:r>
      <w:r w:rsidR="00644D38">
        <w:t xml:space="preserve"> has the potential to</w:t>
      </w:r>
      <w:r w:rsidRPr="00815882">
        <w:t xml:space="preserve"> </w:t>
      </w:r>
      <w:r>
        <w:t xml:space="preserve">create a multitude of potential </w:t>
      </w:r>
      <w:r w:rsidRPr="00815882">
        <w:t xml:space="preserve">overall </w:t>
      </w:r>
      <w:r>
        <w:t>decisions</w:t>
      </w:r>
      <w:r w:rsidRPr="00815882">
        <w:t xml:space="preserve">. </w:t>
      </w:r>
      <w:r w:rsidR="00644D38">
        <w:t xml:space="preserve">In this </w:t>
      </w:r>
      <w:r w:rsidR="003E67D0">
        <w:t>decision</w:t>
      </w:r>
      <w:r w:rsidR="00644D38">
        <w:t xml:space="preserve"> we have approached this from a practical perspective, accepting that it is not possible</w:t>
      </w:r>
      <w:r w:rsidRPr="00815882">
        <w:t xml:space="preserve"> to consider every possible permutation specifically.</w:t>
      </w:r>
      <w:r w:rsidR="000F60AF">
        <w:t xml:space="preserve"> </w:t>
      </w:r>
      <w:r w:rsidR="000F60AF" w:rsidRPr="00E77159">
        <w:t xml:space="preserve">Where there are several plausible answers, we have selected what we are satisfied is the best outcome, under the NEL and NER. </w:t>
      </w:r>
    </w:p>
    <w:p w:rsidR="000F60AF" w:rsidRPr="00E77159" w:rsidRDefault="000F60AF" w:rsidP="000F60AF">
      <w:pPr>
        <w:numPr>
          <w:ilvl w:val="0"/>
          <w:numId w:val="24"/>
        </w:numPr>
      </w:pPr>
      <w:r w:rsidRPr="00E77159">
        <w:t xml:space="preserve">In many cases, </w:t>
      </w:r>
      <w:r>
        <w:t xml:space="preserve">our approach </w:t>
      </w:r>
      <w:r w:rsidRPr="00E77159">
        <w:t xml:space="preserve">results in an outcome towards the end of the range of options </w:t>
      </w:r>
      <w:r>
        <w:t xml:space="preserve">materially </w:t>
      </w:r>
      <w:r w:rsidRPr="00E77159">
        <w:t xml:space="preserve">favourable to </w:t>
      </w:r>
      <w:r w:rsidR="00C31773">
        <w:t>Endeavour Energy</w:t>
      </w:r>
      <w:r>
        <w:t xml:space="preserve"> </w:t>
      </w:r>
      <w:r w:rsidRPr="00E77159">
        <w:t>(for example, our choice of equity beta). While it can be difficult to quantify the exact revenue impact of these individual decisions, we have identified where we have done so in our attachments. Some of these decisions include:</w:t>
      </w:r>
    </w:p>
    <w:p w:rsidR="000F60AF" w:rsidRPr="00E77159" w:rsidRDefault="000F60AF" w:rsidP="000F60AF">
      <w:pPr>
        <w:pStyle w:val="AERbulletlistfirststyle"/>
      </w:pPr>
      <w:r w:rsidRPr="00E77159">
        <w:t>selecting at the top of the range for the equity beta</w:t>
      </w:r>
    </w:p>
    <w:p w:rsidR="000F60AF" w:rsidRPr="00E77159" w:rsidRDefault="000F60AF" w:rsidP="000F60AF">
      <w:pPr>
        <w:pStyle w:val="AERbulletlistfirststyle"/>
      </w:pPr>
      <w:r w:rsidRPr="00E77159">
        <w:t>setting the return on debt by reference to data for a BBB broad band credit rating, when the benchmark is BBB+</w:t>
      </w:r>
    </w:p>
    <w:p w:rsidR="000F60AF" w:rsidRPr="00E77159" w:rsidRDefault="000F60AF" w:rsidP="000F60AF">
      <w:pPr>
        <w:pStyle w:val="AERbulletlistfirststyle"/>
      </w:pPr>
      <w:r w:rsidRPr="00E77159">
        <w:t>the cash flow timing assumptions in the post-tax revenue model</w:t>
      </w:r>
    </w:p>
    <w:p w:rsidR="000F60AF" w:rsidRPr="00E77159" w:rsidRDefault="000F60AF" w:rsidP="000F60AF">
      <w:pPr>
        <w:pStyle w:val="AERbulletlistfirststyle"/>
      </w:pPr>
      <w:r w:rsidRPr="00E77159">
        <w:t xml:space="preserve">the point at which we have set the benchmark for </w:t>
      </w:r>
      <w:proofErr w:type="spellStart"/>
      <w:r w:rsidRPr="00E77159">
        <w:t>opex</w:t>
      </w:r>
      <w:proofErr w:type="spellEnd"/>
    </w:p>
    <w:p w:rsidR="000F60AF" w:rsidRPr="00E77159" w:rsidRDefault="000F60AF" w:rsidP="000F60AF">
      <w:pPr>
        <w:pStyle w:val="AERbulletlistfirststyle"/>
      </w:pPr>
      <w:r w:rsidRPr="00E77159">
        <w:t xml:space="preserve">the allowances we have made for operating </w:t>
      </w:r>
      <w:r w:rsidR="002B4A9D">
        <w:t xml:space="preserve">environment </w:t>
      </w:r>
      <w:r w:rsidRPr="00E77159">
        <w:t>factors in our benchmarking analysis</w:t>
      </w:r>
    </w:p>
    <w:p w:rsidR="00360F32" w:rsidRDefault="00742F6C" w:rsidP="000F60AF">
      <w:pPr>
        <w:numPr>
          <w:ilvl w:val="0"/>
          <w:numId w:val="24"/>
        </w:numPr>
      </w:pPr>
      <w:r>
        <w:t>We set out</w:t>
      </w:r>
      <w:r w:rsidR="00644D38">
        <w:t xml:space="preserve"> detailed</w:t>
      </w:r>
      <w:r>
        <w:t xml:space="preserve"> our</w:t>
      </w:r>
      <w:r w:rsidR="00360F32" w:rsidRPr="001270E3">
        <w:t xml:space="preserve"> reasons in </w:t>
      </w:r>
      <w:r>
        <w:t>the a</w:t>
      </w:r>
      <w:r w:rsidR="00360F32" w:rsidRPr="001270E3">
        <w:t>ttachments</w:t>
      </w:r>
      <w:r>
        <w:t>.</w:t>
      </w:r>
      <w:r w:rsidR="00360F32" w:rsidRPr="001270E3">
        <w:t xml:space="preserve"> </w:t>
      </w:r>
      <w:r>
        <w:t xml:space="preserve">They </w:t>
      </w:r>
      <w:r w:rsidR="00360F32">
        <w:t xml:space="preserve">demonstrate that </w:t>
      </w:r>
      <w:r w:rsidR="00360F32" w:rsidRPr="001270E3">
        <w:t>the constituent components of our decision comply with the NER's requirements</w:t>
      </w:r>
      <w:r>
        <w:t>.</w:t>
      </w:r>
      <w:r w:rsidR="00360F32">
        <w:t xml:space="preserve"> </w:t>
      </w:r>
      <w:r>
        <w:t>At an overall level our decision reflects the key reasons set out above, which indicate that Endeavour Energy should recover less revenue than it has proposed or recovered in recent years. Our decision reflects these at both the constituent component and overall revenue levels.</w:t>
      </w:r>
      <w:r w:rsidR="00360F32">
        <w:t xml:space="preserve"> </w:t>
      </w:r>
    </w:p>
    <w:p w:rsidR="000F60AF" w:rsidRPr="00E77159" w:rsidRDefault="000F60AF" w:rsidP="000F60AF">
      <w:pPr>
        <w:numPr>
          <w:ilvl w:val="0"/>
          <w:numId w:val="24"/>
        </w:numPr>
      </w:pPr>
      <w:r w:rsidRPr="00C466CA">
        <w:t xml:space="preserve">Given </w:t>
      </w:r>
      <w:r>
        <w:t xml:space="preserve">our </w:t>
      </w:r>
      <w:r w:rsidRPr="00C466CA">
        <w:t xml:space="preserve">approach, </w:t>
      </w:r>
      <w:r w:rsidRPr="00E77159">
        <w:t xml:space="preserve">we are satisfied that our decision will or is likely to contribute to the achievement of the NEO to the greatest degree. </w:t>
      </w:r>
    </w:p>
    <w:p w:rsidR="00360F32" w:rsidRDefault="00360F32" w:rsidP="00360F32">
      <w:pPr>
        <w:pStyle w:val="Heading2"/>
      </w:pPr>
      <w:bookmarkStart w:id="43" w:name="_Toc417917002"/>
      <w:r>
        <w:t xml:space="preserve">Structure of </w:t>
      </w:r>
      <w:bookmarkEnd w:id="40"/>
      <w:r>
        <w:t>the overview</w:t>
      </w:r>
      <w:bookmarkEnd w:id="43"/>
    </w:p>
    <w:p w:rsidR="00360F32" w:rsidRDefault="00360F32" w:rsidP="00360F32">
      <w:r>
        <w:t>The remainder of this overview discusses the overarching issues in this decision, including those above, in more detail. It is structured as follows:</w:t>
      </w:r>
    </w:p>
    <w:p w:rsidR="00360F32" w:rsidRDefault="00360F32" w:rsidP="00360F32">
      <w:pPr>
        <w:pStyle w:val="AERbulletlistfirststyle"/>
      </w:pPr>
      <w:r>
        <w:t xml:space="preserve">Section </w:t>
      </w:r>
      <w:r>
        <w:fldChar w:fldCharType="begin"/>
      </w:r>
      <w:r>
        <w:instrText xml:space="preserve"> REF _Ref411507029 \r \h </w:instrText>
      </w:r>
      <w:r>
        <w:fldChar w:fldCharType="separate"/>
      </w:r>
      <w:r w:rsidR="009D2F25">
        <w:t>2</w:t>
      </w:r>
      <w:r>
        <w:fldChar w:fldCharType="end"/>
      </w:r>
      <w:r>
        <w:t xml:space="preserve"> sets out the key constituent components making up our final decision</w:t>
      </w:r>
    </w:p>
    <w:p w:rsidR="0029695E" w:rsidRDefault="0029695E" w:rsidP="00360F32">
      <w:pPr>
        <w:pStyle w:val="AERbulletlistfirststyle"/>
      </w:pPr>
      <w:r>
        <w:t xml:space="preserve">Section </w:t>
      </w:r>
      <w:r>
        <w:fldChar w:fldCharType="begin"/>
      </w:r>
      <w:r>
        <w:instrText xml:space="preserve"> REF _Ref416276931 \r \h </w:instrText>
      </w:r>
      <w:r>
        <w:fldChar w:fldCharType="separate"/>
      </w:r>
      <w:r w:rsidR="009D2F25">
        <w:t>3</w:t>
      </w:r>
      <w:r>
        <w:fldChar w:fldCharType="end"/>
      </w:r>
      <w:r>
        <w:t xml:space="preserve"> sets out our decision on the </w:t>
      </w:r>
      <w:r w:rsidR="0054512C">
        <w:t>classification of services, control mechanisms and incentive schemes</w:t>
      </w:r>
    </w:p>
    <w:p w:rsidR="00360F32" w:rsidRDefault="00360F32" w:rsidP="00360F32">
      <w:pPr>
        <w:pStyle w:val="AERbulletlistfirststyle"/>
      </w:pPr>
      <w:r>
        <w:t xml:space="preserve">Section </w:t>
      </w:r>
      <w:r>
        <w:fldChar w:fldCharType="begin"/>
      </w:r>
      <w:r>
        <w:instrText xml:space="preserve"> REF _Ref411507041 \r \h  \* MERGEFORMAT </w:instrText>
      </w:r>
      <w:r>
        <w:fldChar w:fldCharType="separate"/>
      </w:r>
      <w:r w:rsidR="009D2F25">
        <w:t>4</w:t>
      </w:r>
      <w:r>
        <w:fldChar w:fldCharType="end"/>
      </w:r>
      <w:r>
        <w:t xml:space="preserve"> explains our views on the regulatory framework</w:t>
      </w:r>
    </w:p>
    <w:p w:rsidR="00360F32" w:rsidRDefault="00360F32" w:rsidP="00360F32">
      <w:pPr>
        <w:pStyle w:val="AERbulletlistfirststyle"/>
      </w:pPr>
      <w:r>
        <w:t xml:space="preserve">Section </w:t>
      </w:r>
      <w:r>
        <w:fldChar w:fldCharType="begin"/>
      </w:r>
      <w:r>
        <w:instrText xml:space="preserve"> REF _Ref411507049 \r \h  \* MERGEFORMAT </w:instrText>
      </w:r>
      <w:r>
        <w:fldChar w:fldCharType="separate"/>
      </w:r>
      <w:r w:rsidR="009D2F25">
        <w:t>5</w:t>
      </w:r>
      <w:r>
        <w:fldChar w:fldCharType="end"/>
      </w:r>
      <w:r>
        <w:t xml:space="preserve"> outlines the process we undertook in reaching our final decision</w:t>
      </w:r>
    </w:p>
    <w:p w:rsidR="00360F32" w:rsidRDefault="00360F32" w:rsidP="00360F32">
      <w:pPr>
        <w:pStyle w:val="Heading1"/>
      </w:pPr>
      <w:bookmarkStart w:id="44" w:name="_Toc415927233"/>
      <w:bookmarkStart w:id="45" w:name="_Toc409638420"/>
      <w:bookmarkStart w:id="46" w:name="_Toc410815344"/>
      <w:bookmarkStart w:id="47" w:name="_Toc410818096"/>
      <w:bookmarkStart w:id="48" w:name="_Toc409638421"/>
      <w:bookmarkStart w:id="49" w:name="_Toc410815345"/>
      <w:bookmarkStart w:id="50" w:name="_Toc410818097"/>
      <w:bookmarkStart w:id="51" w:name="_Toc409638422"/>
      <w:bookmarkStart w:id="52" w:name="_Toc410815346"/>
      <w:bookmarkStart w:id="53" w:name="_Toc410818098"/>
      <w:bookmarkStart w:id="54" w:name="_Toc402794974"/>
      <w:bookmarkStart w:id="55" w:name="_Toc402795062"/>
      <w:bookmarkStart w:id="56" w:name="_Toc402869224"/>
      <w:bookmarkStart w:id="57" w:name="_Toc415927234"/>
      <w:bookmarkStart w:id="58" w:name="_Toc415927235"/>
      <w:bookmarkStart w:id="59" w:name="_Toc415927236"/>
      <w:bookmarkStart w:id="60" w:name="_Toc415927237"/>
      <w:bookmarkStart w:id="61" w:name="_Toc415927238"/>
      <w:bookmarkStart w:id="62" w:name="_Toc415927239"/>
      <w:bookmarkStart w:id="63" w:name="_Toc415927240"/>
      <w:bookmarkStart w:id="64" w:name="_Toc415927241"/>
      <w:bookmarkStart w:id="65" w:name="_Toc415927242"/>
      <w:bookmarkStart w:id="66" w:name="_Toc415927243"/>
      <w:bookmarkStart w:id="67" w:name="_Toc415927244"/>
      <w:bookmarkStart w:id="68" w:name="_Toc415927245"/>
      <w:bookmarkStart w:id="69" w:name="_Toc415927246"/>
      <w:bookmarkStart w:id="70" w:name="_Toc415927247"/>
      <w:bookmarkStart w:id="71" w:name="_Toc415927248"/>
      <w:bookmarkStart w:id="72" w:name="_Toc415927249"/>
      <w:bookmarkStart w:id="73" w:name="_Toc415927250"/>
      <w:bookmarkStart w:id="74" w:name="_Toc415927251"/>
      <w:bookmarkStart w:id="75" w:name="_Toc415927252"/>
      <w:bookmarkStart w:id="76" w:name="_Toc415927253"/>
      <w:bookmarkStart w:id="77" w:name="_Toc415927254"/>
      <w:bookmarkStart w:id="78" w:name="_Toc415927255"/>
      <w:bookmarkStart w:id="79" w:name="_Toc415927256"/>
      <w:bookmarkStart w:id="80" w:name="_Toc415927257"/>
      <w:bookmarkStart w:id="81" w:name="_Toc415927258"/>
      <w:bookmarkStart w:id="82" w:name="_Toc415927259"/>
      <w:bookmarkStart w:id="83" w:name="_Toc415927260"/>
      <w:bookmarkStart w:id="84" w:name="_Toc415927261"/>
      <w:bookmarkStart w:id="85" w:name="_Toc415927262"/>
      <w:bookmarkStart w:id="86" w:name="_Toc415927263"/>
      <w:bookmarkStart w:id="87" w:name="_Toc415927264"/>
      <w:bookmarkStart w:id="88" w:name="_Toc415927265"/>
      <w:bookmarkStart w:id="89" w:name="_Toc415927266"/>
      <w:bookmarkStart w:id="90" w:name="_Toc415927267"/>
      <w:bookmarkStart w:id="91" w:name="_Toc415927268"/>
      <w:bookmarkStart w:id="92" w:name="_Toc404437124"/>
      <w:bookmarkStart w:id="93" w:name="_Ref411507029"/>
      <w:bookmarkStart w:id="94" w:name="_Toc417917003"/>
      <w:bookmarkStart w:id="95" w:name="_Ref409434592"/>
      <w:bookmarkStart w:id="96" w:name="_Ref409434609"/>
      <w:bookmarkStart w:id="97" w:name="_Toc411428024"/>
      <w:bookmarkStart w:id="98" w:name="_Toc404437108"/>
      <w:bookmarkEnd w:id="4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8F3A0D">
        <w:t>Key elements of the building blocks</w:t>
      </w:r>
      <w:bookmarkEnd w:id="92"/>
      <w:bookmarkEnd w:id="93"/>
      <w:bookmarkEnd w:id="94"/>
      <w:r w:rsidRPr="008F3A0D">
        <w:t xml:space="preserve"> </w:t>
      </w:r>
      <w:bookmarkEnd w:id="95"/>
      <w:bookmarkEnd w:id="96"/>
      <w:bookmarkEnd w:id="97"/>
    </w:p>
    <w:p w:rsidR="00360F32" w:rsidRDefault="00360F32" w:rsidP="00360F32">
      <w:r>
        <w:t>The constituent components of our decision include the building blocks we use to determine</w:t>
      </w:r>
      <w:r w:rsidR="00FC74EA">
        <w:t xml:space="preserve"> the revenue</w:t>
      </w:r>
      <w:r>
        <w:t xml:space="preserve"> </w:t>
      </w:r>
      <w:r w:rsidR="00E930D5">
        <w:t>Endeavour Energy</w:t>
      </w:r>
      <w:r>
        <w:t xml:space="preserve"> </w:t>
      </w:r>
      <w:r w:rsidR="00FC74EA">
        <w:t xml:space="preserve">may </w:t>
      </w:r>
      <w:r w:rsidR="00742F6C">
        <w:t>recover from its customers</w:t>
      </w:r>
      <w:r>
        <w:t>.</w:t>
      </w:r>
      <w:r w:rsidR="00CE5CE4">
        <w:rPr>
          <w:rStyle w:val="FootnoteReference"/>
        </w:rPr>
        <w:footnoteReference w:id="24"/>
      </w:r>
    </w:p>
    <w:p w:rsidR="00360F32" w:rsidRDefault="00742F6C" w:rsidP="00360F32">
      <w:r>
        <w:t>I</w:t>
      </w:r>
      <w:r w:rsidR="00360F32">
        <w:t xml:space="preserve">n setting our </w:t>
      </w:r>
      <w:r w:rsidR="00FC74EA">
        <w:t xml:space="preserve">allowed </w:t>
      </w:r>
      <w:r w:rsidR="00360F32">
        <w:t xml:space="preserve">revenue for </w:t>
      </w:r>
      <w:r w:rsidR="00E930D5">
        <w:t>Endeavour Energy</w:t>
      </w:r>
      <w:r w:rsidR="00360F32">
        <w:t xml:space="preserve"> of </w:t>
      </w:r>
      <w:r w:rsidR="00360F32" w:rsidRPr="00F75F00">
        <w:t>$</w:t>
      </w:r>
      <w:r w:rsidR="00430678">
        <w:t>3182.8</w:t>
      </w:r>
      <w:r w:rsidR="00360F32" w:rsidRPr="00F75F00">
        <w:t xml:space="preserve"> million ($</w:t>
      </w:r>
      <w:r w:rsidR="00360F32">
        <w:t> </w:t>
      </w:r>
      <w:r w:rsidR="00360F32" w:rsidRPr="00F75F00">
        <w:t xml:space="preserve">nominal) </w:t>
      </w:r>
      <w:r w:rsidR="00360F32">
        <w:t xml:space="preserve">for the 2015–19 regulatory control period </w:t>
      </w:r>
      <w:proofErr w:type="gramStart"/>
      <w:r w:rsidR="00360F32">
        <w:t>we</w:t>
      </w:r>
      <w:proofErr w:type="gramEnd"/>
      <w:r w:rsidR="00360F32">
        <w:t>:</w:t>
      </w:r>
    </w:p>
    <w:p w:rsidR="00360F32" w:rsidRPr="00D87BC7" w:rsidRDefault="00360F32" w:rsidP="00360F32">
      <w:pPr>
        <w:pStyle w:val="AERbulletlistfirststyle"/>
        <w:rPr>
          <w:rStyle w:val="AERbody"/>
        </w:rPr>
      </w:pPr>
      <w:proofErr w:type="gramStart"/>
      <w:r w:rsidRPr="00EE5F0C">
        <w:rPr>
          <w:rStyle w:val="AERbody"/>
        </w:rPr>
        <w:t>apply</w:t>
      </w:r>
      <w:proofErr w:type="gramEnd"/>
      <w:r w:rsidRPr="00EE5F0C">
        <w:rPr>
          <w:rStyle w:val="AERbody"/>
        </w:rPr>
        <w:t xml:space="preserve"> relevant tests under the NER, the assessment methods and tools developed as part of our Better Regulation guidelines</w:t>
      </w:r>
      <w:r w:rsidR="00742F6C">
        <w:rPr>
          <w:rStyle w:val="FootnoteReference"/>
        </w:rPr>
        <w:footnoteReference w:id="25"/>
      </w:r>
      <w:r w:rsidR="00742F6C">
        <w:rPr>
          <w:rStyle w:val="AERbody"/>
        </w:rPr>
        <w:t xml:space="preserve"> (see section </w:t>
      </w:r>
      <w:r w:rsidR="00742F6C">
        <w:rPr>
          <w:rStyle w:val="AERbody"/>
        </w:rPr>
        <w:fldChar w:fldCharType="begin"/>
      </w:r>
      <w:r w:rsidR="00742F6C">
        <w:rPr>
          <w:rStyle w:val="AERbody"/>
        </w:rPr>
        <w:instrText xml:space="preserve"> REF _Ref399959548 \r \h </w:instrText>
      </w:r>
      <w:r w:rsidR="00742F6C">
        <w:rPr>
          <w:rStyle w:val="AERbody"/>
        </w:rPr>
      </w:r>
      <w:r w:rsidR="00742F6C">
        <w:rPr>
          <w:rStyle w:val="AERbody"/>
        </w:rPr>
        <w:fldChar w:fldCharType="separate"/>
      </w:r>
      <w:r w:rsidR="009D2F25">
        <w:rPr>
          <w:rStyle w:val="AERbody"/>
        </w:rPr>
        <w:t>5.1</w:t>
      </w:r>
      <w:r w:rsidR="00742F6C">
        <w:rPr>
          <w:rStyle w:val="AERbody"/>
        </w:rPr>
        <w:fldChar w:fldCharType="end"/>
      </w:r>
      <w:r w:rsidR="00742F6C">
        <w:rPr>
          <w:rStyle w:val="AERbody"/>
        </w:rPr>
        <w:t>)</w:t>
      </w:r>
      <w:r w:rsidR="00644D38">
        <w:rPr>
          <w:rStyle w:val="AERbody"/>
        </w:rPr>
        <w:t>. We also</w:t>
      </w:r>
      <w:r w:rsidRPr="00EE5F0C">
        <w:rPr>
          <w:rStyle w:val="AERbody"/>
        </w:rPr>
        <w:t xml:space="preserve"> </w:t>
      </w:r>
      <w:r w:rsidRPr="00D87BC7">
        <w:rPr>
          <w:rStyle w:val="AERbody"/>
        </w:rPr>
        <w:t xml:space="preserve">consider information provided by </w:t>
      </w:r>
      <w:r w:rsidR="00E930D5">
        <w:rPr>
          <w:rStyle w:val="AERbody"/>
        </w:rPr>
        <w:t>Endeavour Energy</w:t>
      </w:r>
      <w:r w:rsidRPr="00D87BC7">
        <w:rPr>
          <w:rStyle w:val="AERbody"/>
        </w:rPr>
        <w:t xml:space="preserve">, the </w:t>
      </w:r>
      <w:r w:rsidR="00742F6C">
        <w:rPr>
          <w:rStyle w:val="AERbody"/>
        </w:rPr>
        <w:t>Consumer Challenge Panel (</w:t>
      </w:r>
      <w:r w:rsidRPr="00D87BC7">
        <w:rPr>
          <w:rStyle w:val="AERbody"/>
        </w:rPr>
        <w:t>CCP</w:t>
      </w:r>
      <w:r w:rsidR="00742F6C">
        <w:rPr>
          <w:rStyle w:val="AERbody"/>
        </w:rPr>
        <w:t>)</w:t>
      </w:r>
      <w:r w:rsidRPr="00D87BC7">
        <w:rPr>
          <w:rStyle w:val="AERbody"/>
        </w:rPr>
        <w:t>, consultants and stakeholder submissions</w:t>
      </w:r>
    </w:p>
    <w:p w:rsidR="00360F32" w:rsidRPr="00D87BC7" w:rsidRDefault="00360F32" w:rsidP="00360F32">
      <w:pPr>
        <w:pStyle w:val="AERbulletlistfirststyle"/>
        <w:rPr>
          <w:rStyle w:val="AERbody"/>
        </w:rPr>
      </w:pPr>
      <w:proofErr w:type="gramStart"/>
      <w:r w:rsidRPr="00EE5F0C">
        <w:rPr>
          <w:rStyle w:val="AERbody"/>
        </w:rPr>
        <w:t>consider</w:t>
      </w:r>
      <w:proofErr w:type="gramEnd"/>
      <w:r w:rsidRPr="00EE5F0C">
        <w:rPr>
          <w:rStyle w:val="AERbody"/>
        </w:rPr>
        <w:t xml:space="preserve"> our </w:t>
      </w:r>
      <w:r w:rsidR="00742F6C">
        <w:rPr>
          <w:rStyle w:val="AERbody"/>
        </w:rPr>
        <w:t xml:space="preserve">overall </w:t>
      </w:r>
      <w:r w:rsidRPr="00EE5F0C">
        <w:rPr>
          <w:rStyle w:val="AERbody"/>
        </w:rPr>
        <w:t>revenue against section 16 of the NEL, including the constituent decisions and the interrelationships we discussed in sect</w:t>
      </w:r>
      <w:r w:rsidR="005D2E01">
        <w:rPr>
          <w:rStyle w:val="AERbody"/>
        </w:rPr>
        <w:t>ions 1 and 4</w:t>
      </w:r>
      <w:r w:rsidRPr="00D87BC7">
        <w:rPr>
          <w:rStyle w:val="AERbody"/>
        </w:rPr>
        <w:t>.</w:t>
      </w:r>
    </w:p>
    <w:p w:rsidR="00360F32" w:rsidRDefault="005D2E01" w:rsidP="00360F32">
      <w:r>
        <w:fldChar w:fldCharType="begin"/>
      </w:r>
      <w:r>
        <w:instrText xml:space="preserve"> REF _Ref416341518 \h </w:instrText>
      </w:r>
      <w:r>
        <w:fldChar w:fldCharType="separate"/>
      </w:r>
      <w:r w:rsidR="009D2F25">
        <w:t xml:space="preserve">Figure </w:t>
      </w:r>
      <w:r w:rsidR="009D2F25">
        <w:rPr>
          <w:noProof/>
        </w:rPr>
        <w:t>3</w:t>
      </w:r>
      <w:r>
        <w:fldChar w:fldCharType="end"/>
      </w:r>
      <w:r>
        <w:t xml:space="preserve"> </w:t>
      </w:r>
      <w:r w:rsidR="00360F32">
        <w:t xml:space="preserve">and </w:t>
      </w:r>
      <w:r w:rsidR="00A96E59">
        <w:fldChar w:fldCharType="begin"/>
      </w:r>
      <w:r w:rsidR="00A96E59">
        <w:instrText xml:space="preserve"> REF _Ref416280283 \h </w:instrText>
      </w:r>
      <w:r w:rsidR="00A96E59">
        <w:fldChar w:fldCharType="separate"/>
      </w:r>
      <w:r w:rsidR="009D2F25">
        <w:t xml:space="preserve">Table </w:t>
      </w:r>
      <w:r w:rsidR="009D2F25">
        <w:rPr>
          <w:noProof/>
        </w:rPr>
        <w:t>2</w:t>
      </w:r>
      <w:r w:rsidR="00A96E59">
        <w:fldChar w:fldCharType="end"/>
      </w:r>
      <w:r w:rsidR="00360F32">
        <w:t xml:space="preserve"> show our final decision on </w:t>
      </w:r>
      <w:r w:rsidR="00E930D5">
        <w:t>Endeavour Energy</w:t>
      </w:r>
      <w:r w:rsidR="00360F32">
        <w:t>'s revenues</w:t>
      </w:r>
      <w:r w:rsidR="00FC74EA">
        <w:t xml:space="preserve"> and the contribution of each building block</w:t>
      </w:r>
      <w:r w:rsidR="00360F32">
        <w:t>.</w:t>
      </w:r>
    </w:p>
    <w:p w:rsidR="00360F32" w:rsidRDefault="00A96E59" w:rsidP="00A96E59">
      <w:pPr>
        <w:pStyle w:val="Caption"/>
      </w:pPr>
      <w:bookmarkStart w:id="99" w:name="_Ref416341518"/>
      <w:r>
        <w:t xml:space="preserve">Figure </w:t>
      </w:r>
      <w:r w:rsidR="0010003E">
        <w:fldChar w:fldCharType="begin"/>
      </w:r>
      <w:r w:rsidR="0010003E">
        <w:instrText xml:space="preserve"> SEQ Figure \* ARABIC </w:instrText>
      </w:r>
      <w:r w:rsidR="0010003E">
        <w:fldChar w:fldCharType="separate"/>
      </w:r>
      <w:r w:rsidR="009D2F25">
        <w:rPr>
          <w:noProof/>
        </w:rPr>
        <w:t>3</w:t>
      </w:r>
      <w:r w:rsidR="0010003E">
        <w:rPr>
          <w:noProof/>
        </w:rPr>
        <w:fldChar w:fldCharType="end"/>
      </w:r>
      <w:bookmarkEnd w:id="99"/>
      <w:r w:rsidR="00360F32">
        <w:tab/>
      </w:r>
      <w:r w:rsidR="00360F32" w:rsidRPr="00606CDC">
        <w:t xml:space="preserve">AER's </w:t>
      </w:r>
      <w:r w:rsidR="00360F32">
        <w:t>final</w:t>
      </w:r>
      <w:r w:rsidR="00360F32" w:rsidRPr="00606CDC">
        <w:t xml:space="preserve"> decision and </w:t>
      </w:r>
      <w:r w:rsidR="00E930D5">
        <w:t>Endeavour Energy</w:t>
      </w:r>
      <w:r w:rsidR="00360F32">
        <w:t>'</w:t>
      </w:r>
      <w:r w:rsidR="00E930D5">
        <w:t>s</w:t>
      </w:r>
      <w:r w:rsidR="00360F32" w:rsidRPr="00606CDC">
        <w:t xml:space="preserve"> </w:t>
      </w:r>
      <w:r w:rsidR="002A0A19">
        <w:t xml:space="preserve">proposed </w:t>
      </w:r>
      <w:r w:rsidR="00360F32" w:rsidRPr="00606CDC">
        <w:t xml:space="preserve">annual building block </w:t>
      </w:r>
      <w:r w:rsidR="00360F32">
        <w:t xml:space="preserve">($ million, </w:t>
      </w:r>
      <w:r w:rsidR="00360F32" w:rsidRPr="00606CDC">
        <w:t>2013–14)</w:t>
      </w:r>
    </w:p>
    <w:p w:rsidR="00360F32" w:rsidRPr="000B5711" w:rsidRDefault="00A547FC" w:rsidP="00A547FC">
      <w:pPr>
        <w:numPr>
          <w:ilvl w:val="0"/>
          <w:numId w:val="24"/>
        </w:numPr>
      </w:pPr>
      <w:r w:rsidRPr="00A547FC">
        <w:rPr>
          <w:noProof/>
          <w:lang w:eastAsia="en-AU"/>
        </w:rPr>
        <w:drawing>
          <wp:inline distT="0" distB="0" distL="0" distR="0" wp14:anchorId="035DC7AC" wp14:editId="3FC1D24C">
            <wp:extent cx="5382895" cy="322113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21130"/>
                    </a:xfrm>
                    <a:prstGeom prst="rect">
                      <a:avLst/>
                    </a:prstGeom>
                    <a:noFill/>
                    <a:ln>
                      <a:noFill/>
                    </a:ln>
                  </pic:spPr>
                </pic:pic>
              </a:graphicData>
            </a:graphic>
          </wp:inline>
        </w:drawing>
      </w:r>
    </w:p>
    <w:p w:rsidR="00360F32" w:rsidRPr="00D87BC7" w:rsidRDefault="00360F32" w:rsidP="00F907E2">
      <w:pPr>
        <w:pStyle w:val="AERtablesource"/>
      </w:pPr>
      <w:r>
        <w:t>Source:</w:t>
      </w:r>
      <w:r>
        <w:tab/>
        <w:t>AER analysis.</w:t>
      </w:r>
    </w:p>
    <w:p w:rsidR="00360F32" w:rsidRPr="003D3763" w:rsidRDefault="00A96E59" w:rsidP="00A96E59">
      <w:pPr>
        <w:pStyle w:val="Caption"/>
        <w:rPr>
          <w:rStyle w:val="Strong"/>
        </w:rPr>
      </w:pPr>
      <w:bookmarkStart w:id="100" w:name="_Ref416280283"/>
      <w:r>
        <w:t xml:space="preserve">Table </w:t>
      </w:r>
      <w:r w:rsidR="0010003E">
        <w:fldChar w:fldCharType="begin"/>
      </w:r>
      <w:r w:rsidR="0010003E">
        <w:instrText xml:space="preserve"> SEQ Table \* ARABIC </w:instrText>
      </w:r>
      <w:r w:rsidR="0010003E">
        <w:fldChar w:fldCharType="separate"/>
      </w:r>
      <w:r w:rsidR="009D2F25">
        <w:rPr>
          <w:noProof/>
        </w:rPr>
        <w:t>2</w:t>
      </w:r>
      <w:r w:rsidR="0010003E">
        <w:rPr>
          <w:noProof/>
        </w:rPr>
        <w:fldChar w:fldCharType="end"/>
      </w:r>
      <w:bookmarkEnd w:id="100"/>
      <w:r w:rsidR="00360F32">
        <w:tab/>
        <w:t xml:space="preserve">AER's final decision on </w:t>
      </w:r>
      <w:r w:rsidR="00E930D5">
        <w:t>Endeavour Energy</w:t>
      </w:r>
      <w:r w:rsidR="00360F32">
        <w:t>'s revenues ($ million, nominal)</w:t>
      </w:r>
    </w:p>
    <w:tbl>
      <w:tblPr>
        <w:tblStyle w:val="AERtable-numbers"/>
        <w:tblW w:w="0" w:type="auto"/>
        <w:tblLook w:val="04A0" w:firstRow="1" w:lastRow="0" w:firstColumn="1" w:lastColumn="0" w:noHBand="0" w:noVBand="1"/>
      </w:tblPr>
      <w:tblGrid>
        <w:gridCol w:w="2660"/>
        <w:gridCol w:w="1005"/>
        <w:gridCol w:w="1006"/>
        <w:gridCol w:w="1005"/>
        <w:gridCol w:w="1006"/>
        <w:gridCol w:w="1005"/>
        <w:gridCol w:w="1006"/>
      </w:tblGrid>
      <w:tr w:rsidR="00360F32" w:rsidTr="005117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60F32" w:rsidRPr="00BE56D7" w:rsidRDefault="00360F32" w:rsidP="00BE56D7"/>
        </w:tc>
        <w:tc>
          <w:tcPr>
            <w:tcW w:w="1005" w:type="dxa"/>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2014–15</w:t>
            </w:r>
          </w:p>
        </w:tc>
        <w:tc>
          <w:tcPr>
            <w:tcW w:w="1006" w:type="dxa"/>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2015–16</w:t>
            </w:r>
          </w:p>
        </w:tc>
        <w:tc>
          <w:tcPr>
            <w:tcW w:w="1005" w:type="dxa"/>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2016–17</w:t>
            </w:r>
          </w:p>
        </w:tc>
        <w:tc>
          <w:tcPr>
            <w:tcW w:w="1006" w:type="dxa"/>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2017–18</w:t>
            </w:r>
          </w:p>
        </w:tc>
        <w:tc>
          <w:tcPr>
            <w:tcW w:w="1005" w:type="dxa"/>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2018–19</w:t>
            </w:r>
          </w:p>
        </w:tc>
        <w:tc>
          <w:tcPr>
            <w:tcW w:w="1006" w:type="dxa"/>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Total</w:t>
            </w:r>
          </w:p>
        </w:tc>
      </w:tr>
      <w:tr w:rsidR="00430678" w:rsidTr="00430678">
        <w:trPr>
          <w:trHeight w:val="373"/>
        </w:trPr>
        <w:tc>
          <w:tcPr>
            <w:cnfStyle w:val="001000000000" w:firstRow="0" w:lastRow="0" w:firstColumn="1" w:lastColumn="0" w:oddVBand="0" w:evenVBand="0" w:oddHBand="0" w:evenHBand="0" w:firstRowFirstColumn="0" w:firstRowLastColumn="0" w:lastRowFirstColumn="0" w:lastRowLastColumn="0"/>
            <w:tcW w:w="2660" w:type="dxa"/>
          </w:tcPr>
          <w:p w:rsidR="00430678" w:rsidRPr="00430678" w:rsidRDefault="00430678" w:rsidP="00430678">
            <w:r w:rsidRPr="00430678">
              <w:t>Return on capital</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376.4</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397.1</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415.7</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430.4</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444.8</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2064.4</w:t>
            </w:r>
          </w:p>
        </w:tc>
      </w:tr>
      <w:tr w:rsidR="00430678" w:rsidTr="004306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30678" w:rsidRPr="00430678" w:rsidRDefault="00430678" w:rsidP="00430678">
            <w:r w:rsidRPr="00430678">
              <w:t>Regulatory depreciation</w:t>
            </w:r>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69.3</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78.9</w:t>
            </w:r>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89.7</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93.8</w:t>
            </w:r>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100.0</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431.7</w:t>
            </w:r>
          </w:p>
        </w:tc>
      </w:tr>
      <w:tr w:rsidR="00430678" w:rsidTr="00430678">
        <w:tc>
          <w:tcPr>
            <w:cnfStyle w:val="001000000000" w:firstRow="0" w:lastRow="0" w:firstColumn="1" w:lastColumn="0" w:oddVBand="0" w:evenVBand="0" w:oddHBand="0" w:evenHBand="0" w:firstRowFirstColumn="0" w:firstRowLastColumn="0" w:lastRowFirstColumn="0" w:lastRowLastColumn="0"/>
            <w:tcW w:w="2660" w:type="dxa"/>
          </w:tcPr>
          <w:p w:rsidR="00430678" w:rsidRPr="00430678" w:rsidRDefault="00430678" w:rsidP="00430678">
            <w:r w:rsidRPr="00430678">
              <w:t>Operating expenditure</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244.3</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254.1</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264.4</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275.3</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287.3</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1325.4</w:t>
            </w:r>
          </w:p>
        </w:tc>
      </w:tr>
      <w:tr w:rsidR="00430678" w:rsidTr="004306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30678" w:rsidRPr="00430678" w:rsidRDefault="00430678" w:rsidP="00430678">
            <w:r w:rsidRPr="00430678">
              <w:t xml:space="preserve">Revenue </w:t>
            </w:r>
            <w:proofErr w:type="spellStart"/>
            <w:r w:rsidRPr="00430678">
              <w:t>adjustments</w:t>
            </w:r>
            <w:r w:rsidRPr="00430678">
              <w:rPr>
                <w:rStyle w:val="AERsuperscript"/>
              </w:rPr>
              <w:t>a</w:t>
            </w:r>
            <w:proofErr w:type="spellEnd"/>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81.8</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13.2</w:t>
            </w:r>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27.4</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-24.4</w:t>
            </w:r>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0.7</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98.7</w:t>
            </w:r>
          </w:p>
        </w:tc>
      </w:tr>
      <w:tr w:rsidR="00430678" w:rsidTr="00430678">
        <w:tc>
          <w:tcPr>
            <w:cnfStyle w:val="001000000000" w:firstRow="0" w:lastRow="0" w:firstColumn="1" w:lastColumn="0" w:oddVBand="0" w:evenVBand="0" w:oddHBand="0" w:evenHBand="0" w:firstRowFirstColumn="0" w:firstRowLastColumn="0" w:lastRowFirstColumn="0" w:lastRowLastColumn="0"/>
            <w:tcW w:w="2660" w:type="dxa"/>
          </w:tcPr>
          <w:p w:rsidR="00430678" w:rsidRPr="00430678" w:rsidRDefault="00430678" w:rsidP="00430678">
            <w:r w:rsidRPr="00430678">
              <w:t>Corporate tax allowance</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36.2</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34.7</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38.7</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38.3</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39.5</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187.4</w:t>
            </w:r>
          </w:p>
        </w:tc>
      </w:tr>
      <w:tr w:rsidR="00511770" w:rsidTr="005117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11770" w:rsidRPr="00BE56D7" w:rsidRDefault="00511770" w:rsidP="00A547FC">
            <w:r w:rsidRPr="00BE56D7">
              <w:t xml:space="preserve">Meters, ANS </w:t>
            </w:r>
            <w:proofErr w:type="spellStart"/>
            <w:r w:rsidRPr="00BE56D7">
              <w:t>costs</w:t>
            </w:r>
            <w:r w:rsidR="00A547FC" w:rsidRPr="00A547FC">
              <w:rPr>
                <w:rStyle w:val="AERsuperscript"/>
              </w:rPr>
              <w:t>b</w:t>
            </w:r>
            <w:proofErr w:type="spellEnd"/>
          </w:p>
        </w:tc>
        <w:tc>
          <w:tcPr>
            <w:tcW w:w="1005" w:type="dxa"/>
          </w:tcPr>
          <w:p w:rsidR="00511770" w:rsidRPr="00511770" w:rsidRDefault="00430678" w:rsidP="00511770">
            <w:pPr>
              <w:cnfStyle w:val="000000010000" w:firstRow="0" w:lastRow="0" w:firstColumn="0" w:lastColumn="0" w:oddVBand="0" w:evenVBand="0" w:oddHBand="0" w:evenHBand="1" w:firstRowFirstColumn="0" w:firstRowLastColumn="0" w:lastRowFirstColumn="0" w:lastRowLastColumn="0"/>
            </w:pPr>
            <w:r>
              <w:t>50.5</w:t>
            </w:r>
            <w:r w:rsidR="00BE56D7" w:rsidRPr="00BE56D7">
              <w:rPr>
                <w:rStyle w:val="AERsuperscript"/>
              </w:rPr>
              <w:t>b</w:t>
            </w:r>
          </w:p>
        </w:tc>
        <w:tc>
          <w:tcPr>
            <w:tcW w:w="1006" w:type="dxa"/>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n/a</w:t>
            </w:r>
          </w:p>
        </w:tc>
        <w:tc>
          <w:tcPr>
            <w:tcW w:w="1005" w:type="dxa"/>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n/a</w:t>
            </w:r>
          </w:p>
        </w:tc>
        <w:tc>
          <w:tcPr>
            <w:tcW w:w="1006" w:type="dxa"/>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n/a</w:t>
            </w:r>
          </w:p>
        </w:tc>
        <w:tc>
          <w:tcPr>
            <w:tcW w:w="1005" w:type="dxa"/>
          </w:tcPr>
          <w:p w:rsidR="00511770" w:rsidRPr="00511770" w:rsidRDefault="00511770" w:rsidP="00511770">
            <w:pPr>
              <w:cnfStyle w:val="000000010000" w:firstRow="0" w:lastRow="0" w:firstColumn="0" w:lastColumn="0" w:oddVBand="0" w:evenVBand="0" w:oddHBand="0" w:evenHBand="1" w:firstRowFirstColumn="0" w:firstRowLastColumn="0" w:lastRowFirstColumn="0" w:lastRowLastColumn="0"/>
            </w:pPr>
            <w:r w:rsidRPr="00511770">
              <w:t>n/a</w:t>
            </w:r>
          </w:p>
        </w:tc>
        <w:tc>
          <w:tcPr>
            <w:tcW w:w="1006" w:type="dxa"/>
          </w:tcPr>
          <w:p w:rsidR="00511770" w:rsidRPr="00511770" w:rsidRDefault="00511770" w:rsidP="00B97091">
            <w:pPr>
              <w:cnfStyle w:val="000000010000" w:firstRow="0" w:lastRow="0" w:firstColumn="0" w:lastColumn="0" w:oddVBand="0" w:evenVBand="0" w:oddHBand="0" w:evenHBand="1" w:firstRowFirstColumn="0" w:firstRowLastColumn="0" w:lastRowFirstColumn="0" w:lastRowLastColumn="0"/>
            </w:pPr>
            <w:r w:rsidRPr="00511770">
              <w:t>5</w:t>
            </w:r>
            <w:r w:rsidR="00B97091">
              <w:t>0</w:t>
            </w:r>
            <w:r w:rsidRPr="00511770">
              <w:t>.</w:t>
            </w:r>
            <w:r w:rsidR="00B97091">
              <w:t>5</w:t>
            </w:r>
          </w:p>
        </w:tc>
      </w:tr>
      <w:tr w:rsidR="00430678" w:rsidTr="00430678">
        <w:tc>
          <w:tcPr>
            <w:cnfStyle w:val="001000000000" w:firstRow="0" w:lastRow="0" w:firstColumn="1" w:lastColumn="0" w:oddVBand="0" w:evenVBand="0" w:oddHBand="0" w:evenHBand="0" w:firstRowFirstColumn="0" w:firstRowLastColumn="0" w:lastRowFirstColumn="0" w:lastRowLastColumn="0"/>
            <w:tcW w:w="2660" w:type="dxa"/>
          </w:tcPr>
          <w:p w:rsidR="00430678" w:rsidRPr="00430678" w:rsidRDefault="00430678" w:rsidP="00430678">
            <w:r w:rsidRPr="00430678">
              <w:t>Annual revenue requirement (unsmoothed)</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858.6</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778.0</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835.9</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813.4</w:t>
            </w:r>
          </w:p>
        </w:tc>
        <w:tc>
          <w:tcPr>
            <w:tcW w:w="1005"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872.2</w:t>
            </w:r>
          </w:p>
        </w:tc>
        <w:tc>
          <w:tcPr>
            <w:tcW w:w="1006" w:type="dxa"/>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4158.2</w:t>
            </w:r>
          </w:p>
        </w:tc>
      </w:tr>
      <w:tr w:rsidR="00430678" w:rsidRPr="00430678" w:rsidTr="004306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30678" w:rsidRPr="00430678" w:rsidRDefault="00430678" w:rsidP="00430678">
            <w:pPr>
              <w:rPr>
                <w:rStyle w:val="Strong"/>
              </w:rPr>
            </w:pPr>
            <w:r w:rsidRPr="00430678">
              <w:rPr>
                <w:rStyle w:val="Strong"/>
              </w:rPr>
              <w:t>Annual expected revenue (smoothed)</w:t>
            </w:r>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rPr>
                <w:rStyle w:val="Strong"/>
              </w:rPr>
            </w:pPr>
            <w:r w:rsidRPr="00430678">
              <w:rPr>
                <w:rStyle w:val="Strong"/>
              </w:rPr>
              <w:t>949.5</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rPr>
                <w:rStyle w:val="Strong"/>
              </w:rPr>
            </w:pPr>
            <w:r w:rsidRPr="00430678">
              <w:rPr>
                <w:rStyle w:val="Strong"/>
              </w:rPr>
              <w:t>804.0</w:t>
            </w:r>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rPr>
                <w:rStyle w:val="Strong"/>
              </w:rPr>
            </w:pPr>
            <w:r w:rsidRPr="00430678">
              <w:rPr>
                <w:rStyle w:val="Strong"/>
              </w:rPr>
              <w:t>798.5</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rPr>
                <w:rStyle w:val="Strong"/>
              </w:rPr>
            </w:pPr>
            <w:r w:rsidRPr="00430678">
              <w:rPr>
                <w:rStyle w:val="Strong"/>
              </w:rPr>
              <w:t>792.9</w:t>
            </w:r>
          </w:p>
        </w:tc>
        <w:tc>
          <w:tcPr>
            <w:tcW w:w="1005"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rPr>
                <w:rStyle w:val="Strong"/>
              </w:rPr>
            </w:pPr>
            <w:r w:rsidRPr="00430678">
              <w:rPr>
                <w:rStyle w:val="Strong"/>
              </w:rPr>
              <w:t>787.5</w:t>
            </w:r>
          </w:p>
        </w:tc>
        <w:tc>
          <w:tcPr>
            <w:tcW w:w="1006" w:type="dxa"/>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rPr>
                <w:rStyle w:val="Strong"/>
              </w:rPr>
            </w:pPr>
            <w:r w:rsidRPr="00430678">
              <w:rPr>
                <w:rStyle w:val="Strong"/>
              </w:rPr>
              <w:t>4132.3</w:t>
            </w:r>
          </w:p>
        </w:tc>
      </w:tr>
      <w:tr w:rsidR="007E1717" w:rsidTr="00511770">
        <w:tc>
          <w:tcPr>
            <w:cnfStyle w:val="001000000000" w:firstRow="0" w:lastRow="0" w:firstColumn="1" w:lastColumn="0" w:oddVBand="0" w:evenVBand="0" w:oddHBand="0" w:evenHBand="0" w:firstRowFirstColumn="0" w:firstRowLastColumn="0" w:lastRowFirstColumn="0" w:lastRowLastColumn="0"/>
            <w:tcW w:w="2660" w:type="dxa"/>
          </w:tcPr>
          <w:p w:rsidR="007E1717" w:rsidRPr="00BE56D7" w:rsidRDefault="007E1717" w:rsidP="00BE56D7">
            <w:r w:rsidRPr="00BE56D7">
              <w:t xml:space="preserve">X </w:t>
            </w:r>
            <w:proofErr w:type="spellStart"/>
            <w:r w:rsidRPr="00BE56D7">
              <w:t>factor</w:t>
            </w:r>
            <w:r w:rsidR="00A547FC" w:rsidRPr="00A547FC">
              <w:rPr>
                <w:rStyle w:val="AERsuperscript"/>
              </w:rPr>
              <w:t>c</w:t>
            </w:r>
            <w:proofErr w:type="spellEnd"/>
          </w:p>
        </w:tc>
        <w:tc>
          <w:tcPr>
            <w:tcW w:w="1005" w:type="dxa"/>
          </w:tcPr>
          <w:p w:rsidR="007E1717" w:rsidRPr="00BE56D7" w:rsidRDefault="007E1717" w:rsidP="00BE56D7">
            <w:pPr>
              <w:cnfStyle w:val="000000000000" w:firstRow="0" w:lastRow="0" w:firstColumn="0" w:lastColumn="0" w:oddVBand="0" w:evenVBand="0" w:oddHBand="0" w:evenHBand="0" w:firstRowFirstColumn="0" w:firstRowLastColumn="0" w:lastRowFirstColumn="0" w:lastRowLastColumn="0"/>
            </w:pPr>
            <w:r w:rsidRPr="00BE56D7">
              <w:t>n/a</w:t>
            </w:r>
            <w:r w:rsidR="00BE56D7" w:rsidRPr="00BE56D7">
              <w:rPr>
                <w:rStyle w:val="AERsuperscript"/>
              </w:rPr>
              <w:t>d</w:t>
            </w:r>
          </w:p>
        </w:tc>
        <w:tc>
          <w:tcPr>
            <w:tcW w:w="1006" w:type="dxa"/>
          </w:tcPr>
          <w:p w:rsidR="007E1717" w:rsidRPr="00BE56D7" w:rsidRDefault="00511770" w:rsidP="00BE56D7">
            <w:pPr>
              <w:cnfStyle w:val="000000000000" w:firstRow="0" w:lastRow="0" w:firstColumn="0" w:lastColumn="0" w:oddVBand="0" w:evenVBand="0" w:oddHBand="0" w:evenHBand="0" w:firstRowFirstColumn="0" w:firstRowLastColumn="0" w:lastRowFirstColumn="0" w:lastRowLastColumn="0"/>
            </w:pPr>
            <w:r w:rsidRPr="00BE56D7">
              <w:t>17.29</w:t>
            </w:r>
            <w:r w:rsidR="007E1717" w:rsidRPr="00BE56D7">
              <w:t>%</w:t>
            </w:r>
          </w:p>
        </w:tc>
        <w:tc>
          <w:tcPr>
            <w:tcW w:w="1005" w:type="dxa"/>
          </w:tcPr>
          <w:p w:rsidR="007E1717" w:rsidRPr="00BE56D7" w:rsidRDefault="007E1717" w:rsidP="00BE56D7">
            <w:pPr>
              <w:cnfStyle w:val="000000000000" w:firstRow="0" w:lastRow="0" w:firstColumn="0" w:lastColumn="0" w:oddVBand="0" w:evenVBand="0" w:oddHBand="0" w:evenHBand="0" w:firstRowFirstColumn="0" w:firstRowLastColumn="0" w:lastRowFirstColumn="0" w:lastRowLastColumn="0"/>
            </w:pPr>
            <w:r w:rsidRPr="00BE56D7">
              <w:t>3.00%</w:t>
            </w:r>
          </w:p>
        </w:tc>
        <w:tc>
          <w:tcPr>
            <w:tcW w:w="1006" w:type="dxa"/>
          </w:tcPr>
          <w:p w:rsidR="007E1717" w:rsidRPr="00BE56D7" w:rsidRDefault="007E1717" w:rsidP="00BE56D7">
            <w:pPr>
              <w:cnfStyle w:val="000000000000" w:firstRow="0" w:lastRow="0" w:firstColumn="0" w:lastColumn="0" w:oddVBand="0" w:evenVBand="0" w:oddHBand="0" w:evenHBand="0" w:firstRowFirstColumn="0" w:firstRowLastColumn="0" w:lastRowFirstColumn="0" w:lastRowLastColumn="0"/>
            </w:pPr>
            <w:r w:rsidRPr="00BE56D7">
              <w:t>3.00%</w:t>
            </w:r>
          </w:p>
        </w:tc>
        <w:tc>
          <w:tcPr>
            <w:tcW w:w="1005" w:type="dxa"/>
          </w:tcPr>
          <w:p w:rsidR="007E1717" w:rsidRPr="00BE56D7" w:rsidRDefault="007E1717" w:rsidP="00BE56D7">
            <w:pPr>
              <w:cnfStyle w:val="000000000000" w:firstRow="0" w:lastRow="0" w:firstColumn="0" w:lastColumn="0" w:oddVBand="0" w:evenVBand="0" w:oddHBand="0" w:evenHBand="0" w:firstRowFirstColumn="0" w:firstRowLastColumn="0" w:lastRowFirstColumn="0" w:lastRowLastColumn="0"/>
            </w:pPr>
            <w:r w:rsidRPr="00BE56D7">
              <w:t>3.00%</w:t>
            </w:r>
          </w:p>
        </w:tc>
        <w:tc>
          <w:tcPr>
            <w:tcW w:w="1006" w:type="dxa"/>
          </w:tcPr>
          <w:p w:rsidR="007E1717" w:rsidRPr="00BE56D7" w:rsidRDefault="007E1717" w:rsidP="00BE56D7">
            <w:pPr>
              <w:cnfStyle w:val="000000000000" w:firstRow="0" w:lastRow="0" w:firstColumn="0" w:lastColumn="0" w:oddVBand="0" w:evenVBand="0" w:oddHBand="0" w:evenHBand="0" w:firstRowFirstColumn="0" w:firstRowLastColumn="0" w:lastRowFirstColumn="0" w:lastRowLastColumn="0"/>
            </w:pPr>
            <w:r w:rsidRPr="00BE56D7">
              <w:t>n/a</w:t>
            </w:r>
          </w:p>
        </w:tc>
      </w:tr>
    </w:tbl>
    <w:p w:rsidR="00360F32" w:rsidRDefault="00360F32" w:rsidP="00360F32">
      <w:pPr>
        <w:pStyle w:val="AERtablesource"/>
      </w:pPr>
      <w:r>
        <w:t xml:space="preserve">Source: </w:t>
      </w:r>
      <w:r>
        <w:tab/>
        <w:t>AER analysis.</w:t>
      </w:r>
    </w:p>
    <w:p w:rsidR="00A547FC" w:rsidRDefault="00A547FC" w:rsidP="00A547FC">
      <w:pPr>
        <w:pStyle w:val="AERtablesource"/>
      </w:pPr>
      <w:r>
        <w:t>(a)</w:t>
      </w:r>
      <w:r>
        <w:tab/>
      </w:r>
      <w:r w:rsidRPr="00D44939">
        <w:t xml:space="preserve">Revenue adjustments include efficiency benefit sharing scheme </w:t>
      </w:r>
      <w:r>
        <w:t xml:space="preserve">carry-overs </w:t>
      </w:r>
      <w:r w:rsidRPr="00D44939">
        <w:t xml:space="preserve">and </w:t>
      </w:r>
      <w:r>
        <w:t xml:space="preserve">forecast </w:t>
      </w:r>
      <w:r w:rsidRPr="00D44939">
        <w:t>DMIA.</w:t>
      </w:r>
    </w:p>
    <w:p w:rsidR="00A547FC" w:rsidRDefault="00A547FC" w:rsidP="00A547FC">
      <w:pPr>
        <w:pStyle w:val="AERtablesource"/>
      </w:pPr>
      <w:r>
        <w:t>(b)</w:t>
      </w:r>
      <w:r>
        <w:tab/>
        <w:t xml:space="preserve">These are the efficient total costs of metering and ancillary network services as determined by the AER. In the draft decision we </w:t>
      </w:r>
      <w:r w:rsidRPr="00185C82">
        <w:t>included only the net costs of ACS (</w:t>
      </w:r>
      <w:r>
        <w:t>t</w:t>
      </w:r>
      <w:r w:rsidRPr="00185C82">
        <w:t>hat is, the total ACS cost</w:t>
      </w:r>
      <w:r>
        <w:t>s</w:t>
      </w:r>
      <w:r w:rsidRPr="00185C82">
        <w:t xml:space="preserve"> less revenues of $9.6 million recovered through separate charges for 2014</w:t>
      </w:r>
      <w:r>
        <w:t>–</w:t>
      </w:r>
      <w:r w:rsidRPr="00185C82">
        <w:t xml:space="preserve">15). </w:t>
      </w:r>
      <w:r>
        <w:t xml:space="preserve">For the final decision we included the total ACS costs consistent with Endeavour Energy's revised proposal. </w:t>
      </w:r>
    </w:p>
    <w:p w:rsidR="00A547FC" w:rsidRDefault="00A547FC" w:rsidP="00A547FC">
      <w:pPr>
        <w:pStyle w:val="AERtablesource"/>
      </w:pPr>
      <w:r>
        <w:t xml:space="preserve">(c) </w:t>
      </w:r>
      <w:r>
        <w:tab/>
      </w:r>
      <w:r w:rsidRPr="001C2DB8">
        <w:t xml:space="preserve">The X factor </w:t>
      </w:r>
      <w:r>
        <w:t xml:space="preserve">from 2016–17 to 2018–19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360F32" w:rsidRDefault="00A547FC" w:rsidP="00A547FC">
      <w:pPr>
        <w:pStyle w:val="AERtablesource"/>
      </w:pPr>
      <w:r>
        <w:t>(d)</w:t>
      </w:r>
      <w:r>
        <w:tab/>
        <w:t xml:space="preserve">In our transitional decision, we determined the placeholder revenue for 2014–15. In this final decision to update the 2014–15 revenue for our assessment of efficient costs we determined X factors for the final four years of the 2014–19 period. This is to adjust Endeavour Energy's total revenue requirement for the </w:t>
      </w:r>
      <w:r>
        <w:br/>
        <w:t>2015–19 regulatory control period for the difference between the placeholder revenue and our decision on Endeavour Energy's efficient costs for 2014–15.</w:t>
      </w:r>
    </w:p>
    <w:p w:rsidR="00360F32" w:rsidRPr="00EE5F0C" w:rsidRDefault="00360F32" w:rsidP="00360F32">
      <w:pPr>
        <w:pStyle w:val="Heading2"/>
      </w:pPr>
      <w:bookmarkStart w:id="101" w:name="_Toc417917004"/>
      <w:r>
        <w:t xml:space="preserve">The building block </w:t>
      </w:r>
      <w:r w:rsidRPr="008E217A">
        <w:t>approach</w:t>
      </w:r>
      <w:bookmarkEnd w:id="101"/>
    </w:p>
    <w:p w:rsidR="00360F32" w:rsidRPr="00EE5F0C" w:rsidRDefault="00360F32" w:rsidP="00117E02">
      <w:pPr>
        <w:numPr>
          <w:ilvl w:val="0"/>
          <w:numId w:val="24"/>
        </w:numPr>
      </w:pPr>
      <w:r w:rsidRPr="00EE5F0C">
        <w:t xml:space="preserve">We have employed the building block approach to determine </w:t>
      </w:r>
      <w:r w:rsidR="00E930D5">
        <w:t>Endeavour Energy</w:t>
      </w:r>
      <w:r w:rsidRPr="00EE5F0C">
        <w:t>'s annual revenue requirement. The building block costs</w:t>
      </w:r>
      <w:r w:rsidR="00742F6C">
        <w:t xml:space="preserve">, illustrated in </w:t>
      </w:r>
      <w:r w:rsidR="00742F6C">
        <w:fldChar w:fldCharType="begin"/>
      </w:r>
      <w:r w:rsidR="00742F6C">
        <w:instrText xml:space="preserve"> REF _Ref416880395 \h </w:instrText>
      </w:r>
      <w:r w:rsidR="00742F6C">
        <w:fldChar w:fldCharType="separate"/>
      </w:r>
      <w:r w:rsidR="009D2F25" w:rsidRPr="00D87BC7">
        <w:t xml:space="preserve">Figure </w:t>
      </w:r>
      <w:r w:rsidR="009D2F25">
        <w:rPr>
          <w:noProof/>
        </w:rPr>
        <w:t>4</w:t>
      </w:r>
      <w:r w:rsidR="00742F6C">
        <w:fldChar w:fldCharType="end"/>
      </w:r>
      <w:r w:rsidR="00BF6324">
        <w:t>,</w:t>
      </w:r>
      <w:r w:rsidRPr="00EE5F0C">
        <w:t xml:space="preserve"> include:</w:t>
      </w:r>
      <w:r w:rsidR="00EB2E0F">
        <w:rPr>
          <w:rStyle w:val="FootnoteReference"/>
        </w:rPr>
        <w:footnoteReference w:id="26"/>
      </w:r>
    </w:p>
    <w:p w:rsidR="00360F32" w:rsidRPr="00D87BC7" w:rsidRDefault="00360F32" w:rsidP="00360F32">
      <w:pPr>
        <w:pStyle w:val="AERbulletlistfirststyle"/>
      </w:pPr>
      <w:r w:rsidRPr="00EE5F0C">
        <w:t xml:space="preserve">a return on the </w:t>
      </w:r>
      <w:r w:rsidRPr="00D87BC7">
        <w:t>Regulatory Asset Base (RAB) (return on capital)</w:t>
      </w:r>
    </w:p>
    <w:p w:rsidR="00360F32" w:rsidRPr="00D87BC7" w:rsidRDefault="00360F32" w:rsidP="00360F32">
      <w:pPr>
        <w:pStyle w:val="AERbulletlistfirststyle"/>
      </w:pPr>
      <w:r w:rsidRPr="00EE5F0C">
        <w:t>depreciation of the RAB (return of capital)</w:t>
      </w:r>
    </w:p>
    <w:p w:rsidR="00360F32" w:rsidRPr="00D87BC7" w:rsidRDefault="00360F32" w:rsidP="00360F32">
      <w:pPr>
        <w:pStyle w:val="AERbulletlistfirststyle"/>
      </w:pPr>
      <w:r w:rsidRPr="00EE5F0C">
        <w:t xml:space="preserve">forecast </w:t>
      </w:r>
      <w:proofErr w:type="spellStart"/>
      <w:r w:rsidRPr="00EE5F0C">
        <w:t>opex</w:t>
      </w:r>
      <w:proofErr w:type="spellEnd"/>
    </w:p>
    <w:p w:rsidR="00360F32" w:rsidRPr="00D87BC7" w:rsidRDefault="00360F32" w:rsidP="00360F32">
      <w:pPr>
        <w:pStyle w:val="AERbulletlistfirststyle"/>
      </w:pPr>
      <w:r w:rsidRPr="00EE5F0C">
        <w:t>increments or decrements resulting from incentive schemes such as the efficiency benefit sharing scheme (EBSS)</w:t>
      </w:r>
    </w:p>
    <w:p w:rsidR="00360F32" w:rsidRPr="00D87BC7" w:rsidRDefault="00360F32" w:rsidP="00360F32">
      <w:pPr>
        <w:pStyle w:val="AERbulletlistfirststyle"/>
      </w:pPr>
      <w:proofErr w:type="gramStart"/>
      <w:r w:rsidRPr="00EE5F0C">
        <w:t>the</w:t>
      </w:r>
      <w:proofErr w:type="gramEnd"/>
      <w:r w:rsidRPr="00D87BC7">
        <w:t xml:space="preserve"> estimated cost of corporate income tax. </w:t>
      </w:r>
    </w:p>
    <w:p w:rsidR="00360F32" w:rsidRPr="00D87BC7" w:rsidRDefault="00360F32" w:rsidP="00117E02">
      <w:pPr>
        <w:numPr>
          <w:ilvl w:val="0"/>
          <w:numId w:val="24"/>
        </w:numPr>
      </w:pPr>
      <w:r w:rsidRPr="00EE5F0C">
        <w:t xml:space="preserve">Our assessment of capex directly affects the size of the RAB and therefore, the revenue generated from the return on capital and return of capital building blocks. </w:t>
      </w:r>
    </w:p>
    <w:p w:rsidR="00360F32" w:rsidRPr="00D87BC7" w:rsidRDefault="00360F32" w:rsidP="00BE56D7">
      <w:pPr>
        <w:pStyle w:val="Caption"/>
      </w:pPr>
      <w:bookmarkStart w:id="102" w:name="_Ref416880395"/>
      <w:r w:rsidRPr="00D87BC7">
        <w:t xml:space="preserve">Figure </w:t>
      </w:r>
      <w:r w:rsidR="0010003E">
        <w:fldChar w:fldCharType="begin"/>
      </w:r>
      <w:r w:rsidR="0010003E">
        <w:instrText xml:space="preserve"> SEQ Figure \* ARABIC </w:instrText>
      </w:r>
      <w:r w:rsidR="0010003E">
        <w:fldChar w:fldCharType="separate"/>
      </w:r>
      <w:r w:rsidR="009D2F25">
        <w:rPr>
          <w:noProof/>
        </w:rPr>
        <w:t>4</w:t>
      </w:r>
      <w:r w:rsidR="0010003E">
        <w:rPr>
          <w:noProof/>
        </w:rPr>
        <w:fldChar w:fldCharType="end"/>
      </w:r>
      <w:bookmarkEnd w:id="102"/>
      <w:r w:rsidRPr="00D87BC7">
        <w:tab/>
      </w:r>
      <w:r w:rsidRPr="00BE56D7">
        <w:rPr>
          <w:rStyle w:val="Strong"/>
          <w:b/>
          <w:bCs/>
        </w:rPr>
        <w:t>The building block approach for determining total revenue</w:t>
      </w:r>
    </w:p>
    <w:p w:rsidR="00360F32" w:rsidRPr="00D87BC7" w:rsidRDefault="00360F32" w:rsidP="00117E02">
      <w:pPr>
        <w:pStyle w:val="ListParagraph"/>
        <w:numPr>
          <w:ilvl w:val="0"/>
          <w:numId w:val="24"/>
        </w:numPr>
      </w:pPr>
      <w:r w:rsidRPr="00360F32">
        <w:rPr>
          <w:noProof/>
          <w:lang w:eastAsia="en-AU"/>
        </w:rPr>
        <mc:AlternateContent>
          <mc:Choice Requires="wpc">
            <w:drawing>
              <wp:inline distT="0" distB="0" distL="0" distR="0" wp14:anchorId="72D4D06D" wp14:editId="694CE799">
                <wp:extent cx="5410200" cy="3391535"/>
                <wp:effectExtent l="0" t="0" r="19050" b="56515"/>
                <wp:docPr id="19" name="Canvas 19"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8C525B" w:rsidRPr="001C2CD9" w:rsidRDefault="008C525B" w:rsidP="00360F32">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8C525B" w:rsidRPr="00E4098A" w:rsidRDefault="008C525B" w:rsidP="00360F32">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8C525B" w:rsidRDefault="008C525B" w:rsidP="00360F32">
                              <w:pPr>
                                <w:spacing w:after="200"/>
                                <w:rPr>
                                  <w:rStyle w:val="AERbody"/>
                                </w:rPr>
                              </w:pPr>
                              <w:r w:rsidRPr="007F7192">
                                <w:rPr>
                                  <w:rStyle w:val="AERbody"/>
                                  <w:color w:val="FFFFFF"/>
                                </w:rPr>
                                <w:t>Corporate income tax (net of value of imputation credits)</w:t>
                              </w:r>
                            </w:p>
                            <w:p w:rsidR="008C525B" w:rsidRPr="007F7192" w:rsidRDefault="008C525B" w:rsidP="00360F32">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9" name="Line 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0" y="407035"/>
                            <a:ext cx="1026795" cy="631190"/>
                          </a:xfrm>
                          <a:prstGeom prst="rect">
                            <a:avLst/>
                          </a:prstGeom>
                          <a:solidFill>
                            <a:srgbClr val="FFFFFF"/>
                          </a:solidFill>
                          <a:ln w="9525">
                            <a:solidFill>
                              <a:srgbClr val="FFFFFF"/>
                            </a:solidFill>
                            <a:miter lim="800000"/>
                            <a:headEnd/>
                            <a:tailEnd/>
                          </a:ln>
                        </wps:spPr>
                        <wps:txbx>
                          <w:txbxContent>
                            <w:p w:rsidR="008C525B" w:rsidRPr="002569F7" w:rsidRDefault="008C525B" w:rsidP="00360F32">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8C525B" w:rsidRPr="008D2606" w:rsidRDefault="008C525B" w:rsidP="00360F32">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w:t>
                              </w:r>
                              <w:proofErr w:type="spellStart"/>
                              <w:r w:rsidRPr="00664FB1">
                                <w:rPr>
                                  <w:rFonts w:ascii="Calibri" w:hAnsi="Calibri"/>
                                  <w:color w:val="FFFFFF"/>
                                </w:rPr>
                                <w:t>opex</w:t>
                              </w:r>
                              <w:proofErr w:type="spellEnd"/>
                              <w:r w:rsidRPr="00664FB1">
                                <w:rPr>
                                  <w:rFonts w:ascii="Calibri" w:hAnsi="Calibri"/>
                                  <w:color w:val="FFFFFF"/>
                                </w:rPr>
                                <w:t>)</w:t>
                              </w:r>
                              <w:r>
                                <w:t xml:space="preserve"> </w:t>
                              </w:r>
                            </w:p>
                            <w:p w:rsidR="008C525B" w:rsidRPr="004414F4" w:rsidRDefault="008C525B" w:rsidP="00360F32">
                              <w:pPr>
                                <w:rPr>
                                  <w:color w:val="FFFFFF"/>
                                </w:rPr>
                              </w:pP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8C525B" w:rsidRPr="008D2606" w:rsidRDefault="008C525B" w:rsidP="00360F32">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8C525B" w:rsidRPr="00F51767" w:rsidRDefault="008C525B" w:rsidP="00360F32"/>
                          </w:txbxContent>
                        </wps:txbx>
                        <wps:bodyPr rot="0" vert="horz" wrap="square" lIns="91440" tIns="45720" rIns="91440" bIns="45720" anchor="t" anchorCtr="0" upright="1">
                          <a:noAutofit/>
                        </wps:bodyPr>
                      </wps:wsp>
                      <wps:wsp>
                        <wps:cNvPr id="18" name="Text Box 1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8C525B" w:rsidRPr="00E91FF0" w:rsidRDefault="008C525B" w:rsidP="00360F32">
                              <w:pPr>
                                <w:pStyle w:val="AERtabletextleft"/>
                              </w:pPr>
                              <w:r w:rsidRPr="00E91FF0">
                                <w:t xml:space="preserve">Total </w:t>
                              </w:r>
                              <w:r>
                                <w:t>r</w:t>
                              </w:r>
                              <w:r w:rsidRPr="00E91FF0">
                                <w:t>evenue</w:t>
                              </w:r>
                            </w:p>
                            <w:p w:rsidR="008C525B" w:rsidRDefault="008C525B" w:rsidP="00360F32"/>
                          </w:txbxContent>
                        </wps:txbx>
                        <wps:bodyPr rot="0" vert="horz" wrap="square" lIns="91440" tIns="45720" rIns="91440" bIns="45720" anchor="t" anchorCtr="0" upright="1">
                          <a:noAutofit/>
                        </wps:bodyPr>
                      </wps:wsp>
                    </wpc:wpc>
                  </a:graphicData>
                </a:graphic>
              </wp:inline>
            </w:drawing>
          </mc:Choice>
          <mc:Fallback>
            <w:pict>
              <v:group id="Canvas 19"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DS8AA&#10;AADaAAAADwAAAGRycy9kb3ducmV2LnhtbERPXWvCMBR9H/gfwhX2IppubiLVKCIMBmPiVATfLs21&#10;iWtuSpPV7t+bgbDHw/meLztXiZaaYD0reBplIIgLry2XCg77t+EURIjIGivPpOCXAiwXvYc55tpf&#10;+YvaXSxFCuGQowITY51LGQpDDsPI18SJO/vGYUywKaVu8JrCXSWfs2wiHVpODQZrWhsqvnc/Ls14&#10;3a7a09oEHHwexy+bi6X4YZV67HerGYhIXfwX393vWsEY/q4kP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XDS8AAAADaAAAADwAAAAAAAAAAAAAAAACYAgAAZHJzL2Rvd25y&#10;ZXYueG1sUEsFBgAAAAAEAAQA9QAAAIUDAAAAAA==&#10;" fillcolor="#c00000" strokecolor="#c00000" strokeweight="0">
                  <v:fill opacity=".5" color2="#c71e1e" focusposition=".5,.5" focussize="" focus="100%" type="gradientRadial"/>
                  <v:shadow on="t" color="#622423" offset="1pt"/>
                  <v:textbox>
                    <w:txbxContent>
                      <w:p w:rsidR="008C525B" w:rsidRPr="001C2CD9" w:rsidRDefault="008C525B" w:rsidP="00360F32">
                        <w:pPr>
                          <w:shd w:val="clear" w:color="auto" w:fill="C00000"/>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v:textbox>
                </v:shape>
                <v:shape id="Text Box 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CecQA&#10;AADaAAAADwAAAGRycy9kb3ducmV2LnhtbESPQWvCQBSE74X+h+UVvNWNItpGV6mK6KVCU8HrI/vM&#10;xmbfhuxqor++KxR6HGbmG2a26GwlrtT40rGCQT8BQZw7XXKh4PC9eX0D4QOyxsoxKbiRh8X8+WmG&#10;qXYtf9E1C4WIEPYpKjAh1KmUPjdk0fddTRy9k2sshiibQuoG2wi3lRwmyVhaLDkuGKxpZSj/yS5W&#10;wWVySAb5ef1p3o/b/Sjjbn1vl0r1XrqPKYhAXfgP/7V3WsEYHlfiD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gnnEAAAA2gAAAA8AAAAAAAAAAAAAAAAAmAIAAGRycy9k&#10;b3ducmV2LnhtbFBLBQYAAAAABAAEAPUAAACJAwAAAAA=&#10;" fillcolor="#c0504d" strokecolor="#d99594" strokeweight="1pt">
                  <v:fill color2="#c15451" focus="50%" type="gradient"/>
                  <v:shadow on="t" color="#622423" offset="1pt"/>
                  <v:textbox>
                    <w:txbxContent>
                      <w:p w:rsidR="008C525B" w:rsidRPr="00E4098A" w:rsidRDefault="008C525B" w:rsidP="00360F32">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5C20A9">
                          <w:rPr>
                            <w:color w:val="FFFFFF" w:themeColor="background1"/>
                          </w:rPr>
                          <w:t xml:space="preserve">to </w:t>
                        </w:r>
                        <w:r>
                          <w:rPr>
                            <w:rFonts w:ascii="Calibri" w:hAnsi="Calibri"/>
                            <w:color w:val="FFFFFF"/>
                          </w:rPr>
                          <w:t>RAB</w:t>
                        </w:r>
                        <w:r w:rsidRPr="00E4098A">
                          <w:rPr>
                            <w:rFonts w:ascii="Calibri" w:hAnsi="Calibri"/>
                            <w:color w:val="FFFFFF"/>
                          </w:rPr>
                          <w:t>)</w:t>
                        </w:r>
                      </w:p>
                    </w:txbxContent>
                  </v:textbox>
                </v:shape>
                <v:shape id="Text Box 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6kcUA&#10;AADaAAAADwAAAGRycy9kb3ducmV2LnhtbESPQWsCMRSE70L/Q3iFXkSzVqmyNYoUhEW9aCv2+Lp5&#10;7sZuXpZNqtv+eiMUPA4z8w0znbe2EmdqvHGsYNBPQBDnThsuFHy8L3sTED4ga6wck4Jf8jCfPXSm&#10;mGp34S2dd6EQEcI+RQVlCHUqpc9Lsuj7riaO3tE1FkOUTSF1g5cIt5V8TpIXadFwXCixpreS8u/d&#10;j1Xw183Ga5Otvka1XJrD8Hj63G9OSj09totXEIHacA//tzOtYAy3K/EG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bqRxQAAANoAAAAPAAAAAAAAAAAAAAAAAJgCAABkcnMv&#10;ZG93bnJldi54bWxQSwUGAAAAAAQABAD1AAAAigMAAAAA&#10;" fillcolor="#76923c" strokecolor="#548dd4" strokeweight="1pt">
                  <v:fill color2="#738f3b" focus="100%" type="gradient"/>
                  <v:shadow on="t" color="#622423" opacity=".5" offset="1pt"/>
                  <v:textbox>
                    <w:txbxContent>
                      <w:p w:rsidR="008C525B" w:rsidRDefault="008C525B" w:rsidP="00360F32">
                        <w:pPr>
                          <w:spacing w:after="200"/>
                          <w:rPr>
                            <w:rStyle w:val="AERbody"/>
                          </w:rPr>
                        </w:pPr>
                        <w:r w:rsidRPr="007F7192">
                          <w:rPr>
                            <w:rStyle w:val="AERbody"/>
                            <w:color w:val="FFFFFF"/>
                          </w:rPr>
                          <w:t>Corporate income tax (net of value of imputation credits)</w:t>
                        </w:r>
                      </w:p>
                      <w:p w:rsidR="008C525B" w:rsidRPr="007F7192" w:rsidRDefault="008C525B" w:rsidP="00360F32">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3" o:spid="_x0000_s1037" type="#_x0000_t202" style="position:absolute;top:4070;width:10267;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8C525B" w:rsidRPr="002569F7" w:rsidRDefault="008C525B" w:rsidP="00360F32">
                        <w:pPr>
                          <w:rPr>
                            <w:rFonts w:ascii="Calibri" w:hAnsi="Calibri"/>
                          </w:rPr>
                        </w:pPr>
                        <w:r w:rsidRPr="002569F7">
                          <w:rPr>
                            <w:rFonts w:ascii="Calibri" w:hAnsi="Calibri"/>
                          </w:rPr>
                          <w:t>Capital costs</w:t>
                        </w:r>
                      </w:p>
                    </w:txbxContent>
                  </v:textbox>
                </v:shape>
                <v:shape id="Text Box 1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85X8MA&#10;AADbAAAADwAAAGRycy9kb3ducmV2LnhtbERPTWvCQBC9F/wPywheim4UaiXNRqIg6KW0KmhvQ3aa&#10;hGZnw+5q0n/fLRR6m8f7nGw9mFbcyfnGsoL5LAFBXFrdcKXgfNpNVyB8QNbYWiYF3+RhnY8eMky1&#10;7fmd7sdQiRjCPkUFdQhdKqUvazLoZ7YjjtyndQZDhK6S2mEfw00rF0mylAYbjg01drStqfw63oyC&#10;1fP2dOleN/qtd0+H8sMXw/WxUGoyHooXEIGG8C/+c+91nL+E31/i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85X8MAAADbAAAADwAAAAAAAAAAAAAAAACYAgAAZHJzL2Rv&#10;d25yZXYueG1sUEsFBgAAAAAEAAQA9QAAAIgDAAAAAA==&#10;" fillcolor="#365f91" strokecolor="#365f91" strokeweight="1pt">
                  <v:fill color2="#365f91" focus="100%" type="gradient"/>
                  <v:shadow on="t" color="#3f3151" opacity=".5" offset="1pt"/>
                  <v:textbox>
                    <w:txbxContent>
                      <w:p w:rsidR="008C525B" w:rsidRPr="008D2606" w:rsidRDefault="008C525B" w:rsidP="00360F32">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w:t>
                        </w:r>
                        <w:proofErr w:type="spellStart"/>
                        <w:r w:rsidRPr="00664FB1">
                          <w:rPr>
                            <w:rFonts w:ascii="Calibri" w:hAnsi="Calibri"/>
                            <w:color w:val="FFFFFF"/>
                          </w:rPr>
                          <w:t>opex</w:t>
                        </w:r>
                        <w:proofErr w:type="spellEnd"/>
                        <w:r w:rsidRPr="00664FB1">
                          <w:rPr>
                            <w:rFonts w:ascii="Calibri" w:hAnsi="Calibri"/>
                            <w:color w:val="FFFFFF"/>
                          </w:rPr>
                          <w:t>)</w:t>
                        </w:r>
                        <w:r>
                          <w:t xml:space="preserve"> </w:t>
                        </w:r>
                      </w:p>
                      <w:p w:rsidR="008C525B" w:rsidRPr="004414F4" w:rsidRDefault="008C525B" w:rsidP="00360F32">
                        <w:pPr>
                          <w:rPr>
                            <w:color w:val="FFFFFF"/>
                          </w:rPr>
                        </w:pPr>
                      </w:p>
                    </w:txbxContent>
                  </v:textbox>
                </v:shape>
                <v:shape id="Text Box 1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4k8IA&#10;AADbAAAADwAAAGRycy9kb3ducmV2LnhtbERPTYvCMBC9C/6HMMLe1tQFdalGEV1Zkb1sFfE4NGNT&#10;bCaliVr99WZhwds83udM562txJUaXzpWMOgnIIhzp0suFOx36/dPED4ga6wck4I7eZjPup0pptrd&#10;+JeuWShEDGGfogITQp1K6XNDFn3f1cSRO7nGYoiwKaRu8BbDbSU/kmQkLZYcGwzWtDSUn7OLVXD8&#10;vh9+3GVVf2XDjRm77ah4HLdKvfXaxQREoDa8xP/ujY7zx/D3Sz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riTwgAAANsAAAAPAAAAAAAAAAAAAAAAAJgCAABkcnMvZG93&#10;bnJldi54bWxQSwUGAAAAAAQABAD1AAAAhwMAAAAA&#10;" fillcolor="#548dd4" strokecolor="#76923c" strokeweight="1pt">
                  <v:fill color2="#548dd4" focus="100%" type="gradient"/>
                  <v:shadow on="t" color="#205867" opacity=".5" offset="1pt"/>
                  <v:textbox>
                    <w:txbxContent>
                      <w:p w:rsidR="008C525B" w:rsidRPr="008D2606" w:rsidRDefault="008C525B" w:rsidP="00360F32">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8C525B" w:rsidRPr="00F51767" w:rsidRDefault="008C525B" w:rsidP="00360F32"/>
                    </w:txbxContent>
                  </v:textbox>
                </v:shape>
                <v:shape id="Text Box 1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gkcUA&#10;AADbAAAADwAAAGRycy9kb3ducmV2LnhtbESPQWvCQBCF70L/wzIFb7ppEbHRVUpLpZdSjCV6HLNj&#10;EszOhuxW0/565yB4m+G9ee+bxap3jTpTF2rPBp7GCSjiwtuaSwM/24/RDFSIyBYbz2TgjwKslg+D&#10;BabWX3hD5yyWSkI4pGigirFNtQ5FRQ7D2LfEoh195zDK2pXadniRcNfo5ySZaoc1S0OFLb1VVJyy&#10;X2cgFMk0/55k+e6g1/T/Yu37fv1lzPCxf52DitTHu/l2/WkFX2D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6CRxQAAANsAAAAPAAAAAAAAAAAAAAAAAJgCAABkcnMv&#10;ZG93bnJldi54bWxQSwUGAAAAAAQABAD1AAAAigMAAAAA&#10;" strokecolor="white [3212]">
                  <v:textbox>
                    <w:txbxContent>
                      <w:p w:rsidR="008C525B" w:rsidRPr="00E91FF0" w:rsidRDefault="008C525B" w:rsidP="00360F32">
                        <w:pPr>
                          <w:pStyle w:val="AERtabletextleft"/>
                        </w:pPr>
                        <w:r w:rsidRPr="00E91FF0">
                          <w:t xml:space="preserve">Total </w:t>
                        </w:r>
                        <w:r>
                          <w:t>r</w:t>
                        </w:r>
                        <w:r w:rsidRPr="00E91FF0">
                          <w:t>evenue</w:t>
                        </w:r>
                      </w:p>
                      <w:p w:rsidR="008C525B" w:rsidRDefault="008C525B" w:rsidP="00360F32"/>
                    </w:txbxContent>
                  </v:textbox>
                </v:shape>
                <w10:anchorlock/>
              </v:group>
            </w:pict>
          </mc:Fallback>
        </mc:AlternateContent>
      </w:r>
    </w:p>
    <w:p w:rsidR="00360F32" w:rsidRPr="004D4804" w:rsidRDefault="00360F32" w:rsidP="00117E02">
      <w:pPr>
        <w:pStyle w:val="ListParagraph"/>
        <w:numPr>
          <w:ilvl w:val="0"/>
          <w:numId w:val="24"/>
        </w:numPr>
      </w:pPr>
      <w:r w:rsidRPr="00D87BC7">
        <w:t xml:space="preserve">The following section summarises our decision by building block and provides our high level reasons and analysis. </w:t>
      </w:r>
      <w:r w:rsidR="00BF6324">
        <w:t>The attachments provide a more detailed explanation of our analysis and findings.</w:t>
      </w:r>
    </w:p>
    <w:p w:rsidR="00360F32" w:rsidRPr="00FE296E" w:rsidRDefault="00360F32" w:rsidP="00360F32">
      <w:pPr>
        <w:pStyle w:val="Heading2"/>
      </w:pPr>
      <w:bookmarkStart w:id="103" w:name="_Toc404437126"/>
      <w:bookmarkStart w:id="104" w:name="_Toc411428026"/>
      <w:bookmarkStart w:id="105" w:name="_Toc417917005"/>
      <w:r>
        <w:t>Regulatory asset base</w:t>
      </w:r>
      <w:bookmarkEnd w:id="103"/>
      <w:bookmarkEnd w:id="104"/>
      <w:bookmarkEnd w:id="105"/>
    </w:p>
    <w:p w:rsidR="00360F32" w:rsidRPr="009F4C42" w:rsidRDefault="00360F32" w:rsidP="00117E02">
      <w:pPr>
        <w:numPr>
          <w:ilvl w:val="0"/>
          <w:numId w:val="24"/>
        </w:numPr>
      </w:pPr>
      <w:bookmarkStart w:id="106" w:name="_Toc390936279"/>
      <w:bookmarkStart w:id="107" w:name="_Toc404437129"/>
      <w:bookmarkStart w:id="108" w:name="_Toc411428029"/>
      <w:r w:rsidRPr="009F4C42">
        <w:t xml:space="preserve">The RAB is the value of </w:t>
      </w:r>
      <w:r w:rsidR="00B61AC6">
        <w:t>Endeavour Energy</w:t>
      </w:r>
      <w:r w:rsidRPr="009F4C42">
        <w:t xml:space="preserve">'s assets that are used to provide distribution network services. </w:t>
      </w:r>
      <w:r w:rsidR="00BD0BD1">
        <w:t>It</w:t>
      </w:r>
      <w:r w:rsidRPr="009F4C42">
        <w:t xml:space="preserve"> is the value on which </w:t>
      </w:r>
      <w:r w:rsidR="00B61AC6">
        <w:t>Endeavour Energy</w:t>
      </w:r>
      <w:r w:rsidRPr="009F4C42">
        <w:t xml:space="preserve"> earns a return on capital</w:t>
      </w:r>
      <w:r w:rsidR="00BD0BD1">
        <w:t xml:space="preserve">, and </w:t>
      </w:r>
      <w:r w:rsidRPr="009F4C42">
        <w:t xml:space="preserve">a depreciation allowance (return of capital) on assets in its RAB. </w:t>
      </w:r>
    </w:p>
    <w:p w:rsidR="00360F32" w:rsidRDefault="00BD0BD1" w:rsidP="00BD0BD1">
      <w:pPr>
        <w:numPr>
          <w:ilvl w:val="0"/>
          <w:numId w:val="24"/>
        </w:numPr>
      </w:pPr>
      <w:r>
        <w:t>We</w:t>
      </w:r>
      <w:r w:rsidR="00360F32" w:rsidRPr="009F4C42">
        <w:t xml:space="preserve"> are required to assess </w:t>
      </w:r>
      <w:r w:rsidR="00B61AC6">
        <w:t>Endeavour Energy</w:t>
      </w:r>
      <w:r w:rsidR="00360F32" w:rsidRPr="009F4C42">
        <w:t xml:space="preserve">'s proposed opening value for the RAB for each year of the </w:t>
      </w:r>
      <w:r w:rsidR="00644D38" w:rsidRPr="009F4C42">
        <w:t>201</w:t>
      </w:r>
      <w:r w:rsidR="00644D38">
        <w:t>5</w:t>
      </w:r>
      <w:r w:rsidR="00360F32" w:rsidRPr="009F4C42">
        <w:t xml:space="preserve">–19 </w:t>
      </w:r>
      <w:r w:rsidR="00644D38">
        <w:t xml:space="preserve">regulatory control </w:t>
      </w:r>
      <w:proofErr w:type="gramStart"/>
      <w:r w:rsidR="00360F32" w:rsidRPr="009F4C42">
        <w:t>period</w:t>
      </w:r>
      <w:proofErr w:type="gramEnd"/>
      <w:r w:rsidR="00360F32" w:rsidRPr="009F4C42">
        <w:t>.</w:t>
      </w:r>
      <w:r w:rsidR="00360F32" w:rsidRPr="009F4C42">
        <w:rPr>
          <w:rStyle w:val="FootnoteReference"/>
        </w:rPr>
        <w:footnoteReference w:id="27"/>
      </w:r>
      <w:r w:rsidR="00360F32" w:rsidRPr="009F4C42">
        <w:t xml:space="preserve"> </w:t>
      </w:r>
    </w:p>
    <w:p w:rsidR="00360F32" w:rsidRDefault="00360F32" w:rsidP="00117E02">
      <w:pPr>
        <w:numPr>
          <w:ilvl w:val="0"/>
          <w:numId w:val="24"/>
        </w:numPr>
        <w:rPr>
          <w:rStyle w:val="AERbody"/>
        </w:rPr>
      </w:pPr>
      <w:r w:rsidRPr="009F4C42">
        <w:rPr>
          <w:rStyle w:val="AERbody"/>
        </w:rPr>
        <w:t xml:space="preserve">Our </w:t>
      </w:r>
      <w:r>
        <w:rPr>
          <w:rStyle w:val="AERbody"/>
        </w:rPr>
        <w:t>final</w:t>
      </w:r>
      <w:r w:rsidRPr="009F4C42">
        <w:rPr>
          <w:rStyle w:val="AERbody"/>
        </w:rPr>
        <w:t xml:space="preserve"> decision is to </w:t>
      </w:r>
      <w:r>
        <w:rPr>
          <w:rStyle w:val="AERbody"/>
        </w:rPr>
        <w:t>accept</w:t>
      </w:r>
      <w:r w:rsidRPr="009F4C42">
        <w:rPr>
          <w:rStyle w:val="AERbody"/>
        </w:rPr>
        <w:t xml:space="preserve"> </w:t>
      </w:r>
      <w:r w:rsidR="00A64E70">
        <w:rPr>
          <w:rStyle w:val="AERbody"/>
        </w:rPr>
        <w:t>Endeavour Energy</w:t>
      </w:r>
      <w:r w:rsidRPr="009F4C42">
        <w:rPr>
          <w:rStyle w:val="AERbody"/>
        </w:rPr>
        <w:t xml:space="preserve">'s </w:t>
      </w:r>
      <w:r>
        <w:rPr>
          <w:rStyle w:val="AERbody"/>
        </w:rPr>
        <w:t xml:space="preserve">revised </w:t>
      </w:r>
      <w:r w:rsidR="004900BA">
        <w:rPr>
          <w:rStyle w:val="AERbody"/>
        </w:rPr>
        <w:t xml:space="preserve">proposed </w:t>
      </w:r>
      <w:r>
        <w:rPr>
          <w:rStyle w:val="AERbody"/>
        </w:rPr>
        <w:t>opening</w:t>
      </w:r>
      <w:r w:rsidRPr="009F4C42">
        <w:rPr>
          <w:rStyle w:val="AERbody"/>
        </w:rPr>
        <w:t xml:space="preserve"> RAB </w:t>
      </w:r>
      <w:r>
        <w:rPr>
          <w:rStyle w:val="AERbody"/>
        </w:rPr>
        <w:t xml:space="preserve">as </w:t>
      </w:r>
      <w:r w:rsidRPr="009F4C42">
        <w:rPr>
          <w:rStyle w:val="AERbody"/>
        </w:rPr>
        <w:t>at</w:t>
      </w:r>
      <w:r>
        <w:rPr>
          <w:rStyle w:val="AERbody"/>
        </w:rPr>
        <w:t xml:space="preserve"> 1 July 2014 of</w:t>
      </w:r>
      <w:r w:rsidRPr="009F4C42">
        <w:rPr>
          <w:rStyle w:val="AERbody"/>
        </w:rPr>
        <w:t xml:space="preserve"> $</w:t>
      </w:r>
      <w:r w:rsidR="00A64E70">
        <w:rPr>
          <w:rStyle w:val="AERbody"/>
        </w:rPr>
        <w:t>5581.3</w:t>
      </w:r>
      <w:r w:rsidRPr="009F4C42">
        <w:rPr>
          <w:rStyle w:val="AERbody"/>
        </w:rPr>
        <w:t xml:space="preserve"> million</w:t>
      </w:r>
      <w:r>
        <w:rPr>
          <w:rStyle w:val="AERbody"/>
        </w:rPr>
        <w:t xml:space="preserve"> ($ nominal)</w:t>
      </w:r>
      <w:r w:rsidRPr="009F4C42">
        <w:rPr>
          <w:rStyle w:val="AERbody"/>
        </w:rPr>
        <w:t xml:space="preserve">. </w:t>
      </w:r>
      <w:r w:rsidR="00B92377">
        <w:rPr>
          <w:rStyle w:val="AERbody"/>
        </w:rPr>
        <w:t xml:space="preserve">We forecast a closing RAB at 30 June 2019 of $6859.9 million. </w:t>
      </w:r>
    </w:p>
    <w:p w:rsidR="004D1108" w:rsidRDefault="004D1108" w:rsidP="004D1108">
      <w:pPr>
        <w:numPr>
          <w:ilvl w:val="0"/>
          <w:numId w:val="24"/>
        </w:numPr>
        <w:rPr>
          <w:rStyle w:val="AERbody"/>
        </w:rPr>
      </w:pPr>
      <w:r>
        <w:t xml:space="preserve">The forecast depreciation approach will be used </w:t>
      </w:r>
      <w:r w:rsidRPr="001E4152">
        <w:t xml:space="preserve">to </w:t>
      </w:r>
      <w:r>
        <w:t xml:space="preserve">establish Endeavour Energy's RAB at the </w:t>
      </w:r>
      <w:r w:rsidRPr="0090131F">
        <w:rPr>
          <w:rStyle w:val="AERbody"/>
        </w:rPr>
        <w:t>commencement of the following regulatory control period on 1 July 201</w:t>
      </w:r>
      <w:r>
        <w:rPr>
          <w:rStyle w:val="AERbody"/>
        </w:rPr>
        <w:t>9</w:t>
      </w:r>
      <w:r w:rsidRPr="0090131F">
        <w:rPr>
          <w:rStyle w:val="AERbody"/>
        </w:rPr>
        <w:t xml:space="preserve">. </w:t>
      </w:r>
    </w:p>
    <w:p w:rsidR="00360F32" w:rsidRPr="009F4C42" w:rsidRDefault="00A96E59" w:rsidP="00117E02">
      <w:pPr>
        <w:numPr>
          <w:ilvl w:val="0"/>
          <w:numId w:val="24"/>
        </w:numPr>
      </w:pPr>
      <w:r>
        <w:fldChar w:fldCharType="begin"/>
      </w:r>
      <w:r>
        <w:instrText xml:space="preserve"> REF _Ref361817663 \h </w:instrText>
      </w:r>
      <w:r>
        <w:fldChar w:fldCharType="separate"/>
      </w:r>
      <w:r w:rsidR="009D2F25">
        <w:t xml:space="preserve">Table </w:t>
      </w:r>
      <w:r w:rsidR="009D2F25">
        <w:rPr>
          <w:noProof/>
        </w:rPr>
        <w:t>3</w:t>
      </w:r>
      <w:r>
        <w:fldChar w:fldCharType="end"/>
      </w:r>
      <w:r>
        <w:t xml:space="preserve"> </w:t>
      </w:r>
      <w:r w:rsidR="00360F32" w:rsidRPr="009F4C42">
        <w:t>set</w:t>
      </w:r>
      <w:r w:rsidR="00360F32">
        <w:t>s out our final</w:t>
      </w:r>
      <w:r w:rsidR="00360F32" w:rsidRPr="009F4C42">
        <w:t xml:space="preserve"> decision on the roll forward of </w:t>
      </w:r>
      <w:r w:rsidR="00A64E70">
        <w:t>Endeavour Energy</w:t>
      </w:r>
      <w:r w:rsidR="00360F32" w:rsidRPr="009F4C42">
        <w:t>'s RAB during the 2009–14 regulatory control period.</w:t>
      </w:r>
    </w:p>
    <w:p w:rsidR="00360F32" w:rsidRPr="009F4C42" w:rsidRDefault="00A96E59" w:rsidP="00360F32">
      <w:pPr>
        <w:pStyle w:val="Caption"/>
      </w:pPr>
      <w:bookmarkStart w:id="109" w:name="_Ref361817663"/>
      <w:r>
        <w:t xml:space="preserve">Table </w:t>
      </w:r>
      <w:r w:rsidR="0010003E">
        <w:fldChar w:fldCharType="begin"/>
      </w:r>
      <w:r w:rsidR="0010003E">
        <w:instrText xml:space="preserve"> SEQ Table \* ARABIC </w:instrText>
      </w:r>
      <w:r w:rsidR="0010003E">
        <w:fldChar w:fldCharType="separate"/>
      </w:r>
      <w:r w:rsidR="009D2F25">
        <w:rPr>
          <w:noProof/>
        </w:rPr>
        <w:t>3</w:t>
      </w:r>
      <w:r w:rsidR="0010003E">
        <w:rPr>
          <w:noProof/>
        </w:rPr>
        <w:fldChar w:fldCharType="end"/>
      </w:r>
      <w:bookmarkEnd w:id="109"/>
      <w:r>
        <w:tab/>
      </w:r>
      <w:r w:rsidR="00360F32" w:rsidRPr="009F4C42">
        <w:t xml:space="preserve">AER's </w:t>
      </w:r>
      <w:r w:rsidR="007E1717">
        <w:t>final</w:t>
      </w:r>
      <w:r w:rsidR="00360F32" w:rsidRPr="009F4C42">
        <w:t xml:space="preserve"> decision on </w:t>
      </w:r>
      <w:r w:rsidR="00A64E70">
        <w:t>Endeavour Energy</w:t>
      </w:r>
      <w:r w:rsidR="00360F32" w:rsidRPr="009F4C42">
        <w:t xml:space="preserve">'s RAB for </w:t>
      </w:r>
      <w:r w:rsidR="00360F32">
        <w:t xml:space="preserve">the </w:t>
      </w:r>
      <w:r w:rsidR="00360F32" w:rsidRPr="009F4C42">
        <w:t xml:space="preserve">2009–14 </w:t>
      </w:r>
      <w:r w:rsidR="00360F32">
        <w:t xml:space="preserve">regulatory control period </w:t>
      </w:r>
      <w:r w:rsidR="00360F32" w:rsidRPr="009F4C42">
        <w:t>($ million, nominal)</w:t>
      </w:r>
    </w:p>
    <w:tbl>
      <w:tblPr>
        <w:tblStyle w:val="AERtable-numbers"/>
        <w:tblW w:w="8755" w:type="dxa"/>
        <w:tblLayout w:type="fixed"/>
        <w:tblLook w:val="04A0" w:firstRow="1" w:lastRow="0" w:firstColumn="1" w:lastColumn="0" w:noHBand="0" w:noVBand="1"/>
      </w:tblPr>
      <w:tblGrid>
        <w:gridCol w:w="3221"/>
        <w:gridCol w:w="976"/>
        <w:gridCol w:w="130"/>
        <w:gridCol w:w="846"/>
        <w:gridCol w:w="261"/>
        <w:gridCol w:w="715"/>
        <w:gridCol w:w="392"/>
        <w:gridCol w:w="584"/>
        <w:gridCol w:w="523"/>
        <w:gridCol w:w="1107"/>
      </w:tblGrid>
      <w:tr w:rsidR="00A64E70" w:rsidRPr="009F3EFD" w:rsidTr="004521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A64E70" w:rsidRPr="00A64E70" w:rsidRDefault="00A64E70" w:rsidP="00117E02">
            <w:pPr>
              <w:pStyle w:val="ListParagraph"/>
              <w:numPr>
                <w:ilvl w:val="0"/>
                <w:numId w:val="24"/>
              </w:numPr>
            </w:pPr>
            <w:bookmarkStart w:id="110" w:name="_Ref361738197"/>
            <w:r w:rsidRPr="00A64E70">
              <w:t> </w:t>
            </w:r>
          </w:p>
        </w:tc>
        <w:tc>
          <w:tcPr>
            <w:tcW w:w="1106" w:type="dxa"/>
            <w:gridSpan w:val="2"/>
            <w:noWrap/>
            <w:hideMark/>
          </w:tcPr>
          <w:p w:rsidR="00A64E70" w:rsidRPr="00A64E70" w:rsidRDefault="00A64E70" w:rsidP="00A64E70">
            <w:pPr>
              <w:cnfStyle w:val="100000000000" w:firstRow="1" w:lastRow="0" w:firstColumn="0" w:lastColumn="0" w:oddVBand="0" w:evenVBand="0" w:oddHBand="0" w:evenHBand="0" w:firstRowFirstColumn="0" w:firstRowLastColumn="0" w:lastRowFirstColumn="0" w:lastRowLastColumn="0"/>
            </w:pPr>
            <w:r w:rsidRPr="009F3EFD">
              <w:t>2009–10</w:t>
            </w:r>
          </w:p>
        </w:tc>
        <w:tc>
          <w:tcPr>
            <w:tcW w:w="1107" w:type="dxa"/>
            <w:gridSpan w:val="2"/>
            <w:noWrap/>
            <w:hideMark/>
          </w:tcPr>
          <w:p w:rsidR="00A64E70" w:rsidRPr="00A64E70" w:rsidRDefault="00A64E70" w:rsidP="00A64E70">
            <w:pPr>
              <w:cnfStyle w:val="100000000000" w:firstRow="1" w:lastRow="0" w:firstColumn="0" w:lastColumn="0" w:oddVBand="0" w:evenVBand="0" w:oddHBand="0" w:evenHBand="0" w:firstRowFirstColumn="0" w:firstRowLastColumn="0" w:lastRowFirstColumn="0" w:lastRowLastColumn="0"/>
            </w:pPr>
            <w:r w:rsidRPr="009F3EFD">
              <w:t>2010–11</w:t>
            </w:r>
          </w:p>
        </w:tc>
        <w:tc>
          <w:tcPr>
            <w:tcW w:w="1107" w:type="dxa"/>
            <w:gridSpan w:val="2"/>
            <w:noWrap/>
            <w:hideMark/>
          </w:tcPr>
          <w:p w:rsidR="00A64E70" w:rsidRPr="00A64E70" w:rsidRDefault="00A64E70" w:rsidP="00A64E70">
            <w:pPr>
              <w:cnfStyle w:val="100000000000" w:firstRow="1" w:lastRow="0" w:firstColumn="0" w:lastColumn="0" w:oddVBand="0" w:evenVBand="0" w:oddHBand="0" w:evenHBand="0" w:firstRowFirstColumn="0" w:firstRowLastColumn="0" w:lastRowFirstColumn="0" w:lastRowLastColumn="0"/>
            </w:pPr>
            <w:r w:rsidRPr="009F3EFD">
              <w:t>2011–12</w:t>
            </w:r>
          </w:p>
        </w:tc>
        <w:tc>
          <w:tcPr>
            <w:tcW w:w="1107" w:type="dxa"/>
            <w:gridSpan w:val="2"/>
            <w:noWrap/>
            <w:hideMark/>
          </w:tcPr>
          <w:p w:rsidR="00A64E70" w:rsidRPr="00A64E70" w:rsidRDefault="00A64E70" w:rsidP="00A64E70">
            <w:pPr>
              <w:cnfStyle w:val="100000000000" w:firstRow="1" w:lastRow="0" w:firstColumn="0" w:lastColumn="0" w:oddVBand="0" w:evenVBand="0" w:oddHBand="0" w:evenHBand="0" w:firstRowFirstColumn="0" w:firstRowLastColumn="0" w:lastRowFirstColumn="0" w:lastRowLastColumn="0"/>
            </w:pPr>
            <w:r w:rsidRPr="009F3EFD">
              <w:t>2012–13</w:t>
            </w:r>
          </w:p>
        </w:tc>
        <w:tc>
          <w:tcPr>
            <w:tcW w:w="1107" w:type="dxa"/>
            <w:noWrap/>
            <w:hideMark/>
          </w:tcPr>
          <w:p w:rsidR="00A64E70" w:rsidRPr="00A64E70" w:rsidRDefault="00A64E70" w:rsidP="00A64E70">
            <w:pPr>
              <w:cnfStyle w:val="100000000000" w:firstRow="1" w:lastRow="0" w:firstColumn="0" w:lastColumn="0" w:oddVBand="0" w:evenVBand="0" w:oddHBand="0" w:evenHBand="0" w:firstRowFirstColumn="0" w:firstRowLastColumn="0" w:lastRowFirstColumn="0" w:lastRowLastColumn="0"/>
            </w:pPr>
            <w:r w:rsidRPr="009F3EFD">
              <w:t>2013–14</w:t>
            </w:r>
          </w:p>
        </w:tc>
      </w:tr>
      <w:tr w:rsidR="00A64E70" w:rsidRPr="00A178D4" w:rsidTr="00452149">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A64E70" w:rsidRPr="00A64E70" w:rsidRDefault="00A64E70" w:rsidP="00A64E70">
            <w:r w:rsidRPr="00A178D4">
              <w:t>Opening RAB</w:t>
            </w:r>
          </w:p>
        </w:tc>
        <w:tc>
          <w:tcPr>
            <w:tcW w:w="1106"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3690.0</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3940.3</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4342.1</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4910.3</w:t>
            </w:r>
          </w:p>
        </w:tc>
        <w:tc>
          <w:tcPr>
            <w:tcW w:w="1107" w:type="dxa"/>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5346.0</w:t>
            </w:r>
          </w:p>
        </w:tc>
      </w:tr>
      <w:tr w:rsidR="00A64E70" w:rsidRPr="009F3EFD" w:rsidTr="004521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A64E70" w:rsidRPr="00A64E70" w:rsidRDefault="00A64E70" w:rsidP="00A64E70">
            <w:r w:rsidRPr="009F3EFD">
              <w:t xml:space="preserve">Capital </w:t>
            </w:r>
            <w:proofErr w:type="spellStart"/>
            <w:r w:rsidRPr="009F3EFD">
              <w:t>expenditure</w:t>
            </w:r>
            <w:r w:rsidRPr="00A64E70">
              <w:rPr>
                <w:rStyle w:val="AERsuperscript"/>
              </w:rPr>
              <w:t>a</w:t>
            </w:r>
            <w:proofErr w:type="spellEnd"/>
            <w:r w:rsidRPr="00A64E70">
              <w:t xml:space="preserve"> </w:t>
            </w:r>
          </w:p>
        </w:tc>
        <w:tc>
          <w:tcPr>
            <w:tcW w:w="1106"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423.1</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509.4</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647.9</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581.7</w:t>
            </w:r>
          </w:p>
        </w:tc>
        <w:tc>
          <w:tcPr>
            <w:tcW w:w="1107" w:type="dxa"/>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542.4</w:t>
            </w:r>
          </w:p>
        </w:tc>
      </w:tr>
      <w:tr w:rsidR="00A64E70" w:rsidRPr="009F3EFD" w:rsidTr="00452149">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A64E70" w:rsidRPr="00A64E70" w:rsidRDefault="00A64E70" w:rsidP="00A64E70">
            <w:r w:rsidRPr="009F3EFD">
              <w:t>Inflation indexation on opening RAB</w:t>
            </w:r>
          </w:p>
        </w:tc>
        <w:tc>
          <w:tcPr>
            <w:tcW w:w="1106"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67.2</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112.1</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147.2</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86.6</w:t>
            </w:r>
          </w:p>
        </w:tc>
        <w:tc>
          <w:tcPr>
            <w:tcW w:w="1107" w:type="dxa"/>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131.0</w:t>
            </w:r>
          </w:p>
        </w:tc>
      </w:tr>
      <w:tr w:rsidR="00A64E70" w:rsidRPr="009F3EFD" w:rsidTr="004521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A64E70" w:rsidRPr="00A64E70" w:rsidRDefault="00A64E70" w:rsidP="00A64E70">
            <w:r w:rsidRPr="001B7707">
              <w:rPr>
                <w:rStyle w:val="AERtextitalic"/>
              </w:rPr>
              <w:t>Less:</w:t>
            </w:r>
            <w:r w:rsidRPr="00A64E70">
              <w:t xml:space="preserve"> straight-line depreciation</w:t>
            </w:r>
          </w:p>
        </w:tc>
        <w:tc>
          <w:tcPr>
            <w:tcW w:w="1106"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239.9</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219.7</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226.8</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232.6</w:t>
            </w:r>
          </w:p>
        </w:tc>
        <w:tc>
          <w:tcPr>
            <w:tcW w:w="1107" w:type="dxa"/>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231.5</w:t>
            </w:r>
          </w:p>
        </w:tc>
      </w:tr>
      <w:tr w:rsidR="00A64E70" w:rsidRPr="00A178D4" w:rsidTr="00452149">
        <w:trPr>
          <w:trHeight w:val="300"/>
        </w:trPr>
        <w:tc>
          <w:tcPr>
            <w:cnfStyle w:val="001000000000" w:firstRow="0" w:lastRow="0" w:firstColumn="1" w:lastColumn="0" w:oddVBand="0" w:evenVBand="0" w:oddHBand="0" w:evenHBand="0" w:firstRowFirstColumn="0" w:firstRowLastColumn="0" w:lastRowFirstColumn="0" w:lastRowLastColumn="0"/>
            <w:tcW w:w="3221" w:type="dxa"/>
            <w:noWrap/>
            <w:hideMark/>
          </w:tcPr>
          <w:p w:rsidR="00A64E70" w:rsidRPr="00A64E70" w:rsidRDefault="00A64E70" w:rsidP="00A64E70">
            <w:r w:rsidRPr="00A178D4">
              <w:t>Closing RAB</w:t>
            </w:r>
          </w:p>
        </w:tc>
        <w:tc>
          <w:tcPr>
            <w:tcW w:w="1106"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3940.3</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4342.1</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4910.3</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5346.0</w:t>
            </w:r>
          </w:p>
        </w:tc>
        <w:tc>
          <w:tcPr>
            <w:tcW w:w="1107" w:type="dxa"/>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A178D4">
              <w:t>5787.8</w:t>
            </w:r>
          </w:p>
        </w:tc>
      </w:tr>
      <w:tr w:rsidR="00A64E70" w:rsidRPr="009F3EFD" w:rsidTr="004521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A64E70" w:rsidRPr="00A64E70" w:rsidRDefault="00A64E70" w:rsidP="00A64E70">
            <w:r w:rsidRPr="009F3EFD">
              <w:t>Difference between estimated and actual capex (1</w:t>
            </w:r>
            <w:r w:rsidRPr="00A64E70">
              <w:t xml:space="preserve"> July  2008 to 30 June 2009)</w:t>
            </w:r>
          </w:p>
        </w:tc>
        <w:tc>
          <w:tcPr>
            <w:tcW w:w="1106"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 </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 </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 </w:t>
            </w:r>
          </w:p>
        </w:tc>
        <w:tc>
          <w:tcPr>
            <w:tcW w:w="1107"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9F3EFD">
              <w:t> </w:t>
            </w:r>
          </w:p>
        </w:tc>
        <w:tc>
          <w:tcPr>
            <w:tcW w:w="1107" w:type="dxa"/>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t>–</w:t>
            </w:r>
            <w:r w:rsidRPr="00A64E70">
              <w:t>116.6</w:t>
            </w:r>
          </w:p>
        </w:tc>
      </w:tr>
      <w:tr w:rsidR="00A64E70" w:rsidRPr="009F3EFD" w:rsidTr="00452149">
        <w:trPr>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A64E70" w:rsidRPr="00A64E70" w:rsidRDefault="00A64E70" w:rsidP="00A64E70">
            <w:r w:rsidRPr="009F3EFD">
              <w:t>Return on difference for 2008–09 capex</w:t>
            </w:r>
          </w:p>
        </w:tc>
        <w:tc>
          <w:tcPr>
            <w:tcW w:w="1106"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 </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 </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 </w:t>
            </w:r>
          </w:p>
        </w:tc>
        <w:tc>
          <w:tcPr>
            <w:tcW w:w="1107"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 </w:t>
            </w:r>
          </w:p>
        </w:tc>
        <w:tc>
          <w:tcPr>
            <w:tcW w:w="1107" w:type="dxa"/>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t>–</w:t>
            </w:r>
            <w:r w:rsidRPr="00A64E70">
              <w:t>71.2</w:t>
            </w:r>
          </w:p>
        </w:tc>
      </w:tr>
      <w:tr w:rsidR="00A64E70" w:rsidRPr="00A178D4" w:rsidTr="004521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7" w:type="dxa"/>
            <w:gridSpan w:val="2"/>
            <w:noWrap/>
            <w:hideMark/>
          </w:tcPr>
          <w:p w:rsidR="00A64E70" w:rsidRPr="00A64E70" w:rsidRDefault="00A64E70" w:rsidP="00A64E70">
            <w:r w:rsidRPr="00A178D4">
              <w:t>Closing RAB as at 30 June 2014</w:t>
            </w:r>
          </w:p>
        </w:tc>
        <w:tc>
          <w:tcPr>
            <w:tcW w:w="976"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A178D4">
              <w:t> </w:t>
            </w:r>
          </w:p>
        </w:tc>
        <w:tc>
          <w:tcPr>
            <w:tcW w:w="976"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A178D4">
              <w:t> </w:t>
            </w:r>
          </w:p>
        </w:tc>
        <w:tc>
          <w:tcPr>
            <w:tcW w:w="976"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A178D4">
              <w:t> </w:t>
            </w:r>
          </w:p>
        </w:tc>
        <w:tc>
          <w:tcPr>
            <w:tcW w:w="1630" w:type="dxa"/>
            <w:gridSpan w:val="2"/>
            <w:noWrap/>
            <w:hideMark/>
          </w:tcPr>
          <w:p w:rsidR="00A64E70" w:rsidRPr="00A64E70" w:rsidRDefault="00A64E70" w:rsidP="00A64E70">
            <w:pPr>
              <w:cnfStyle w:val="000000010000" w:firstRow="0" w:lastRow="0" w:firstColumn="0" w:lastColumn="0" w:oddVBand="0" w:evenVBand="0" w:oddHBand="0" w:evenHBand="1" w:firstRowFirstColumn="0" w:firstRowLastColumn="0" w:lastRowFirstColumn="0" w:lastRowLastColumn="0"/>
            </w:pPr>
            <w:r w:rsidRPr="00A178D4">
              <w:t>5600.1</w:t>
            </w:r>
          </w:p>
        </w:tc>
      </w:tr>
      <w:tr w:rsidR="00A64E70" w:rsidRPr="009F3EFD" w:rsidTr="00452149">
        <w:trPr>
          <w:trHeight w:val="300"/>
        </w:trPr>
        <w:tc>
          <w:tcPr>
            <w:cnfStyle w:val="001000000000" w:firstRow="0" w:lastRow="0" w:firstColumn="1" w:lastColumn="0" w:oddVBand="0" w:evenVBand="0" w:oddHBand="0" w:evenHBand="0" w:firstRowFirstColumn="0" w:firstRowLastColumn="0" w:lastRowFirstColumn="0" w:lastRowLastColumn="0"/>
            <w:tcW w:w="3221" w:type="dxa"/>
            <w:hideMark/>
          </w:tcPr>
          <w:p w:rsidR="00A64E70" w:rsidRPr="00A64E70" w:rsidRDefault="00A64E70" w:rsidP="00A64E70">
            <w:r w:rsidRPr="009F3EFD">
              <w:t xml:space="preserve">Meters moved to </w:t>
            </w:r>
            <w:r w:rsidRPr="00A64E70">
              <w:t>alternative control services</w:t>
            </w:r>
          </w:p>
        </w:tc>
        <w:tc>
          <w:tcPr>
            <w:tcW w:w="976" w:type="dxa"/>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 </w:t>
            </w:r>
          </w:p>
        </w:tc>
        <w:tc>
          <w:tcPr>
            <w:tcW w:w="976"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 </w:t>
            </w:r>
          </w:p>
        </w:tc>
        <w:tc>
          <w:tcPr>
            <w:tcW w:w="976"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 </w:t>
            </w:r>
          </w:p>
        </w:tc>
        <w:tc>
          <w:tcPr>
            <w:tcW w:w="976"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rsidRPr="009F3EFD">
              <w:t> </w:t>
            </w:r>
          </w:p>
        </w:tc>
        <w:tc>
          <w:tcPr>
            <w:tcW w:w="1630" w:type="dxa"/>
            <w:gridSpan w:val="2"/>
            <w:noWrap/>
            <w:hideMark/>
          </w:tcPr>
          <w:p w:rsidR="00A64E70" w:rsidRPr="00A64E70" w:rsidRDefault="00A64E70" w:rsidP="00A64E70">
            <w:pPr>
              <w:cnfStyle w:val="000000000000" w:firstRow="0" w:lastRow="0" w:firstColumn="0" w:lastColumn="0" w:oddVBand="0" w:evenVBand="0" w:oddHBand="0" w:evenHBand="0" w:firstRowFirstColumn="0" w:firstRowLastColumn="0" w:lastRowFirstColumn="0" w:lastRowLastColumn="0"/>
            </w:pPr>
            <w:r>
              <w:t>–</w:t>
            </w:r>
            <w:r w:rsidRPr="00A64E70">
              <w:t>18.8</w:t>
            </w:r>
          </w:p>
        </w:tc>
      </w:tr>
      <w:tr w:rsidR="00A64E70" w:rsidRPr="00A547FC" w:rsidTr="0045214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97" w:type="dxa"/>
            <w:gridSpan w:val="2"/>
            <w:noWrap/>
            <w:hideMark/>
          </w:tcPr>
          <w:p w:rsidR="00A64E70" w:rsidRPr="00A547FC" w:rsidRDefault="00A64E70" w:rsidP="00E447FA">
            <w:pPr>
              <w:rPr>
                <w:rStyle w:val="Strong"/>
              </w:rPr>
            </w:pPr>
            <w:r w:rsidRPr="00A547FC">
              <w:rPr>
                <w:rStyle w:val="Strong"/>
              </w:rPr>
              <w:t>Opening RAB as at 1 July 2014</w:t>
            </w:r>
          </w:p>
        </w:tc>
        <w:tc>
          <w:tcPr>
            <w:tcW w:w="976" w:type="dxa"/>
            <w:gridSpan w:val="2"/>
            <w:noWrap/>
            <w:hideMark/>
          </w:tcPr>
          <w:p w:rsidR="00A64E70" w:rsidRPr="00A547FC" w:rsidRDefault="00A64E70" w:rsidP="00E447FA">
            <w:pPr>
              <w:cnfStyle w:val="000000010000" w:firstRow="0" w:lastRow="0" w:firstColumn="0" w:lastColumn="0" w:oddVBand="0" w:evenVBand="0" w:oddHBand="0" w:evenHBand="1" w:firstRowFirstColumn="0" w:firstRowLastColumn="0" w:lastRowFirstColumn="0" w:lastRowLastColumn="0"/>
              <w:rPr>
                <w:rStyle w:val="Strong"/>
              </w:rPr>
            </w:pPr>
            <w:r w:rsidRPr="00A547FC">
              <w:rPr>
                <w:rStyle w:val="Strong"/>
              </w:rPr>
              <w:t> </w:t>
            </w:r>
          </w:p>
        </w:tc>
        <w:tc>
          <w:tcPr>
            <w:tcW w:w="976" w:type="dxa"/>
            <w:gridSpan w:val="2"/>
            <w:noWrap/>
            <w:hideMark/>
          </w:tcPr>
          <w:p w:rsidR="00A64E70" w:rsidRPr="00A547FC" w:rsidRDefault="00A64E70" w:rsidP="00E447FA">
            <w:pPr>
              <w:cnfStyle w:val="000000010000" w:firstRow="0" w:lastRow="0" w:firstColumn="0" w:lastColumn="0" w:oddVBand="0" w:evenVBand="0" w:oddHBand="0" w:evenHBand="1" w:firstRowFirstColumn="0" w:firstRowLastColumn="0" w:lastRowFirstColumn="0" w:lastRowLastColumn="0"/>
              <w:rPr>
                <w:rStyle w:val="Strong"/>
              </w:rPr>
            </w:pPr>
            <w:r w:rsidRPr="00A547FC">
              <w:rPr>
                <w:rStyle w:val="Strong"/>
              </w:rPr>
              <w:t> </w:t>
            </w:r>
          </w:p>
        </w:tc>
        <w:tc>
          <w:tcPr>
            <w:tcW w:w="976" w:type="dxa"/>
            <w:gridSpan w:val="2"/>
            <w:noWrap/>
            <w:hideMark/>
          </w:tcPr>
          <w:p w:rsidR="00A64E70" w:rsidRPr="00A547FC" w:rsidRDefault="00A64E70" w:rsidP="00E447FA">
            <w:pPr>
              <w:cnfStyle w:val="000000010000" w:firstRow="0" w:lastRow="0" w:firstColumn="0" w:lastColumn="0" w:oddVBand="0" w:evenVBand="0" w:oddHBand="0" w:evenHBand="1" w:firstRowFirstColumn="0" w:firstRowLastColumn="0" w:lastRowFirstColumn="0" w:lastRowLastColumn="0"/>
              <w:rPr>
                <w:rStyle w:val="Strong"/>
              </w:rPr>
            </w:pPr>
            <w:r w:rsidRPr="00A547FC">
              <w:rPr>
                <w:rStyle w:val="Strong"/>
              </w:rPr>
              <w:t> </w:t>
            </w:r>
          </w:p>
        </w:tc>
        <w:tc>
          <w:tcPr>
            <w:tcW w:w="1630" w:type="dxa"/>
            <w:gridSpan w:val="2"/>
            <w:noWrap/>
            <w:hideMark/>
          </w:tcPr>
          <w:p w:rsidR="00A64E70" w:rsidRPr="00A547FC" w:rsidRDefault="00A64E70" w:rsidP="00E447FA">
            <w:pPr>
              <w:cnfStyle w:val="000000010000" w:firstRow="0" w:lastRow="0" w:firstColumn="0" w:lastColumn="0" w:oddVBand="0" w:evenVBand="0" w:oddHBand="0" w:evenHBand="1" w:firstRowFirstColumn="0" w:firstRowLastColumn="0" w:lastRowFirstColumn="0" w:lastRowLastColumn="0"/>
              <w:rPr>
                <w:rStyle w:val="Strong"/>
              </w:rPr>
            </w:pPr>
            <w:r w:rsidRPr="00A547FC">
              <w:rPr>
                <w:rStyle w:val="Strong"/>
              </w:rPr>
              <w:t>5581.3</w:t>
            </w:r>
          </w:p>
        </w:tc>
      </w:tr>
    </w:tbl>
    <w:p w:rsidR="00A64E70" w:rsidRDefault="00A64E70" w:rsidP="00A64E70">
      <w:pPr>
        <w:pStyle w:val="AERtablesource"/>
      </w:pPr>
      <w:r>
        <w:t>Source:</w:t>
      </w:r>
      <w:r>
        <w:tab/>
        <w:t>AER analysis.</w:t>
      </w:r>
      <w:r w:rsidRPr="008B0934">
        <w:t xml:space="preserve"> </w:t>
      </w:r>
    </w:p>
    <w:p w:rsidR="00A64E70" w:rsidRDefault="00A64E70" w:rsidP="00A64E70">
      <w:pPr>
        <w:pStyle w:val="AERtablesource"/>
      </w:pPr>
      <w:r>
        <w:t>(a)</w:t>
      </w:r>
      <w:r>
        <w:tab/>
        <w:t>Net of disposals and capital contributions, and adjusted for CPI.</w:t>
      </w:r>
    </w:p>
    <w:p w:rsidR="00360F32" w:rsidRDefault="005D2E01" w:rsidP="00117E02">
      <w:pPr>
        <w:numPr>
          <w:ilvl w:val="0"/>
          <w:numId w:val="24"/>
        </w:numPr>
      </w:pPr>
      <w:r>
        <w:fldChar w:fldCharType="begin"/>
      </w:r>
      <w:r>
        <w:instrText xml:space="preserve"> REF _Ref416280139 \h </w:instrText>
      </w:r>
      <w:r>
        <w:fldChar w:fldCharType="separate"/>
      </w:r>
      <w:r w:rsidR="009D2F25">
        <w:t xml:space="preserve">Table </w:t>
      </w:r>
      <w:r w:rsidR="009D2F25">
        <w:rPr>
          <w:noProof/>
        </w:rPr>
        <w:t>4</w:t>
      </w:r>
      <w:r>
        <w:fldChar w:fldCharType="end"/>
      </w:r>
      <w:r>
        <w:t xml:space="preserve"> </w:t>
      </w:r>
      <w:r w:rsidR="00360F32" w:rsidRPr="009F4C42">
        <w:t>set</w:t>
      </w:r>
      <w:r w:rsidR="00360F32">
        <w:t>s out our final</w:t>
      </w:r>
      <w:r w:rsidR="00360F32" w:rsidRPr="009F4C42">
        <w:t xml:space="preserve"> decision on the roll forward of </w:t>
      </w:r>
      <w:r w:rsidR="00A64E70">
        <w:t>Endeavour Energy</w:t>
      </w:r>
      <w:r w:rsidR="00360F32" w:rsidRPr="009F4C42">
        <w:t>'s forecast RAB for the 2014–19 period.</w:t>
      </w:r>
    </w:p>
    <w:p w:rsidR="00360F32" w:rsidRPr="009F4C42" w:rsidRDefault="00A96E59" w:rsidP="00360F32">
      <w:pPr>
        <w:pStyle w:val="Caption"/>
      </w:pPr>
      <w:bookmarkStart w:id="111" w:name="_Ref416280139"/>
      <w:bookmarkEnd w:id="110"/>
      <w:r>
        <w:t xml:space="preserve">Table </w:t>
      </w:r>
      <w:r w:rsidR="0010003E">
        <w:fldChar w:fldCharType="begin"/>
      </w:r>
      <w:r w:rsidR="0010003E">
        <w:instrText xml:space="preserve"> SEQ Table \* ARABIC </w:instrText>
      </w:r>
      <w:r w:rsidR="0010003E">
        <w:fldChar w:fldCharType="separate"/>
      </w:r>
      <w:r w:rsidR="009D2F25">
        <w:rPr>
          <w:noProof/>
        </w:rPr>
        <w:t>4</w:t>
      </w:r>
      <w:r w:rsidR="0010003E">
        <w:rPr>
          <w:noProof/>
        </w:rPr>
        <w:fldChar w:fldCharType="end"/>
      </w:r>
      <w:bookmarkEnd w:id="111"/>
      <w:r>
        <w:tab/>
      </w:r>
      <w:r w:rsidR="00360F32" w:rsidRPr="009F4C42">
        <w:t xml:space="preserve">AER's </w:t>
      </w:r>
      <w:r w:rsidR="007E1717">
        <w:t>final</w:t>
      </w:r>
      <w:r w:rsidR="007E1717" w:rsidRPr="009F4C42">
        <w:t xml:space="preserve"> </w:t>
      </w:r>
      <w:r w:rsidR="00360F32" w:rsidRPr="009F4C42">
        <w:t xml:space="preserve">decision on </w:t>
      </w:r>
      <w:r w:rsidR="00A64E70">
        <w:t>Endeavour Energy</w:t>
      </w:r>
      <w:r w:rsidR="00360F32" w:rsidRPr="009F4C42">
        <w:t>'s RAB for the 2014–19 period ($ million, nominal)</w:t>
      </w:r>
    </w:p>
    <w:tbl>
      <w:tblPr>
        <w:tblStyle w:val="AERtable-numbers"/>
        <w:tblW w:w="5000" w:type="pct"/>
        <w:tblLook w:val="01E0" w:firstRow="1" w:lastRow="1" w:firstColumn="1" w:lastColumn="1" w:noHBand="0" w:noVBand="0"/>
      </w:tblPr>
      <w:tblGrid>
        <w:gridCol w:w="3439"/>
        <w:gridCol w:w="1052"/>
        <w:gridCol w:w="1052"/>
        <w:gridCol w:w="1050"/>
        <w:gridCol w:w="1050"/>
        <w:gridCol w:w="1050"/>
      </w:tblGrid>
      <w:tr w:rsidR="00360F32" w:rsidRPr="00BE56D7" w:rsidTr="0023193C">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360F32" w:rsidRPr="00BE56D7" w:rsidRDefault="00360F32" w:rsidP="00BE56D7"/>
        </w:tc>
        <w:tc>
          <w:tcPr>
            <w:tcW w:w="605" w:type="pct"/>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2014–15</w:t>
            </w:r>
          </w:p>
        </w:tc>
        <w:tc>
          <w:tcPr>
            <w:tcW w:w="605" w:type="pct"/>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2015–16</w:t>
            </w:r>
          </w:p>
        </w:tc>
        <w:tc>
          <w:tcPr>
            <w:tcW w:w="604" w:type="pct"/>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2016–17</w:t>
            </w:r>
          </w:p>
        </w:tc>
        <w:tc>
          <w:tcPr>
            <w:tcW w:w="604" w:type="pct"/>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2017–18</w:t>
            </w:r>
          </w:p>
        </w:tc>
        <w:tc>
          <w:tcPr>
            <w:tcW w:w="604" w:type="pct"/>
          </w:tcPr>
          <w:p w:rsidR="00360F32" w:rsidRPr="00BE56D7" w:rsidRDefault="00360F32" w:rsidP="00BE56D7">
            <w:pPr>
              <w:cnfStyle w:val="100000000000" w:firstRow="1" w:lastRow="0" w:firstColumn="0" w:lastColumn="0" w:oddVBand="0" w:evenVBand="0" w:oddHBand="0" w:evenHBand="0" w:firstRowFirstColumn="0" w:firstRowLastColumn="0" w:lastRowFirstColumn="0" w:lastRowLastColumn="0"/>
            </w:pPr>
            <w:r w:rsidRPr="00BE56D7">
              <w:t>2018–19</w:t>
            </w:r>
          </w:p>
        </w:tc>
      </w:tr>
      <w:tr w:rsidR="00430678" w:rsidRPr="00BE56D7" w:rsidTr="00A43B97">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430678" w:rsidRPr="00430678" w:rsidRDefault="00430678" w:rsidP="00430678">
            <w:r w:rsidRPr="00430678">
              <w:t>Opening RAB</w:t>
            </w:r>
          </w:p>
        </w:tc>
        <w:tc>
          <w:tcPr>
            <w:tcW w:w="605"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5581.3</w:t>
            </w:r>
          </w:p>
        </w:tc>
        <w:tc>
          <w:tcPr>
            <w:tcW w:w="605"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5944.3</w:t>
            </w:r>
          </w:p>
        </w:tc>
        <w:tc>
          <w:tcPr>
            <w:tcW w:w="604"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6223.7</w:t>
            </w:r>
          </w:p>
        </w:tc>
        <w:tc>
          <w:tcPr>
            <w:tcW w:w="604"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6444.0</w:t>
            </w:r>
          </w:p>
        </w:tc>
        <w:tc>
          <w:tcPr>
            <w:tcW w:w="604"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6658.5</w:t>
            </w:r>
          </w:p>
        </w:tc>
      </w:tr>
      <w:tr w:rsidR="00430678" w:rsidRPr="00BE56D7" w:rsidTr="00A43B97">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430678" w:rsidRPr="00430678" w:rsidRDefault="00430678" w:rsidP="00430678">
            <w:r w:rsidRPr="00430678">
              <w:t xml:space="preserve">Capital </w:t>
            </w:r>
            <w:proofErr w:type="spellStart"/>
            <w:r w:rsidRPr="00430678">
              <w:t>expenditure</w:t>
            </w:r>
            <w:r w:rsidRPr="00953C79">
              <w:rPr>
                <w:rStyle w:val="AERsuperscript"/>
              </w:rPr>
              <w:t>a</w:t>
            </w:r>
            <w:proofErr w:type="spellEnd"/>
          </w:p>
        </w:tc>
        <w:tc>
          <w:tcPr>
            <w:tcW w:w="605"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432.3</w:t>
            </w:r>
          </w:p>
        </w:tc>
        <w:tc>
          <w:tcPr>
            <w:tcW w:w="605"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358.3</w:t>
            </w:r>
          </w:p>
        </w:tc>
        <w:tc>
          <w:tcPr>
            <w:tcW w:w="604"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310.0</w:t>
            </w:r>
          </w:p>
        </w:tc>
        <w:tc>
          <w:tcPr>
            <w:tcW w:w="604"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308.2</w:t>
            </w:r>
          </w:p>
        </w:tc>
        <w:tc>
          <w:tcPr>
            <w:tcW w:w="604"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301.5</w:t>
            </w:r>
          </w:p>
        </w:tc>
      </w:tr>
      <w:tr w:rsidR="00430678" w:rsidRPr="00BE56D7" w:rsidTr="00A43B97">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430678" w:rsidRPr="00430678" w:rsidRDefault="00430678" w:rsidP="00430678">
            <w:r w:rsidRPr="00430678">
              <w:t>Inflation indexation on opening RAB</w:t>
            </w:r>
          </w:p>
        </w:tc>
        <w:tc>
          <w:tcPr>
            <w:tcW w:w="605"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132.8</w:t>
            </w:r>
          </w:p>
        </w:tc>
        <w:tc>
          <w:tcPr>
            <w:tcW w:w="605"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141.5</w:t>
            </w:r>
          </w:p>
        </w:tc>
        <w:tc>
          <w:tcPr>
            <w:tcW w:w="604"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148.1</w:t>
            </w:r>
          </w:p>
        </w:tc>
        <w:tc>
          <w:tcPr>
            <w:tcW w:w="604"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153.4</w:t>
            </w:r>
          </w:p>
        </w:tc>
        <w:tc>
          <w:tcPr>
            <w:tcW w:w="604" w:type="pct"/>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158.5</w:t>
            </w:r>
          </w:p>
        </w:tc>
      </w:tr>
      <w:tr w:rsidR="00430678" w:rsidRPr="00BE56D7" w:rsidTr="00A43B97">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430678" w:rsidRPr="00430678" w:rsidRDefault="00430678" w:rsidP="00430678">
            <w:r w:rsidRPr="00953C79">
              <w:rPr>
                <w:rStyle w:val="AERtextitalic"/>
              </w:rPr>
              <w:t>Less</w:t>
            </w:r>
            <w:r w:rsidRPr="00430678">
              <w:t>: Straight-line depreciation</w:t>
            </w:r>
          </w:p>
        </w:tc>
        <w:tc>
          <w:tcPr>
            <w:tcW w:w="605"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202.1</w:t>
            </w:r>
          </w:p>
        </w:tc>
        <w:tc>
          <w:tcPr>
            <w:tcW w:w="605"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220.4</w:t>
            </w:r>
          </w:p>
        </w:tc>
        <w:tc>
          <w:tcPr>
            <w:tcW w:w="604"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237.8</w:t>
            </w:r>
          </w:p>
        </w:tc>
        <w:tc>
          <w:tcPr>
            <w:tcW w:w="604"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247.2</w:t>
            </w:r>
          </w:p>
        </w:tc>
        <w:tc>
          <w:tcPr>
            <w:tcW w:w="604" w:type="pct"/>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258.5</w:t>
            </w:r>
          </w:p>
        </w:tc>
      </w:tr>
      <w:tr w:rsidR="00430678" w:rsidRPr="00A547FC" w:rsidTr="00A43B97">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430678" w:rsidRPr="00A547FC" w:rsidRDefault="00430678" w:rsidP="00E447FA">
            <w:pPr>
              <w:rPr>
                <w:rStyle w:val="Strong"/>
              </w:rPr>
            </w:pPr>
            <w:r w:rsidRPr="00A547FC">
              <w:rPr>
                <w:rStyle w:val="Strong"/>
              </w:rPr>
              <w:t>Closing RAB</w:t>
            </w:r>
          </w:p>
        </w:tc>
        <w:tc>
          <w:tcPr>
            <w:tcW w:w="605" w:type="pct"/>
            <w:vAlign w:val="bottom"/>
          </w:tcPr>
          <w:p w:rsidR="00430678" w:rsidRPr="00A547FC" w:rsidRDefault="00430678"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5944.3</w:t>
            </w:r>
          </w:p>
        </w:tc>
        <w:tc>
          <w:tcPr>
            <w:tcW w:w="605" w:type="pct"/>
            <w:vAlign w:val="bottom"/>
          </w:tcPr>
          <w:p w:rsidR="00430678" w:rsidRPr="00A547FC" w:rsidRDefault="00430678"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6223.7</w:t>
            </w:r>
          </w:p>
        </w:tc>
        <w:tc>
          <w:tcPr>
            <w:tcW w:w="604" w:type="pct"/>
            <w:vAlign w:val="bottom"/>
          </w:tcPr>
          <w:p w:rsidR="00430678" w:rsidRPr="00A547FC" w:rsidRDefault="00430678"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6444.1</w:t>
            </w:r>
          </w:p>
        </w:tc>
        <w:tc>
          <w:tcPr>
            <w:tcW w:w="604" w:type="pct"/>
            <w:vAlign w:val="bottom"/>
          </w:tcPr>
          <w:p w:rsidR="00430678" w:rsidRPr="00A547FC" w:rsidRDefault="00430678"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6658.5</w:t>
            </w:r>
          </w:p>
        </w:tc>
        <w:tc>
          <w:tcPr>
            <w:tcW w:w="604" w:type="pct"/>
            <w:vAlign w:val="bottom"/>
          </w:tcPr>
          <w:p w:rsidR="00430678" w:rsidRPr="00A547FC" w:rsidRDefault="00430678"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6859.9</w:t>
            </w:r>
          </w:p>
        </w:tc>
      </w:tr>
    </w:tbl>
    <w:p w:rsidR="00360F32" w:rsidRPr="009F4C42" w:rsidRDefault="00360F32" w:rsidP="00360F32">
      <w:pPr>
        <w:pStyle w:val="AERtablesource"/>
      </w:pPr>
      <w:r w:rsidRPr="009F4C42">
        <w:t>Source:</w:t>
      </w:r>
      <w:r w:rsidRPr="009F4C42">
        <w:tab/>
        <w:t>AER analysis.</w:t>
      </w:r>
    </w:p>
    <w:p w:rsidR="00360F32" w:rsidRPr="003C2542" w:rsidRDefault="00360F32" w:rsidP="00360F32">
      <w:pPr>
        <w:pStyle w:val="AERtablesource"/>
      </w:pPr>
      <w:r w:rsidRPr="009F4C42">
        <w:t xml:space="preserve">(a) </w:t>
      </w:r>
      <w:r w:rsidRPr="009F4C42">
        <w:tab/>
      </w:r>
      <w:r>
        <w:t>Net of forecast disposals and capital contributions.</w:t>
      </w:r>
    </w:p>
    <w:p w:rsidR="004D1108" w:rsidRDefault="004D1108" w:rsidP="004D1108">
      <w:pPr>
        <w:numPr>
          <w:ilvl w:val="0"/>
          <w:numId w:val="24"/>
        </w:numPr>
      </w:pPr>
      <w:r>
        <w:t>Our assessment involved:</w:t>
      </w:r>
    </w:p>
    <w:p w:rsidR="004D1108" w:rsidRDefault="004D1108" w:rsidP="004D1108">
      <w:pPr>
        <w:pStyle w:val="AERbulletlistfirststyle"/>
      </w:pPr>
      <w:r>
        <w:t>Rolling forward the opening RAB at 1 July 2009 to determine the closing RAB as at 30 June 2014</w:t>
      </w:r>
    </w:p>
    <w:p w:rsidR="004D1108" w:rsidRDefault="004D1108" w:rsidP="004D1108">
      <w:pPr>
        <w:pStyle w:val="AERbulletlistfirststyle"/>
      </w:pPr>
      <w:r>
        <w:t xml:space="preserve">Using our final decision on forecasts of depreciation, capex, disposals and inflation for the 2014–19 </w:t>
      </w:r>
      <w:proofErr w:type="gramStart"/>
      <w:r>
        <w:t>period</w:t>
      </w:r>
      <w:proofErr w:type="gramEnd"/>
      <w:r>
        <w:t xml:space="preserve"> to roll forward Endeavour Energy's forecast RAB for each year of that period.</w:t>
      </w:r>
    </w:p>
    <w:p w:rsidR="00360F32" w:rsidRDefault="007E1717" w:rsidP="00360F32">
      <w:r>
        <w:t xml:space="preserve">Endeavour Energy's </w:t>
      </w:r>
      <w:r w:rsidR="00360F32">
        <w:t xml:space="preserve">revised proposal adopted all our draft decision adjustments to roll forward the opening RAB from 1 July 2009 to 1 July 2014. </w:t>
      </w:r>
      <w:r w:rsidR="00EA24CB">
        <w:t xml:space="preserve">The only change </w:t>
      </w:r>
      <w:r w:rsidR="00B92377">
        <w:t xml:space="preserve">Endeavour Energy made </w:t>
      </w:r>
      <w:r w:rsidR="00EA24CB">
        <w:t xml:space="preserve">to the draft decision was updating 2013–14 estimated capex with actuals consistent with the annual reporting </w:t>
      </w:r>
      <w:r w:rsidR="004900BA">
        <w:t>information</w:t>
      </w:r>
      <w:r w:rsidR="00EA24CB">
        <w:t xml:space="preserve"> for that year. </w:t>
      </w:r>
      <w:r w:rsidR="00360F32">
        <w:t xml:space="preserve">We accept </w:t>
      </w:r>
      <w:r>
        <w:t xml:space="preserve">Endeavour Energy's </w:t>
      </w:r>
      <w:r w:rsidR="00360F32">
        <w:t>revised opening RAB as at 1 July 2014 in our final decision.</w:t>
      </w:r>
    </w:p>
    <w:p w:rsidR="00360F32" w:rsidRDefault="00360F32" w:rsidP="00360F32">
      <w:r>
        <w:t xml:space="preserve">As part of this final decision we also forecast </w:t>
      </w:r>
      <w:r w:rsidR="005E75AE">
        <w:t xml:space="preserve">the </w:t>
      </w:r>
      <w:r>
        <w:t xml:space="preserve">closing RAB value at 30 June 2019 for </w:t>
      </w:r>
      <w:r w:rsidR="007E1717">
        <w:t>Endeavour Energy</w:t>
      </w:r>
      <w:r>
        <w:t xml:space="preserve">. We forecast </w:t>
      </w:r>
      <w:r w:rsidR="007E1717">
        <w:t xml:space="preserve">Endeavour Energy's </w:t>
      </w:r>
      <w:r>
        <w:t>closing RAB to be $</w:t>
      </w:r>
      <w:r w:rsidR="007E1717">
        <w:t>6859.</w:t>
      </w:r>
      <w:r w:rsidR="00430678">
        <w:t>9</w:t>
      </w:r>
      <w:r w:rsidR="00B92377">
        <w:t> </w:t>
      </w:r>
      <w:r>
        <w:t xml:space="preserve">million ($ nominal). This is lower than forecast by </w:t>
      </w:r>
      <w:r w:rsidR="007E1717">
        <w:t xml:space="preserve">Endeavour Energy </w:t>
      </w:r>
      <w:r>
        <w:t>and reflects our adjustments to:</w:t>
      </w:r>
    </w:p>
    <w:p w:rsidR="00360F32" w:rsidRDefault="00360F32" w:rsidP="00360F32">
      <w:pPr>
        <w:pStyle w:val="AERbulletlistfirststyle"/>
      </w:pPr>
      <w:r>
        <w:t>forecast depreciation (attachment 5)</w:t>
      </w:r>
    </w:p>
    <w:p w:rsidR="007E1717" w:rsidRDefault="001440F6" w:rsidP="00360F32">
      <w:pPr>
        <w:pStyle w:val="AERbulletlistfirststyle"/>
      </w:pPr>
      <w:proofErr w:type="gramStart"/>
      <w:r>
        <w:t>forecast</w:t>
      </w:r>
      <w:proofErr w:type="gramEnd"/>
      <w:r>
        <w:t xml:space="preserve"> inflation </w:t>
      </w:r>
      <w:r w:rsidR="007E1717">
        <w:t xml:space="preserve">rate(attachment </w:t>
      </w:r>
      <w:r w:rsidR="00DE47D3">
        <w:t>3</w:t>
      </w:r>
      <w:r w:rsidR="007E1717">
        <w:t>)</w:t>
      </w:r>
      <w:r>
        <w:t>.</w:t>
      </w:r>
    </w:p>
    <w:p w:rsidR="00360F32" w:rsidRPr="00360F32" w:rsidRDefault="00BD0BD1" w:rsidP="00BD0BD1">
      <w:pPr>
        <w:pStyle w:val="AERbulletlistfirststyle"/>
        <w:numPr>
          <w:ilvl w:val="0"/>
          <w:numId w:val="0"/>
        </w:numPr>
        <w:rPr>
          <w:rStyle w:val="AERbody"/>
        </w:rPr>
      </w:pPr>
      <w:r>
        <w:t>Details of our final decision on the value of the RAB are set out in attachment 2.</w:t>
      </w:r>
      <w:r w:rsidR="00360F32">
        <w:t xml:space="preserve"> </w:t>
      </w:r>
    </w:p>
    <w:p w:rsidR="00360F32" w:rsidRPr="009F4C42" w:rsidRDefault="00360F32" w:rsidP="00360F32">
      <w:pPr>
        <w:pStyle w:val="Heading2"/>
      </w:pPr>
      <w:bookmarkStart w:id="112" w:name="_Toc417917006"/>
      <w:r w:rsidRPr="009F4C42">
        <w:t>Rate of return</w:t>
      </w:r>
      <w:bookmarkEnd w:id="106"/>
      <w:r>
        <w:t xml:space="preserve"> (return on capital)</w:t>
      </w:r>
      <w:bookmarkEnd w:id="107"/>
      <w:bookmarkEnd w:id="108"/>
      <w:bookmarkEnd w:id="112"/>
    </w:p>
    <w:p w:rsidR="005A08E7" w:rsidRDefault="005A08E7" w:rsidP="00117E02">
      <w:pPr>
        <w:numPr>
          <w:ilvl w:val="0"/>
          <w:numId w:val="24"/>
        </w:numPr>
      </w:pPr>
      <w:bookmarkStart w:id="113" w:name="_Toc404437132"/>
      <w:bookmarkStart w:id="114" w:name="_Toc411428035"/>
      <w:bookmarkStart w:id="115" w:name="_Toc390936283"/>
      <w:r w:rsidRPr="00D16140">
        <w:t xml:space="preserve">The return </w:t>
      </w:r>
      <w:r>
        <w:t xml:space="preserve">on capital </w:t>
      </w:r>
      <w:r w:rsidRPr="00D16140">
        <w:t xml:space="preserve">provides a service provider </w:t>
      </w:r>
      <w:r>
        <w:t>with revenue</w:t>
      </w:r>
      <w:r w:rsidRPr="00D16140">
        <w:t xml:space="preserve"> to service the interest on its loans and </w:t>
      </w:r>
      <w:r>
        <w:t xml:space="preserve">to </w:t>
      </w:r>
      <w:r w:rsidRPr="00D16140">
        <w:t xml:space="preserve">give a return on equity to </w:t>
      </w:r>
      <w:r>
        <w:t>shareholders</w:t>
      </w:r>
      <w:r w:rsidRPr="00D16140">
        <w:t>. Th</w:t>
      </w:r>
      <w:r>
        <w:t>is</w:t>
      </w:r>
      <w:r w:rsidRPr="00D16140">
        <w:t xml:space="preserve"> building block is calculated as a product of the rate of return and the value of the </w:t>
      </w:r>
      <w:r w:rsidR="00BD0BD1">
        <w:t>RAB</w:t>
      </w:r>
      <w:r w:rsidRPr="00D16140">
        <w:t>.</w:t>
      </w:r>
      <w:r w:rsidRPr="00D16140">
        <w:rPr>
          <w:rStyle w:val="FootnoteReference"/>
        </w:rPr>
        <w:footnoteReference w:id="28"/>
      </w:r>
    </w:p>
    <w:p w:rsidR="005A08E7" w:rsidRPr="00D16140" w:rsidRDefault="005A08E7" w:rsidP="00117E02">
      <w:pPr>
        <w:numPr>
          <w:ilvl w:val="0"/>
          <w:numId w:val="24"/>
        </w:numPr>
      </w:pPr>
      <w:r>
        <w:t>The</w:t>
      </w:r>
      <w:r w:rsidR="00BD0BD1">
        <w:t xml:space="preserve"> NER sets out that the</w:t>
      </w:r>
      <w:r>
        <w:t xml:space="preserve">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29"/>
      </w:r>
      <w:r>
        <w:t xml:space="preserve"> The NER refers to this requirement as the </w:t>
      </w:r>
      <w:r w:rsidR="002A16BD" w:rsidRPr="00823B8F">
        <w:t>allowed rate of return objective</w:t>
      </w:r>
      <w:r>
        <w:t>.</w:t>
      </w:r>
    </w:p>
    <w:p w:rsidR="005A08E7" w:rsidRDefault="005A08E7" w:rsidP="00DD6AE0">
      <w:bookmarkStart w:id="116" w:name="_Toc402864659"/>
      <w:bookmarkStart w:id="117" w:name="_Toc404180624"/>
      <w:bookmarkEnd w:id="116"/>
      <w:bookmarkEnd w:id="117"/>
      <w:r>
        <w:t xml:space="preserve">We have determined an allowed rate of return </w:t>
      </w:r>
      <w:r w:rsidR="00927851">
        <w:t xml:space="preserve">for 2014–15 </w:t>
      </w:r>
      <w:r w:rsidRPr="00DD6AE0">
        <w:t xml:space="preserve">of </w:t>
      </w:r>
      <w:r w:rsidR="007A3B11">
        <w:t>6.</w:t>
      </w:r>
      <w:r w:rsidR="00763B0B">
        <w:t>74</w:t>
      </w:r>
      <w:r w:rsidR="00763B0B" w:rsidRPr="00DD6AE0">
        <w:t xml:space="preserve"> </w:t>
      </w:r>
      <w:r w:rsidRPr="00DD6AE0">
        <w:t>per</w:t>
      </w:r>
      <w:r>
        <w:t xml:space="preserve"> cent (nominal vanilla</w:t>
      </w:r>
      <w:r>
        <w:rPr>
          <w:rStyle w:val="FootnoteReference"/>
        </w:rPr>
        <w:footnoteReference w:id="30"/>
      </w:r>
      <w:r>
        <w:t xml:space="preserve">). We have not </w:t>
      </w:r>
      <w:r w:rsidRPr="00DD6AE0">
        <w:t>accepted Endeavour Energy's proposed</w:t>
      </w:r>
      <w:r w:rsidR="003E67D0">
        <w:t xml:space="preserve"> </w:t>
      </w:r>
      <w:r w:rsidR="000E4C49">
        <w:t>8.</w:t>
      </w:r>
      <w:r w:rsidR="00763B0B">
        <w:t>85</w:t>
      </w:r>
      <w:r w:rsidR="00763B0B" w:rsidRPr="00DD6AE0">
        <w:t xml:space="preserve"> </w:t>
      </w:r>
      <w:r w:rsidRPr="00DD6AE0">
        <w:t>per cent return.</w:t>
      </w:r>
      <w:r w:rsidR="003E67D0">
        <w:rPr>
          <w:rStyle w:val="FootnoteReference"/>
        </w:rPr>
        <w:footnoteReference w:id="31"/>
      </w:r>
      <w:r w:rsidRPr="00DD6AE0">
        <w:t xml:space="preserve"> </w:t>
      </w:r>
      <w:r w:rsidR="00BD0BD1">
        <w:t>In accordance with the Guideline, w</w:t>
      </w:r>
      <w:r w:rsidRPr="00DD6AE0">
        <w:t xml:space="preserve">e will update the rate of return annually, consistent with Endeavour Energy's revised </w:t>
      </w:r>
      <w:r>
        <w:t xml:space="preserve">proposal and our approach to </w:t>
      </w:r>
      <w:r w:rsidRPr="00854388">
        <w:t>the return on debt</w:t>
      </w:r>
      <w:r>
        <w:t>.</w:t>
      </w:r>
      <w:r>
        <w:rPr>
          <w:rStyle w:val="FootnoteReference"/>
        </w:rPr>
        <w:footnoteReference w:id="32"/>
      </w:r>
      <w:r w:rsidR="00BD0BD1">
        <w:t xml:space="preserve"> </w:t>
      </w:r>
      <w:r w:rsidR="00B1408C">
        <w:t>Accordingly, the rate of return for 2015–1</w:t>
      </w:r>
      <w:r w:rsidR="00443E5F">
        <w:t>6</w:t>
      </w:r>
      <w:r w:rsidR="00B1408C">
        <w:t xml:space="preserve"> will be</w:t>
      </w:r>
      <w:r w:rsidR="00BD0BD1">
        <w:t xml:space="preserve"> </w:t>
      </w:r>
      <w:r w:rsidR="0054512C">
        <w:t xml:space="preserve">6.68 </w:t>
      </w:r>
      <w:r w:rsidR="00BD0BD1">
        <w:t>per cent.</w:t>
      </w:r>
      <w:r>
        <w:t xml:space="preserve"> </w:t>
      </w:r>
      <w:r w:rsidR="00D26322">
        <w:fldChar w:fldCharType="begin"/>
      </w:r>
      <w:r w:rsidR="00D26322">
        <w:instrText xml:space="preserve"> REF _Ref416334625 \h </w:instrText>
      </w:r>
      <w:r w:rsidR="00D26322">
        <w:fldChar w:fldCharType="separate"/>
      </w:r>
      <w:r w:rsidR="009D2F25">
        <w:t xml:space="preserve">Table </w:t>
      </w:r>
      <w:r w:rsidR="009D2F25">
        <w:rPr>
          <w:noProof/>
        </w:rPr>
        <w:t>5</w:t>
      </w:r>
      <w:r w:rsidR="00D26322">
        <w:fldChar w:fldCharType="end"/>
      </w:r>
      <w:r>
        <w:t xml:space="preserve"> sets out the parameters we have used to determine the rate of return.</w:t>
      </w:r>
    </w:p>
    <w:p w:rsidR="005A08E7" w:rsidRDefault="005A08E7" w:rsidP="005A08E7">
      <w:pPr>
        <w:pStyle w:val="Caption"/>
      </w:pPr>
      <w:bookmarkStart w:id="118" w:name="_Ref416334625"/>
      <w:r>
        <w:t xml:space="preserve">Table </w:t>
      </w:r>
      <w:r w:rsidR="0010003E">
        <w:fldChar w:fldCharType="begin"/>
      </w:r>
      <w:r w:rsidR="0010003E">
        <w:instrText xml:space="preserve"> </w:instrText>
      </w:r>
      <w:r w:rsidR="0010003E">
        <w:instrText xml:space="preserve">SEQ Table \* ARABIC </w:instrText>
      </w:r>
      <w:r w:rsidR="0010003E">
        <w:fldChar w:fldCharType="separate"/>
      </w:r>
      <w:r w:rsidR="009D2F25">
        <w:rPr>
          <w:noProof/>
        </w:rPr>
        <w:t>5</w:t>
      </w:r>
      <w:r w:rsidR="0010003E">
        <w:rPr>
          <w:noProof/>
        </w:rPr>
        <w:fldChar w:fldCharType="end"/>
      </w:r>
      <w:bookmarkEnd w:id="118"/>
      <w:r>
        <w:tab/>
        <w:t>AER's final decision on Endeavour Energy's rate of return (nominal)</w:t>
      </w:r>
    </w:p>
    <w:tbl>
      <w:tblPr>
        <w:tblStyle w:val="AERtable-numbers"/>
        <w:tblW w:w="5000" w:type="pct"/>
        <w:tblLook w:val="04A0" w:firstRow="1" w:lastRow="0" w:firstColumn="1" w:lastColumn="0" w:noHBand="0" w:noVBand="1"/>
      </w:tblPr>
      <w:tblGrid>
        <w:gridCol w:w="1628"/>
        <w:gridCol w:w="1028"/>
        <w:gridCol w:w="1294"/>
        <w:gridCol w:w="1250"/>
        <w:gridCol w:w="1165"/>
        <w:gridCol w:w="1165"/>
        <w:gridCol w:w="1163"/>
      </w:tblGrid>
      <w:tr w:rsidR="00763B0B" w:rsidRPr="0036067E" w:rsidTr="00763B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pct"/>
          </w:tcPr>
          <w:p w:rsidR="00763B0B" w:rsidRPr="00796C00" w:rsidRDefault="00763B0B" w:rsidP="00763B0B">
            <w:pPr>
              <w:numPr>
                <w:ilvl w:val="0"/>
                <w:numId w:val="23"/>
              </w:numPr>
            </w:pPr>
          </w:p>
        </w:tc>
        <w:tc>
          <w:tcPr>
            <w:tcW w:w="591" w:type="pct"/>
          </w:tcPr>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rsidRPr="00381B0E">
              <w:t>AER decision</w:t>
            </w:r>
          </w:p>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2009–14</w:t>
            </w:r>
          </w:p>
        </w:tc>
        <w:tc>
          <w:tcPr>
            <w:tcW w:w="744" w:type="pct"/>
          </w:tcPr>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AER transitional decision</w:t>
            </w:r>
          </w:p>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719" w:type="pct"/>
          </w:tcPr>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Endeavour</w:t>
            </w:r>
            <w:r w:rsidRPr="00763B0B">
              <w:t xml:space="preserve"> Energy’s revised proposal</w:t>
            </w:r>
          </w:p>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p>
        </w:tc>
        <w:tc>
          <w:tcPr>
            <w:tcW w:w="670" w:type="pct"/>
          </w:tcPr>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 xml:space="preserve">   </w:t>
            </w:r>
            <w:r w:rsidRPr="00763B0B">
              <w:t>AER final                   decision</w:t>
            </w:r>
          </w:p>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670" w:type="pct"/>
          </w:tcPr>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AER final decision</w:t>
            </w:r>
          </w:p>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670" w:type="pct"/>
          </w:tcPr>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AER final decision</w:t>
            </w:r>
          </w:p>
          <w:p w:rsidR="00763B0B" w:rsidRPr="00763B0B" w:rsidRDefault="00763B0B" w:rsidP="00763B0B">
            <w:pPr>
              <w:pStyle w:val="AERtabletextright"/>
              <w:cnfStyle w:val="100000000000" w:firstRow="1" w:lastRow="0" w:firstColumn="0" w:lastColumn="0" w:oddVBand="0" w:evenVBand="0" w:oddHBand="0" w:evenHBand="0" w:firstRowFirstColumn="0" w:firstRowLastColumn="0" w:lastRowFirstColumn="0" w:lastRowLastColumn="0"/>
            </w:pPr>
            <w:r>
              <w:t>2016</w:t>
            </w:r>
            <w:r w:rsidRPr="00763B0B">
              <w:t>–19</w:t>
            </w:r>
          </w:p>
        </w:tc>
      </w:tr>
      <w:tr w:rsidR="00763B0B" w:rsidRPr="00BD56F3" w:rsidTr="00763B0B">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rsidRPr="00796C00">
              <w:t>Nominal risk free rate (</w:t>
            </w:r>
            <w:r w:rsidRPr="00763B0B">
              <w:t>return on equity)</w:t>
            </w:r>
            <w:r w:rsidRPr="00763B0B">
              <w:rPr>
                <w:rStyle w:val="AERsuperscript"/>
              </w:rPr>
              <w:t>(a)</w:t>
            </w:r>
          </w:p>
        </w:tc>
        <w:tc>
          <w:tcPr>
            <w:tcW w:w="591"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5.82%</w:t>
            </w:r>
          </w:p>
        </w:tc>
        <w:tc>
          <w:tcPr>
            <w:tcW w:w="744"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4.30%</w:t>
            </w:r>
          </w:p>
        </w:tc>
        <w:tc>
          <w:tcPr>
            <w:tcW w:w="719"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t>4.77</w:t>
            </w:r>
            <w:r w:rsidRPr="00763B0B">
              <w:t>%</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rPr>
                <w:rStyle w:val="AERsuperscript"/>
              </w:rPr>
            </w:pPr>
            <w:r w:rsidRPr="00F507A2">
              <w:t>2.55%</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2.55%</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2.55%</w:t>
            </w:r>
          </w:p>
        </w:tc>
      </w:tr>
      <w:tr w:rsidR="00763B0B" w:rsidRPr="00BD56F3" w:rsidTr="00763B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rsidRPr="00796C00">
              <w:t xml:space="preserve">Equity risk premium </w:t>
            </w:r>
          </w:p>
        </w:tc>
        <w:tc>
          <w:tcPr>
            <w:tcW w:w="591"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rsidRPr="00796C00">
              <w:t>6.0</w:t>
            </w:r>
            <w:r w:rsidRPr="00763B0B">
              <w:t>0%</w:t>
            </w:r>
          </w:p>
        </w:tc>
        <w:tc>
          <w:tcPr>
            <w:tcW w:w="744"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4.55%</w:t>
            </w:r>
          </w:p>
        </w:tc>
        <w:tc>
          <w:tcPr>
            <w:tcW w:w="719"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5.38%</w:t>
            </w:r>
          </w:p>
        </w:tc>
        <w:tc>
          <w:tcPr>
            <w:tcW w:w="670"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4.55</w:t>
            </w:r>
            <w:r w:rsidRPr="00763B0B">
              <w:t>%</w:t>
            </w:r>
          </w:p>
        </w:tc>
        <w:tc>
          <w:tcPr>
            <w:tcW w:w="670"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4.55%</w:t>
            </w:r>
          </w:p>
        </w:tc>
        <w:tc>
          <w:tcPr>
            <w:tcW w:w="670"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4.55%</w:t>
            </w:r>
          </w:p>
        </w:tc>
      </w:tr>
      <w:tr w:rsidR="00763B0B" w:rsidRPr="00BD56F3" w:rsidTr="00763B0B">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rsidRPr="00796C00">
              <w:t>MRP</w:t>
            </w:r>
          </w:p>
        </w:tc>
        <w:tc>
          <w:tcPr>
            <w:tcW w:w="591"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rsidRPr="00796C00">
              <w:t>6.0</w:t>
            </w:r>
            <w:r w:rsidRPr="00763B0B">
              <w:t>0%</w:t>
            </w:r>
          </w:p>
        </w:tc>
        <w:tc>
          <w:tcPr>
            <w:tcW w:w="744"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719"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6.56</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6.50</w:t>
            </w:r>
            <w:r w:rsidRPr="00763B0B">
              <w:t>%</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6.50%</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6.50%</w:t>
            </w:r>
          </w:p>
        </w:tc>
      </w:tr>
      <w:tr w:rsidR="00763B0B" w:rsidRPr="00BD56F3" w:rsidTr="00763B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rsidRPr="00796C00">
              <w:t>Equity beta</w:t>
            </w:r>
          </w:p>
        </w:tc>
        <w:tc>
          <w:tcPr>
            <w:tcW w:w="591"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rsidRPr="00796C00">
              <w:t>1.0</w:t>
            </w:r>
          </w:p>
        </w:tc>
        <w:tc>
          <w:tcPr>
            <w:tcW w:w="744"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719"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0.82</w:t>
            </w:r>
          </w:p>
        </w:tc>
        <w:tc>
          <w:tcPr>
            <w:tcW w:w="670"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rsidRPr="00796C00">
              <w:t>0.7</w:t>
            </w:r>
          </w:p>
        </w:tc>
        <w:tc>
          <w:tcPr>
            <w:tcW w:w="670"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670"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763B0B" w:rsidRPr="00BD56F3" w:rsidTr="00763B0B">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rsidRPr="00796C00">
              <w:t xml:space="preserve">Nominal post–tax return on equity </w:t>
            </w:r>
          </w:p>
        </w:tc>
        <w:tc>
          <w:tcPr>
            <w:tcW w:w="591"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11.82%</w:t>
            </w:r>
          </w:p>
        </w:tc>
        <w:tc>
          <w:tcPr>
            <w:tcW w:w="744"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8.90%</w:t>
            </w:r>
          </w:p>
        </w:tc>
        <w:tc>
          <w:tcPr>
            <w:tcW w:w="719"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10.15%</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7.1</w:t>
            </w:r>
            <w:r w:rsidRPr="00763B0B">
              <w:t>%</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7.1%</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7.1%</w:t>
            </w:r>
          </w:p>
        </w:tc>
      </w:tr>
      <w:tr w:rsidR="00763B0B" w:rsidRPr="00BD56F3" w:rsidTr="00763B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rsidRPr="00796C00">
              <w:t>Nominal pre–tax return on debt</w:t>
            </w:r>
          </w:p>
        </w:tc>
        <w:tc>
          <w:tcPr>
            <w:tcW w:w="591"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8.82%</w:t>
            </w:r>
          </w:p>
        </w:tc>
        <w:tc>
          <w:tcPr>
            <w:tcW w:w="744"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7.50%</w:t>
            </w:r>
          </w:p>
        </w:tc>
        <w:tc>
          <w:tcPr>
            <w:tcW w:w="719"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7.98%</w:t>
            </w:r>
          </w:p>
        </w:tc>
        <w:tc>
          <w:tcPr>
            <w:tcW w:w="670" w:type="pct"/>
          </w:tcPr>
          <w:p w:rsidR="00763B0B" w:rsidRPr="00B1408C" w:rsidRDefault="00763B0B" w:rsidP="00644D38">
            <w:pPr>
              <w:pStyle w:val="AERtabletextright"/>
              <w:cnfStyle w:val="000000010000" w:firstRow="0" w:lastRow="0" w:firstColumn="0" w:lastColumn="0" w:oddVBand="0" w:evenVBand="0" w:oddHBand="0" w:evenHBand="1" w:firstRowFirstColumn="0" w:firstRowLastColumn="0" w:lastRowFirstColumn="0" w:lastRowLastColumn="0"/>
            </w:pPr>
            <w:r w:rsidRPr="00B1408C">
              <w:t>6.51%</w:t>
            </w:r>
          </w:p>
        </w:tc>
        <w:tc>
          <w:tcPr>
            <w:tcW w:w="670" w:type="pct"/>
          </w:tcPr>
          <w:p w:rsidR="00763B0B" w:rsidRPr="00B1408C" w:rsidRDefault="00763B0B" w:rsidP="00644D38">
            <w:pPr>
              <w:pStyle w:val="AERtabletextright"/>
              <w:cnfStyle w:val="000000010000" w:firstRow="0" w:lastRow="0" w:firstColumn="0" w:lastColumn="0" w:oddVBand="0" w:evenVBand="0" w:oddHBand="0" w:evenHBand="1" w:firstRowFirstColumn="0" w:firstRowLastColumn="0" w:lastRowFirstColumn="0" w:lastRowLastColumn="0"/>
            </w:pPr>
            <w:r w:rsidRPr="00B1408C">
              <w:t>6.40%</w:t>
            </w:r>
          </w:p>
        </w:tc>
        <w:tc>
          <w:tcPr>
            <w:tcW w:w="670" w:type="pct"/>
          </w:tcPr>
          <w:p w:rsidR="00763B0B" w:rsidRPr="00763B0B" w:rsidRDefault="0098553E" w:rsidP="00763B0B">
            <w:pPr>
              <w:pStyle w:val="AERtabletextright"/>
              <w:cnfStyle w:val="000000010000" w:firstRow="0" w:lastRow="0" w:firstColumn="0" w:lastColumn="0" w:oddVBand="0" w:evenVBand="0" w:oddHBand="0" w:evenHBand="1" w:firstRowFirstColumn="0" w:firstRowLastColumn="0" w:lastRowFirstColumn="0" w:lastRowLastColumn="0"/>
              <w:rPr>
                <w:rStyle w:val="AERsuperscript"/>
              </w:rPr>
            </w:pPr>
            <w:r>
              <w:t>Updated annually</w:t>
            </w:r>
            <w:r w:rsidR="00763B0B" w:rsidRPr="00763B0B">
              <w:rPr>
                <w:rStyle w:val="AERsuperscript"/>
              </w:rPr>
              <w:t>(b)</w:t>
            </w:r>
          </w:p>
        </w:tc>
      </w:tr>
      <w:tr w:rsidR="00763B0B" w:rsidRPr="00BD56F3" w:rsidTr="00763B0B">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t>Gearing</w:t>
            </w:r>
          </w:p>
        </w:tc>
        <w:tc>
          <w:tcPr>
            <w:tcW w:w="591"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744"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719"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60%</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60%</w:t>
            </w:r>
          </w:p>
        </w:tc>
      </w:tr>
      <w:tr w:rsidR="00763B0B" w:rsidRPr="00BD56F3" w:rsidTr="00763B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rsidRPr="00796C00">
              <w:t>Nominal vanilla</w:t>
            </w:r>
            <w:r w:rsidRPr="00763B0B">
              <w:t xml:space="preserve"> WACC</w:t>
            </w:r>
          </w:p>
        </w:tc>
        <w:tc>
          <w:tcPr>
            <w:tcW w:w="591"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10.02%</w:t>
            </w:r>
          </w:p>
        </w:tc>
        <w:tc>
          <w:tcPr>
            <w:tcW w:w="744"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8.06%</w:t>
            </w:r>
          </w:p>
        </w:tc>
        <w:tc>
          <w:tcPr>
            <w:tcW w:w="719"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8.85</w:t>
            </w:r>
            <w:r w:rsidRPr="00763B0B">
              <w:t>%</w:t>
            </w:r>
          </w:p>
        </w:tc>
        <w:tc>
          <w:tcPr>
            <w:tcW w:w="670"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6.</w:t>
            </w:r>
            <w:r w:rsidRPr="00763B0B">
              <w:t>74%</w:t>
            </w:r>
            <w:r w:rsidRPr="00763B0B">
              <w:rPr>
                <w:rStyle w:val="AERsuperscript"/>
              </w:rPr>
              <w:t>(c)</w:t>
            </w:r>
          </w:p>
        </w:tc>
        <w:tc>
          <w:tcPr>
            <w:tcW w:w="670" w:type="pct"/>
          </w:tcPr>
          <w:p w:rsidR="00763B0B" w:rsidRPr="00763B0B" w:rsidRDefault="00763B0B" w:rsidP="00763B0B">
            <w:pPr>
              <w:pStyle w:val="AERtabletextright"/>
              <w:cnfStyle w:val="000000010000" w:firstRow="0" w:lastRow="0" w:firstColumn="0" w:lastColumn="0" w:oddVBand="0" w:evenVBand="0" w:oddHBand="0" w:evenHBand="1" w:firstRowFirstColumn="0" w:firstRowLastColumn="0" w:lastRowFirstColumn="0" w:lastRowLastColumn="0"/>
            </w:pPr>
            <w:r>
              <w:t>6.</w:t>
            </w:r>
            <w:r w:rsidRPr="00763B0B">
              <w:t>68%</w:t>
            </w:r>
          </w:p>
        </w:tc>
        <w:tc>
          <w:tcPr>
            <w:tcW w:w="670" w:type="pct"/>
          </w:tcPr>
          <w:p w:rsidR="00763B0B" w:rsidRPr="00763B0B" w:rsidRDefault="0098553E" w:rsidP="00763B0B">
            <w:pPr>
              <w:pStyle w:val="AERtabletextright"/>
              <w:cnfStyle w:val="000000010000" w:firstRow="0" w:lastRow="0" w:firstColumn="0" w:lastColumn="0" w:oddVBand="0" w:evenVBand="0" w:oddHBand="0" w:evenHBand="1" w:firstRowFirstColumn="0" w:firstRowLastColumn="0" w:lastRowFirstColumn="0" w:lastRowLastColumn="0"/>
            </w:pPr>
            <w:r>
              <w:t>Updated annually</w:t>
            </w:r>
            <w:r w:rsidR="00763B0B" w:rsidRPr="00763B0B">
              <w:rPr>
                <w:rStyle w:val="AERsuperscript"/>
              </w:rPr>
              <w:t>(b)</w:t>
            </w:r>
          </w:p>
        </w:tc>
      </w:tr>
      <w:tr w:rsidR="00763B0B" w:rsidRPr="00BD56F3" w:rsidTr="00763B0B">
        <w:tc>
          <w:tcPr>
            <w:cnfStyle w:val="001000000000" w:firstRow="0" w:lastRow="0" w:firstColumn="1" w:lastColumn="0" w:oddVBand="0" w:evenVBand="0" w:oddHBand="0" w:evenHBand="0" w:firstRowFirstColumn="0" w:firstRowLastColumn="0" w:lastRowFirstColumn="0" w:lastRowLastColumn="0"/>
            <w:tcW w:w="937" w:type="pct"/>
          </w:tcPr>
          <w:p w:rsidR="00763B0B" w:rsidRPr="00763B0B" w:rsidRDefault="00763B0B" w:rsidP="00763B0B">
            <w:pPr>
              <w:pStyle w:val="AERtabletextleft"/>
            </w:pPr>
            <w:r>
              <w:t>Forecast inflation</w:t>
            </w:r>
          </w:p>
        </w:tc>
        <w:tc>
          <w:tcPr>
            <w:tcW w:w="591"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2.47%</w:t>
            </w:r>
          </w:p>
        </w:tc>
        <w:tc>
          <w:tcPr>
            <w:tcW w:w="744"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2.50%</w:t>
            </w:r>
          </w:p>
        </w:tc>
        <w:tc>
          <w:tcPr>
            <w:tcW w:w="719"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2.50%</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2.38%</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2.38%</w:t>
            </w:r>
          </w:p>
        </w:tc>
        <w:tc>
          <w:tcPr>
            <w:tcW w:w="670" w:type="pct"/>
          </w:tcPr>
          <w:p w:rsidR="00763B0B" w:rsidRPr="00763B0B" w:rsidRDefault="00763B0B" w:rsidP="00763B0B">
            <w:pPr>
              <w:pStyle w:val="AERtabletextright"/>
              <w:cnfStyle w:val="000000000000" w:firstRow="0" w:lastRow="0" w:firstColumn="0" w:lastColumn="0" w:oddVBand="0" w:evenVBand="0" w:oddHBand="0" w:evenHBand="0" w:firstRowFirstColumn="0" w:firstRowLastColumn="0" w:lastRowFirstColumn="0" w:lastRowLastColumn="0"/>
            </w:pPr>
            <w:r>
              <w:t>2.38%</w:t>
            </w:r>
          </w:p>
        </w:tc>
      </w:tr>
    </w:tbl>
    <w:p w:rsidR="00763B0B" w:rsidRDefault="00763B0B" w:rsidP="00763B0B">
      <w:pPr>
        <w:pStyle w:val="AERtablesource"/>
        <w:numPr>
          <w:ilvl w:val="0"/>
          <w:numId w:val="24"/>
        </w:numPr>
      </w:pPr>
      <w:r>
        <w:t>Source:</w:t>
      </w:r>
      <w:r>
        <w:tab/>
        <w:t xml:space="preserve">AER analysis; Endeavour Energy, </w:t>
      </w:r>
      <w:r w:rsidRPr="00381B0E">
        <w:rPr>
          <w:rStyle w:val="AERtextitalic"/>
        </w:rPr>
        <w:t>Revised</w:t>
      </w:r>
      <w:r>
        <w:t xml:space="preserve"> </w:t>
      </w:r>
      <w:r>
        <w:rPr>
          <w:rStyle w:val="AERtextitalic"/>
        </w:rPr>
        <w:t>r</w:t>
      </w:r>
      <w:r w:rsidRPr="005623BD">
        <w:rPr>
          <w:rStyle w:val="AERtextitalic"/>
        </w:rPr>
        <w:t>egulatory proposal</w:t>
      </w:r>
      <w:r w:rsidRPr="002A3876">
        <w:t>, 2</w:t>
      </w:r>
      <w:r>
        <w:t>0</w:t>
      </w:r>
      <w:r w:rsidRPr="002A3876">
        <w:t xml:space="preserve"> J</w:t>
      </w:r>
      <w:r>
        <w:t>anuary</w:t>
      </w:r>
      <w:r w:rsidRPr="002A3876">
        <w:t xml:space="preserve"> 201</w:t>
      </w:r>
      <w:r>
        <w:t xml:space="preserve">5; AER, </w:t>
      </w:r>
      <w:r>
        <w:rPr>
          <w:rStyle w:val="AERtextitalic"/>
        </w:rPr>
        <w:t>Endeavour</w:t>
      </w:r>
      <w:r w:rsidRPr="005D0B8E">
        <w:rPr>
          <w:rStyle w:val="AERtextitalic"/>
        </w:rPr>
        <w:t xml:space="preserve"> Energy Transitional Distribution Determination 2014–15</w:t>
      </w:r>
      <w:r>
        <w:t xml:space="preserve">, April 2014; AER, </w:t>
      </w:r>
      <w:r>
        <w:rPr>
          <w:rStyle w:val="AERtextitalic"/>
        </w:rPr>
        <w:t>Statement on updates to NSW distribution determinations following Australian Competition Tribunal decision</w:t>
      </w:r>
      <w:r>
        <w:t>, November 2009.</w:t>
      </w:r>
    </w:p>
    <w:p w:rsidR="00763B0B" w:rsidRPr="009B74AA" w:rsidRDefault="00763B0B" w:rsidP="00763B0B">
      <w:pPr>
        <w:pStyle w:val="AERtablesource"/>
        <w:numPr>
          <w:ilvl w:val="0"/>
          <w:numId w:val="24"/>
        </w:numPr>
      </w:pPr>
      <w:r w:rsidRPr="009B74AA">
        <w:t>(a)</w:t>
      </w:r>
      <w:r w:rsidRPr="009B74AA">
        <w:tab/>
      </w:r>
      <w:r>
        <w:t>Endeavour Energy's risk free rate estimate was calculated using a long-run historical averaging period of 1883 to 2013. AER final decision risk free rate estimate is b</w:t>
      </w:r>
      <w:r w:rsidRPr="009B74AA">
        <w:t xml:space="preserve">ased on a 20 business day averaging period from </w:t>
      </w:r>
      <w:r>
        <w:t xml:space="preserve">9 February </w:t>
      </w:r>
      <w:r w:rsidRPr="009B74AA">
        <w:t xml:space="preserve">to </w:t>
      </w:r>
      <w:r>
        <w:t>6 March 2015.</w:t>
      </w:r>
    </w:p>
    <w:p w:rsidR="00763B0B" w:rsidRPr="009B74AA" w:rsidRDefault="00763B0B" w:rsidP="00763B0B">
      <w:pPr>
        <w:pStyle w:val="AERtablesource"/>
        <w:numPr>
          <w:ilvl w:val="0"/>
          <w:numId w:val="24"/>
        </w:numPr>
      </w:pPr>
      <w:r w:rsidRPr="009B74AA">
        <w:t>(b)</w:t>
      </w:r>
      <w:r w:rsidRPr="009B74AA">
        <w:tab/>
      </w:r>
      <w:r>
        <w:t>The allowed return on debt is to be updated annually and the nominal vanilla WACC will be updated annually to reflect the allowed return on debt. The allowed return on debt for 2015–16 has already been estimated. Return on debt allowances for subsequent years will be estimated based on the formula set out in the Return on Debt Appendix to this attachment.</w:t>
      </w:r>
    </w:p>
    <w:p w:rsidR="00763B0B" w:rsidRPr="00796C00" w:rsidRDefault="00763B0B" w:rsidP="00763B0B">
      <w:pPr>
        <w:pStyle w:val="AERtablesource"/>
        <w:numPr>
          <w:ilvl w:val="0"/>
          <w:numId w:val="24"/>
        </w:numPr>
      </w:pPr>
      <w:r w:rsidRPr="009B74AA">
        <w:t>(c)</w:t>
      </w:r>
      <w:r w:rsidRPr="009B74AA">
        <w:tab/>
      </w:r>
      <w:r w:rsidRPr="00854388">
        <w:t xml:space="preserve">This </w:t>
      </w:r>
      <w:r>
        <w:t>rate of return</w:t>
      </w:r>
      <w:r w:rsidRPr="00854388">
        <w:t xml:space="preserve"> estimate</w:t>
      </w:r>
      <w:r>
        <w:t xml:space="preserve"> </w:t>
      </w:r>
      <w:r w:rsidRPr="00854388">
        <w:t>will be used to update the revenues we previously determined for the 2014–15 (transitional) regulatory year</w:t>
      </w:r>
      <w:r>
        <w:t>.</w:t>
      </w:r>
    </w:p>
    <w:p w:rsidR="005A08E7" w:rsidRPr="00D16140" w:rsidRDefault="005A08E7" w:rsidP="00117E02">
      <w:pPr>
        <w:pStyle w:val="HeadingBoldBlue"/>
        <w:numPr>
          <w:ilvl w:val="0"/>
          <w:numId w:val="24"/>
        </w:numPr>
      </w:pPr>
      <w:bookmarkStart w:id="119" w:name="_Toc417917007"/>
      <w:r w:rsidRPr="00D16140">
        <w:t>Our approach</w:t>
      </w:r>
      <w:bookmarkEnd w:id="119"/>
    </w:p>
    <w:p w:rsidR="005A08E7" w:rsidRPr="00D16140" w:rsidRDefault="005A08E7" w:rsidP="00117E02">
      <w:pPr>
        <w:numPr>
          <w:ilvl w:val="0"/>
          <w:numId w:val="24"/>
        </w:numPr>
      </w:pPr>
      <w:r>
        <w:t>All</w:t>
      </w:r>
      <w:r w:rsidRPr="00D16140">
        <w:t xml:space="preserve"> NER</w:t>
      </w:r>
      <w:r>
        <w:t xml:space="preserve"> requirements relating to the rate of return are subject to the overall rate of return achieving the </w:t>
      </w:r>
      <w:r w:rsidR="002A16BD" w:rsidRPr="00823B8F">
        <w:t>allowed rate of return objective</w:t>
      </w:r>
      <w:r>
        <w:t>,</w:t>
      </w:r>
      <w:r w:rsidRPr="00D16140">
        <w:rPr>
          <w:rStyle w:val="FootnoteReference"/>
        </w:rPr>
        <w:footnoteReference w:id="33"/>
      </w:r>
      <w:r>
        <w:t xml:space="preserve"> which applies to the overall rate of return.</w:t>
      </w:r>
      <w:r w:rsidRPr="00D16140">
        <w:t xml:space="preserve"> </w:t>
      </w:r>
      <w:r>
        <w:t xml:space="preserve">The NER recognises that </w:t>
      </w:r>
      <w:r w:rsidRPr="00D16140">
        <w:t xml:space="preserve">there </w:t>
      </w:r>
      <w:r w:rsidR="007A3B11">
        <w:t xml:space="preserve">may be </w:t>
      </w:r>
      <w:r>
        <w:t>several plausible</w:t>
      </w:r>
      <w:r w:rsidRPr="00D16140">
        <w:t xml:space="preserve"> answer</w:t>
      </w:r>
      <w:r>
        <w:t>s</w:t>
      </w:r>
      <w:r w:rsidRPr="00D16140">
        <w:t xml:space="preserve"> that </w:t>
      </w:r>
      <w:r>
        <w:t xml:space="preserve">could </w:t>
      </w:r>
      <w:r w:rsidRPr="00D16140">
        <w:t xml:space="preserve">achieve the </w:t>
      </w:r>
      <w:r w:rsidR="002A16BD" w:rsidRPr="00823B8F">
        <w:t>allowed rate of return objective</w:t>
      </w:r>
      <w:r w:rsidRPr="00D16140">
        <w:t>.</w:t>
      </w:r>
      <w:r w:rsidRPr="00D16140">
        <w:rPr>
          <w:rStyle w:val="FootnoteReference"/>
        </w:rPr>
        <w:footnoteReference w:id="34"/>
      </w:r>
      <w:r w:rsidRPr="00D16140">
        <w:t xml:space="preserve"> </w:t>
      </w:r>
      <w:r w:rsidR="00644D38">
        <w:t>W</w:t>
      </w:r>
      <w:r w:rsidR="006142B9">
        <w:t>e agree with stakeholders that</w:t>
      </w:r>
      <w:r w:rsidRPr="00D16140">
        <w:t xml:space="preserve"> predictability of outcomes in rate of return issues could materially benefit the long term interest of consumers.</w:t>
      </w:r>
      <w:r w:rsidRPr="00D16140">
        <w:rPr>
          <w:rStyle w:val="FootnoteReference"/>
        </w:rPr>
        <w:footnoteReference w:id="35"/>
      </w:r>
      <w:r>
        <w:t xml:space="preserve"> </w:t>
      </w:r>
    </w:p>
    <w:p w:rsidR="005A08E7" w:rsidRPr="00D16140" w:rsidRDefault="006142B9" w:rsidP="00117E02">
      <w:pPr>
        <w:numPr>
          <w:ilvl w:val="0"/>
          <w:numId w:val="24"/>
        </w:numPr>
      </w:pPr>
      <w:r>
        <w:t>We developed our approach prior to the submission of this regulatory proposal. As required by the rate of return framework, i</w:t>
      </w:r>
      <w:r w:rsidR="007A3B11">
        <w:t>n</w:t>
      </w:r>
      <w:r w:rsidR="005A08E7" w:rsidRPr="00D16140">
        <w:t xml:space="preserve"> December 2013, we published the Guideline.</w:t>
      </w:r>
      <w:r w:rsidR="005A08E7" w:rsidRPr="00D16140">
        <w:rPr>
          <w:rStyle w:val="FootnoteReference"/>
        </w:rPr>
        <w:footnoteReference w:id="36"/>
      </w:r>
      <w:r w:rsidR="005A08E7" w:rsidRPr="00D16140">
        <w:t xml:space="preserve"> The Guideline was designed through extensive consultation and included effective and inclusive consumer participation.</w:t>
      </w:r>
      <w:r w:rsidR="005A08E7" w:rsidRPr="00D16140">
        <w:rPr>
          <w:rStyle w:val="FootnoteReference"/>
        </w:rPr>
        <w:footnoteReference w:id="37"/>
      </w:r>
      <w:r w:rsidR="005A08E7" w:rsidRPr="00D16140">
        <w:t xml:space="preserve"> </w:t>
      </w:r>
    </w:p>
    <w:p w:rsidR="005A08E7" w:rsidRPr="00D16140" w:rsidRDefault="005A08E7" w:rsidP="00117E02">
      <w:pPr>
        <w:pStyle w:val="HeadingBoldBlue"/>
        <w:numPr>
          <w:ilvl w:val="0"/>
          <w:numId w:val="24"/>
        </w:numPr>
      </w:pPr>
      <w:bookmarkStart w:id="120" w:name="_Toc417917008"/>
      <w:r w:rsidRPr="00D16140">
        <w:t>Return on debt</w:t>
      </w:r>
      <w:bookmarkEnd w:id="120"/>
    </w:p>
    <w:p w:rsidR="00570784" w:rsidRDefault="00570784" w:rsidP="00117E02">
      <w:pPr>
        <w:numPr>
          <w:ilvl w:val="0"/>
          <w:numId w:val="24"/>
        </w:numPr>
      </w:pPr>
      <w:r>
        <w:t>Previously,</w:t>
      </w:r>
      <w:r w:rsidRPr="00D16140">
        <w:t xml:space="preserve"> </w:t>
      </w:r>
      <w:r>
        <w:t xml:space="preserve">we used </w:t>
      </w:r>
      <w:r w:rsidRPr="00D16140">
        <w:t>an on-the-day approach</w:t>
      </w:r>
      <w:r>
        <w:t xml:space="preserve"> to determine the return on debt</w:t>
      </w:r>
      <w:r w:rsidRPr="00D16140">
        <w:t>.</w:t>
      </w:r>
      <w:r>
        <w:rPr>
          <w:rStyle w:val="FootnoteReference"/>
        </w:rPr>
        <w:footnoteReference w:id="38"/>
      </w:r>
      <w:r>
        <w:t xml:space="preserve"> This is the approach that several Australian regulators continue to use.</w:t>
      </w:r>
      <w:r w:rsidRPr="00D16140">
        <w:t xml:space="preserve"> </w:t>
      </w:r>
      <w:r>
        <w:t>However, for this decision, we have determined a return on debt estimate that gradually transitions from an on-the-day approach to a trailing average approach</w:t>
      </w:r>
      <w:r w:rsidRPr="00D16140">
        <w:t>.</w:t>
      </w:r>
      <w:r>
        <w:rPr>
          <w:rStyle w:val="FootnoteReference"/>
        </w:rPr>
        <w:footnoteReference w:id="39"/>
      </w:r>
      <w:r w:rsidRPr="00D16140">
        <w:t xml:space="preserve"> </w:t>
      </w:r>
      <w:r w:rsidR="00F13F60">
        <w:t xml:space="preserve">This is consistent with the views most stakeholders expressed during the </w:t>
      </w:r>
      <w:r w:rsidR="00644D38">
        <w:t xml:space="preserve">Guideline development </w:t>
      </w:r>
      <w:r w:rsidR="00F13F60">
        <w:t xml:space="preserve">process. </w:t>
      </w:r>
      <w:r w:rsidR="00644D38">
        <w:t>We note that</w:t>
      </w:r>
      <w:r w:rsidR="00F13F60">
        <w:t xml:space="preserve"> Endeavour Energy</w:t>
      </w:r>
      <w:r w:rsidR="00644D38">
        <w:t>, supported by some other distributors,</w:t>
      </w:r>
      <w:r w:rsidR="00F13F60">
        <w:t xml:space="preserve"> did not agree on the transition to the trailing average approach</w:t>
      </w:r>
      <w:r>
        <w:t xml:space="preserve">. </w:t>
      </w:r>
    </w:p>
    <w:p w:rsidR="005A08E7" w:rsidRPr="005D2E01" w:rsidRDefault="005A08E7" w:rsidP="005D2E01">
      <w:r w:rsidRPr="00F52765">
        <w:t>Endeavour Energy proposed</w:t>
      </w:r>
      <w:r>
        <w:t xml:space="preserve"> that we use a </w:t>
      </w:r>
      <w:r w:rsidRPr="0016716A">
        <w:t xml:space="preserve">backwards looking approach </w:t>
      </w:r>
      <w:r>
        <w:t xml:space="preserve">to move from the on-the-day approach to the trailing average approach. This involved using data from the last ten years to set the return on debt for </w:t>
      </w:r>
      <w:r w:rsidRPr="005D2E01">
        <w:t xml:space="preserve">the 2015-19 regulatory control </w:t>
      </w:r>
      <w:proofErr w:type="gramStart"/>
      <w:r w:rsidRPr="005D2E01">
        <w:t>period</w:t>
      </w:r>
      <w:proofErr w:type="gramEnd"/>
      <w:r w:rsidRPr="005D2E01">
        <w:t>. We disagree. Instead we have determined a gradual, forward looking transition to a trailing average.</w:t>
      </w:r>
      <w:r w:rsidR="00F13F60">
        <w:rPr>
          <w:rStyle w:val="FootnoteReference"/>
        </w:rPr>
        <w:footnoteReference w:id="40"/>
      </w:r>
      <w:r w:rsidRPr="005D2E01">
        <w:t xml:space="preserve"> </w:t>
      </w:r>
    </w:p>
    <w:p w:rsidR="005A08E7" w:rsidRPr="005D2E01" w:rsidRDefault="005A08E7" w:rsidP="005D2E01">
      <w:r w:rsidRPr="005D2E01">
        <w:t>As mentioned in section</w:t>
      </w:r>
      <w:r w:rsidR="00F13F60">
        <w:t xml:space="preserve"> </w:t>
      </w:r>
      <w:r w:rsidR="00570784">
        <w:fldChar w:fldCharType="begin"/>
      </w:r>
      <w:r w:rsidR="00570784">
        <w:instrText xml:space="preserve"> REF _Ref415659224 \r \h </w:instrText>
      </w:r>
      <w:r w:rsidR="00570784">
        <w:fldChar w:fldCharType="separate"/>
      </w:r>
      <w:r w:rsidR="009D2F25">
        <w:t>1.2.1</w:t>
      </w:r>
      <w:r w:rsidR="00570784">
        <w:fldChar w:fldCharType="end"/>
      </w:r>
      <w:r w:rsidRPr="005D2E01">
        <w:t xml:space="preserve">, </w:t>
      </w:r>
      <w:r w:rsidR="00644D38">
        <w:t>rate of return</w:t>
      </w:r>
      <w:r w:rsidR="00644D38" w:rsidRPr="005D2E01">
        <w:t xml:space="preserve"> </w:t>
      </w:r>
      <w:r w:rsidRPr="005D2E01">
        <w:t xml:space="preserve">is the most material revenue difference between our final decision and </w:t>
      </w:r>
      <w:r w:rsidR="00CC4CEF" w:rsidRPr="005D2E01">
        <w:t>Endeavour Energy</w:t>
      </w:r>
      <w:r w:rsidRPr="005D2E01">
        <w:t xml:space="preserve">'s revised proposal. </w:t>
      </w:r>
      <w:r w:rsidR="00F13F60">
        <w:t>We</w:t>
      </w:r>
      <w:r w:rsidRPr="005D2E01">
        <w:t xml:space="preserve"> summarise our reasons in some detail below.</w:t>
      </w:r>
    </w:p>
    <w:p w:rsidR="00522079" w:rsidRDefault="005A08E7" w:rsidP="00522079">
      <w:r w:rsidRPr="005D2E01">
        <w:t xml:space="preserve">We are satisfied that a gradual, forward looking transition to a trailing average approach </w:t>
      </w:r>
      <w:r w:rsidR="00522079" w:rsidRPr="00A25173">
        <w:t>results in a return on debt that contributes to the rate of return objective. In particular, this approach takes account of any impacts on a benchmark efficient entity or customers that might arise as a result of changing the methodology that is used to estimate the return on debt. This includes impacts that occur across regulatory control periods.</w:t>
      </w:r>
      <w:r w:rsidR="00522079">
        <w:t xml:space="preserve"> </w:t>
      </w:r>
      <w:r w:rsidR="00522079" w:rsidRPr="00A25173">
        <w:t>In particular, a gradu</w:t>
      </w:r>
      <w:r w:rsidR="00522079">
        <w:t>al, forward looking transition:</w:t>
      </w:r>
    </w:p>
    <w:p w:rsidR="002D61C9" w:rsidRPr="002D61C9" w:rsidRDefault="002D61C9" w:rsidP="002D61C9">
      <w:pPr>
        <w:pStyle w:val="AERbulletlistfirststyle"/>
      </w:pPr>
      <w:r w:rsidRPr="002D61C9">
        <w:t>Has regard to the impact on a benchmark efficient entity of changing the method for estimating the return on debt</w:t>
      </w:r>
    </w:p>
    <w:p w:rsidR="002D61C9" w:rsidRPr="002D61C9" w:rsidRDefault="002D61C9" w:rsidP="002D61C9">
      <w:pPr>
        <w:pStyle w:val="AERbulletlistfirststyle"/>
      </w:pPr>
      <w:r w:rsidRPr="002D61C9">
        <w:t>Promotes efficient financing practices consistent with the principles of incentive based regulation</w:t>
      </w:r>
    </w:p>
    <w:p w:rsidR="002D61C9" w:rsidRPr="002D61C9" w:rsidRDefault="002D61C9" w:rsidP="002D61C9">
      <w:pPr>
        <w:pStyle w:val="AERbulletlistfirststyle"/>
      </w:pPr>
      <w:r w:rsidRPr="002D61C9">
        <w:t>Provides a benchmark efficient entity with a reasonable opportunity to recover at least the efficient financing costs it incurs in financing its assets. And as a result it:</w:t>
      </w:r>
    </w:p>
    <w:p w:rsidR="002D61C9" w:rsidRPr="002D61C9" w:rsidRDefault="002D61C9" w:rsidP="002D61C9">
      <w:pPr>
        <w:pStyle w:val="AERbulletlistsecondstyle"/>
      </w:pPr>
      <w:r w:rsidRPr="002D61C9">
        <w:t>Promotes efficient investment, and</w:t>
      </w:r>
    </w:p>
    <w:p w:rsidR="002D61C9" w:rsidRPr="002D61C9" w:rsidRDefault="002D61C9" w:rsidP="002D61C9">
      <w:pPr>
        <w:pStyle w:val="AERbulletlistsecondstyle"/>
      </w:pPr>
      <w:r w:rsidRPr="002D61C9">
        <w:t>Promotes consumers not paying more than necessary for a safe and reliable network</w:t>
      </w:r>
    </w:p>
    <w:p w:rsidR="002D61C9" w:rsidRPr="002D61C9" w:rsidRDefault="002D61C9" w:rsidP="002D61C9">
      <w:pPr>
        <w:pStyle w:val="AERbulletlistfirststyle"/>
      </w:pPr>
      <w:r w:rsidRPr="002D61C9">
        <w:t>Avoids a potential bias in regulatory decision making that can arise from choosing an approach that uses historical data after the results of that historical data are already known</w:t>
      </w:r>
    </w:p>
    <w:p w:rsidR="005A08E7" w:rsidRDefault="002D61C9" w:rsidP="002D61C9">
      <w:pPr>
        <w:pStyle w:val="AERbulletlistfirststyle"/>
      </w:pPr>
      <w:r w:rsidRPr="002D61C9">
        <w:t>Avoids practical problems with the use of historical data as estimating the return on debt during the global financial crisis is a difficult and contentious exercise</w:t>
      </w:r>
      <w:r w:rsidR="005A08E7" w:rsidRPr="00D16140">
        <w:t>.</w:t>
      </w:r>
    </w:p>
    <w:p w:rsidR="00AB0AB3" w:rsidRPr="00AB0AB3" w:rsidRDefault="00AB0AB3" w:rsidP="00AB0AB3">
      <w:r>
        <w:t>Endeavour Energy</w:t>
      </w:r>
      <w:r w:rsidRPr="00AB0AB3">
        <w:t xml:space="preserve"> proposed that we move away from our previous on-the-day approach to setting the return on debt. It proposed that we determine the return on debt using a backwards looking trailing average without any transition to account for the impacts of changing methodologies. Endeavour Energy's proposal is based on its submission that </w:t>
      </w:r>
      <w:proofErr w:type="gramStart"/>
      <w:r w:rsidRPr="00AB0AB3">
        <w:t>its</w:t>
      </w:r>
      <w:proofErr w:type="gramEnd"/>
      <w:r w:rsidRPr="00AB0AB3">
        <w:t xml:space="preserve"> existing debt financing practices are efficient and reflect those of a benchmark efficient entity.</w:t>
      </w:r>
    </w:p>
    <w:p w:rsidR="00AB0AB3" w:rsidRPr="005B749D" w:rsidRDefault="00AB0AB3" w:rsidP="00AB0AB3">
      <w:r w:rsidRPr="00AB0AB3">
        <w:t>We do not agree that Endeavour Energy's debt financing practices were efficient from the perspective of a benchmark efficient entity. Endeavour Energy did not take action to manage its interest rate risk arising from its revenue determination process. We consider that the evidence before us indicates that a benchmark efficient entity would have taken action to manage its interest rate risk and this would have resulted in its actual return on debt being lower at present. If we were to apply Endeavour Energy's proposed approach, consumers would fund an inefficient return on debt allowance. Endeavour Energy's practices may have been appropriate from the perspective of its particular circumstances. However, a key feature of those circumstances is its government ownership, which is not relevant to our task of determining the allowed rate of return of a benchmark efficient entity.</w:t>
      </w:r>
    </w:p>
    <w:p w:rsidR="005A08E7" w:rsidRPr="00D16140" w:rsidRDefault="005A08E7" w:rsidP="00117E02">
      <w:pPr>
        <w:pStyle w:val="HeadingBoldBlue"/>
        <w:numPr>
          <w:ilvl w:val="0"/>
          <w:numId w:val="24"/>
        </w:numPr>
      </w:pPr>
      <w:bookmarkStart w:id="121" w:name="_Toc417917009"/>
      <w:r w:rsidRPr="00D16140">
        <w:t>Return on equity</w:t>
      </w:r>
      <w:bookmarkEnd w:id="121"/>
    </w:p>
    <w:p w:rsidR="005A08E7" w:rsidRPr="00D16140" w:rsidRDefault="00CC4CEF" w:rsidP="00F52765">
      <w:r w:rsidRPr="00F52765">
        <w:t>Endeavour Energy</w:t>
      </w:r>
      <w:r w:rsidR="005A08E7" w:rsidRPr="00F52765">
        <w:t xml:space="preserve"> </w:t>
      </w:r>
      <w:r w:rsidR="005A08E7">
        <w:t>agrees with our approach to determining the return on equity. It involves</w:t>
      </w:r>
      <w:r w:rsidR="005A08E7" w:rsidRPr="00D16140">
        <w:t xml:space="preserve"> </w:t>
      </w:r>
      <w:r w:rsidR="005A08E7">
        <w:t xml:space="preserve">considering all of the information before us, through </w:t>
      </w:r>
      <w:r w:rsidR="005A08E7" w:rsidRPr="00D16140">
        <w:t xml:space="preserve">a six step process as set out in the Guideline (foundation model approach). </w:t>
      </w:r>
      <w:r w:rsidR="005A08E7">
        <w:t xml:space="preserve">This includes detailed consideration of a number of financial models for determining the return on </w:t>
      </w:r>
      <w:r w:rsidR="005A08E7" w:rsidRPr="00D16140">
        <w:t>equity.</w:t>
      </w:r>
      <w:r w:rsidR="00C32E55">
        <w:rPr>
          <w:rStyle w:val="FootnoteReference"/>
        </w:rPr>
        <w:footnoteReference w:id="41"/>
      </w:r>
      <w:r w:rsidR="005A08E7" w:rsidRPr="00D16140">
        <w:t xml:space="preserve"> </w:t>
      </w:r>
      <w:r w:rsidR="005A08E7">
        <w:t>Considering all of this material helps inform</w:t>
      </w:r>
      <w:r w:rsidR="005A08E7" w:rsidRPr="00D16140">
        <w:t xml:space="preserve"> </w:t>
      </w:r>
      <w:r w:rsidR="005A08E7">
        <w:t xml:space="preserve">a </w:t>
      </w:r>
      <w:r w:rsidR="005A08E7" w:rsidRPr="00D16140">
        <w:t>return on equity estimate that contribute</w:t>
      </w:r>
      <w:r w:rsidR="005A08E7">
        <w:t>s</w:t>
      </w:r>
      <w:r w:rsidR="005A08E7" w:rsidRPr="00D16140">
        <w:t xml:space="preserve"> to the </w:t>
      </w:r>
      <w:r w:rsidR="005A08E7">
        <w:t xml:space="preserve">achievement of the </w:t>
      </w:r>
      <w:r w:rsidR="002A16BD" w:rsidRPr="00823B8F">
        <w:t>allowed rate of return objective</w:t>
      </w:r>
      <w:r w:rsidR="005A08E7" w:rsidRPr="00D16140">
        <w:t>.</w:t>
      </w:r>
    </w:p>
    <w:p w:rsidR="005A08E7" w:rsidRPr="00D16140" w:rsidRDefault="00522079" w:rsidP="00117E02">
      <w:pPr>
        <w:numPr>
          <w:ilvl w:val="0"/>
          <w:numId w:val="24"/>
        </w:numPr>
      </w:pPr>
      <w:r>
        <w:t>We consider</w:t>
      </w:r>
      <w:r w:rsidR="005A08E7" w:rsidRPr="00D16140">
        <w:t xml:space="preserve"> that the </w:t>
      </w:r>
      <w:r w:rsidR="005A08E7">
        <w:t>Sharpe–Lintner capital asset pricing model (</w:t>
      </w:r>
      <w:r w:rsidR="005A08E7" w:rsidRPr="00D16140">
        <w:t>SLCAPM</w:t>
      </w:r>
      <w:r w:rsidR="005A08E7">
        <w:t>)</w:t>
      </w:r>
      <w:r w:rsidR="005A08E7" w:rsidRPr="00D16140">
        <w:t xml:space="preserve"> is the superior </w:t>
      </w:r>
      <w:r w:rsidR="005A08E7">
        <w:t xml:space="preserve">financial </w:t>
      </w:r>
      <w:r w:rsidR="005A08E7" w:rsidRPr="00D16140">
        <w:t>model in terms of estimating expected equity returns. We have therefore adopted this model as our foundatio</w:t>
      </w:r>
      <w:r w:rsidR="005A08E7">
        <w:t>n model. The expert evidence before us</w:t>
      </w:r>
      <w:r w:rsidR="005A08E7" w:rsidRPr="00D16140">
        <w:t xml:space="preserve"> </w:t>
      </w:r>
      <w:r w:rsidR="005A08E7">
        <w:t>indicates</w:t>
      </w:r>
      <w:r w:rsidR="005A08E7" w:rsidRPr="00D16140">
        <w:t xml:space="preserve"> that </w:t>
      </w:r>
      <w:r w:rsidR="00B85B27">
        <w:t xml:space="preserve">on balance </w:t>
      </w:r>
      <w:r w:rsidR="005A08E7" w:rsidRPr="00D16140">
        <w:t xml:space="preserve">employing our foundation model approach and using the SLCAPM as the foundation model is expected to lead to a rate of return that </w:t>
      </w:r>
      <w:r w:rsidR="005A08E7">
        <w:t>achieves</w:t>
      </w:r>
      <w:r w:rsidR="005A08E7" w:rsidRPr="00D16140">
        <w:t xml:space="preserve"> the </w:t>
      </w:r>
      <w:r w:rsidR="002A16BD" w:rsidRPr="00823B8F">
        <w:t>allowed rate of return objective</w:t>
      </w:r>
      <w:r w:rsidR="005A08E7" w:rsidRPr="00D16140">
        <w:t>.</w:t>
      </w:r>
      <w:r w:rsidR="005A08E7" w:rsidRPr="00D16140">
        <w:rPr>
          <w:rStyle w:val="FootnoteReference"/>
        </w:rPr>
        <w:footnoteReference w:id="42"/>
      </w:r>
    </w:p>
    <w:p w:rsidR="005A08E7" w:rsidRPr="005B749D" w:rsidRDefault="005A08E7" w:rsidP="00117E02">
      <w:pPr>
        <w:numPr>
          <w:ilvl w:val="0"/>
          <w:numId w:val="24"/>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 given time.</w:t>
      </w:r>
      <w:r w:rsidRPr="00D16140">
        <w:rPr>
          <w:rStyle w:val="FootnoteReference"/>
        </w:rPr>
        <w:footnoteReference w:id="43"/>
      </w:r>
      <w:r w:rsidRPr="00D16140">
        <w:t xml:space="preserve"> Our estimate of the ERP for the benchmark efficient entity is 4.55 per cent</w:t>
      </w:r>
      <w:r w:rsidR="00522079">
        <w:t xml:space="preserve"> which is within the range of other information available to inform the return on equity (see</w:t>
      </w:r>
      <w:r w:rsidRPr="00D16140">
        <w:t xml:space="preserve"> </w:t>
      </w:r>
      <w:r w:rsidR="00570784">
        <w:fldChar w:fldCharType="begin"/>
      </w:r>
      <w:r w:rsidR="00570784">
        <w:instrText xml:space="preserve"> REF _Ref416366101 \h </w:instrText>
      </w:r>
      <w:r w:rsidR="00570784">
        <w:fldChar w:fldCharType="separate"/>
      </w:r>
      <w:r w:rsidR="009D2F25">
        <w:t xml:space="preserve">Figure </w:t>
      </w:r>
      <w:r w:rsidR="009D2F25">
        <w:rPr>
          <w:noProof/>
        </w:rPr>
        <w:t>5</w:t>
      </w:r>
      <w:r w:rsidR="00570784">
        <w:fldChar w:fldCharType="end"/>
      </w:r>
      <w:r w:rsidR="00522079">
        <w:t xml:space="preserve">). A detailed explanation of our findings on </w:t>
      </w:r>
      <w:r w:rsidR="00B85B27">
        <w:t>r</w:t>
      </w:r>
      <w:r w:rsidR="00522079">
        <w:t xml:space="preserve">eturn on </w:t>
      </w:r>
      <w:r w:rsidR="00B85B27">
        <w:t>e</w:t>
      </w:r>
      <w:r w:rsidR="00522079">
        <w:t>quity and this figure can be found in attachment 3.</w:t>
      </w:r>
      <w:r w:rsidRPr="00D16140">
        <w:t xml:space="preserve"> </w:t>
      </w:r>
    </w:p>
    <w:p w:rsidR="005A08E7" w:rsidRPr="00D16140" w:rsidRDefault="00CC4CEF" w:rsidP="00CC4CEF">
      <w:pPr>
        <w:pStyle w:val="Caption"/>
      </w:pPr>
      <w:bookmarkStart w:id="122" w:name="_Ref416366101"/>
      <w:r>
        <w:t xml:space="preserve">Figure </w:t>
      </w:r>
      <w:r w:rsidR="0010003E">
        <w:fldChar w:fldCharType="begin"/>
      </w:r>
      <w:r w:rsidR="0010003E">
        <w:instrText xml:space="preserve"> SEQ Figure \* ARABIC </w:instrText>
      </w:r>
      <w:r w:rsidR="0010003E">
        <w:fldChar w:fldCharType="separate"/>
      </w:r>
      <w:r w:rsidR="009D2F25">
        <w:rPr>
          <w:noProof/>
        </w:rPr>
        <w:t>5</w:t>
      </w:r>
      <w:r w:rsidR="0010003E">
        <w:rPr>
          <w:noProof/>
        </w:rPr>
        <w:fldChar w:fldCharType="end"/>
      </w:r>
      <w:bookmarkEnd w:id="122"/>
      <w:r w:rsidR="005A08E7">
        <w:tab/>
      </w:r>
      <w:r w:rsidR="00570784">
        <w:t>Equity risk premium comparison</w:t>
      </w:r>
      <w:r w:rsidR="005A08E7" w:rsidRPr="00D16140">
        <w:tab/>
      </w:r>
    </w:p>
    <w:p w:rsidR="005A08E7" w:rsidRDefault="00570784" w:rsidP="005A08E7">
      <w:r w:rsidRPr="00570784">
        <w:rPr>
          <w:noProof/>
          <w:lang w:eastAsia="en-AU"/>
        </w:rPr>
        <w:drawing>
          <wp:inline distT="0" distB="0" distL="0" distR="0" wp14:anchorId="465DB81E" wp14:editId="146D2115">
            <wp:extent cx="5382895" cy="4285615"/>
            <wp:effectExtent l="0" t="0" r="825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4285615"/>
                    </a:xfrm>
                    <a:prstGeom prst="rect">
                      <a:avLst/>
                    </a:prstGeom>
                    <a:noFill/>
                    <a:ln>
                      <a:noFill/>
                    </a:ln>
                  </pic:spPr>
                </pic:pic>
              </a:graphicData>
            </a:graphic>
          </wp:inline>
        </w:drawing>
      </w:r>
    </w:p>
    <w:p w:rsidR="00570784" w:rsidRPr="00E5005D" w:rsidRDefault="00570784" w:rsidP="00570784">
      <w:pPr>
        <w:pStyle w:val="AERtablesource"/>
      </w:pPr>
      <w:r w:rsidRPr="00E5005D">
        <w:t>Source:</w:t>
      </w:r>
      <w:r w:rsidRPr="00E5005D">
        <w:tab/>
        <w:t>AER analysis and various submissions and reports.</w:t>
      </w:r>
    </w:p>
    <w:p w:rsidR="00570784" w:rsidRPr="00E5005D" w:rsidRDefault="00570784" w:rsidP="00570784">
      <w:pPr>
        <w:pStyle w:val="AERtablesource"/>
      </w:pPr>
      <w:r>
        <w:t xml:space="preserve">Notes: </w:t>
      </w:r>
      <w:r>
        <w:tab/>
        <w:t>The AER</w:t>
      </w:r>
      <w:r w:rsidRPr="00E5005D">
        <w:t xml:space="preserve"> foundation model </w:t>
      </w:r>
      <w:r>
        <w:t>equity risk premium (</w:t>
      </w:r>
      <w:r w:rsidRPr="00E5005D">
        <w:t>ERP</w:t>
      </w:r>
      <w:r>
        <w:t>)</w:t>
      </w:r>
      <w:r w:rsidRPr="00E5005D">
        <w:t xml:space="preserve"> range uses </w:t>
      </w:r>
      <w:r>
        <w:t>the</w:t>
      </w:r>
      <w:r w:rsidRPr="00E5005D">
        <w:t xml:space="preserve"> range</w:t>
      </w:r>
      <w:r>
        <w:t xml:space="preserve"> and point estimate for MRP and equity beta as set out in step three.</w:t>
      </w:r>
      <w:r w:rsidRPr="00E5005D">
        <w:t xml:space="preserve"> The </w:t>
      </w:r>
      <w:r>
        <w:t xml:space="preserve">calculation of the </w:t>
      </w:r>
      <w:r w:rsidRPr="00E5005D">
        <w:t>Wrig</w:t>
      </w:r>
      <w:r>
        <w:t>ht approach, debt premium, brokers, and other regulators ranges is outlined in Appendices A.1, A.2, A.4, and A.5 respectively</w:t>
      </w:r>
      <w:r w:rsidRPr="00E5005D">
        <w:t>.</w:t>
      </w:r>
    </w:p>
    <w:p w:rsidR="00570784" w:rsidRPr="00E5005D" w:rsidRDefault="00570784" w:rsidP="00570784">
      <w:pPr>
        <w:pStyle w:val="AERtablesource"/>
      </w:pPr>
      <w:r w:rsidRPr="00E5005D">
        <w:tab/>
      </w:r>
      <w:r>
        <w:t xml:space="preserve">Grant Samuel's final WACC range included </w:t>
      </w:r>
      <w:proofErr w:type="gramStart"/>
      <w:r>
        <w:t>an uplift</w:t>
      </w:r>
      <w:proofErr w:type="gramEnd"/>
      <w:r>
        <w:t xml:space="preserve">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Pr>
          <w:rStyle w:val="FootnoteReference"/>
        </w:rPr>
        <w:footnoteReference w:id="44"/>
      </w:r>
      <w:r w:rsidRPr="00E5005D">
        <w:t xml:space="preserve"> </w:t>
      </w:r>
    </w:p>
    <w:p w:rsidR="00570784" w:rsidRPr="00E5005D" w:rsidRDefault="00570784" w:rsidP="00570784">
      <w:pPr>
        <w:pStyle w:val="AERtablesource"/>
      </w:pPr>
      <w:r w:rsidRPr="00E5005D">
        <w:tab/>
        <w:t xml:space="preserve">The </w:t>
      </w:r>
      <w:r>
        <w:t>service provider proposals</w:t>
      </w:r>
      <w:r w:rsidRPr="00E5005D">
        <w:t xml:space="preserve"> range </w:t>
      </w:r>
      <w:r>
        <w:t>is based on the proposals from businesses for which we are making final or preliminary decisions in April–May 2015</w:t>
      </w:r>
      <w:r w:rsidRPr="00E5005D">
        <w:t>.</w:t>
      </w:r>
      <w:r>
        <w:rPr>
          <w:rStyle w:val="FootnoteReference"/>
        </w:rPr>
        <w:footnoteReference w:id="45"/>
      </w:r>
      <w:r>
        <w:t xml:space="preserve"> Equity risk premiums were calculated as the proposed return on equity less the risk free rate utilised in the service provider's proposed estimation approach.</w:t>
      </w:r>
      <w:r w:rsidRPr="00E5005D">
        <w:t xml:space="preserve"> </w:t>
      </w:r>
    </w:p>
    <w:p w:rsidR="00570784" w:rsidRPr="00E5005D" w:rsidRDefault="00570784" w:rsidP="00570784">
      <w:pPr>
        <w:pStyle w:val="AERtablesource"/>
      </w:pPr>
      <w:r w:rsidRPr="00E5005D">
        <w:tab/>
        <w:t xml:space="preserve">The CCP/stakeholder range is based on submissions </w:t>
      </w:r>
      <w:r>
        <w:t xml:space="preserve">made </w:t>
      </w:r>
      <w:r w:rsidRPr="00E5005D">
        <w:t>(not including service providers)</w:t>
      </w:r>
      <w:r>
        <w:t xml:space="preserve"> in relation to our final or preliminary decisions in April–May 2015</w:t>
      </w:r>
      <w:r w:rsidRPr="00E5005D">
        <w:t xml:space="preserve">. </w:t>
      </w:r>
      <w:r w:rsidRPr="00B84D85">
        <w:t xml:space="preserve">The lower bound is based on </w:t>
      </w:r>
      <w:r>
        <w:t>the Energy Users Association of Australia</w:t>
      </w:r>
      <w:r w:rsidRPr="00B84D85">
        <w:t xml:space="preserve"> submission</w:t>
      </w:r>
      <w:r>
        <w:t xml:space="preserve"> on NSW </w:t>
      </w:r>
      <w:proofErr w:type="gramStart"/>
      <w:r>
        <w:t>distributors</w:t>
      </w:r>
      <w:proofErr w:type="gramEnd"/>
      <w:r>
        <w:t xml:space="preserve"> revised proposals</w:t>
      </w:r>
      <w:r w:rsidRPr="00B84D85">
        <w:t xml:space="preserve">. The upper bound is based on Origin’s submission on </w:t>
      </w:r>
      <w:proofErr w:type="spellStart"/>
      <w:r w:rsidRPr="00B84D85">
        <w:t>ActewAGL’s</w:t>
      </w:r>
      <w:proofErr w:type="spellEnd"/>
      <w:r w:rsidRPr="00B84D85">
        <w:t xml:space="preserve"> proposal.</w:t>
      </w:r>
      <w:r w:rsidRPr="001E283E">
        <w:rPr>
          <w:rStyle w:val="FootnoteReference"/>
        </w:rPr>
        <w:footnoteReference w:id="46"/>
      </w:r>
    </w:p>
    <w:p w:rsidR="00360F32" w:rsidRDefault="00360F32" w:rsidP="00360F32">
      <w:pPr>
        <w:pStyle w:val="Heading2"/>
      </w:pPr>
      <w:bookmarkStart w:id="123" w:name="_Toc417917010"/>
      <w:r>
        <w:t>Value of imputation credits (gamma)</w:t>
      </w:r>
      <w:bookmarkEnd w:id="113"/>
      <w:bookmarkEnd w:id="114"/>
      <w:bookmarkEnd w:id="123"/>
    </w:p>
    <w:p w:rsidR="00360F32" w:rsidRDefault="00360F32" w:rsidP="00117E02">
      <w:pPr>
        <w:numPr>
          <w:ilvl w:val="0"/>
          <w:numId w:val="24"/>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47"/>
      </w:r>
      <w:r w:rsidRPr="00A3318E">
        <w:t xml:space="preserve"> </w:t>
      </w:r>
      <w:r w:rsidR="00102D45">
        <w:t>T</w:t>
      </w:r>
      <w:r w:rsidR="00102D45" w:rsidRPr="00E6002E">
        <w:t>hese are received after company income tax is paid, but before personal income tax is paid.</w:t>
      </w:r>
      <w:r w:rsidR="00102D45">
        <w:t xml:space="preserve">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360F32" w:rsidRDefault="00360F32" w:rsidP="00117E02">
      <w:pPr>
        <w:numPr>
          <w:ilvl w:val="0"/>
          <w:numId w:val="24"/>
        </w:numPr>
      </w:pPr>
      <w:r>
        <w:t xml:space="preserve">In determining a service provider's revenue allowance, the </w:t>
      </w:r>
      <w:r w:rsidR="00102D45">
        <w:t>NER</w:t>
      </w:r>
      <w:r>
        <w:t xml:space="preserve"> require</w:t>
      </w:r>
      <w:r w:rsidR="00102D45">
        <w:t>s</w:t>
      </w:r>
      <w:r>
        <w:t xml:space="preserve"> that the estimated cost of corporate income tax be estimated in accordance with a formula that reduces the estimated cost by the 'value of imputation credits'.</w:t>
      </w:r>
      <w:r>
        <w:rPr>
          <w:rStyle w:val="FootnoteReference"/>
        </w:rPr>
        <w:footnoteReference w:id="48"/>
      </w:r>
      <w:r>
        <w:t xml:space="preserve"> That is, the revenue allowance granted to a service provider to cover its expected tax liability must be reduced in a manner consistent with the value of imputation credits.</w:t>
      </w:r>
    </w:p>
    <w:p w:rsidR="00360F32" w:rsidRDefault="00360F32" w:rsidP="00117E02">
      <w:pPr>
        <w:numPr>
          <w:ilvl w:val="0"/>
          <w:numId w:val="24"/>
        </w:numPr>
      </w:pPr>
      <w:r>
        <w:t xml:space="preserve">We do not accept </w:t>
      </w:r>
      <w:r w:rsidR="00ED08BD">
        <w:t xml:space="preserve">Endeavour Energy's </w:t>
      </w:r>
      <w:r>
        <w:t>proposed value of imputation credits of 0.25. Instead, we adopt a value of imputation credits of 0.4.</w:t>
      </w:r>
    </w:p>
    <w:p w:rsidR="00102D45" w:rsidRDefault="00102D45" w:rsidP="00117E02">
      <w:pPr>
        <w:numPr>
          <w:ilvl w:val="0"/>
          <w:numId w:val="24"/>
        </w:numPr>
      </w:pPr>
      <w:r w:rsidRPr="00FC0F63">
        <w:t xml:space="preserve">Although we have broadly maintained the approach to determining the value of imputation credits set out in the </w:t>
      </w:r>
      <w:r>
        <w:t>Rate of Return Guideline</w:t>
      </w:r>
      <w:r w:rsidRPr="00FC0F63">
        <w:t xml:space="preserve">, we have re-examined the relevant evidence and estimates. This re-examination, and new advice and evidence considered for the first time since the </w:t>
      </w:r>
      <w:r>
        <w:t>Guideline</w:t>
      </w:r>
      <w:r w:rsidRPr="00FC0F63">
        <w:t xml:space="preserve">, led us to depart from the value of 0.5 in the </w:t>
      </w:r>
      <w:r>
        <w:t>Guideline</w:t>
      </w:r>
      <w:r w:rsidRPr="00FC0F63">
        <w:t xml:space="preserve">. Most notably, our updated consideration of the relevant advice and evidence led us to generally lower estimates of the ‘utilisation rate’ </w:t>
      </w:r>
      <w:r w:rsidR="00B85B27">
        <w:t>from</w:t>
      </w:r>
      <w:r w:rsidR="00B85B27" w:rsidRPr="00FC0F63">
        <w:t xml:space="preserve"> </w:t>
      </w:r>
      <w:r w:rsidRPr="00FC0F63">
        <w:t xml:space="preserve">the 0.7 estimate in the </w:t>
      </w:r>
      <w:r>
        <w:t>Guideline</w:t>
      </w:r>
      <w:r w:rsidRPr="00FC0F63">
        <w:t>.</w:t>
      </w:r>
      <w:r>
        <w:t xml:space="preserve"> </w:t>
      </w:r>
    </w:p>
    <w:p w:rsidR="00360F32" w:rsidRPr="003C2542" w:rsidRDefault="00360F32" w:rsidP="00B1408C">
      <w:r>
        <w:t xml:space="preserve">Estimating the value of imputation credits is a complex and imprecise task. There is no consensus among experts on the appropriate value or estimation techniques to use. </w:t>
      </w:r>
    </w:p>
    <w:p w:rsidR="00360F32" w:rsidRDefault="00360F32" w:rsidP="00117E02">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360F32" w:rsidRPr="00B10087" w:rsidRDefault="00360F32" w:rsidP="00360F32">
      <w:pPr>
        <w:pStyle w:val="AERbulletlistfirststyle"/>
      </w:pPr>
      <w:r w:rsidRPr="00222B8F">
        <w:t>The proportion of Australian equity held by domestic investors (the 'equity ownership approach')</w:t>
      </w:r>
      <w:r w:rsidRPr="00B10087">
        <w:t>.</w:t>
      </w:r>
    </w:p>
    <w:p w:rsidR="00360F32" w:rsidRPr="00B10087" w:rsidRDefault="00360F32" w:rsidP="00360F32">
      <w:pPr>
        <w:pStyle w:val="AERbulletlistfirststyle"/>
      </w:pPr>
      <w:r w:rsidRPr="00222B8F">
        <w:t xml:space="preserve">The reported value of credits utilised by investors in </w:t>
      </w:r>
      <w:r w:rsidRPr="00B10087">
        <w:t>Australian Taxation Office (ATO) statistics ('tax statistics').</w:t>
      </w:r>
    </w:p>
    <w:p w:rsidR="00360F32" w:rsidRPr="00B10087" w:rsidRDefault="00360F32" w:rsidP="00360F32">
      <w:pPr>
        <w:pStyle w:val="AERbulletlistfirststyle"/>
      </w:pPr>
      <w:r>
        <w:t>Implied market value studies—there is no separate market in which imputation credits are traded, and therefore there is no observable market price for imputation credits.</w:t>
      </w:r>
    </w:p>
    <w:p w:rsidR="00360F32" w:rsidRPr="009229E7" w:rsidRDefault="00360F32" w:rsidP="00117E02">
      <w:pPr>
        <w:numPr>
          <w:ilvl w:val="0"/>
          <w:numId w:val="24"/>
        </w:numPr>
      </w:pPr>
      <w:r>
        <w:t>In estimating the utilisation rate, we place:</w:t>
      </w:r>
    </w:p>
    <w:p w:rsidR="00360F32" w:rsidRPr="00B10087" w:rsidRDefault="00360F32" w:rsidP="00360F32">
      <w:pPr>
        <w:pStyle w:val="AERbulletlistfirststyle"/>
      </w:pPr>
      <w:r>
        <w:t>significant reliance upon the equity ownership approach</w:t>
      </w:r>
    </w:p>
    <w:p w:rsidR="00360F32" w:rsidRPr="00B10087" w:rsidRDefault="00360F32" w:rsidP="00360F32">
      <w:pPr>
        <w:pStyle w:val="AERbulletlistfirststyle"/>
      </w:pPr>
      <w:r>
        <w:t>some reliance upon tax statistics, and</w:t>
      </w:r>
    </w:p>
    <w:p w:rsidR="00360F32" w:rsidRPr="00B10087" w:rsidRDefault="00360F32" w:rsidP="00360F32">
      <w:pPr>
        <w:pStyle w:val="AERbulletlistfirststyle"/>
      </w:pPr>
      <w:proofErr w:type="gramStart"/>
      <w:r>
        <w:t>less</w:t>
      </w:r>
      <w:proofErr w:type="gramEnd"/>
      <w:r>
        <w:t xml:space="preserve"> reliance upon implied market value studies.</w:t>
      </w:r>
    </w:p>
    <w:p w:rsidR="00360F32" w:rsidRDefault="00360F32" w:rsidP="00117E02">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360F32" w:rsidRPr="00730504" w:rsidRDefault="00360F32" w:rsidP="00360F32">
      <w:pPr>
        <w:pStyle w:val="AERbulletlistfirststyle"/>
      </w:pPr>
      <w:r>
        <w:t>The equity ownership approach, on which we have placed the most reliance, suggests a value between 0.40 and 0.47 when applied to all equity and between 0.31 and 0.44 when applied to only listed equity. Therefore, t</w:t>
      </w:r>
      <w:r w:rsidRPr="00730504">
        <w:t xml:space="preserve">he </w:t>
      </w:r>
      <w:r>
        <w:t>overlap</w:t>
      </w:r>
      <w:r w:rsidRPr="00730504">
        <w:t xml:space="preserve"> of </w:t>
      </w:r>
      <w:r>
        <w:t xml:space="preserve">the </w:t>
      </w:r>
      <w:r w:rsidRPr="00730504">
        <w:t>evidence from the equity ownership a</w:t>
      </w:r>
      <w:r>
        <w:t>pproach suggests a value between 0.40 and 0.44</w:t>
      </w:r>
      <w:r w:rsidRPr="00730504">
        <w:t>.</w:t>
      </w:r>
    </w:p>
    <w:p w:rsidR="00360F32" w:rsidRDefault="00360F32" w:rsidP="00360F32">
      <w:pPr>
        <w:pStyle w:val="AERbulletlistfirststyle"/>
      </w:pPr>
      <w:r>
        <w:t>The evidence from tax statistics suggests</w:t>
      </w:r>
      <w:r w:rsidRPr="00730504">
        <w:t xml:space="preserve"> the value could be lower than 0.4. Therefore</w:t>
      </w:r>
      <w:r>
        <w:t>, with regard to this evidence and the less reliance we place on it,</w:t>
      </w:r>
      <w:r w:rsidRPr="00730504">
        <w:t xml:space="preserve"> we choose a value at the lower e</w:t>
      </w:r>
      <w:r>
        <w:t>nd of the range suggested by the overlap</w:t>
      </w:r>
      <w:r w:rsidRPr="00730504">
        <w:t xml:space="preserve"> of evidence from the equity ownership approach (that is, 0.4).</w:t>
      </w:r>
    </w:p>
    <w:p w:rsidR="00360F32" w:rsidRPr="00730504" w:rsidRDefault="00360F32" w:rsidP="00360F32">
      <w:pPr>
        <w:pStyle w:val="AERbulletlistfirststyle"/>
      </w:pPr>
      <w:r w:rsidRPr="00884B75">
        <w:t xml:space="preserve">An estimate of 0.4 is reasonable in light of both higher and lower estimates from implied market value studies and the lesser degree of reliance we place on </w:t>
      </w:r>
      <w:r>
        <w:t>these studies</w:t>
      </w:r>
      <w:r w:rsidRPr="00884B75">
        <w:t xml:space="preserve">. </w:t>
      </w:r>
      <w:r>
        <w:t>T</w:t>
      </w:r>
      <w:r w:rsidRPr="00884B75">
        <w:t xml:space="preserve">he service providers submitted evidence to support placing more reliance on SFG’s dividend drop off study relative to other implied market value studies. </w:t>
      </w:r>
      <w:r>
        <w:t>However</w:t>
      </w:r>
      <w:r w:rsidRPr="00884B75">
        <w:t xml:space="preserve">, we consider that neither the difference from 0.4 of the estimate from this study (0.32) nor </w:t>
      </w:r>
      <w:r>
        <w:t>any</w:t>
      </w:r>
      <w:r w:rsidRPr="00884B75">
        <w:t xml:space="preserve"> increased reliance </w:t>
      </w:r>
      <w:r>
        <w:t>we might place on it</w:t>
      </w:r>
      <w:r w:rsidRPr="00884B75">
        <w:t xml:space="preserve"> </w:t>
      </w:r>
      <w:r>
        <w:t xml:space="preserve">relative to other implied market value studies </w:t>
      </w:r>
      <w:r w:rsidRPr="00884B75">
        <w:t>are sufficient to warrant an estimate lower than 0.4.</w:t>
      </w:r>
    </w:p>
    <w:p w:rsidR="00360F32" w:rsidRPr="009F4C42" w:rsidRDefault="00360F32" w:rsidP="00360F32">
      <w:pPr>
        <w:pStyle w:val="Heading2"/>
      </w:pPr>
      <w:bookmarkStart w:id="124" w:name="_Toc404437135"/>
      <w:bookmarkStart w:id="125" w:name="_Toc411428038"/>
      <w:bookmarkStart w:id="126" w:name="_Toc417917011"/>
      <w:r w:rsidRPr="009F4C42">
        <w:t>Regulatory depreciation</w:t>
      </w:r>
      <w:bookmarkEnd w:id="115"/>
      <w:r>
        <w:t xml:space="preserve"> (return of capital)</w:t>
      </w:r>
      <w:bookmarkEnd w:id="124"/>
      <w:bookmarkEnd w:id="125"/>
      <w:bookmarkEnd w:id="126"/>
    </w:p>
    <w:p w:rsidR="00360F32" w:rsidRDefault="00360F32" w:rsidP="00360F32">
      <w:pPr>
        <w:rPr>
          <w:rStyle w:val="AERbody"/>
        </w:rPr>
      </w:pPr>
      <w:r w:rsidRPr="00725D66">
        <w:t xml:space="preserve">Depreciation is the allowance provided so that capital investors recover their investment over the economic life of the asset (return of capital). We are required to decide on whether to approve the depreciation schedules submitted by </w:t>
      </w:r>
      <w:r w:rsidR="007E1717">
        <w:t>Endeavour Energy</w:t>
      </w:r>
      <w:r w:rsidRPr="00725D66">
        <w:t>.</w:t>
      </w:r>
      <w:r w:rsidRPr="00A43B97">
        <w:rPr>
          <w:rStyle w:val="AERsuperscript"/>
        </w:rPr>
        <w:footnoteReference w:id="49"/>
      </w:r>
      <w:r w:rsidRPr="00725D66">
        <w:t xml:space="preserve"> In doing so, we make determinations on the indexation of the </w:t>
      </w:r>
      <w:r w:rsidR="00102D45">
        <w:t>RAB</w:t>
      </w:r>
      <w:r w:rsidRPr="00725D66">
        <w:t xml:space="preserve"> and depreciation building blocks for </w:t>
      </w:r>
      <w:r w:rsidR="007E1717">
        <w:t>Endeavour Energy</w:t>
      </w:r>
      <w:r w:rsidR="007E1717" w:rsidRPr="00725D66">
        <w:t xml:space="preserve">'s </w:t>
      </w:r>
      <w:r w:rsidRPr="00725D66">
        <w:t>2014–19 period. The regulatory depreciation allowance is the net total of straight-line depreciation (negative) less the indexation of the RAB (positive).</w:t>
      </w:r>
    </w:p>
    <w:p w:rsidR="00360F32" w:rsidRDefault="00152683" w:rsidP="00360F32">
      <w:pPr>
        <w:rPr>
          <w:rStyle w:val="AERbody"/>
        </w:rPr>
      </w:pPr>
      <w:r>
        <w:t>While we accept Endeavour Energy's approach to determining its regulatory depreciation, our fin</w:t>
      </w:r>
      <w:r w:rsidR="00B92377">
        <w:t>al decision</w:t>
      </w:r>
      <w:r>
        <w:t xml:space="preserve"> on the forecast inflation rate (attachment 3) result</w:t>
      </w:r>
      <w:r w:rsidR="00B92377">
        <w:t>s</w:t>
      </w:r>
      <w:r>
        <w:t xml:space="preserve"> in a different </w:t>
      </w:r>
      <w:r w:rsidR="00B92377">
        <w:t>amount</w:t>
      </w:r>
      <w:r>
        <w:t xml:space="preserve"> of regulatory depreciation than that proposed by Endeavour Energy. </w:t>
      </w:r>
      <w:r w:rsidR="00A34A5A">
        <w:rPr>
          <w:rStyle w:val="AERbody"/>
        </w:rPr>
        <w:t xml:space="preserve">Endeavour Energy's </w:t>
      </w:r>
      <w:r w:rsidR="00360F32">
        <w:rPr>
          <w:rStyle w:val="AERbody"/>
        </w:rPr>
        <w:t>revised propos</w:t>
      </w:r>
      <w:r>
        <w:rPr>
          <w:rStyle w:val="AERbody"/>
        </w:rPr>
        <w:t xml:space="preserve">al for </w:t>
      </w:r>
      <w:r w:rsidR="00360F32">
        <w:rPr>
          <w:rStyle w:val="AERbody"/>
        </w:rPr>
        <w:t xml:space="preserve">regulatory depreciation allowance </w:t>
      </w:r>
      <w:r>
        <w:rPr>
          <w:rStyle w:val="AERbody"/>
        </w:rPr>
        <w:t>is</w:t>
      </w:r>
      <w:r w:rsidR="00360F32">
        <w:rPr>
          <w:rStyle w:val="AERbody"/>
        </w:rPr>
        <w:t xml:space="preserve"> $</w:t>
      </w:r>
      <w:r w:rsidR="00A34A5A">
        <w:rPr>
          <w:rStyle w:val="AERbody"/>
        </w:rPr>
        <w:t>397.4</w:t>
      </w:r>
      <w:r w:rsidR="00B92377">
        <w:rPr>
          <w:rStyle w:val="AERbody"/>
        </w:rPr>
        <w:t xml:space="preserve"> </w:t>
      </w:r>
      <w:r w:rsidR="00360F32">
        <w:rPr>
          <w:rStyle w:val="AERbody"/>
        </w:rPr>
        <w:t xml:space="preserve">million ($ nominal) for the 2014–19 period. </w:t>
      </w:r>
      <w:r>
        <w:rPr>
          <w:rStyle w:val="AERbody"/>
        </w:rPr>
        <w:t>We have</w:t>
      </w:r>
      <w:r w:rsidR="00360F32">
        <w:rPr>
          <w:rStyle w:val="AERbody"/>
        </w:rPr>
        <w:t xml:space="preserve"> determine</w:t>
      </w:r>
      <w:r>
        <w:rPr>
          <w:rStyle w:val="AERbody"/>
        </w:rPr>
        <w:t>d</w:t>
      </w:r>
      <w:r w:rsidR="00360F32">
        <w:rPr>
          <w:rStyle w:val="AERbody"/>
        </w:rPr>
        <w:t xml:space="preserve"> a regulatory depreciation allowance of $</w:t>
      </w:r>
      <w:r w:rsidR="00A34A5A">
        <w:rPr>
          <w:rStyle w:val="AERbody"/>
        </w:rPr>
        <w:t xml:space="preserve">431.7 </w:t>
      </w:r>
      <w:r w:rsidR="00360F32">
        <w:rPr>
          <w:rStyle w:val="AERbody"/>
        </w:rPr>
        <w:t xml:space="preserve">million ($ nominal) as shown in </w:t>
      </w:r>
      <w:r w:rsidR="00CC4CEF">
        <w:rPr>
          <w:rStyle w:val="AERbody"/>
        </w:rPr>
        <w:fldChar w:fldCharType="begin"/>
      </w:r>
      <w:r w:rsidR="00CC4CEF">
        <w:rPr>
          <w:rStyle w:val="AERbody"/>
        </w:rPr>
        <w:instrText xml:space="preserve"> REF _Ref404257574 \h </w:instrText>
      </w:r>
      <w:r w:rsidR="00CC4CEF">
        <w:rPr>
          <w:rStyle w:val="AERbody"/>
        </w:rPr>
      </w:r>
      <w:r w:rsidR="00CC4CEF">
        <w:rPr>
          <w:rStyle w:val="AERbody"/>
        </w:rPr>
        <w:fldChar w:fldCharType="separate"/>
      </w:r>
      <w:r w:rsidR="009D2F25">
        <w:t xml:space="preserve">Table </w:t>
      </w:r>
      <w:r w:rsidR="009D2F25">
        <w:rPr>
          <w:noProof/>
        </w:rPr>
        <w:t>6</w:t>
      </w:r>
      <w:r w:rsidR="00CC4CEF">
        <w:rPr>
          <w:rStyle w:val="AERbody"/>
        </w:rPr>
        <w:fldChar w:fldCharType="end"/>
      </w:r>
      <w:r w:rsidR="00360F32">
        <w:rPr>
          <w:rStyle w:val="AERbody"/>
        </w:rPr>
        <w:t>.</w:t>
      </w:r>
    </w:p>
    <w:p w:rsidR="00360F32" w:rsidRPr="00A96E59" w:rsidRDefault="00A96E59" w:rsidP="00A51FB9">
      <w:pPr>
        <w:pStyle w:val="Caption"/>
        <w:rPr>
          <w:rStyle w:val="Strong"/>
          <w:b/>
          <w:bCs/>
        </w:rPr>
      </w:pPr>
      <w:bookmarkStart w:id="127" w:name="_Ref404257574"/>
      <w:r>
        <w:t xml:space="preserve">Table </w:t>
      </w:r>
      <w:r w:rsidR="0010003E">
        <w:fldChar w:fldCharType="begin"/>
      </w:r>
      <w:r w:rsidR="0010003E">
        <w:instrText xml:space="preserve"> SEQ Table \* ARABIC </w:instrText>
      </w:r>
      <w:r w:rsidR="0010003E">
        <w:fldChar w:fldCharType="separate"/>
      </w:r>
      <w:r w:rsidR="009D2F25">
        <w:rPr>
          <w:noProof/>
        </w:rPr>
        <w:t>6</w:t>
      </w:r>
      <w:r w:rsidR="0010003E">
        <w:rPr>
          <w:noProof/>
        </w:rPr>
        <w:fldChar w:fldCharType="end"/>
      </w:r>
      <w:bookmarkEnd w:id="127"/>
      <w:r>
        <w:tab/>
      </w:r>
      <w:r w:rsidR="00360F32" w:rsidRPr="00A51FB9">
        <w:rPr>
          <w:rStyle w:val="Strong"/>
          <w:b/>
          <w:bCs/>
        </w:rPr>
        <w:t xml:space="preserve">AER's final decision on </w:t>
      </w:r>
      <w:r w:rsidR="00A34A5A" w:rsidRPr="00A51FB9">
        <w:rPr>
          <w:rStyle w:val="Strong"/>
          <w:b/>
          <w:bCs/>
        </w:rPr>
        <w:t xml:space="preserve">Endeavour Energy's </w:t>
      </w:r>
      <w:r w:rsidR="00360F32" w:rsidRPr="00A51FB9">
        <w:rPr>
          <w:rStyle w:val="Strong"/>
          <w:b/>
          <w:bCs/>
        </w:rPr>
        <w:t>depreciation allowance for the 2014–19 period ($ million, nominal)</w:t>
      </w:r>
    </w:p>
    <w:tbl>
      <w:tblPr>
        <w:tblStyle w:val="AERtable-numbers"/>
        <w:tblW w:w="5000" w:type="pct"/>
        <w:tblLook w:val="04A0" w:firstRow="1" w:lastRow="0" w:firstColumn="1" w:lastColumn="0" w:noHBand="0" w:noVBand="1"/>
      </w:tblPr>
      <w:tblGrid>
        <w:gridCol w:w="3487"/>
        <w:gridCol w:w="868"/>
        <w:gridCol w:w="868"/>
        <w:gridCol w:w="868"/>
        <w:gridCol w:w="868"/>
        <w:gridCol w:w="868"/>
        <w:gridCol w:w="866"/>
      </w:tblGrid>
      <w:tr w:rsidR="00360F32" w:rsidRPr="00A51FB9" w:rsidTr="0043067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6" w:type="pct"/>
            <w:noWrap/>
            <w:hideMark/>
          </w:tcPr>
          <w:p w:rsidR="00360F32" w:rsidRPr="00A51FB9" w:rsidRDefault="00360F32" w:rsidP="00A51FB9">
            <w:r w:rsidRPr="00A51FB9">
              <w:t> </w:t>
            </w:r>
          </w:p>
        </w:tc>
        <w:tc>
          <w:tcPr>
            <w:tcW w:w="49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2014–15</w:t>
            </w:r>
          </w:p>
        </w:tc>
        <w:tc>
          <w:tcPr>
            <w:tcW w:w="49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2015–16</w:t>
            </w:r>
          </w:p>
        </w:tc>
        <w:tc>
          <w:tcPr>
            <w:tcW w:w="49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2016–17</w:t>
            </w:r>
          </w:p>
        </w:tc>
        <w:tc>
          <w:tcPr>
            <w:tcW w:w="49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2017–18</w:t>
            </w:r>
          </w:p>
        </w:tc>
        <w:tc>
          <w:tcPr>
            <w:tcW w:w="49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2018–19</w:t>
            </w:r>
          </w:p>
        </w:tc>
        <w:tc>
          <w:tcPr>
            <w:tcW w:w="498"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Total</w:t>
            </w:r>
          </w:p>
        </w:tc>
      </w:tr>
      <w:tr w:rsidR="00430678" w:rsidRPr="00A51FB9" w:rsidTr="00430678">
        <w:trPr>
          <w:trHeight w:val="300"/>
        </w:trPr>
        <w:tc>
          <w:tcPr>
            <w:cnfStyle w:val="001000000000" w:firstRow="0" w:lastRow="0" w:firstColumn="1" w:lastColumn="0" w:oddVBand="0" w:evenVBand="0" w:oddHBand="0" w:evenHBand="0" w:firstRowFirstColumn="0" w:firstRowLastColumn="0" w:lastRowFirstColumn="0" w:lastRowLastColumn="0"/>
            <w:tcW w:w="2006" w:type="pct"/>
            <w:noWrap/>
            <w:hideMark/>
          </w:tcPr>
          <w:p w:rsidR="00430678" w:rsidRPr="00430678" w:rsidRDefault="00430678" w:rsidP="00430678">
            <w:r w:rsidRPr="00430678">
              <w:t>Straight-line depreciation</w:t>
            </w:r>
          </w:p>
        </w:tc>
        <w:tc>
          <w:tcPr>
            <w:tcW w:w="499" w:type="pct"/>
            <w:noWrap/>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202.1</w:t>
            </w:r>
          </w:p>
        </w:tc>
        <w:tc>
          <w:tcPr>
            <w:tcW w:w="499" w:type="pct"/>
            <w:noWrap/>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220.4</w:t>
            </w:r>
          </w:p>
        </w:tc>
        <w:tc>
          <w:tcPr>
            <w:tcW w:w="499" w:type="pct"/>
            <w:noWrap/>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237.8</w:t>
            </w:r>
          </w:p>
        </w:tc>
        <w:tc>
          <w:tcPr>
            <w:tcW w:w="499" w:type="pct"/>
            <w:noWrap/>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247.2</w:t>
            </w:r>
          </w:p>
        </w:tc>
        <w:tc>
          <w:tcPr>
            <w:tcW w:w="499" w:type="pct"/>
            <w:noWrap/>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258.5</w:t>
            </w:r>
          </w:p>
        </w:tc>
        <w:tc>
          <w:tcPr>
            <w:tcW w:w="498" w:type="pct"/>
            <w:noWrap/>
            <w:vAlign w:val="bottom"/>
          </w:tcPr>
          <w:p w:rsidR="00430678" w:rsidRPr="00430678" w:rsidRDefault="00430678" w:rsidP="00430678">
            <w:pPr>
              <w:cnfStyle w:val="000000000000" w:firstRow="0" w:lastRow="0" w:firstColumn="0" w:lastColumn="0" w:oddVBand="0" w:evenVBand="0" w:oddHBand="0" w:evenHBand="0" w:firstRowFirstColumn="0" w:firstRowLastColumn="0" w:lastRowFirstColumn="0" w:lastRowLastColumn="0"/>
            </w:pPr>
            <w:r w:rsidRPr="00430678">
              <w:t>1166.0</w:t>
            </w:r>
          </w:p>
        </w:tc>
      </w:tr>
      <w:tr w:rsidR="00430678" w:rsidRPr="00A51FB9" w:rsidTr="0043067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6" w:type="pct"/>
            <w:noWrap/>
            <w:hideMark/>
          </w:tcPr>
          <w:p w:rsidR="00430678" w:rsidRPr="00430678" w:rsidRDefault="00430678" w:rsidP="00430678">
            <w:r w:rsidRPr="00430678">
              <w:t>Less: inflation indexation on opening RAB</w:t>
            </w:r>
          </w:p>
        </w:tc>
        <w:tc>
          <w:tcPr>
            <w:tcW w:w="499" w:type="pct"/>
            <w:noWrap/>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132.8</w:t>
            </w:r>
          </w:p>
        </w:tc>
        <w:tc>
          <w:tcPr>
            <w:tcW w:w="499" w:type="pct"/>
            <w:noWrap/>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141.5</w:t>
            </w:r>
          </w:p>
        </w:tc>
        <w:tc>
          <w:tcPr>
            <w:tcW w:w="499" w:type="pct"/>
            <w:noWrap/>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148.1</w:t>
            </w:r>
          </w:p>
        </w:tc>
        <w:tc>
          <w:tcPr>
            <w:tcW w:w="499" w:type="pct"/>
            <w:noWrap/>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153.4</w:t>
            </w:r>
          </w:p>
        </w:tc>
        <w:tc>
          <w:tcPr>
            <w:tcW w:w="499" w:type="pct"/>
            <w:noWrap/>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158.5</w:t>
            </w:r>
          </w:p>
        </w:tc>
        <w:tc>
          <w:tcPr>
            <w:tcW w:w="498" w:type="pct"/>
            <w:noWrap/>
            <w:vAlign w:val="bottom"/>
          </w:tcPr>
          <w:p w:rsidR="00430678" w:rsidRPr="00430678" w:rsidRDefault="00430678" w:rsidP="00430678">
            <w:pPr>
              <w:cnfStyle w:val="000000010000" w:firstRow="0" w:lastRow="0" w:firstColumn="0" w:lastColumn="0" w:oddVBand="0" w:evenVBand="0" w:oddHBand="0" w:evenHBand="1" w:firstRowFirstColumn="0" w:firstRowLastColumn="0" w:lastRowFirstColumn="0" w:lastRowLastColumn="0"/>
            </w:pPr>
            <w:r w:rsidRPr="00430678">
              <w:t>734.3</w:t>
            </w:r>
          </w:p>
        </w:tc>
      </w:tr>
      <w:tr w:rsidR="00430678" w:rsidRPr="00A547FC" w:rsidTr="00430678">
        <w:trPr>
          <w:trHeight w:val="300"/>
        </w:trPr>
        <w:tc>
          <w:tcPr>
            <w:cnfStyle w:val="001000000000" w:firstRow="0" w:lastRow="0" w:firstColumn="1" w:lastColumn="0" w:oddVBand="0" w:evenVBand="0" w:oddHBand="0" w:evenHBand="0" w:firstRowFirstColumn="0" w:firstRowLastColumn="0" w:lastRowFirstColumn="0" w:lastRowLastColumn="0"/>
            <w:tcW w:w="2006" w:type="pct"/>
            <w:noWrap/>
            <w:hideMark/>
          </w:tcPr>
          <w:p w:rsidR="00430678" w:rsidRPr="00A547FC" w:rsidRDefault="00430678" w:rsidP="00B92377">
            <w:pPr>
              <w:rPr>
                <w:rStyle w:val="Strong"/>
              </w:rPr>
            </w:pPr>
            <w:r w:rsidRPr="00A547FC">
              <w:rPr>
                <w:rStyle w:val="Strong"/>
              </w:rPr>
              <w:t>Regulatory depreciation</w:t>
            </w:r>
          </w:p>
        </w:tc>
        <w:tc>
          <w:tcPr>
            <w:tcW w:w="499" w:type="pct"/>
            <w:noWrap/>
            <w:vAlign w:val="bottom"/>
          </w:tcPr>
          <w:p w:rsidR="00430678" w:rsidRPr="00A547FC" w:rsidRDefault="00430678" w:rsidP="00B92377">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69.3</w:t>
            </w:r>
          </w:p>
        </w:tc>
        <w:tc>
          <w:tcPr>
            <w:tcW w:w="499" w:type="pct"/>
            <w:noWrap/>
            <w:vAlign w:val="bottom"/>
          </w:tcPr>
          <w:p w:rsidR="00430678" w:rsidRPr="00A547FC" w:rsidRDefault="00430678" w:rsidP="00B92377">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78.9</w:t>
            </w:r>
          </w:p>
        </w:tc>
        <w:tc>
          <w:tcPr>
            <w:tcW w:w="499" w:type="pct"/>
            <w:noWrap/>
            <w:vAlign w:val="bottom"/>
          </w:tcPr>
          <w:p w:rsidR="00430678" w:rsidRPr="00A547FC" w:rsidRDefault="00430678" w:rsidP="00B92377">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89.7</w:t>
            </w:r>
          </w:p>
        </w:tc>
        <w:tc>
          <w:tcPr>
            <w:tcW w:w="499" w:type="pct"/>
            <w:noWrap/>
            <w:vAlign w:val="bottom"/>
          </w:tcPr>
          <w:p w:rsidR="00430678" w:rsidRPr="00A547FC" w:rsidRDefault="00430678" w:rsidP="00B92377">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93.8</w:t>
            </w:r>
          </w:p>
        </w:tc>
        <w:tc>
          <w:tcPr>
            <w:tcW w:w="499" w:type="pct"/>
            <w:noWrap/>
            <w:vAlign w:val="bottom"/>
          </w:tcPr>
          <w:p w:rsidR="00430678" w:rsidRPr="00A547FC" w:rsidRDefault="00430678" w:rsidP="00B92377">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100.0</w:t>
            </w:r>
          </w:p>
        </w:tc>
        <w:tc>
          <w:tcPr>
            <w:tcW w:w="498" w:type="pct"/>
            <w:noWrap/>
            <w:vAlign w:val="bottom"/>
          </w:tcPr>
          <w:p w:rsidR="00430678" w:rsidRPr="00A547FC" w:rsidRDefault="00430678" w:rsidP="00B92377">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431.7</w:t>
            </w:r>
          </w:p>
        </w:tc>
      </w:tr>
    </w:tbl>
    <w:p w:rsidR="00360F32" w:rsidRPr="00A51FB9" w:rsidRDefault="00360F32" w:rsidP="00A51FB9">
      <w:pPr>
        <w:pStyle w:val="AERtablesource"/>
        <w:rPr>
          <w:rStyle w:val="AERbody"/>
          <w:sz w:val="16"/>
        </w:rPr>
      </w:pPr>
      <w:r w:rsidRPr="00A51FB9">
        <w:rPr>
          <w:rStyle w:val="Strong"/>
          <w:b w:val="0"/>
          <w:bCs w:val="0"/>
        </w:rPr>
        <w:t>Source:</w:t>
      </w:r>
      <w:r w:rsidRPr="00A51FB9">
        <w:rPr>
          <w:rStyle w:val="Strong"/>
          <w:b w:val="0"/>
          <w:bCs w:val="0"/>
        </w:rPr>
        <w:tab/>
        <w:t>AER analysis.</w:t>
      </w:r>
    </w:p>
    <w:p w:rsidR="00360F32" w:rsidRPr="009776F4" w:rsidRDefault="00360F32" w:rsidP="00360F32">
      <w:pPr>
        <w:rPr>
          <w:rStyle w:val="AERbody"/>
        </w:rPr>
      </w:pPr>
      <w:r>
        <w:t xml:space="preserve">Details of our </w:t>
      </w:r>
      <w:r w:rsidR="001440F6">
        <w:t>final decision on</w:t>
      </w:r>
      <w:r w:rsidR="00B92377">
        <w:t xml:space="preserve"> </w:t>
      </w:r>
      <w:r>
        <w:t xml:space="preserve">the regulatory depreciation allowance are set out in attachment 5. </w:t>
      </w:r>
      <w:r>
        <w:rPr>
          <w:rStyle w:val="AERbody"/>
        </w:rPr>
        <w:t xml:space="preserve"> </w:t>
      </w:r>
    </w:p>
    <w:p w:rsidR="00360F32" w:rsidRDefault="00360F32" w:rsidP="00360F32">
      <w:pPr>
        <w:pStyle w:val="Heading2"/>
      </w:pPr>
      <w:bookmarkStart w:id="128" w:name="_Toc402535821"/>
      <w:bookmarkStart w:id="129" w:name="_Toc402535822"/>
      <w:bookmarkStart w:id="130" w:name="_Toc390936287"/>
      <w:bookmarkStart w:id="131" w:name="_Toc404437138"/>
      <w:bookmarkStart w:id="132" w:name="_Toc411428041"/>
      <w:bookmarkStart w:id="133" w:name="_Toc417917012"/>
      <w:bookmarkEnd w:id="128"/>
      <w:bookmarkEnd w:id="129"/>
      <w:r w:rsidRPr="009F4C42">
        <w:t>Capital expenditure</w:t>
      </w:r>
      <w:bookmarkEnd w:id="130"/>
      <w:bookmarkEnd w:id="131"/>
      <w:bookmarkEnd w:id="132"/>
      <w:bookmarkEnd w:id="133"/>
    </w:p>
    <w:p w:rsidR="00360F32" w:rsidRDefault="00360F32" w:rsidP="00360F32">
      <w:r w:rsidRPr="005F0BD9">
        <w:t xml:space="preserve">Capital expenditure (capex) refers to the capital </w:t>
      </w:r>
      <w:r w:rsidR="00A81891">
        <w:t>costs</w:t>
      </w:r>
      <w:r w:rsidR="00A81891" w:rsidRPr="005F0BD9">
        <w:t xml:space="preserve"> </w:t>
      </w:r>
      <w:r w:rsidRPr="005F0BD9">
        <w:t xml:space="preserve">incurred in the provision of network services. The return on and of forecast capex for standard control services are two of the building blocks we use to determine </w:t>
      </w:r>
      <w:r w:rsidR="000F4557">
        <w:t>Endeavour Energy</w:t>
      </w:r>
      <w:r w:rsidRPr="005F0BD9">
        <w:t>'s total revenue requirement</w:t>
      </w:r>
      <w:r>
        <w:t>.</w:t>
      </w:r>
    </w:p>
    <w:p w:rsidR="00360F32" w:rsidRDefault="00360F32" w:rsidP="00360F32">
      <w:pPr>
        <w:rPr>
          <w:rStyle w:val="AERbody"/>
        </w:rPr>
      </w:pPr>
      <w:r w:rsidRPr="00B7580F">
        <w:t xml:space="preserve">We </w:t>
      </w:r>
      <w:r>
        <w:rPr>
          <w:rStyle w:val="AERbody"/>
        </w:rPr>
        <w:t xml:space="preserve">are </w:t>
      </w:r>
      <w:r w:rsidR="002043AA">
        <w:rPr>
          <w:rStyle w:val="AERbody"/>
        </w:rPr>
        <w:t>s</w:t>
      </w:r>
      <w:r>
        <w:rPr>
          <w:rStyle w:val="AERbody"/>
        </w:rPr>
        <w:t xml:space="preserve">atisfied that </w:t>
      </w:r>
      <w:r w:rsidR="002043AA">
        <w:rPr>
          <w:rStyle w:val="AERbody"/>
        </w:rPr>
        <w:t>Endeavour Energy</w:t>
      </w:r>
      <w:r>
        <w:rPr>
          <w:rStyle w:val="AERbody"/>
        </w:rPr>
        <w:t>'s revised total capex forecast of $</w:t>
      </w:r>
      <w:r w:rsidR="00D849F5">
        <w:rPr>
          <w:rStyle w:val="AERbody"/>
        </w:rPr>
        <w:t>1595.84</w:t>
      </w:r>
      <w:r>
        <w:rPr>
          <w:rStyle w:val="AERbody"/>
        </w:rPr>
        <w:t xml:space="preserve"> million ($2013–14) for the 2014–</w:t>
      </w:r>
      <w:r w:rsidRPr="00EB348E">
        <w:rPr>
          <w:rStyle w:val="AERbody"/>
        </w:rPr>
        <w:t>1</w:t>
      </w:r>
      <w:r>
        <w:rPr>
          <w:rStyle w:val="AERbody"/>
        </w:rPr>
        <w:t xml:space="preserve">9 period reasonably reflects the capex criteria. </w:t>
      </w:r>
      <w:r w:rsidR="002043AA">
        <w:rPr>
          <w:rStyle w:val="AERbody"/>
        </w:rPr>
        <w:t>We assessed the margin of difference between our alternative estimate and Endeavour Energy's proposed forecast. We consider th</w:t>
      </w:r>
      <w:r w:rsidR="00782237">
        <w:rPr>
          <w:rStyle w:val="AERbody"/>
        </w:rPr>
        <w:t>e</w:t>
      </w:r>
      <w:r w:rsidR="002043AA">
        <w:rPr>
          <w:rStyle w:val="AERbody"/>
        </w:rPr>
        <w:t xml:space="preserve"> margin of difference is not material</w:t>
      </w:r>
      <w:r>
        <w:rPr>
          <w:rStyle w:val="AERbody"/>
        </w:rPr>
        <w:t xml:space="preserve">. </w:t>
      </w:r>
      <w:r w:rsidR="002043AA">
        <w:rPr>
          <w:rStyle w:val="AERbody"/>
        </w:rPr>
        <w:fldChar w:fldCharType="begin"/>
      </w:r>
      <w:r w:rsidR="002043AA">
        <w:rPr>
          <w:rStyle w:val="AERbody"/>
        </w:rPr>
        <w:instrText xml:space="preserve"> REF _Ref416281524 \h </w:instrText>
      </w:r>
      <w:r w:rsidR="002043AA">
        <w:rPr>
          <w:rStyle w:val="AERbody"/>
        </w:rPr>
      </w:r>
      <w:r w:rsidR="002043AA">
        <w:rPr>
          <w:rStyle w:val="AERbody"/>
        </w:rPr>
        <w:fldChar w:fldCharType="separate"/>
      </w:r>
      <w:r w:rsidR="009D2F25">
        <w:t xml:space="preserve">Table </w:t>
      </w:r>
      <w:r w:rsidR="009D2F25">
        <w:rPr>
          <w:noProof/>
        </w:rPr>
        <w:t>7</w:t>
      </w:r>
      <w:r w:rsidR="002043AA">
        <w:rPr>
          <w:rStyle w:val="AERbody"/>
        </w:rPr>
        <w:fldChar w:fldCharType="end"/>
      </w:r>
      <w:r>
        <w:rPr>
          <w:rStyle w:val="AERbody"/>
        </w:rPr>
        <w:t xml:space="preserve"> outlines our final decision.</w:t>
      </w:r>
    </w:p>
    <w:p w:rsidR="000A633B" w:rsidRDefault="000A633B" w:rsidP="00360F32">
      <w:pPr>
        <w:rPr>
          <w:rStyle w:val="AERbody"/>
        </w:rPr>
      </w:pPr>
    </w:p>
    <w:p w:rsidR="00360F32" w:rsidRPr="00A00907" w:rsidRDefault="00A96E59" w:rsidP="00A96E59">
      <w:pPr>
        <w:pStyle w:val="Caption"/>
      </w:pPr>
      <w:bookmarkStart w:id="134" w:name="_Ref416281524"/>
      <w:r>
        <w:t xml:space="preserve">Table </w:t>
      </w:r>
      <w:r w:rsidR="0010003E">
        <w:fldChar w:fldCharType="begin"/>
      </w:r>
      <w:r w:rsidR="0010003E">
        <w:instrText xml:space="preserve"> SEQ Table \* ARABIC </w:instrText>
      </w:r>
      <w:r w:rsidR="0010003E">
        <w:fldChar w:fldCharType="separate"/>
      </w:r>
      <w:r w:rsidR="009D2F25">
        <w:rPr>
          <w:noProof/>
        </w:rPr>
        <w:t>7</w:t>
      </w:r>
      <w:r w:rsidR="0010003E">
        <w:rPr>
          <w:noProof/>
        </w:rPr>
        <w:fldChar w:fldCharType="end"/>
      </w:r>
      <w:bookmarkEnd w:id="134"/>
      <w:r w:rsidR="00360F32" w:rsidRPr="00A00907">
        <w:tab/>
        <w:t xml:space="preserve">Our </w:t>
      </w:r>
      <w:r w:rsidR="00360F32">
        <w:t>final</w:t>
      </w:r>
      <w:r w:rsidR="00360F32" w:rsidRPr="00A00907">
        <w:t xml:space="preserve"> decision on </w:t>
      </w:r>
      <w:r w:rsidR="002043AA">
        <w:t>Endeavour Energy</w:t>
      </w:r>
      <w:r w:rsidR="00360F32">
        <w:t xml:space="preserve">'s </w:t>
      </w:r>
      <w:r w:rsidR="00360F32" w:rsidRPr="00A00907">
        <w:t xml:space="preserve">total </w:t>
      </w:r>
      <w:r w:rsidR="00360F32">
        <w:t xml:space="preserve">forecast capex </w:t>
      </w:r>
      <w:proofErr w:type="gramStart"/>
      <w:r w:rsidR="00360F32" w:rsidRPr="00A00907">
        <w:t xml:space="preserve">(million </w:t>
      </w:r>
      <w:r w:rsidR="00360F32">
        <w:t>$</w:t>
      </w:r>
      <w:r w:rsidR="00360F32" w:rsidRPr="00A00907">
        <w:t>2013–14)</w:t>
      </w:r>
      <w:proofErr w:type="gramEnd"/>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2043AA" w:rsidRPr="00DE5176" w:rsidTr="00204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2043AA" w:rsidRPr="00DE5176" w:rsidRDefault="002043AA" w:rsidP="002043AA"/>
        </w:tc>
        <w:tc>
          <w:tcPr>
            <w:tcW w:w="1042" w:type="dxa"/>
          </w:tcPr>
          <w:p w:rsidR="002043AA" w:rsidRPr="002043AA" w:rsidRDefault="002043AA" w:rsidP="002043AA">
            <w:pPr>
              <w:cnfStyle w:val="100000000000" w:firstRow="1" w:lastRow="0" w:firstColumn="0" w:lastColumn="0" w:oddVBand="0" w:evenVBand="0" w:oddHBand="0" w:evenHBand="0" w:firstRowFirstColumn="0" w:firstRowLastColumn="0" w:lastRowFirstColumn="0" w:lastRowLastColumn="0"/>
            </w:pPr>
            <w:r w:rsidRPr="00DE5176">
              <w:t>2014–15</w:t>
            </w:r>
          </w:p>
        </w:tc>
        <w:tc>
          <w:tcPr>
            <w:tcW w:w="1041" w:type="dxa"/>
          </w:tcPr>
          <w:p w:rsidR="002043AA" w:rsidRPr="002043AA" w:rsidRDefault="002043AA" w:rsidP="002043AA">
            <w:pPr>
              <w:cnfStyle w:val="100000000000" w:firstRow="1" w:lastRow="0" w:firstColumn="0" w:lastColumn="0" w:oddVBand="0" w:evenVBand="0" w:oddHBand="0" w:evenHBand="0" w:firstRowFirstColumn="0" w:firstRowLastColumn="0" w:lastRowFirstColumn="0" w:lastRowLastColumn="0"/>
            </w:pPr>
            <w:r w:rsidRPr="00DE5176">
              <w:t>2015–16</w:t>
            </w:r>
          </w:p>
        </w:tc>
        <w:tc>
          <w:tcPr>
            <w:tcW w:w="1041" w:type="dxa"/>
          </w:tcPr>
          <w:p w:rsidR="002043AA" w:rsidRPr="002043AA" w:rsidRDefault="002043AA" w:rsidP="002043AA">
            <w:pPr>
              <w:cnfStyle w:val="100000000000" w:firstRow="1" w:lastRow="0" w:firstColumn="0" w:lastColumn="0" w:oddVBand="0" w:evenVBand="0" w:oddHBand="0" w:evenHBand="0" w:firstRowFirstColumn="0" w:firstRowLastColumn="0" w:lastRowFirstColumn="0" w:lastRowLastColumn="0"/>
            </w:pPr>
            <w:r w:rsidRPr="00DE5176">
              <w:t>2016–17</w:t>
            </w:r>
          </w:p>
        </w:tc>
        <w:tc>
          <w:tcPr>
            <w:tcW w:w="1041" w:type="dxa"/>
          </w:tcPr>
          <w:p w:rsidR="002043AA" w:rsidRPr="002043AA" w:rsidRDefault="002043AA" w:rsidP="002043AA">
            <w:pPr>
              <w:cnfStyle w:val="100000000000" w:firstRow="1" w:lastRow="0" w:firstColumn="0" w:lastColumn="0" w:oddVBand="0" w:evenVBand="0" w:oddHBand="0" w:evenHBand="0" w:firstRowFirstColumn="0" w:firstRowLastColumn="0" w:lastRowFirstColumn="0" w:lastRowLastColumn="0"/>
            </w:pPr>
            <w:r w:rsidRPr="00DE5176">
              <w:t>2017–18</w:t>
            </w:r>
          </w:p>
        </w:tc>
        <w:tc>
          <w:tcPr>
            <w:tcW w:w="1041" w:type="dxa"/>
          </w:tcPr>
          <w:p w:rsidR="002043AA" w:rsidRPr="002043AA" w:rsidRDefault="002043AA" w:rsidP="002043AA">
            <w:pPr>
              <w:cnfStyle w:val="100000000000" w:firstRow="1" w:lastRow="0" w:firstColumn="0" w:lastColumn="0" w:oddVBand="0" w:evenVBand="0" w:oddHBand="0" w:evenHBand="0" w:firstRowFirstColumn="0" w:firstRowLastColumn="0" w:lastRowFirstColumn="0" w:lastRowLastColumn="0"/>
            </w:pPr>
            <w:r w:rsidRPr="00DE5176">
              <w:t>2018–19</w:t>
            </w:r>
          </w:p>
        </w:tc>
        <w:tc>
          <w:tcPr>
            <w:tcW w:w="1033" w:type="dxa"/>
          </w:tcPr>
          <w:p w:rsidR="002043AA" w:rsidRPr="002043AA" w:rsidRDefault="002043AA" w:rsidP="002043AA">
            <w:pPr>
              <w:cnfStyle w:val="100000000000" w:firstRow="1" w:lastRow="0" w:firstColumn="0" w:lastColumn="0" w:oddVBand="0" w:evenVBand="0" w:oddHBand="0" w:evenHBand="0" w:firstRowFirstColumn="0" w:firstRowLastColumn="0" w:lastRowFirstColumn="0" w:lastRowLastColumn="0"/>
            </w:pPr>
            <w:r w:rsidRPr="00DE5176">
              <w:t>Total</w:t>
            </w:r>
          </w:p>
        </w:tc>
      </w:tr>
      <w:tr w:rsidR="00D849F5" w:rsidRPr="00DE5176" w:rsidTr="000D5E6B">
        <w:tc>
          <w:tcPr>
            <w:cnfStyle w:val="001000000000" w:firstRow="0" w:lastRow="0" w:firstColumn="1" w:lastColumn="0" w:oddVBand="0" w:evenVBand="0" w:oddHBand="0" w:evenHBand="0" w:firstRowFirstColumn="0" w:firstRowLastColumn="0" w:lastRowFirstColumn="0" w:lastRowLastColumn="0"/>
            <w:tcW w:w="2454" w:type="dxa"/>
          </w:tcPr>
          <w:p w:rsidR="00D849F5" w:rsidRPr="00875B81" w:rsidRDefault="00D849F5" w:rsidP="00875B81">
            <w:r w:rsidRPr="00875B81">
              <w:t>Endeavour Energy's proposal</w:t>
            </w:r>
          </w:p>
        </w:tc>
        <w:tc>
          <w:tcPr>
            <w:tcW w:w="1042"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416.18</w:t>
            </w:r>
          </w:p>
        </w:tc>
        <w:tc>
          <w:tcPr>
            <w:tcW w:w="1041"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341.68</w:t>
            </w:r>
          </w:p>
        </w:tc>
        <w:tc>
          <w:tcPr>
            <w:tcW w:w="1041"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290.17</w:t>
            </w:r>
          </w:p>
        </w:tc>
        <w:tc>
          <w:tcPr>
            <w:tcW w:w="1041"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280.46</w:t>
            </w:r>
          </w:p>
        </w:tc>
        <w:tc>
          <w:tcPr>
            <w:tcW w:w="1041"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267.34</w:t>
            </w:r>
          </w:p>
        </w:tc>
        <w:tc>
          <w:tcPr>
            <w:tcW w:w="1033"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1595.84</w:t>
            </w:r>
          </w:p>
        </w:tc>
      </w:tr>
      <w:tr w:rsidR="00D849F5" w:rsidRPr="00DE5176" w:rsidTr="000D5E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D849F5" w:rsidRPr="00875B81" w:rsidRDefault="00D849F5" w:rsidP="00875B81">
            <w:r w:rsidRPr="00875B81">
              <w:t>AER final decision</w:t>
            </w:r>
          </w:p>
        </w:tc>
        <w:tc>
          <w:tcPr>
            <w:tcW w:w="1042"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416.18</w:t>
            </w:r>
          </w:p>
        </w:tc>
        <w:tc>
          <w:tcPr>
            <w:tcW w:w="1041"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341.68</w:t>
            </w:r>
          </w:p>
        </w:tc>
        <w:tc>
          <w:tcPr>
            <w:tcW w:w="1041"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290.17</w:t>
            </w:r>
          </w:p>
        </w:tc>
        <w:tc>
          <w:tcPr>
            <w:tcW w:w="1041"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280.46</w:t>
            </w:r>
          </w:p>
        </w:tc>
        <w:tc>
          <w:tcPr>
            <w:tcW w:w="1041"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267.34</w:t>
            </w:r>
          </w:p>
        </w:tc>
        <w:tc>
          <w:tcPr>
            <w:tcW w:w="1033"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1595.84</w:t>
            </w:r>
          </w:p>
        </w:tc>
      </w:tr>
      <w:tr w:rsidR="00D849F5" w:rsidRPr="00DE5176" w:rsidTr="002043AA">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D849F5" w:rsidRPr="00875B81" w:rsidRDefault="00D849F5" w:rsidP="00875B81">
            <w:r w:rsidRPr="00875B81">
              <w:t>Difference</w:t>
            </w:r>
          </w:p>
        </w:tc>
        <w:tc>
          <w:tcPr>
            <w:tcW w:w="1042"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0.00</w:t>
            </w:r>
          </w:p>
        </w:tc>
        <w:tc>
          <w:tcPr>
            <w:tcW w:w="1041"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0.00</w:t>
            </w:r>
          </w:p>
        </w:tc>
        <w:tc>
          <w:tcPr>
            <w:tcW w:w="1041"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0.00</w:t>
            </w:r>
          </w:p>
        </w:tc>
        <w:tc>
          <w:tcPr>
            <w:tcW w:w="1041"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0.00</w:t>
            </w:r>
          </w:p>
        </w:tc>
        <w:tc>
          <w:tcPr>
            <w:tcW w:w="1041"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0.00</w:t>
            </w:r>
          </w:p>
        </w:tc>
        <w:tc>
          <w:tcPr>
            <w:tcW w:w="1033" w:type="dxa"/>
          </w:tcPr>
          <w:p w:rsidR="00D849F5" w:rsidRPr="00875B81" w:rsidRDefault="00D849F5" w:rsidP="00875B81">
            <w:pPr>
              <w:cnfStyle w:val="000000000000" w:firstRow="0" w:lastRow="0" w:firstColumn="0" w:lastColumn="0" w:oddVBand="0" w:evenVBand="0" w:oddHBand="0" w:evenHBand="0" w:firstRowFirstColumn="0" w:firstRowLastColumn="0" w:lastRowFirstColumn="0" w:lastRowLastColumn="0"/>
            </w:pPr>
            <w:r w:rsidRPr="00875B81">
              <w:t>0.00</w:t>
            </w:r>
          </w:p>
        </w:tc>
      </w:tr>
      <w:tr w:rsidR="00D849F5" w:rsidRPr="00DE5176" w:rsidTr="002043AA">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D849F5" w:rsidRPr="00875B81" w:rsidRDefault="00D849F5" w:rsidP="00875B81">
            <w:r w:rsidRPr="00875B81">
              <w:t>Percentage difference (%)</w:t>
            </w:r>
          </w:p>
        </w:tc>
        <w:tc>
          <w:tcPr>
            <w:tcW w:w="1042"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0.00</w:t>
            </w:r>
          </w:p>
        </w:tc>
        <w:tc>
          <w:tcPr>
            <w:tcW w:w="1041"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0.00</w:t>
            </w:r>
          </w:p>
        </w:tc>
        <w:tc>
          <w:tcPr>
            <w:tcW w:w="1041"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0.00</w:t>
            </w:r>
          </w:p>
        </w:tc>
        <w:tc>
          <w:tcPr>
            <w:tcW w:w="1041"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0.00</w:t>
            </w:r>
          </w:p>
        </w:tc>
        <w:tc>
          <w:tcPr>
            <w:tcW w:w="1041"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0.00</w:t>
            </w:r>
          </w:p>
        </w:tc>
        <w:tc>
          <w:tcPr>
            <w:tcW w:w="1033" w:type="dxa"/>
          </w:tcPr>
          <w:p w:rsidR="00D849F5" w:rsidRPr="00875B81" w:rsidRDefault="00D849F5" w:rsidP="00875B81">
            <w:pPr>
              <w:cnfStyle w:val="000000010000" w:firstRow="0" w:lastRow="0" w:firstColumn="0" w:lastColumn="0" w:oddVBand="0" w:evenVBand="0" w:oddHBand="0" w:evenHBand="1" w:firstRowFirstColumn="0" w:firstRowLastColumn="0" w:lastRowFirstColumn="0" w:lastRowLastColumn="0"/>
            </w:pPr>
            <w:r w:rsidRPr="00875B81">
              <w:t>0.00</w:t>
            </w:r>
          </w:p>
        </w:tc>
      </w:tr>
    </w:tbl>
    <w:p w:rsidR="002043AA" w:rsidRPr="002043AA" w:rsidRDefault="002043AA" w:rsidP="002043AA">
      <w:pPr>
        <w:pStyle w:val="AERtablesource"/>
        <w:rPr>
          <w:rFonts w:eastAsia="Calibri"/>
        </w:rPr>
      </w:pPr>
      <w:r w:rsidRPr="00DE5176">
        <w:t>Source:</w:t>
      </w:r>
      <w:r w:rsidRPr="00DE5176">
        <w:tab/>
      </w:r>
      <w:r>
        <w:t>Endeavour Energy</w:t>
      </w:r>
      <w:r w:rsidRPr="00DE5176">
        <w:t xml:space="preserve"> Regulatory Proposal; AER analysis</w:t>
      </w:r>
    </w:p>
    <w:p w:rsidR="002043AA" w:rsidRPr="002043AA" w:rsidRDefault="002043AA" w:rsidP="002043AA">
      <w:pPr>
        <w:pStyle w:val="AERtablesource"/>
        <w:rPr>
          <w:rFonts w:eastAsia="Calibri"/>
        </w:rPr>
      </w:pPr>
      <w:r w:rsidRPr="00DE5176">
        <w:t>Note:</w:t>
      </w:r>
      <w:r w:rsidRPr="00DE5176">
        <w:tab/>
        <w:t>Numbers may not add up due to rounding.</w:t>
      </w:r>
    </w:p>
    <w:p w:rsidR="00360F32" w:rsidRPr="00A13E67" w:rsidRDefault="002043AA" w:rsidP="00360F32">
      <w:r>
        <w:fldChar w:fldCharType="begin"/>
      </w:r>
      <w:r>
        <w:instrText xml:space="preserve"> REF _Ref416281579 \h </w:instrText>
      </w:r>
      <w:r>
        <w:fldChar w:fldCharType="separate"/>
      </w:r>
      <w:r w:rsidR="009D2F25">
        <w:t xml:space="preserve">Figure </w:t>
      </w:r>
      <w:r w:rsidR="009D2F25">
        <w:rPr>
          <w:noProof/>
        </w:rPr>
        <w:t>6</w:t>
      </w:r>
      <w:r>
        <w:fldChar w:fldCharType="end"/>
      </w:r>
      <w:r>
        <w:t xml:space="preserve"> </w:t>
      </w:r>
      <w:r w:rsidR="00360F32">
        <w:t xml:space="preserve">shows the difference between </w:t>
      </w:r>
      <w:r w:rsidR="000F4557">
        <w:t>Endeavour Energy</w:t>
      </w:r>
      <w:r w:rsidR="00360F32">
        <w:t xml:space="preserve">'s initial proposal, its revised proposal and our </w:t>
      </w:r>
      <w:r w:rsidR="00360F32" w:rsidRPr="00A13E67">
        <w:t xml:space="preserve">final decision for the 2014–19 </w:t>
      </w:r>
      <w:proofErr w:type="gramStart"/>
      <w:r w:rsidR="00360F32" w:rsidRPr="00A13E67">
        <w:t>period</w:t>
      </w:r>
      <w:proofErr w:type="gramEnd"/>
      <w:r w:rsidR="00360F32" w:rsidRPr="00A13E67">
        <w:t xml:space="preserve">, as well as the actual capex that </w:t>
      </w:r>
      <w:r w:rsidR="000F4557">
        <w:t>Endeavour Energy</w:t>
      </w:r>
      <w:r w:rsidR="00360F32" w:rsidRPr="00A13E67">
        <w:t xml:space="preserve"> spent during the 2009–14 regulatory control period.</w:t>
      </w:r>
    </w:p>
    <w:p w:rsidR="00360F32" w:rsidRPr="00A96E59" w:rsidRDefault="00A96E59" w:rsidP="00360F32">
      <w:pPr>
        <w:pStyle w:val="Caption"/>
        <w:rPr>
          <w:rStyle w:val="AERtexthighlight"/>
          <w:shd w:val="clear" w:color="auto" w:fill="auto"/>
        </w:rPr>
      </w:pPr>
      <w:bookmarkStart w:id="135" w:name="_Ref416281579"/>
      <w:r>
        <w:t xml:space="preserve">Figure </w:t>
      </w:r>
      <w:r w:rsidR="0010003E">
        <w:fldChar w:fldCharType="begin"/>
      </w:r>
      <w:r w:rsidR="0010003E">
        <w:instrText xml:space="preserve"> SEQ Figure \* ARABIC </w:instrText>
      </w:r>
      <w:r w:rsidR="0010003E">
        <w:fldChar w:fldCharType="separate"/>
      </w:r>
      <w:r w:rsidR="009D2F25">
        <w:rPr>
          <w:noProof/>
        </w:rPr>
        <w:t>6</w:t>
      </w:r>
      <w:r w:rsidR="0010003E">
        <w:rPr>
          <w:noProof/>
        </w:rPr>
        <w:fldChar w:fldCharType="end"/>
      </w:r>
      <w:bookmarkEnd w:id="135"/>
      <w:r>
        <w:tab/>
      </w:r>
      <w:r w:rsidR="000F4557">
        <w:t>Endeavour Energy</w:t>
      </w:r>
      <w:r w:rsidR="00360F32">
        <w:t>'s forecast capex, AER draft decision, and actual capex 2009–19</w:t>
      </w:r>
    </w:p>
    <w:p w:rsidR="00360F32" w:rsidRDefault="008662FC" w:rsidP="00360F32">
      <w:r w:rsidRPr="008662FC">
        <w:rPr>
          <w:noProof/>
          <w:lang w:eastAsia="en-AU"/>
        </w:rPr>
        <w:drawing>
          <wp:inline distT="0" distB="0" distL="0" distR="0" wp14:anchorId="399ACF5D" wp14:editId="0311E720">
            <wp:extent cx="5382895" cy="3272155"/>
            <wp:effectExtent l="0" t="0" r="825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82895" cy="3272155"/>
                    </a:xfrm>
                    <a:prstGeom prst="rect">
                      <a:avLst/>
                    </a:prstGeom>
                  </pic:spPr>
                </pic:pic>
              </a:graphicData>
            </a:graphic>
          </wp:inline>
        </w:drawing>
      </w:r>
    </w:p>
    <w:p w:rsidR="00360F32" w:rsidRDefault="00360F32" w:rsidP="00360F32">
      <w:pPr>
        <w:pStyle w:val="AERtablesource"/>
      </w:pPr>
      <w:r w:rsidRPr="00DE3330">
        <w:t>Source:</w:t>
      </w:r>
      <w:r w:rsidRPr="00DE3330">
        <w:tab/>
        <w:t>AER analysis</w:t>
      </w:r>
    </w:p>
    <w:p w:rsidR="00360F32" w:rsidRDefault="001613C3" w:rsidP="00360F32">
      <w:r>
        <w:t>Endeavour Energy</w:t>
      </w:r>
      <w:r w:rsidR="00360F32">
        <w:t xml:space="preserve"> submitted a revised capex forecast </w:t>
      </w:r>
      <w:r w:rsidR="00570784">
        <w:t>11</w:t>
      </w:r>
      <w:r w:rsidR="00360F32">
        <w:t xml:space="preserve"> per cent lower than its initial regulatory proposal. The main reasons for the lower forecas</w:t>
      </w:r>
      <w:r w:rsidR="00063B73">
        <w:t>ts in its revised proposals ar</w:t>
      </w:r>
      <w:r w:rsidR="00570784">
        <w:t xml:space="preserve">e that Endeavour Energy corrected its initial forecasts for data issues and also </w:t>
      </w:r>
      <w:r w:rsidR="006A5CE1">
        <w:t xml:space="preserve">adopted </w:t>
      </w:r>
      <w:r w:rsidR="00570784">
        <w:t>some of our changes from the draft decision for certain expenditure categories.</w:t>
      </w:r>
    </w:p>
    <w:p w:rsidR="00063B73" w:rsidRDefault="00063B73" w:rsidP="00360F32">
      <w:r>
        <w:t xml:space="preserve">In its revised proposal, Endeavour Energy addressed many of the concerns that we raised in our draft decision, adjusting </w:t>
      </w:r>
      <w:r w:rsidR="006A5CE1">
        <w:t xml:space="preserve">its </w:t>
      </w:r>
      <w:r>
        <w:t xml:space="preserve">forecasts for capex. Thus we have accepted </w:t>
      </w:r>
      <w:r w:rsidR="006A5CE1">
        <w:t xml:space="preserve">its </w:t>
      </w:r>
      <w:r>
        <w:t xml:space="preserve">revised proposal for capex. We consider that our overall capex allowance is consistent with the NEO in that our decision promotes efficient investment in, and efficient operation and use of, electricity services for the long term interests of consumers of electricity. </w:t>
      </w:r>
      <w:r w:rsidRPr="00E663E2">
        <w:t>Further</w:t>
      </w:r>
      <w:r>
        <w:t>, i</w:t>
      </w:r>
      <w:r w:rsidRPr="0068093D">
        <w:t xml:space="preserve">n making our final decision, we have specifically considered the impact our decision will have on the safety and reliability of </w:t>
      </w:r>
      <w:r>
        <w:t>Endeavour Energy's</w:t>
      </w:r>
      <w:r w:rsidRPr="0068093D">
        <w:t xml:space="preserve"> network. We </w:t>
      </w:r>
      <w:r w:rsidR="00D849F5">
        <w:t xml:space="preserve">have approved all capex contained in Endeavour Energy's revised proposal and </w:t>
      </w:r>
      <w:r w:rsidRPr="0068093D">
        <w:t xml:space="preserve">consider this capex allowance is sufficient that </w:t>
      </w:r>
      <w:r>
        <w:t xml:space="preserve">Endeavour Energy </w:t>
      </w:r>
      <w:r w:rsidRPr="0068093D">
        <w:t xml:space="preserve">will be able to maintain the </w:t>
      </w:r>
      <w:r w:rsidRPr="00EF4EFC">
        <w:t>safety</w:t>
      </w:r>
      <w:r w:rsidRPr="0068093D">
        <w:t xml:space="preserve">, service quality and reliability of its network consistent with current </w:t>
      </w:r>
      <w:r>
        <w:t>obligations.</w:t>
      </w:r>
    </w:p>
    <w:p w:rsidR="009D2F25" w:rsidRPr="004F39E0" w:rsidRDefault="009D2F25" w:rsidP="00360F32"/>
    <w:p w:rsidR="00360F32" w:rsidRDefault="00360F32" w:rsidP="00360F32">
      <w:pPr>
        <w:pStyle w:val="Heading2"/>
      </w:pPr>
      <w:bookmarkStart w:id="136" w:name="_Toc404154748"/>
      <w:bookmarkStart w:id="137" w:name="_Toc404437142"/>
      <w:bookmarkStart w:id="138" w:name="_Toc411428050"/>
      <w:bookmarkStart w:id="139" w:name="_Toc417917013"/>
      <w:bookmarkEnd w:id="136"/>
      <w:r w:rsidRPr="009F4C42">
        <w:t>Operating expenditure</w:t>
      </w:r>
      <w:bookmarkEnd w:id="137"/>
      <w:bookmarkEnd w:id="138"/>
      <w:bookmarkEnd w:id="139"/>
    </w:p>
    <w:p w:rsidR="00F27F3B" w:rsidRDefault="00F27F3B" w:rsidP="00F27F3B">
      <w:pPr>
        <w:numPr>
          <w:ilvl w:val="0"/>
          <w:numId w:val="24"/>
        </w:numPr>
      </w:pPr>
      <w:proofErr w:type="spellStart"/>
      <w:r>
        <w:t>Opex</w:t>
      </w:r>
      <w:proofErr w:type="spellEnd"/>
      <w:r>
        <w:t xml:space="preserve"> includes</w:t>
      </w:r>
      <w:r w:rsidRPr="009F4C42">
        <w:t xml:space="preserve"> forecast operating, maintenance and other non-capital costs incurred in the provision of </w:t>
      </w:r>
      <w:r>
        <w:t>transmission</w:t>
      </w:r>
      <w:r w:rsidRPr="009F4C42">
        <w:t xml:space="preserve"> network services. I</w:t>
      </w:r>
      <w:r>
        <w:t>t</w:t>
      </w:r>
      <w:r w:rsidRPr="009F4C42">
        <w:t xml:space="preserve"> includes labour costs and other non-capital costs that </w:t>
      </w:r>
      <w:r>
        <w:t xml:space="preserve">Endeavour Energy </w:t>
      </w:r>
      <w:r w:rsidRPr="009F4C42">
        <w:t>is likely to require during the</w:t>
      </w:r>
      <w:r>
        <w:t xml:space="preserve"> 2014</w:t>
      </w:r>
      <w:r>
        <w:softHyphen/>
        <w:t>–19</w:t>
      </w:r>
      <w:r w:rsidRPr="009F4C42">
        <w:t xml:space="preserve"> period for the efficient operation of its network</w:t>
      </w:r>
      <w:r>
        <w:t xml:space="preserve">. </w:t>
      </w:r>
    </w:p>
    <w:p w:rsidR="00F27F3B" w:rsidRDefault="00F27F3B" w:rsidP="00F27F3B">
      <w:pPr>
        <w:numPr>
          <w:ilvl w:val="0"/>
          <w:numId w:val="24"/>
        </w:numPr>
        <w:rPr>
          <w:rStyle w:val="AERbody"/>
        </w:rPr>
      </w:pPr>
      <w:r>
        <w:t xml:space="preserve">We estimate total forecast </w:t>
      </w:r>
      <w:proofErr w:type="spellStart"/>
      <w:r>
        <w:t>opex</w:t>
      </w:r>
      <w:proofErr w:type="spellEnd"/>
      <w:r>
        <w:t xml:space="preserve"> over the forecast period of $1218.3 million ($2014–15). This is 83.1 per cent of Endeavour Energy's forecast </w:t>
      </w:r>
      <w:proofErr w:type="spellStart"/>
      <w:r>
        <w:t>opex</w:t>
      </w:r>
      <w:proofErr w:type="spellEnd"/>
      <w:r>
        <w:t>.</w:t>
      </w:r>
      <w:r w:rsidR="009D2F25">
        <w:t xml:space="preserve"> </w:t>
      </w:r>
      <w:r w:rsidR="009D2F25">
        <w:fldChar w:fldCharType="begin"/>
      </w:r>
      <w:r w:rsidR="009D2F25">
        <w:instrText xml:space="preserve"> REF _Ref417917033 \h </w:instrText>
      </w:r>
      <w:r w:rsidR="009D2F25">
        <w:fldChar w:fldCharType="separate"/>
      </w:r>
      <w:r w:rsidR="009D2F25">
        <w:t xml:space="preserve">Table </w:t>
      </w:r>
      <w:r w:rsidR="009D2F25">
        <w:rPr>
          <w:noProof/>
        </w:rPr>
        <w:t>8</w:t>
      </w:r>
      <w:r w:rsidR="009D2F25">
        <w:fldChar w:fldCharType="end"/>
      </w:r>
      <w:r>
        <w:t xml:space="preserve"> </w:t>
      </w:r>
      <w:r>
        <w:rPr>
          <w:rStyle w:val="AERbody"/>
        </w:rPr>
        <w:t xml:space="preserve">shows our final decision on total </w:t>
      </w:r>
      <w:proofErr w:type="spellStart"/>
      <w:r>
        <w:rPr>
          <w:rStyle w:val="AERbody"/>
        </w:rPr>
        <w:t>opex</w:t>
      </w:r>
      <w:proofErr w:type="spellEnd"/>
      <w:r>
        <w:rPr>
          <w:rStyle w:val="AERbody"/>
        </w:rPr>
        <w:t xml:space="preserve"> compared to Endeavour Energy's revised proposal.</w:t>
      </w:r>
    </w:p>
    <w:p w:rsidR="00F27F3B" w:rsidRPr="00112BF8" w:rsidRDefault="00F27F3B" w:rsidP="00F27F3B">
      <w:pPr>
        <w:pStyle w:val="Caption"/>
      </w:pPr>
      <w:bookmarkStart w:id="140" w:name="_Ref417917033"/>
      <w:r>
        <w:t xml:space="preserve">Table </w:t>
      </w:r>
      <w:r w:rsidRPr="00F27F3B">
        <w:fldChar w:fldCharType="begin"/>
      </w:r>
      <w:r>
        <w:instrText xml:space="preserve"> SEQ Table \* ARABIC </w:instrText>
      </w:r>
      <w:r w:rsidRPr="00F27F3B">
        <w:fldChar w:fldCharType="separate"/>
      </w:r>
      <w:r w:rsidR="009D2F25">
        <w:rPr>
          <w:noProof/>
        </w:rPr>
        <w:t>8</w:t>
      </w:r>
      <w:r w:rsidRPr="00F27F3B">
        <w:fldChar w:fldCharType="end"/>
      </w:r>
      <w:bookmarkEnd w:id="140"/>
      <w:r>
        <w:tab/>
      </w:r>
      <w:r w:rsidRPr="00112BF8">
        <w:t xml:space="preserve">AER </w:t>
      </w:r>
      <w:r>
        <w:t>final</w:t>
      </w:r>
      <w:r w:rsidRPr="00112BF8">
        <w:t xml:space="preserve"> decision and E</w:t>
      </w:r>
      <w:r>
        <w:t>ndeavour Energy</w:t>
      </w:r>
      <w:r w:rsidRPr="00112BF8">
        <w:t xml:space="preserve">'s </w:t>
      </w:r>
      <w:r>
        <w:t xml:space="preserve">revised </w:t>
      </w:r>
      <w:r w:rsidRPr="00112BF8">
        <w:t xml:space="preserve">proposed total </w:t>
      </w:r>
      <w:proofErr w:type="spellStart"/>
      <w:r w:rsidRPr="00112BF8">
        <w:t>opex</w:t>
      </w:r>
      <w:proofErr w:type="spellEnd"/>
      <w:r w:rsidRPr="00112BF8">
        <w:t xml:space="preserve"> ($ million, </w:t>
      </w:r>
      <w:r w:rsidRPr="00394EA3">
        <w:t>2013–14</w:t>
      </w:r>
      <w:r w:rsidRPr="00974C74">
        <w:t>)</w:t>
      </w:r>
    </w:p>
    <w:tbl>
      <w:tblPr>
        <w:tblStyle w:val="AERtable-numbers"/>
        <w:tblW w:w="0" w:type="auto"/>
        <w:tblLook w:val="04A0" w:firstRow="1" w:lastRow="0" w:firstColumn="1" w:lastColumn="0" w:noHBand="0" w:noVBand="1"/>
      </w:tblPr>
      <w:tblGrid>
        <w:gridCol w:w="2713"/>
        <w:gridCol w:w="972"/>
        <w:gridCol w:w="972"/>
        <w:gridCol w:w="972"/>
        <w:gridCol w:w="972"/>
        <w:gridCol w:w="972"/>
        <w:gridCol w:w="1120"/>
      </w:tblGrid>
      <w:tr w:rsidR="00F27F3B" w:rsidTr="008C5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F27F3B" w:rsidRPr="00F27F3B" w:rsidRDefault="00F27F3B" w:rsidP="00F27F3B">
            <w:r w:rsidRPr="003500E4">
              <w:t> </w:t>
            </w:r>
          </w:p>
        </w:tc>
        <w:tc>
          <w:tcPr>
            <w:tcW w:w="972" w:type="dxa"/>
          </w:tcPr>
          <w:p w:rsidR="00F27F3B" w:rsidRPr="00F27F3B" w:rsidRDefault="00F27F3B" w:rsidP="00F27F3B">
            <w:pPr>
              <w:cnfStyle w:val="100000000000" w:firstRow="1" w:lastRow="0" w:firstColumn="0" w:lastColumn="0" w:oddVBand="0" w:evenVBand="0" w:oddHBand="0" w:evenHBand="0" w:firstRowFirstColumn="0" w:firstRowLastColumn="0" w:lastRowFirstColumn="0" w:lastRowLastColumn="0"/>
            </w:pPr>
            <w:r w:rsidRPr="003500E4">
              <w:t>2014–15</w:t>
            </w:r>
          </w:p>
        </w:tc>
        <w:tc>
          <w:tcPr>
            <w:tcW w:w="972" w:type="dxa"/>
          </w:tcPr>
          <w:p w:rsidR="00F27F3B" w:rsidRPr="00F27F3B" w:rsidRDefault="00F27F3B" w:rsidP="00F27F3B">
            <w:pPr>
              <w:cnfStyle w:val="100000000000" w:firstRow="1" w:lastRow="0" w:firstColumn="0" w:lastColumn="0" w:oddVBand="0" w:evenVBand="0" w:oddHBand="0" w:evenHBand="0" w:firstRowFirstColumn="0" w:firstRowLastColumn="0" w:lastRowFirstColumn="0" w:lastRowLastColumn="0"/>
            </w:pPr>
            <w:r w:rsidRPr="003500E4">
              <w:t>2015–16</w:t>
            </w:r>
          </w:p>
        </w:tc>
        <w:tc>
          <w:tcPr>
            <w:tcW w:w="972" w:type="dxa"/>
          </w:tcPr>
          <w:p w:rsidR="00F27F3B" w:rsidRPr="00F27F3B" w:rsidRDefault="00F27F3B" w:rsidP="00F27F3B">
            <w:pPr>
              <w:cnfStyle w:val="100000000000" w:firstRow="1" w:lastRow="0" w:firstColumn="0" w:lastColumn="0" w:oddVBand="0" w:evenVBand="0" w:oddHBand="0" w:evenHBand="0" w:firstRowFirstColumn="0" w:firstRowLastColumn="0" w:lastRowFirstColumn="0" w:lastRowLastColumn="0"/>
            </w:pPr>
            <w:r w:rsidRPr="003500E4">
              <w:t>2016–17</w:t>
            </w:r>
          </w:p>
        </w:tc>
        <w:tc>
          <w:tcPr>
            <w:tcW w:w="972" w:type="dxa"/>
          </w:tcPr>
          <w:p w:rsidR="00F27F3B" w:rsidRPr="00F27F3B" w:rsidRDefault="00F27F3B" w:rsidP="00F27F3B">
            <w:pPr>
              <w:cnfStyle w:val="100000000000" w:firstRow="1" w:lastRow="0" w:firstColumn="0" w:lastColumn="0" w:oddVBand="0" w:evenVBand="0" w:oddHBand="0" w:evenHBand="0" w:firstRowFirstColumn="0" w:firstRowLastColumn="0" w:lastRowFirstColumn="0" w:lastRowLastColumn="0"/>
            </w:pPr>
            <w:r w:rsidRPr="003500E4">
              <w:t>2017–18</w:t>
            </w:r>
          </w:p>
        </w:tc>
        <w:tc>
          <w:tcPr>
            <w:tcW w:w="972" w:type="dxa"/>
          </w:tcPr>
          <w:p w:rsidR="00F27F3B" w:rsidRPr="00F27F3B" w:rsidRDefault="00F27F3B" w:rsidP="00F27F3B">
            <w:pPr>
              <w:cnfStyle w:val="100000000000" w:firstRow="1" w:lastRow="0" w:firstColumn="0" w:lastColumn="0" w:oddVBand="0" w:evenVBand="0" w:oddHBand="0" w:evenHBand="0" w:firstRowFirstColumn="0" w:firstRowLastColumn="0" w:lastRowFirstColumn="0" w:lastRowLastColumn="0"/>
            </w:pPr>
            <w:r w:rsidRPr="003500E4">
              <w:t>2018–19</w:t>
            </w:r>
          </w:p>
        </w:tc>
        <w:tc>
          <w:tcPr>
            <w:tcW w:w="1120" w:type="dxa"/>
          </w:tcPr>
          <w:p w:rsidR="00F27F3B" w:rsidRPr="00F27F3B" w:rsidRDefault="00F27F3B" w:rsidP="00F27F3B">
            <w:pPr>
              <w:cnfStyle w:val="100000000000" w:firstRow="1" w:lastRow="0" w:firstColumn="0" w:lastColumn="0" w:oddVBand="0" w:evenVBand="0" w:oddHBand="0" w:evenHBand="0" w:firstRowFirstColumn="0" w:firstRowLastColumn="0" w:lastRowFirstColumn="0" w:lastRowLastColumn="0"/>
            </w:pPr>
            <w:r w:rsidRPr="003500E4">
              <w:t>Total</w:t>
            </w:r>
          </w:p>
        </w:tc>
      </w:tr>
      <w:tr w:rsidR="00F27F3B" w:rsidTr="008C525B">
        <w:tc>
          <w:tcPr>
            <w:cnfStyle w:val="001000000000" w:firstRow="0" w:lastRow="0" w:firstColumn="1" w:lastColumn="0" w:oddVBand="0" w:evenVBand="0" w:oddHBand="0" w:evenHBand="0" w:firstRowFirstColumn="0" w:firstRowLastColumn="0" w:lastRowFirstColumn="0" w:lastRowLastColumn="0"/>
            <w:tcW w:w="2713" w:type="dxa"/>
          </w:tcPr>
          <w:p w:rsidR="00F27F3B" w:rsidRPr="00F27F3B" w:rsidRDefault="00F27F3B" w:rsidP="00F27F3B">
            <w:r w:rsidRPr="003500E4">
              <w:t>Endeavour's initial proposal</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263.7</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268.4</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277.1</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274.6</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280.2</w:t>
            </w:r>
          </w:p>
        </w:tc>
        <w:tc>
          <w:tcPr>
            <w:tcW w:w="1120"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1364.1</w:t>
            </w:r>
          </w:p>
        </w:tc>
      </w:tr>
      <w:tr w:rsidR="00F27F3B" w:rsidTr="008C5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F27F3B" w:rsidRPr="00F27F3B" w:rsidRDefault="00F27F3B" w:rsidP="00F27F3B">
            <w:r w:rsidRPr="003500E4">
              <w:t>AER draft decision</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203.4</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206.4</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210.2</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214.4</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219.0</w:t>
            </w:r>
          </w:p>
        </w:tc>
        <w:tc>
          <w:tcPr>
            <w:tcW w:w="1120"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1053.5</w:t>
            </w:r>
          </w:p>
        </w:tc>
      </w:tr>
      <w:tr w:rsidR="00F27F3B" w:rsidTr="008C525B">
        <w:tc>
          <w:tcPr>
            <w:cnfStyle w:val="001000000000" w:firstRow="0" w:lastRow="0" w:firstColumn="1" w:lastColumn="0" w:oddVBand="0" w:evenVBand="0" w:oddHBand="0" w:evenHBand="0" w:firstRowFirstColumn="0" w:firstRowLastColumn="0" w:lastRowFirstColumn="0" w:lastRowLastColumn="0"/>
            <w:tcW w:w="2713" w:type="dxa"/>
          </w:tcPr>
          <w:p w:rsidR="00F27F3B" w:rsidRPr="00F27F3B" w:rsidRDefault="00F27F3B" w:rsidP="00F27F3B">
            <w:r w:rsidRPr="003500E4">
              <w:t>Endeavour's revised proposal</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w:t>
            </w:r>
            <w:r w:rsidRPr="00F27F3B">
              <w:t>89.5</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30</w:t>
            </w:r>
            <w:r w:rsidRPr="00F27F3B">
              <w:t>2.5</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29</w:t>
            </w:r>
            <w:r w:rsidRPr="00F27F3B">
              <w:t>5.1</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29</w:t>
            </w:r>
            <w:r w:rsidRPr="00F27F3B">
              <w:t>1.1</w:t>
            </w:r>
          </w:p>
        </w:tc>
        <w:tc>
          <w:tcPr>
            <w:tcW w:w="972"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2</w:t>
            </w:r>
            <w:r w:rsidRPr="00F27F3B">
              <w:t>87.3</w:t>
            </w:r>
          </w:p>
        </w:tc>
        <w:tc>
          <w:tcPr>
            <w:tcW w:w="1120" w:type="dxa"/>
          </w:tcPr>
          <w:p w:rsidR="00F27F3B" w:rsidRPr="00F27F3B" w:rsidRDefault="00F27F3B" w:rsidP="00F27F3B">
            <w:pPr>
              <w:cnfStyle w:val="000000000000" w:firstRow="0" w:lastRow="0" w:firstColumn="0" w:lastColumn="0" w:oddVBand="0" w:evenVBand="0" w:oddHBand="0" w:evenHBand="0" w:firstRowFirstColumn="0" w:firstRowLastColumn="0" w:lastRowFirstColumn="0" w:lastRowLastColumn="0"/>
            </w:pPr>
            <w:r w:rsidRPr="003500E4">
              <w:t>14</w:t>
            </w:r>
            <w:r w:rsidRPr="00F27F3B">
              <w:t>65.6</w:t>
            </w:r>
          </w:p>
        </w:tc>
      </w:tr>
      <w:tr w:rsidR="00F27F3B" w:rsidTr="008C5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F27F3B" w:rsidRPr="00F27F3B" w:rsidRDefault="00F27F3B" w:rsidP="00F27F3B">
            <w:r w:rsidRPr="003500E4">
              <w:t>AER final decision</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235.8</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239.5</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243.3</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247.5</w:t>
            </w:r>
          </w:p>
        </w:tc>
        <w:tc>
          <w:tcPr>
            <w:tcW w:w="972"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252.3</w:t>
            </w:r>
          </w:p>
        </w:tc>
        <w:tc>
          <w:tcPr>
            <w:tcW w:w="1120" w:type="dxa"/>
          </w:tcPr>
          <w:p w:rsidR="00F27F3B" w:rsidRPr="00F27F3B" w:rsidRDefault="00F27F3B" w:rsidP="00F27F3B">
            <w:pPr>
              <w:cnfStyle w:val="000000010000" w:firstRow="0" w:lastRow="0" w:firstColumn="0" w:lastColumn="0" w:oddVBand="0" w:evenVBand="0" w:oddHBand="0" w:evenHBand="1" w:firstRowFirstColumn="0" w:firstRowLastColumn="0" w:lastRowFirstColumn="0" w:lastRowLastColumn="0"/>
            </w:pPr>
            <w:r w:rsidRPr="003500E4">
              <w:t>1218.3</w:t>
            </w:r>
          </w:p>
        </w:tc>
      </w:tr>
    </w:tbl>
    <w:p w:rsidR="00F27F3B" w:rsidRPr="00112BF8" w:rsidRDefault="00F27F3B" w:rsidP="00F27F3B">
      <w:pPr>
        <w:pStyle w:val="AERtablesource"/>
        <w:numPr>
          <w:ilvl w:val="0"/>
          <w:numId w:val="24"/>
        </w:numPr>
      </w:pPr>
      <w:r w:rsidRPr="00112BF8">
        <w:t>Source:</w:t>
      </w:r>
      <w:r w:rsidRPr="00112BF8">
        <w:tab/>
        <w:t>AER analysis.</w:t>
      </w:r>
    </w:p>
    <w:p w:rsidR="00F27F3B" w:rsidRPr="00112BF8" w:rsidRDefault="00F27F3B" w:rsidP="00F27F3B">
      <w:pPr>
        <w:pStyle w:val="AERtablesource"/>
        <w:numPr>
          <w:ilvl w:val="0"/>
          <w:numId w:val="24"/>
        </w:numPr>
      </w:pPr>
      <w:r w:rsidRPr="00112BF8">
        <w:t>Note:</w:t>
      </w:r>
      <w:r w:rsidRPr="00112BF8">
        <w:tab/>
      </w:r>
      <w:r>
        <w:t>Exclude</w:t>
      </w:r>
      <w:r w:rsidRPr="00112BF8">
        <w:t>s debt raising costs.</w:t>
      </w:r>
    </w:p>
    <w:p w:rsidR="00F27F3B" w:rsidRDefault="009D2F25" w:rsidP="00F27F3B">
      <w:r>
        <w:fldChar w:fldCharType="begin"/>
      </w:r>
      <w:r>
        <w:instrText xml:space="preserve"> REF _Ref417917044 \h </w:instrText>
      </w:r>
      <w:r>
        <w:fldChar w:fldCharType="separate"/>
      </w:r>
      <w:r>
        <w:t xml:space="preserve">Figure </w:t>
      </w:r>
      <w:r>
        <w:rPr>
          <w:noProof/>
        </w:rPr>
        <w:t>7</w:t>
      </w:r>
      <w:r>
        <w:fldChar w:fldCharType="end"/>
      </w:r>
      <w:r>
        <w:t xml:space="preserve"> </w:t>
      </w:r>
      <w:r w:rsidR="00F27F3B">
        <w:t>shows our final decision compared to Endeavour Energy's revised proposal, its past allowances and past actual expenditure.</w:t>
      </w:r>
    </w:p>
    <w:p w:rsidR="00F27F3B" w:rsidRDefault="00F27F3B" w:rsidP="00F27F3B">
      <w:pPr>
        <w:pStyle w:val="Caption"/>
      </w:pPr>
      <w:bookmarkStart w:id="141" w:name="_Ref417917044"/>
      <w:r>
        <w:t xml:space="preserve">Figure </w:t>
      </w:r>
      <w:r w:rsidRPr="00F27F3B">
        <w:fldChar w:fldCharType="begin"/>
      </w:r>
      <w:r>
        <w:instrText xml:space="preserve"> SEQ Figure \* ARABIC </w:instrText>
      </w:r>
      <w:r w:rsidRPr="00F27F3B">
        <w:fldChar w:fldCharType="separate"/>
      </w:r>
      <w:r w:rsidR="009D2F25">
        <w:rPr>
          <w:noProof/>
        </w:rPr>
        <w:t>7</w:t>
      </w:r>
      <w:r w:rsidRPr="00F27F3B">
        <w:fldChar w:fldCharType="end"/>
      </w:r>
      <w:bookmarkEnd w:id="141"/>
      <w:r>
        <w:tab/>
        <w:t xml:space="preserve">AER final decision compared to Endeavour Energy's past and proposed </w:t>
      </w:r>
      <w:proofErr w:type="spellStart"/>
      <w:r>
        <w:t>opex</w:t>
      </w:r>
      <w:proofErr w:type="spellEnd"/>
      <w:r>
        <w:t xml:space="preserve"> ($million, 2013-14)</w:t>
      </w:r>
    </w:p>
    <w:p w:rsidR="00F27F3B" w:rsidRDefault="009D2F25" w:rsidP="00F27F3B">
      <w:r w:rsidRPr="009D2F25">
        <w:rPr>
          <w:noProof/>
          <w:lang w:eastAsia="en-AU"/>
        </w:rPr>
        <w:drawing>
          <wp:inline distT="0" distB="0" distL="0" distR="0" wp14:anchorId="12848C39" wp14:editId="02040FB2">
            <wp:extent cx="5382895" cy="37052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2895" cy="3705225"/>
                    </a:xfrm>
                    <a:prstGeom prst="rect">
                      <a:avLst/>
                    </a:prstGeom>
                    <a:noFill/>
                    <a:ln>
                      <a:noFill/>
                    </a:ln>
                  </pic:spPr>
                </pic:pic>
              </a:graphicData>
            </a:graphic>
          </wp:inline>
        </w:drawing>
      </w:r>
    </w:p>
    <w:p w:rsidR="00F27F3B" w:rsidRDefault="00F27F3B" w:rsidP="00F27F3B">
      <w:r w:rsidRPr="00E20B76">
        <w:t xml:space="preserve">Attachment 7 sets out our detailed reasons for our </w:t>
      </w:r>
      <w:r>
        <w:t xml:space="preserve">final </w:t>
      </w:r>
      <w:r w:rsidRPr="00E20B76">
        <w:t>decision on En</w:t>
      </w:r>
      <w:r>
        <w:t>deavour Energy</w:t>
      </w:r>
      <w:r w:rsidRPr="00E20B76">
        <w:t xml:space="preserve">'s total forecast </w:t>
      </w:r>
      <w:proofErr w:type="spellStart"/>
      <w:r w:rsidRPr="00E20B76">
        <w:t>opex</w:t>
      </w:r>
      <w:proofErr w:type="spellEnd"/>
      <w:r w:rsidRPr="00E20B76">
        <w:t>. While we consider that En</w:t>
      </w:r>
      <w:r>
        <w:t>deavour Energy</w:t>
      </w:r>
      <w:r w:rsidRPr="00E20B76">
        <w:t xml:space="preserve">'s revealed </w:t>
      </w:r>
      <w:proofErr w:type="spellStart"/>
      <w:r w:rsidRPr="00E20B76">
        <w:t>opex</w:t>
      </w:r>
      <w:proofErr w:type="spellEnd"/>
      <w:r w:rsidRPr="00E20B76">
        <w:t xml:space="preserve"> still includes inefficiencies, we have determined that they are not materially inefficient for the purposes of developing an alternative forecast that we are satisfied reasonably reflects the </w:t>
      </w:r>
      <w:proofErr w:type="spellStart"/>
      <w:r w:rsidRPr="00E20B76">
        <w:t>opex</w:t>
      </w:r>
      <w:proofErr w:type="spellEnd"/>
      <w:r w:rsidRPr="00E20B76">
        <w:t xml:space="preserve"> criteria. </w:t>
      </w:r>
      <w:r>
        <w:t xml:space="preserve">On this basis our final decision is to rely on Endeavour Energy's revealed </w:t>
      </w:r>
      <w:proofErr w:type="spellStart"/>
      <w:r>
        <w:t>opex</w:t>
      </w:r>
      <w:proofErr w:type="spellEnd"/>
      <w:r>
        <w:t xml:space="preserve"> as a starting point for forecasting its future </w:t>
      </w:r>
      <w:proofErr w:type="spellStart"/>
      <w:r>
        <w:t>opex</w:t>
      </w:r>
      <w:proofErr w:type="spellEnd"/>
      <w:r>
        <w:t xml:space="preserve">. We call our starting point our estimate of base </w:t>
      </w:r>
      <w:proofErr w:type="spellStart"/>
      <w:r>
        <w:t>opex</w:t>
      </w:r>
      <w:proofErr w:type="spellEnd"/>
      <w:r>
        <w:t>.</w:t>
      </w:r>
    </w:p>
    <w:p w:rsidR="00F27F3B" w:rsidRDefault="00F27F3B" w:rsidP="00F27F3B">
      <w:r>
        <w:t xml:space="preserve">The key differences between our substitute estimate and Endeavour Energy's proposed </w:t>
      </w:r>
      <w:proofErr w:type="spellStart"/>
      <w:r>
        <w:t>opex</w:t>
      </w:r>
      <w:proofErr w:type="spellEnd"/>
      <w:r>
        <w:t xml:space="preserve"> relate to Endeavour Energy's proposed step change for vegetation management.  Endeavour Energy considered its revealed </w:t>
      </w:r>
      <w:proofErr w:type="spellStart"/>
      <w:r>
        <w:t>opex</w:t>
      </w:r>
      <w:proofErr w:type="spellEnd"/>
      <w:r>
        <w:t xml:space="preserve"> does not reflect the full cost of complying with its existing standards. It proposed an increase in </w:t>
      </w:r>
      <w:proofErr w:type="spellStart"/>
      <w:r>
        <w:t>opex</w:t>
      </w:r>
      <w:proofErr w:type="spellEnd"/>
      <w:r>
        <w:t xml:space="preserve"> that reflected increased costs associated with meeting its existing standards, and increased overhead expenditure that was allocated to vegetation management as a result of this proposed cost increase.</w:t>
      </w:r>
    </w:p>
    <w:p w:rsidR="00F27F3B" w:rsidRDefault="00F27F3B" w:rsidP="00F27F3B">
      <w:r>
        <w:t xml:space="preserve">We consider our estimate of base </w:t>
      </w:r>
      <w:proofErr w:type="spellStart"/>
      <w:r>
        <w:t>opex</w:t>
      </w:r>
      <w:proofErr w:type="spellEnd"/>
      <w:r>
        <w:t xml:space="preserve"> is sufficient for Endeavour Energy to meet all of its existing regulatory obligations—including for vegetation management. We consider there is not sufficient evidence that Endeavour Energy requires an additional increase in </w:t>
      </w:r>
      <w:proofErr w:type="spellStart"/>
      <w:r>
        <w:t>opex</w:t>
      </w:r>
      <w:proofErr w:type="spellEnd"/>
      <w:r>
        <w:t xml:space="preserve"> to meet its existing regulatory obligations. Evidence we considered in in reaching our decision included the following:</w:t>
      </w:r>
    </w:p>
    <w:p w:rsidR="00F27F3B" w:rsidRDefault="00F27F3B" w:rsidP="00F27F3B">
      <w:pPr>
        <w:pStyle w:val="AERbulletlistfirststyle"/>
      </w:pPr>
      <w:r>
        <w:t xml:space="preserve">Benchmarking of Endeavour Energy's historical </w:t>
      </w:r>
      <w:proofErr w:type="spellStart"/>
      <w:r>
        <w:t>opex</w:t>
      </w:r>
      <w:proofErr w:type="spellEnd"/>
      <w:r>
        <w:t xml:space="preserve"> against other service providers</w:t>
      </w:r>
    </w:p>
    <w:p w:rsidR="00F27F3B" w:rsidRDefault="00F27F3B" w:rsidP="00F27F3B">
      <w:pPr>
        <w:pStyle w:val="AERbulletlistfirststyle"/>
      </w:pPr>
      <w:r>
        <w:t>Deloitte's findings about the efficiency of all NSW service providers' labour costs and workforce practices</w:t>
      </w:r>
    </w:p>
    <w:p w:rsidR="00F27F3B" w:rsidRDefault="00F27F3B" w:rsidP="00F27F3B">
      <w:pPr>
        <w:pStyle w:val="AERbulletlistfirststyle"/>
      </w:pPr>
      <w:r>
        <w:t>A Networks NSW review of all NSW service providers' vegetation management practices</w:t>
      </w:r>
    </w:p>
    <w:p w:rsidR="00F27F3B" w:rsidRDefault="00F27F3B" w:rsidP="00F27F3B">
      <w:pPr>
        <w:pStyle w:val="AERbulletlistfirststyle"/>
      </w:pPr>
      <w:r>
        <w:t xml:space="preserve">The interactions between with our </w:t>
      </w:r>
      <w:proofErr w:type="spellStart"/>
      <w:r>
        <w:t>opex</w:t>
      </w:r>
      <w:proofErr w:type="spellEnd"/>
      <w:r>
        <w:t xml:space="preserve"> forecasting approach and our incentive scheme for </w:t>
      </w:r>
      <w:proofErr w:type="spellStart"/>
      <w:r>
        <w:t>opex</w:t>
      </w:r>
      <w:proofErr w:type="spellEnd"/>
      <w:r>
        <w:t>, the EBSS.</w:t>
      </w:r>
    </w:p>
    <w:p w:rsidR="00F27F3B" w:rsidRDefault="00F27F3B" w:rsidP="00F27F3B">
      <w:r>
        <w:fldChar w:fldCharType="begin"/>
      </w:r>
      <w:r>
        <w:instrText xml:space="preserve"> REF _Ref416882115 \h </w:instrText>
      </w:r>
      <w:r>
        <w:fldChar w:fldCharType="separate"/>
      </w:r>
      <w:r w:rsidR="009D2F25">
        <w:t xml:space="preserve">Figure </w:t>
      </w:r>
      <w:r w:rsidR="009D2F25">
        <w:rPr>
          <w:noProof/>
        </w:rPr>
        <w:t>8</w:t>
      </w:r>
      <w:r>
        <w:fldChar w:fldCharType="end"/>
      </w:r>
      <w:r>
        <w:t xml:space="preserve"> illustrates how our forecast has been constructed. The starting point on the left is what Endeavour Energy's </w:t>
      </w:r>
      <w:proofErr w:type="spellStart"/>
      <w:r>
        <w:t>opex</w:t>
      </w:r>
      <w:proofErr w:type="spellEnd"/>
      <w:r>
        <w:t xml:space="preserve"> would have been for the 2014–19 period if it was set based on Endeavour Energy's reported </w:t>
      </w:r>
      <w:proofErr w:type="spellStart"/>
      <w:r>
        <w:t>opex</w:t>
      </w:r>
      <w:proofErr w:type="spellEnd"/>
      <w:r>
        <w:t xml:space="preserve"> in 2012–13.</w:t>
      </w:r>
    </w:p>
    <w:p w:rsidR="00F27F3B" w:rsidRDefault="00F27F3B" w:rsidP="00F27F3B">
      <w:pPr>
        <w:pStyle w:val="Caption"/>
      </w:pPr>
      <w:bookmarkStart w:id="142" w:name="_Ref416882115"/>
      <w:r>
        <w:t xml:space="preserve">Figure </w:t>
      </w:r>
      <w:r w:rsidRPr="00F27F3B">
        <w:fldChar w:fldCharType="begin"/>
      </w:r>
      <w:r>
        <w:instrText xml:space="preserve"> SEQ Figure \* ARABIC </w:instrText>
      </w:r>
      <w:r w:rsidRPr="00F27F3B">
        <w:fldChar w:fldCharType="separate"/>
      </w:r>
      <w:r w:rsidR="009D2F25">
        <w:rPr>
          <w:noProof/>
        </w:rPr>
        <w:t>8</w:t>
      </w:r>
      <w:r w:rsidRPr="00F27F3B">
        <w:fldChar w:fldCharType="end"/>
      </w:r>
      <w:bookmarkEnd w:id="142"/>
      <w:r>
        <w:tab/>
        <w:t xml:space="preserve">Our final decision </w:t>
      </w:r>
      <w:proofErr w:type="spellStart"/>
      <w:r>
        <w:t>opex</w:t>
      </w:r>
      <w:proofErr w:type="spellEnd"/>
      <w:r>
        <w:t xml:space="preserve"> forecast</w:t>
      </w:r>
    </w:p>
    <w:p w:rsidR="00F27F3B" w:rsidRDefault="00F27F3B" w:rsidP="00F27F3B">
      <w:r w:rsidRPr="00F27F3B">
        <w:rPr>
          <w:noProof/>
          <w:lang w:eastAsia="en-AU"/>
        </w:rPr>
        <w:drawing>
          <wp:inline distT="0" distB="0" distL="0" distR="0" wp14:anchorId="4D0E71AF" wp14:editId="3E2C1314">
            <wp:extent cx="5382895" cy="3225711"/>
            <wp:effectExtent l="0" t="0" r="825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60F32" w:rsidRPr="00DC2000" w:rsidRDefault="00360F32" w:rsidP="00360F32">
      <w:pPr>
        <w:pStyle w:val="Heading2"/>
      </w:pPr>
      <w:bookmarkStart w:id="143" w:name="_Toc415927287"/>
      <w:bookmarkStart w:id="144" w:name="_Toc404154752"/>
      <w:bookmarkStart w:id="145" w:name="_Toc404437145"/>
      <w:bookmarkStart w:id="146" w:name="_Toc411428056"/>
      <w:bookmarkStart w:id="147" w:name="_Toc417917014"/>
      <w:bookmarkEnd w:id="143"/>
      <w:bookmarkEnd w:id="144"/>
      <w:r w:rsidRPr="00DC2000">
        <w:t>Corporate income tax</w:t>
      </w:r>
      <w:bookmarkEnd w:id="145"/>
      <w:bookmarkEnd w:id="146"/>
      <w:bookmarkEnd w:id="147"/>
    </w:p>
    <w:p w:rsidR="00360F32" w:rsidRDefault="0054512C" w:rsidP="00360F32">
      <w:r w:rsidRPr="007B12BD">
        <w:t xml:space="preserve">The NER require us to make a decision on the estimated cost of corporate income tax for </w:t>
      </w:r>
      <w:r w:rsidR="00CF2C0C">
        <w:t>Endeavour Energy</w:t>
      </w:r>
      <w:r>
        <w:t>'s</w:t>
      </w:r>
      <w:r w:rsidRPr="007B12BD">
        <w:t xml:space="preserve"> 201</w:t>
      </w:r>
      <w:r w:rsidR="001B255E">
        <w:t>4</w:t>
      </w:r>
      <w:r w:rsidRPr="007B12BD">
        <w:t>–</w:t>
      </w:r>
      <w:r>
        <w:t>19</w:t>
      </w:r>
      <w:r w:rsidRPr="007B12BD">
        <w:t xml:space="preserve"> </w:t>
      </w:r>
      <w:proofErr w:type="gramStart"/>
      <w:r w:rsidRPr="007B12BD">
        <w:t>period</w:t>
      </w:r>
      <w:proofErr w:type="gramEnd"/>
      <w:r w:rsidRPr="007B12BD">
        <w:t>.</w:t>
      </w:r>
      <w:r>
        <w:rPr>
          <w:rStyle w:val="FootnoteReference"/>
        </w:rPr>
        <w:footnoteReference w:id="50"/>
      </w:r>
      <w:r w:rsidRPr="007B12BD">
        <w:t xml:space="preserve"> </w:t>
      </w:r>
      <w:r w:rsidR="00360F32" w:rsidRPr="00DC2000">
        <w:t xml:space="preserve">The estimated cost of corporate income tax contributes to our determination of the total revenue requirements for </w:t>
      </w:r>
      <w:r w:rsidR="00A34A5A">
        <w:t>Endeavour Energy</w:t>
      </w:r>
      <w:r w:rsidR="00A34A5A" w:rsidRPr="00DC2000">
        <w:t xml:space="preserve"> </w:t>
      </w:r>
      <w:r w:rsidR="00360F32" w:rsidRPr="00DC2000">
        <w:t xml:space="preserve">over the 2014–19 </w:t>
      </w:r>
      <w:proofErr w:type="gramStart"/>
      <w:r w:rsidR="00360F32" w:rsidRPr="00DC2000">
        <w:t>period</w:t>
      </w:r>
      <w:proofErr w:type="gramEnd"/>
      <w:r w:rsidR="00360F32" w:rsidRPr="00DC2000">
        <w:t xml:space="preserve">. </w:t>
      </w:r>
      <w:r w:rsidR="00152683">
        <w:t>It</w:t>
      </w:r>
      <w:r w:rsidR="00360F32" w:rsidRPr="00DC2000">
        <w:t xml:space="preserve"> enables </w:t>
      </w:r>
      <w:r w:rsidR="00A34A5A">
        <w:t>Endeavour Energy</w:t>
      </w:r>
      <w:r w:rsidR="00A34A5A" w:rsidRPr="00DC2000">
        <w:t xml:space="preserve"> </w:t>
      </w:r>
      <w:r w:rsidR="00360F32" w:rsidRPr="00DC2000">
        <w:t xml:space="preserve">to recover the costs associated with the estimated corporate income tax payable during that period. </w:t>
      </w:r>
    </w:p>
    <w:p w:rsidR="00360F32" w:rsidRDefault="001B255E" w:rsidP="00117E02">
      <w:pPr>
        <w:numPr>
          <w:ilvl w:val="0"/>
          <w:numId w:val="24"/>
        </w:numPr>
      </w:pPr>
      <w:r>
        <w:t>O</w:t>
      </w:r>
      <w:r w:rsidR="00152683">
        <w:t>ur final decision</w:t>
      </w:r>
      <w:r>
        <w:t xml:space="preserve"> is to determine a</w:t>
      </w:r>
      <w:r w:rsidR="00152683">
        <w:t xml:space="preserve"> cost of corporate income tax </w:t>
      </w:r>
      <w:r>
        <w:t>of</w:t>
      </w:r>
      <w:r w:rsidR="00152683">
        <w:t xml:space="preserve"> $187.4 million ($ nominal) for Endeavour Energy over the 2014–19 period</w:t>
      </w:r>
      <w:r w:rsidR="006D0231">
        <w:t xml:space="preserve"> as shown in </w:t>
      </w:r>
      <w:r w:rsidR="006D0231">
        <w:fldChar w:fldCharType="begin"/>
      </w:r>
      <w:r w:rsidR="006D0231">
        <w:instrText xml:space="preserve"> REF _Ref417292593 \h </w:instrText>
      </w:r>
      <w:r w:rsidR="006D0231">
        <w:fldChar w:fldCharType="separate"/>
      </w:r>
      <w:r w:rsidR="009D2F25">
        <w:t xml:space="preserve">Table </w:t>
      </w:r>
      <w:r w:rsidR="009D2F25">
        <w:rPr>
          <w:noProof/>
        </w:rPr>
        <w:t>9</w:t>
      </w:r>
      <w:r w:rsidR="006D0231">
        <w:fldChar w:fldCharType="end"/>
      </w:r>
      <w:r w:rsidR="00152683">
        <w:t>. This is instead of</w:t>
      </w:r>
      <w:r w:rsidR="00360F32">
        <w:t xml:space="preserve"> </w:t>
      </w:r>
      <w:r w:rsidR="00A34A5A">
        <w:t xml:space="preserve">Endeavour Energy's </w:t>
      </w:r>
      <w:r w:rsidR="00360F32">
        <w:t>revised proposed cost of corporate income tax allowance of $</w:t>
      </w:r>
      <w:r w:rsidR="00A34A5A">
        <w:t>349.2</w:t>
      </w:r>
      <w:r w:rsidR="00360F32">
        <w:t xml:space="preserve"> million ($ nominal</w:t>
      </w:r>
      <w:r w:rsidR="00CF2C0C">
        <w:t>).</w:t>
      </w:r>
    </w:p>
    <w:p w:rsidR="00360F32" w:rsidRPr="00A96E59" w:rsidRDefault="00570784" w:rsidP="00A51FB9">
      <w:pPr>
        <w:pStyle w:val="Caption"/>
        <w:rPr>
          <w:rStyle w:val="Strong"/>
          <w:b/>
          <w:bCs/>
        </w:rPr>
      </w:pPr>
      <w:bookmarkStart w:id="148" w:name="_Ref417292593"/>
      <w:r>
        <w:t xml:space="preserve">Table </w:t>
      </w:r>
      <w:r w:rsidR="0010003E">
        <w:fldChar w:fldCharType="begin"/>
      </w:r>
      <w:r w:rsidR="0010003E">
        <w:instrText xml:space="preserve"> SEQ Table \* ARABIC </w:instrText>
      </w:r>
      <w:r w:rsidR="0010003E">
        <w:fldChar w:fldCharType="separate"/>
      </w:r>
      <w:r w:rsidR="009D2F25">
        <w:rPr>
          <w:noProof/>
        </w:rPr>
        <w:t>9</w:t>
      </w:r>
      <w:r w:rsidR="0010003E">
        <w:rPr>
          <w:noProof/>
        </w:rPr>
        <w:fldChar w:fldCharType="end"/>
      </w:r>
      <w:bookmarkEnd w:id="148"/>
      <w:r w:rsidR="00A96E59">
        <w:tab/>
      </w:r>
      <w:r w:rsidR="00360F32" w:rsidRPr="00A51FB9">
        <w:rPr>
          <w:rStyle w:val="Strong"/>
          <w:b/>
          <w:bCs/>
        </w:rPr>
        <w:t xml:space="preserve">AER's </w:t>
      </w:r>
      <w:r w:rsidR="00A34A5A" w:rsidRPr="00A51FB9">
        <w:rPr>
          <w:rStyle w:val="Strong"/>
          <w:b/>
          <w:bCs/>
        </w:rPr>
        <w:t xml:space="preserve">final </w:t>
      </w:r>
      <w:r w:rsidR="00360F32" w:rsidRPr="00A51FB9">
        <w:rPr>
          <w:rStyle w:val="Strong"/>
          <w:b/>
          <w:bCs/>
        </w:rPr>
        <w:t xml:space="preserve">decision on </w:t>
      </w:r>
      <w:r w:rsidR="00A34A5A" w:rsidRPr="00A51FB9">
        <w:rPr>
          <w:rStyle w:val="Strong"/>
          <w:b/>
          <w:bCs/>
        </w:rPr>
        <w:t xml:space="preserve">Endeavour Energy's </w:t>
      </w:r>
      <w:r w:rsidR="00360F32" w:rsidRPr="00A51FB9">
        <w:rPr>
          <w:rStyle w:val="Strong"/>
          <w:b/>
          <w:bCs/>
        </w:rPr>
        <w:t>cost of corporate income tax allowance for the 2014–19 period  ($ million, nominal)</w:t>
      </w:r>
    </w:p>
    <w:tbl>
      <w:tblPr>
        <w:tblStyle w:val="AERtable-numbers"/>
        <w:tblW w:w="5000" w:type="pct"/>
        <w:tblLook w:val="04A0" w:firstRow="1" w:lastRow="0" w:firstColumn="1" w:lastColumn="0" w:noHBand="0" w:noVBand="1"/>
      </w:tblPr>
      <w:tblGrid>
        <w:gridCol w:w="3175"/>
        <w:gridCol w:w="920"/>
        <w:gridCol w:w="920"/>
        <w:gridCol w:w="920"/>
        <w:gridCol w:w="920"/>
        <w:gridCol w:w="920"/>
        <w:gridCol w:w="918"/>
      </w:tblGrid>
      <w:tr w:rsidR="00360F32" w:rsidRPr="00A51FB9" w:rsidTr="001A1D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6" w:type="pct"/>
            <w:noWrap/>
            <w:hideMark/>
          </w:tcPr>
          <w:p w:rsidR="00360F32" w:rsidRPr="00A51FB9" w:rsidRDefault="00360F32" w:rsidP="00A51FB9">
            <w:r w:rsidRPr="00A51FB9">
              <w:t> </w:t>
            </w:r>
          </w:p>
        </w:tc>
        <w:tc>
          <w:tcPr>
            <w:tcW w:w="52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2014–15</w:t>
            </w:r>
          </w:p>
        </w:tc>
        <w:tc>
          <w:tcPr>
            <w:tcW w:w="52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2015–16</w:t>
            </w:r>
          </w:p>
        </w:tc>
        <w:tc>
          <w:tcPr>
            <w:tcW w:w="52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2016–17</w:t>
            </w:r>
          </w:p>
        </w:tc>
        <w:tc>
          <w:tcPr>
            <w:tcW w:w="52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2017–18</w:t>
            </w:r>
          </w:p>
        </w:tc>
        <w:tc>
          <w:tcPr>
            <w:tcW w:w="529"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2018–19</w:t>
            </w:r>
          </w:p>
        </w:tc>
        <w:tc>
          <w:tcPr>
            <w:tcW w:w="528" w:type="pct"/>
            <w:noWrap/>
            <w:hideMark/>
          </w:tcPr>
          <w:p w:rsidR="00360F32" w:rsidRPr="00A51FB9" w:rsidRDefault="00360F32" w:rsidP="00A51FB9">
            <w:pPr>
              <w:cnfStyle w:val="100000000000" w:firstRow="1" w:lastRow="0" w:firstColumn="0" w:lastColumn="0" w:oddVBand="0" w:evenVBand="0" w:oddHBand="0" w:evenHBand="0" w:firstRowFirstColumn="0" w:firstRowLastColumn="0" w:lastRowFirstColumn="0" w:lastRowLastColumn="0"/>
            </w:pPr>
            <w:r w:rsidRPr="00A51FB9">
              <w:t>Total</w:t>
            </w:r>
          </w:p>
        </w:tc>
      </w:tr>
      <w:tr w:rsidR="001A1DB1" w:rsidRPr="00A51FB9" w:rsidTr="001A1DB1">
        <w:trPr>
          <w:trHeight w:val="300"/>
        </w:trPr>
        <w:tc>
          <w:tcPr>
            <w:cnfStyle w:val="001000000000" w:firstRow="0" w:lastRow="0" w:firstColumn="1" w:lastColumn="0" w:oddVBand="0" w:evenVBand="0" w:oddHBand="0" w:evenHBand="0" w:firstRowFirstColumn="0" w:firstRowLastColumn="0" w:lastRowFirstColumn="0" w:lastRowLastColumn="0"/>
            <w:tcW w:w="1826" w:type="pct"/>
            <w:noWrap/>
            <w:hideMark/>
          </w:tcPr>
          <w:p w:rsidR="001A1DB1" w:rsidRPr="001A1DB1" w:rsidRDefault="001A1DB1" w:rsidP="001A1DB1">
            <w:r w:rsidRPr="001A1DB1">
              <w:t>Tax payable</w:t>
            </w:r>
          </w:p>
        </w:tc>
        <w:tc>
          <w:tcPr>
            <w:tcW w:w="529" w:type="pct"/>
            <w:noWrap/>
            <w:vAlign w:val="bottom"/>
            <w:hideMark/>
          </w:tcPr>
          <w:p w:rsidR="001A1DB1" w:rsidRPr="001A1DB1" w:rsidRDefault="001A1DB1" w:rsidP="001A1DB1">
            <w:pPr>
              <w:cnfStyle w:val="000000000000" w:firstRow="0" w:lastRow="0" w:firstColumn="0" w:lastColumn="0" w:oddVBand="0" w:evenVBand="0" w:oddHBand="0" w:evenHBand="0" w:firstRowFirstColumn="0" w:firstRowLastColumn="0" w:lastRowFirstColumn="0" w:lastRowLastColumn="0"/>
            </w:pPr>
            <w:r w:rsidRPr="001A1DB1">
              <w:t>60.4</w:t>
            </w:r>
          </w:p>
        </w:tc>
        <w:tc>
          <w:tcPr>
            <w:tcW w:w="529" w:type="pct"/>
            <w:noWrap/>
            <w:vAlign w:val="bottom"/>
            <w:hideMark/>
          </w:tcPr>
          <w:p w:rsidR="001A1DB1" w:rsidRPr="001A1DB1" w:rsidRDefault="001A1DB1" w:rsidP="001A1DB1">
            <w:pPr>
              <w:cnfStyle w:val="000000000000" w:firstRow="0" w:lastRow="0" w:firstColumn="0" w:lastColumn="0" w:oddVBand="0" w:evenVBand="0" w:oddHBand="0" w:evenHBand="0" w:firstRowFirstColumn="0" w:firstRowLastColumn="0" w:lastRowFirstColumn="0" w:lastRowLastColumn="0"/>
            </w:pPr>
            <w:r w:rsidRPr="001A1DB1">
              <w:t>57.8</w:t>
            </w:r>
          </w:p>
        </w:tc>
        <w:tc>
          <w:tcPr>
            <w:tcW w:w="529" w:type="pct"/>
            <w:noWrap/>
            <w:vAlign w:val="bottom"/>
            <w:hideMark/>
          </w:tcPr>
          <w:p w:rsidR="001A1DB1" w:rsidRPr="001A1DB1" w:rsidRDefault="001A1DB1" w:rsidP="001A1DB1">
            <w:pPr>
              <w:cnfStyle w:val="000000000000" w:firstRow="0" w:lastRow="0" w:firstColumn="0" w:lastColumn="0" w:oddVBand="0" w:evenVBand="0" w:oddHBand="0" w:evenHBand="0" w:firstRowFirstColumn="0" w:firstRowLastColumn="0" w:lastRowFirstColumn="0" w:lastRowLastColumn="0"/>
            </w:pPr>
            <w:r w:rsidRPr="001A1DB1">
              <w:t>64.5</w:t>
            </w:r>
          </w:p>
        </w:tc>
        <w:tc>
          <w:tcPr>
            <w:tcW w:w="529" w:type="pct"/>
            <w:noWrap/>
            <w:vAlign w:val="bottom"/>
            <w:hideMark/>
          </w:tcPr>
          <w:p w:rsidR="001A1DB1" w:rsidRPr="001A1DB1" w:rsidRDefault="001A1DB1" w:rsidP="001A1DB1">
            <w:pPr>
              <w:cnfStyle w:val="000000000000" w:firstRow="0" w:lastRow="0" w:firstColumn="0" w:lastColumn="0" w:oddVBand="0" w:evenVBand="0" w:oddHBand="0" w:evenHBand="0" w:firstRowFirstColumn="0" w:firstRowLastColumn="0" w:lastRowFirstColumn="0" w:lastRowLastColumn="0"/>
            </w:pPr>
            <w:r w:rsidRPr="001A1DB1">
              <w:t>63.8</w:t>
            </w:r>
          </w:p>
        </w:tc>
        <w:tc>
          <w:tcPr>
            <w:tcW w:w="529" w:type="pct"/>
            <w:noWrap/>
            <w:vAlign w:val="bottom"/>
            <w:hideMark/>
          </w:tcPr>
          <w:p w:rsidR="001A1DB1" w:rsidRPr="001A1DB1" w:rsidRDefault="001A1DB1" w:rsidP="001A1DB1">
            <w:pPr>
              <w:cnfStyle w:val="000000000000" w:firstRow="0" w:lastRow="0" w:firstColumn="0" w:lastColumn="0" w:oddVBand="0" w:evenVBand="0" w:oddHBand="0" w:evenHBand="0" w:firstRowFirstColumn="0" w:firstRowLastColumn="0" w:lastRowFirstColumn="0" w:lastRowLastColumn="0"/>
            </w:pPr>
            <w:r w:rsidRPr="001A1DB1">
              <w:t>65.8</w:t>
            </w:r>
          </w:p>
        </w:tc>
        <w:tc>
          <w:tcPr>
            <w:tcW w:w="528" w:type="pct"/>
            <w:noWrap/>
            <w:vAlign w:val="bottom"/>
            <w:hideMark/>
          </w:tcPr>
          <w:p w:rsidR="001A1DB1" w:rsidRPr="001A1DB1" w:rsidRDefault="001A1DB1" w:rsidP="001A1DB1">
            <w:pPr>
              <w:cnfStyle w:val="000000000000" w:firstRow="0" w:lastRow="0" w:firstColumn="0" w:lastColumn="0" w:oddVBand="0" w:evenVBand="0" w:oddHBand="0" w:evenHBand="0" w:firstRowFirstColumn="0" w:firstRowLastColumn="0" w:lastRowFirstColumn="0" w:lastRowLastColumn="0"/>
            </w:pPr>
            <w:r w:rsidRPr="001A1DB1">
              <w:t>312.3</w:t>
            </w:r>
          </w:p>
        </w:tc>
      </w:tr>
      <w:tr w:rsidR="001A1DB1" w:rsidRPr="00A51FB9" w:rsidTr="001A1DB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6" w:type="pct"/>
            <w:noWrap/>
            <w:hideMark/>
          </w:tcPr>
          <w:p w:rsidR="001A1DB1" w:rsidRPr="001A1DB1" w:rsidRDefault="001A1DB1" w:rsidP="001A1DB1">
            <w:r w:rsidRPr="00E447FA">
              <w:rPr>
                <w:rStyle w:val="AERtextitalic"/>
              </w:rPr>
              <w:t>Less</w:t>
            </w:r>
            <w:r w:rsidRPr="001A1DB1">
              <w:t>: value of imputation credits</w:t>
            </w:r>
          </w:p>
        </w:tc>
        <w:tc>
          <w:tcPr>
            <w:tcW w:w="529" w:type="pct"/>
            <w:noWrap/>
            <w:vAlign w:val="bottom"/>
            <w:hideMark/>
          </w:tcPr>
          <w:p w:rsidR="001A1DB1" w:rsidRPr="001A1DB1" w:rsidRDefault="001A1DB1" w:rsidP="001A1DB1">
            <w:pPr>
              <w:cnfStyle w:val="000000010000" w:firstRow="0" w:lastRow="0" w:firstColumn="0" w:lastColumn="0" w:oddVBand="0" w:evenVBand="0" w:oddHBand="0" w:evenHBand="1" w:firstRowFirstColumn="0" w:firstRowLastColumn="0" w:lastRowFirstColumn="0" w:lastRowLastColumn="0"/>
            </w:pPr>
            <w:r w:rsidRPr="001A1DB1">
              <w:t>24.2</w:t>
            </w:r>
          </w:p>
        </w:tc>
        <w:tc>
          <w:tcPr>
            <w:tcW w:w="529" w:type="pct"/>
            <w:noWrap/>
            <w:vAlign w:val="bottom"/>
            <w:hideMark/>
          </w:tcPr>
          <w:p w:rsidR="001A1DB1" w:rsidRPr="001A1DB1" w:rsidRDefault="001A1DB1" w:rsidP="001A1DB1">
            <w:pPr>
              <w:cnfStyle w:val="000000010000" w:firstRow="0" w:lastRow="0" w:firstColumn="0" w:lastColumn="0" w:oddVBand="0" w:evenVBand="0" w:oddHBand="0" w:evenHBand="1" w:firstRowFirstColumn="0" w:firstRowLastColumn="0" w:lastRowFirstColumn="0" w:lastRowLastColumn="0"/>
            </w:pPr>
            <w:r w:rsidRPr="001A1DB1">
              <w:t>23.1</w:t>
            </w:r>
          </w:p>
        </w:tc>
        <w:tc>
          <w:tcPr>
            <w:tcW w:w="529" w:type="pct"/>
            <w:noWrap/>
            <w:vAlign w:val="bottom"/>
            <w:hideMark/>
          </w:tcPr>
          <w:p w:rsidR="001A1DB1" w:rsidRPr="001A1DB1" w:rsidRDefault="001A1DB1" w:rsidP="001A1DB1">
            <w:pPr>
              <w:cnfStyle w:val="000000010000" w:firstRow="0" w:lastRow="0" w:firstColumn="0" w:lastColumn="0" w:oddVBand="0" w:evenVBand="0" w:oddHBand="0" w:evenHBand="1" w:firstRowFirstColumn="0" w:firstRowLastColumn="0" w:lastRowFirstColumn="0" w:lastRowLastColumn="0"/>
            </w:pPr>
            <w:r w:rsidRPr="001A1DB1">
              <w:t>25.8</w:t>
            </w:r>
          </w:p>
        </w:tc>
        <w:tc>
          <w:tcPr>
            <w:tcW w:w="529" w:type="pct"/>
            <w:noWrap/>
            <w:vAlign w:val="bottom"/>
            <w:hideMark/>
          </w:tcPr>
          <w:p w:rsidR="001A1DB1" w:rsidRPr="001A1DB1" w:rsidRDefault="001A1DB1" w:rsidP="001A1DB1">
            <w:pPr>
              <w:cnfStyle w:val="000000010000" w:firstRow="0" w:lastRow="0" w:firstColumn="0" w:lastColumn="0" w:oddVBand="0" w:evenVBand="0" w:oddHBand="0" w:evenHBand="1" w:firstRowFirstColumn="0" w:firstRowLastColumn="0" w:lastRowFirstColumn="0" w:lastRowLastColumn="0"/>
            </w:pPr>
            <w:r w:rsidRPr="001A1DB1">
              <w:t>25.5</w:t>
            </w:r>
          </w:p>
        </w:tc>
        <w:tc>
          <w:tcPr>
            <w:tcW w:w="529" w:type="pct"/>
            <w:noWrap/>
            <w:vAlign w:val="bottom"/>
            <w:hideMark/>
          </w:tcPr>
          <w:p w:rsidR="001A1DB1" w:rsidRPr="001A1DB1" w:rsidRDefault="001A1DB1" w:rsidP="001A1DB1">
            <w:pPr>
              <w:cnfStyle w:val="000000010000" w:firstRow="0" w:lastRow="0" w:firstColumn="0" w:lastColumn="0" w:oddVBand="0" w:evenVBand="0" w:oddHBand="0" w:evenHBand="1" w:firstRowFirstColumn="0" w:firstRowLastColumn="0" w:lastRowFirstColumn="0" w:lastRowLastColumn="0"/>
            </w:pPr>
            <w:r w:rsidRPr="001A1DB1">
              <w:t>26.3</w:t>
            </w:r>
          </w:p>
        </w:tc>
        <w:tc>
          <w:tcPr>
            <w:tcW w:w="528" w:type="pct"/>
            <w:noWrap/>
            <w:vAlign w:val="bottom"/>
            <w:hideMark/>
          </w:tcPr>
          <w:p w:rsidR="001A1DB1" w:rsidRPr="001A1DB1" w:rsidRDefault="001A1DB1" w:rsidP="001A1DB1">
            <w:pPr>
              <w:cnfStyle w:val="000000010000" w:firstRow="0" w:lastRow="0" w:firstColumn="0" w:lastColumn="0" w:oddVBand="0" w:evenVBand="0" w:oddHBand="0" w:evenHBand="1" w:firstRowFirstColumn="0" w:firstRowLastColumn="0" w:lastRowFirstColumn="0" w:lastRowLastColumn="0"/>
            </w:pPr>
            <w:r w:rsidRPr="001A1DB1">
              <w:t>124.9</w:t>
            </w:r>
          </w:p>
        </w:tc>
      </w:tr>
      <w:tr w:rsidR="001A1DB1" w:rsidRPr="00A547FC" w:rsidTr="001A1DB1">
        <w:trPr>
          <w:trHeight w:val="300"/>
        </w:trPr>
        <w:tc>
          <w:tcPr>
            <w:cnfStyle w:val="001000000000" w:firstRow="0" w:lastRow="0" w:firstColumn="1" w:lastColumn="0" w:oddVBand="0" w:evenVBand="0" w:oddHBand="0" w:evenHBand="0" w:firstRowFirstColumn="0" w:firstRowLastColumn="0" w:lastRowFirstColumn="0" w:lastRowLastColumn="0"/>
            <w:tcW w:w="1826" w:type="pct"/>
            <w:noWrap/>
            <w:hideMark/>
          </w:tcPr>
          <w:p w:rsidR="001A1DB1" w:rsidRPr="00A547FC" w:rsidRDefault="001A1DB1" w:rsidP="00E447FA">
            <w:pPr>
              <w:rPr>
                <w:rStyle w:val="Strong"/>
              </w:rPr>
            </w:pPr>
            <w:r w:rsidRPr="00A547FC">
              <w:rPr>
                <w:rStyle w:val="Strong"/>
              </w:rPr>
              <w:t>Corporate income tax allowance</w:t>
            </w:r>
          </w:p>
        </w:tc>
        <w:tc>
          <w:tcPr>
            <w:tcW w:w="529" w:type="pct"/>
            <w:noWrap/>
            <w:vAlign w:val="bottom"/>
            <w:hideMark/>
          </w:tcPr>
          <w:p w:rsidR="001A1DB1" w:rsidRPr="00A547FC" w:rsidRDefault="001A1DB1"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36.2</w:t>
            </w:r>
          </w:p>
        </w:tc>
        <w:tc>
          <w:tcPr>
            <w:tcW w:w="529" w:type="pct"/>
            <w:noWrap/>
            <w:vAlign w:val="bottom"/>
            <w:hideMark/>
          </w:tcPr>
          <w:p w:rsidR="001A1DB1" w:rsidRPr="00A547FC" w:rsidRDefault="001A1DB1"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34.7</w:t>
            </w:r>
          </w:p>
        </w:tc>
        <w:tc>
          <w:tcPr>
            <w:tcW w:w="529" w:type="pct"/>
            <w:noWrap/>
            <w:vAlign w:val="bottom"/>
            <w:hideMark/>
          </w:tcPr>
          <w:p w:rsidR="001A1DB1" w:rsidRPr="00A547FC" w:rsidRDefault="001A1DB1"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38.7</w:t>
            </w:r>
          </w:p>
        </w:tc>
        <w:tc>
          <w:tcPr>
            <w:tcW w:w="529" w:type="pct"/>
            <w:noWrap/>
            <w:vAlign w:val="bottom"/>
            <w:hideMark/>
          </w:tcPr>
          <w:p w:rsidR="001A1DB1" w:rsidRPr="00A547FC" w:rsidRDefault="001A1DB1"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38.3</w:t>
            </w:r>
          </w:p>
        </w:tc>
        <w:tc>
          <w:tcPr>
            <w:tcW w:w="529" w:type="pct"/>
            <w:noWrap/>
            <w:vAlign w:val="bottom"/>
            <w:hideMark/>
          </w:tcPr>
          <w:p w:rsidR="001A1DB1" w:rsidRPr="00A547FC" w:rsidRDefault="001A1DB1"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39.5</w:t>
            </w:r>
          </w:p>
        </w:tc>
        <w:tc>
          <w:tcPr>
            <w:tcW w:w="528" w:type="pct"/>
            <w:noWrap/>
            <w:vAlign w:val="bottom"/>
            <w:hideMark/>
          </w:tcPr>
          <w:p w:rsidR="001A1DB1" w:rsidRPr="00A547FC" w:rsidRDefault="001A1DB1" w:rsidP="00E447FA">
            <w:pPr>
              <w:cnfStyle w:val="000000000000" w:firstRow="0" w:lastRow="0" w:firstColumn="0" w:lastColumn="0" w:oddVBand="0" w:evenVBand="0" w:oddHBand="0" w:evenHBand="0" w:firstRowFirstColumn="0" w:firstRowLastColumn="0" w:lastRowFirstColumn="0" w:lastRowLastColumn="0"/>
              <w:rPr>
                <w:rStyle w:val="Strong"/>
              </w:rPr>
            </w:pPr>
            <w:r w:rsidRPr="00A547FC">
              <w:rPr>
                <w:rStyle w:val="Strong"/>
              </w:rPr>
              <w:t>187.4</w:t>
            </w:r>
          </w:p>
        </w:tc>
      </w:tr>
    </w:tbl>
    <w:p w:rsidR="00360F32" w:rsidRPr="00A51FB9" w:rsidRDefault="00360F32" w:rsidP="00A51FB9">
      <w:pPr>
        <w:pStyle w:val="AERtablesource"/>
        <w:rPr>
          <w:rStyle w:val="Strong"/>
          <w:b w:val="0"/>
          <w:bCs w:val="0"/>
        </w:rPr>
      </w:pPr>
      <w:r w:rsidRPr="00A51FB9">
        <w:rPr>
          <w:rStyle w:val="Strong"/>
          <w:b w:val="0"/>
          <w:bCs w:val="0"/>
        </w:rPr>
        <w:t>Source:</w:t>
      </w:r>
      <w:r w:rsidRPr="00A51FB9">
        <w:rPr>
          <w:rStyle w:val="Strong"/>
          <w:b w:val="0"/>
          <w:bCs w:val="0"/>
        </w:rPr>
        <w:tab/>
        <w:t>AER analysis.</w:t>
      </w:r>
    </w:p>
    <w:p w:rsidR="00360F32" w:rsidRDefault="00360F32" w:rsidP="00360F32">
      <w:pPr>
        <w:rPr>
          <w:rStyle w:val="AERbody"/>
        </w:rPr>
      </w:pPr>
      <w:r>
        <w:rPr>
          <w:rStyle w:val="AERbody"/>
        </w:rPr>
        <w:t xml:space="preserve">In our final decision we accept </w:t>
      </w:r>
      <w:r w:rsidR="00A34A5A">
        <w:rPr>
          <w:rStyle w:val="AERbody"/>
        </w:rPr>
        <w:t xml:space="preserve">Endeavour Energy's </w:t>
      </w:r>
      <w:r>
        <w:rPr>
          <w:rStyle w:val="AERbody"/>
        </w:rPr>
        <w:t>revised proposed inputs for the opening tax asset base as at 1 July 2014</w:t>
      </w:r>
      <w:r w:rsidR="006D0231">
        <w:rPr>
          <w:rStyle w:val="AERbody"/>
        </w:rPr>
        <w:t>,</w:t>
      </w:r>
      <w:r>
        <w:rPr>
          <w:rStyle w:val="AERbody"/>
        </w:rPr>
        <w:t xml:space="preserve"> and standard and remaining tax asset lives consistent with those approved in our draft decision. However, our lower approved tax allowance reflects amendments made to other inputs that impact the estimated corporate tax allowance, including:</w:t>
      </w:r>
    </w:p>
    <w:p w:rsidR="00360F32" w:rsidRDefault="00360F32" w:rsidP="00360F32">
      <w:pPr>
        <w:pStyle w:val="AERbulletlistfirststyle"/>
      </w:pPr>
      <w:r>
        <w:t>the value of imputation credits (attachment 4)</w:t>
      </w:r>
    </w:p>
    <w:p w:rsidR="00360F32" w:rsidRDefault="00360F32" w:rsidP="00360F32">
      <w:pPr>
        <w:pStyle w:val="AERbulletlistfirststyle"/>
      </w:pPr>
      <w:proofErr w:type="gramStart"/>
      <w:r>
        <w:t>our</w:t>
      </w:r>
      <w:proofErr w:type="gramEnd"/>
      <w:r>
        <w:t xml:space="preserve"> final decision </w:t>
      </w:r>
      <w:r w:rsidR="006D0231">
        <w:t>on other</w:t>
      </w:r>
      <w:r w:rsidR="00A34A5A">
        <w:t xml:space="preserve"> </w:t>
      </w:r>
      <w:r>
        <w:t>building block co</w:t>
      </w:r>
      <w:r w:rsidR="006D0231">
        <w:t>mponents</w:t>
      </w:r>
      <w:r>
        <w:t>, which affect revenues and therefore the tax calculation</w:t>
      </w:r>
      <w:r w:rsidR="00E60B0D">
        <w:t xml:space="preserve">. These include forecast </w:t>
      </w:r>
      <w:proofErr w:type="spellStart"/>
      <w:r w:rsidR="00E60B0D">
        <w:t>opex</w:t>
      </w:r>
      <w:proofErr w:type="spellEnd"/>
      <w:r>
        <w:t xml:space="preserve"> (attachment </w:t>
      </w:r>
      <w:r w:rsidR="00E60B0D">
        <w:t>7</w:t>
      </w:r>
      <w:r>
        <w:t>)</w:t>
      </w:r>
      <w:r w:rsidR="00E60B0D">
        <w:t xml:space="preserve"> and forecast capex (attachment 6)</w:t>
      </w:r>
      <w:r w:rsidR="00152683">
        <w:t>.</w:t>
      </w:r>
    </w:p>
    <w:p w:rsidR="006D0231" w:rsidRPr="006D0231" w:rsidRDefault="006D0231" w:rsidP="00B1408C">
      <w:pPr>
        <w:rPr>
          <w:rStyle w:val="AERbody"/>
          <w:rFonts w:eastAsia="Calibri"/>
          <w:szCs w:val="20"/>
          <w:lang w:eastAsia="en-AU"/>
        </w:rPr>
      </w:pPr>
      <w:r w:rsidRPr="006D0231">
        <w:t xml:space="preserve">Details of our final decision on the corporate income tax allowance are set out in </w:t>
      </w:r>
      <w:r w:rsidRPr="006D0231">
        <w:rPr>
          <w:rStyle w:val="AERbody"/>
        </w:rPr>
        <w:t>attachment 8.</w:t>
      </w:r>
    </w:p>
    <w:p w:rsidR="006D0231" w:rsidRPr="00DC2000" w:rsidRDefault="006D0231" w:rsidP="00B1408C"/>
    <w:p w:rsidR="00360F32" w:rsidRPr="00DC2000" w:rsidRDefault="00360F32" w:rsidP="00360F32">
      <w:pPr>
        <w:pStyle w:val="Heading1"/>
      </w:pPr>
      <w:bookmarkStart w:id="149" w:name="_Toc402535832"/>
      <w:bookmarkStart w:id="150" w:name="_Toc404437148"/>
      <w:bookmarkStart w:id="151" w:name="_Toc411428059"/>
      <w:bookmarkStart w:id="152" w:name="_Ref416276931"/>
      <w:bookmarkStart w:id="153" w:name="_Toc417917015"/>
      <w:bookmarkEnd w:id="149"/>
      <w:r>
        <w:t>Service c</w:t>
      </w:r>
      <w:r w:rsidRPr="00DC2000">
        <w:t>lassification</w:t>
      </w:r>
      <w:r>
        <w:t xml:space="preserve">, </w:t>
      </w:r>
      <w:r w:rsidR="0054512C">
        <w:t xml:space="preserve">control mechanisms, and </w:t>
      </w:r>
      <w:r>
        <w:t>incentive schemes</w:t>
      </w:r>
      <w:bookmarkEnd w:id="150"/>
      <w:bookmarkEnd w:id="151"/>
      <w:bookmarkEnd w:id="152"/>
      <w:bookmarkEnd w:id="153"/>
    </w:p>
    <w:p w:rsidR="00360F32" w:rsidRPr="00891DF8" w:rsidRDefault="00360F32" w:rsidP="00360F32">
      <w:bookmarkStart w:id="154" w:name="_Toc404437151"/>
      <w:bookmarkStart w:id="155" w:name="_Toc411428062"/>
      <w:r w:rsidRPr="00891DF8">
        <w:t xml:space="preserve">A range of factors, in addition to the building blocks, affect </w:t>
      </w:r>
      <w:r w:rsidR="00F807A3">
        <w:t>Endeavour Energy</w:t>
      </w:r>
      <w:r>
        <w:t>'s</w:t>
      </w:r>
      <w:r w:rsidRPr="00891DF8">
        <w:t xml:space="preserve"> revenues. These include service classification, the control mechanism, incentive schemes to promote efficiency, and our approach to services charged to individual consumers. This section sets out our approach to</w:t>
      </w:r>
      <w:r>
        <w:t xml:space="preserve"> some of</w:t>
      </w:r>
      <w:r w:rsidRPr="00891DF8">
        <w:t xml:space="preserve"> these issues.</w:t>
      </w:r>
    </w:p>
    <w:p w:rsidR="00360F32" w:rsidRPr="009F4C42" w:rsidRDefault="00360F32" w:rsidP="00360F32">
      <w:pPr>
        <w:pStyle w:val="Heading2"/>
      </w:pPr>
      <w:bookmarkStart w:id="156" w:name="_Toc417917016"/>
      <w:r>
        <w:t>S</w:t>
      </w:r>
      <w:r w:rsidRPr="009F4C42">
        <w:t>ervice</w:t>
      </w:r>
      <w:bookmarkEnd w:id="154"/>
      <w:bookmarkEnd w:id="155"/>
      <w:r>
        <w:t xml:space="preserve"> classification and control mechanisms</w:t>
      </w:r>
      <w:bookmarkEnd w:id="156"/>
    </w:p>
    <w:p w:rsidR="00360F32" w:rsidRPr="00112BF8" w:rsidRDefault="00360F32" w:rsidP="00360F32">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360F32" w:rsidRDefault="00360F32" w:rsidP="00360F32">
      <w:r>
        <w:rPr>
          <w:rStyle w:val="AERbody"/>
        </w:rPr>
        <w:t>Our final</w:t>
      </w:r>
      <w:r w:rsidRPr="003E7844">
        <w:rPr>
          <w:rStyle w:val="AERbody"/>
        </w:rPr>
        <w:t xml:space="preserve"> decision is to retain the classification s</w:t>
      </w:r>
      <w:r>
        <w:rPr>
          <w:rStyle w:val="AERbody"/>
        </w:rPr>
        <w:t>tructure set out in our draft decision</w:t>
      </w:r>
      <w:r>
        <w:t>.</w:t>
      </w:r>
    </w:p>
    <w:p w:rsidR="00360F32" w:rsidRDefault="00360F32" w:rsidP="00360F32">
      <w:r>
        <w:t xml:space="preserve">Following consultation with </w:t>
      </w:r>
      <w:r w:rsidR="00F807A3">
        <w:t xml:space="preserve">Endeavour Energy </w:t>
      </w:r>
      <w:r>
        <w:t xml:space="preserve">we have made minor changes to the </w:t>
      </w:r>
      <w:r w:rsidRPr="00112BF8">
        <w:t>definitions of network services (standard control) and metering services (alternative control) to make clear our intended approach to the classification of load control services</w:t>
      </w:r>
      <w:r>
        <w:t xml:space="preserve">. </w:t>
      </w:r>
    </w:p>
    <w:p w:rsidR="00360F32" w:rsidRDefault="00360F32" w:rsidP="00360F32">
      <w:r>
        <w:t>Load control services provided by equipment located outside a type 5 or 6 meter are grouped with network services and classified standard control. Load control services provided by a type 5 or 6 meter are grouped with ancillary metering services and classified alternative control.</w:t>
      </w:r>
    </w:p>
    <w:p w:rsidR="00360F32" w:rsidRPr="00112BF8" w:rsidRDefault="00360F32" w:rsidP="00360F32">
      <w:r w:rsidRPr="00112BF8">
        <w:t xml:space="preserve">Figure </w:t>
      </w:r>
      <w:r>
        <w:t>7 shows our final</w:t>
      </w:r>
      <w:r w:rsidRPr="00112BF8">
        <w:t xml:space="preserve"> decision on service</w:t>
      </w:r>
      <w:r>
        <w:t xml:space="preserve"> classifications for the 2015–19</w:t>
      </w:r>
      <w:r w:rsidRPr="00112BF8">
        <w:t xml:space="preserve"> regulatory control </w:t>
      </w:r>
      <w:proofErr w:type="gramStart"/>
      <w:r w:rsidRPr="00112BF8">
        <w:t>period</w:t>
      </w:r>
      <w:proofErr w:type="gramEnd"/>
      <w:r w:rsidRPr="00112BF8">
        <w:t xml:space="preserve">. </w:t>
      </w:r>
    </w:p>
    <w:p w:rsidR="00360F32" w:rsidRPr="00112BF8" w:rsidRDefault="00360F32" w:rsidP="00360F32">
      <w:pPr>
        <w:pStyle w:val="Caption"/>
      </w:pPr>
      <w:r w:rsidRPr="00112BF8">
        <w:t xml:space="preserve">Figure </w:t>
      </w:r>
      <w:r>
        <w:t>7</w:t>
      </w:r>
      <w:r>
        <w:tab/>
        <w:t xml:space="preserve">AER final </w:t>
      </w:r>
      <w:proofErr w:type="gramStart"/>
      <w:r>
        <w:t>decision</w:t>
      </w:r>
      <w:proofErr w:type="gramEnd"/>
      <w:r>
        <w:t xml:space="preserve"> on 2015–19</w:t>
      </w:r>
      <w:r w:rsidRPr="00112BF8">
        <w:t xml:space="preserve"> ser</w:t>
      </w:r>
      <w:r>
        <w:t xml:space="preserve">vice classifications for </w:t>
      </w:r>
      <w:r w:rsidR="00F807A3">
        <w:t>Endeavour Energy</w:t>
      </w:r>
    </w:p>
    <w:p w:rsidR="00360F32" w:rsidRPr="00112BF8" w:rsidRDefault="00171CC3" w:rsidP="00360F32">
      <w:pPr>
        <w:pStyle w:val="AERtablesource"/>
      </w:pPr>
      <w:r w:rsidRPr="00171CC3">
        <w:rPr>
          <w:noProof/>
          <w:lang w:eastAsia="en-AU"/>
        </w:rPr>
        <w:drawing>
          <wp:inline distT="0" distB="0" distL="0" distR="0" wp14:anchorId="53145AE1" wp14:editId="4EEF4201">
            <wp:extent cx="5382895" cy="3507291"/>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82895" cy="3507291"/>
                    </a:xfrm>
                    <a:prstGeom prst="rect">
                      <a:avLst/>
                    </a:prstGeom>
                  </pic:spPr>
                </pic:pic>
              </a:graphicData>
            </a:graphic>
          </wp:inline>
        </w:drawing>
      </w:r>
    </w:p>
    <w:p w:rsidR="00360F32" w:rsidRDefault="00360F32" w:rsidP="00C07330">
      <w:pPr>
        <w:pStyle w:val="AERtablesource"/>
      </w:pPr>
      <w:r w:rsidRPr="00112BF8">
        <w:t>Source: AER.</w:t>
      </w:r>
    </w:p>
    <w:p w:rsidR="0054512C" w:rsidRDefault="0054512C" w:rsidP="0054512C">
      <w:pPr>
        <w:numPr>
          <w:ilvl w:val="0"/>
          <w:numId w:val="24"/>
        </w:numPr>
      </w:pPr>
      <w:r>
        <w:rPr>
          <w:rStyle w:val="AERbody"/>
        </w:rPr>
        <w:t xml:space="preserve">Consistent with our draft decision, Endeavour Energy will be subject to a 'revenue cap' form of control for standard control services over the next regulator control period. </w:t>
      </w:r>
      <w:r w:rsidRPr="00112BF8">
        <w:t>The control mechanism (</w:t>
      </w:r>
      <w:r>
        <w:t>which describes how the revenues will vary from year to year</w:t>
      </w:r>
      <w:r w:rsidRPr="00112BF8">
        <w:t xml:space="preserve">) </w:t>
      </w:r>
      <w:r>
        <w:t xml:space="preserve">is discussed in Attachment 14. The control mechanism for standard control services is described in mathematical terms and reflects all possible adjustments that might be made to the revenue cap. </w:t>
      </w:r>
    </w:p>
    <w:p w:rsidR="00360F32" w:rsidRDefault="00360F32" w:rsidP="00360F32">
      <w:pPr>
        <w:pStyle w:val="Heading2"/>
      </w:pPr>
      <w:bookmarkStart w:id="157" w:name="_Toc417917017"/>
      <w:bookmarkStart w:id="158" w:name="_Toc404437154"/>
      <w:bookmarkStart w:id="159" w:name="_Toc411428065"/>
      <w:r>
        <w:t>Alternative control services</w:t>
      </w:r>
      <w:bookmarkEnd w:id="157"/>
    </w:p>
    <w:p w:rsidR="00360F32" w:rsidRPr="0058687D" w:rsidRDefault="00360F32" w:rsidP="00360F32">
      <w:r w:rsidRPr="0058687D">
        <w:t>Alternative control services do not form part of</w:t>
      </w:r>
      <w:r w:rsidR="00A333D1">
        <w:t xml:space="preserve"> Endeavour Energy's</w:t>
      </w:r>
      <w:r w:rsidR="00F807A3">
        <w:t xml:space="preserve"> </w:t>
      </w:r>
      <w:r w:rsidRPr="0058687D">
        <w:t xml:space="preserve">revenue cap. Rather, the prices of these services are set individually. Our </w:t>
      </w:r>
      <w:r w:rsidR="00A333D1">
        <w:t>final</w:t>
      </w:r>
      <w:r w:rsidRPr="0058687D">
        <w:t xml:space="preserve"> decision is to maintain the approach adopted in </w:t>
      </w:r>
      <w:r w:rsidR="00A333D1">
        <w:t>our draft decision</w:t>
      </w:r>
      <w:r w:rsidRPr="0058687D">
        <w:t xml:space="preserve">, that the form of control mechanism to apply to </w:t>
      </w:r>
      <w:r w:rsidR="00A333D1">
        <w:t>Endeavour Energy'</w:t>
      </w:r>
      <w:r w:rsidR="00F807A3">
        <w:t>s</w:t>
      </w:r>
      <w:r w:rsidR="00F807A3" w:rsidRPr="0058687D">
        <w:t xml:space="preserve"> </w:t>
      </w:r>
      <w:r w:rsidRPr="0058687D">
        <w:t>alternative control services will be price caps.</w:t>
      </w:r>
      <w:r w:rsidR="00A333D1">
        <w:t xml:space="preserve"> Endeavour Energy</w:t>
      </w:r>
      <w:r w:rsidR="00F807A3" w:rsidRPr="0058687D">
        <w:t xml:space="preserve"> </w:t>
      </w:r>
      <w:r w:rsidR="008662FC">
        <w:t>must</w:t>
      </w:r>
      <w:r w:rsidR="008662FC" w:rsidRPr="0058687D">
        <w:t xml:space="preserve"> </w:t>
      </w:r>
      <w:r w:rsidRPr="0058687D">
        <w:t xml:space="preserve">demonstrate compliance with the control mechanism through an annual pricing proposal. </w:t>
      </w:r>
    </w:p>
    <w:p w:rsidR="00360F32" w:rsidRDefault="00360F32" w:rsidP="00360F32">
      <w:pPr>
        <w:rPr>
          <w:rStyle w:val="AERsuperscript"/>
        </w:rPr>
      </w:pPr>
      <w:r w:rsidRPr="0058687D">
        <w:t>The basis of the control mechanism for alternative control services must be determined in our distribution determination.</w:t>
      </w:r>
      <w:r w:rsidRPr="007070F0">
        <w:rPr>
          <w:rStyle w:val="AERsuperscript"/>
        </w:rPr>
        <w:footnoteReference w:id="51"/>
      </w:r>
      <w:r w:rsidRPr="007070F0">
        <w:rPr>
          <w:rStyle w:val="AERsuperscript"/>
        </w:rPr>
        <w:t xml:space="preserve"> </w:t>
      </w:r>
      <w:r>
        <w:rPr>
          <w:rStyle w:val="AERsuperscript"/>
        </w:rPr>
        <w:t xml:space="preserve"> </w:t>
      </w:r>
    </w:p>
    <w:p w:rsidR="00360F32" w:rsidRPr="0058687D" w:rsidRDefault="00360F32" w:rsidP="00360F32">
      <w:r>
        <w:rPr>
          <w:rStyle w:val="AERbody"/>
        </w:rPr>
        <w:t>Our final decision on</w:t>
      </w:r>
      <w:r w:rsidRPr="0058687D">
        <w:t xml:space="preserve"> the control mechanism for each type of </w:t>
      </w:r>
      <w:r w:rsidR="00F807A3">
        <w:t>Endeavour Energy's</w:t>
      </w:r>
      <w:r w:rsidR="00F807A3" w:rsidRPr="0058687D">
        <w:t xml:space="preserve"> </w:t>
      </w:r>
      <w:r w:rsidRPr="0058687D">
        <w:t>alternative control service is, again, price caps.</w:t>
      </w:r>
    </w:p>
    <w:p w:rsidR="00360F32" w:rsidRPr="0058687D" w:rsidRDefault="008662FC" w:rsidP="00117E02">
      <w:pPr>
        <w:numPr>
          <w:ilvl w:val="0"/>
          <w:numId w:val="24"/>
        </w:numPr>
      </w:pPr>
      <w:r>
        <w:t>We did not approve large upfront metering transfer or exit fees which would be a barrier to competitive entry. Instead, when a customer switches to a competitive metering provider, they will continue to pay a regulated annual charge that recovers the fixed capital costs associated with their past regulated type 5 or 6 metering service</w:t>
      </w:r>
      <w:r w:rsidR="00360F32" w:rsidRPr="0058687D">
        <w:t xml:space="preserve">. By switching, customers may avoid the operating costs that would be charged </w:t>
      </w:r>
      <w:r w:rsidR="00360F32">
        <w:t xml:space="preserve">by </w:t>
      </w:r>
      <w:r w:rsidR="00654C23">
        <w:t xml:space="preserve">Endeavour Energy </w:t>
      </w:r>
      <w:r w:rsidR="00360F32" w:rsidRPr="0058687D">
        <w:t>for type 5 or 6 metering services.</w:t>
      </w:r>
    </w:p>
    <w:p w:rsidR="00360F32" w:rsidRPr="0058687D" w:rsidRDefault="008662FC" w:rsidP="00117E02">
      <w:pPr>
        <w:numPr>
          <w:ilvl w:val="0"/>
          <w:numId w:val="24"/>
        </w:numPr>
      </w:pPr>
      <w:r>
        <w:t xml:space="preserve">On 26 March 2015, the AEMC made a draft determination and draft rule in relation to the provision of metering and related services in the NEM. </w:t>
      </w:r>
      <w:r w:rsidR="00360F32" w:rsidRPr="0058687D">
        <w:t xml:space="preserve">The rule change </w:t>
      </w:r>
      <w:r>
        <w:t xml:space="preserve">proposes </w:t>
      </w:r>
      <w:r w:rsidR="00360F32" w:rsidRPr="0058687D">
        <w:t>to expand competition in metering and related services and facilitate a market led roll out of advanced metering technology.</w:t>
      </w:r>
      <w:r w:rsidR="00360F32" w:rsidRPr="00DE3B43">
        <w:rPr>
          <w:rStyle w:val="AERsuperscript"/>
        </w:rPr>
        <w:footnoteReference w:id="52"/>
      </w:r>
      <w:r w:rsidR="00360F32" w:rsidRPr="00DE3B43">
        <w:rPr>
          <w:rStyle w:val="AERsuperscript"/>
        </w:rPr>
        <w:t xml:space="preserve"> </w:t>
      </w:r>
      <w:r w:rsidR="00360F32" w:rsidRPr="0058687D">
        <w:t xml:space="preserve">We have sought to create a regulatory framework robust enough to handle the transition to competition once the rule change takes effect. This involves having transparent standalone prices for all new/upgraded meter connections and annual charges. </w:t>
      </w:r>
    </w:p>
    <w:p w:rsidR="00360F32" w:rsidRPr="0058687D" w:rsidRDefault="00360F32" w:rsidP="00117E02">
      <w:pPr>
        <w:numPr>
          <w:ilvl w:val="0"/>
          <w:numId w:val="24"/>
        </w:numPr>
      </w:pPr>
      <w:r>
        <w:t>Our final</w:t>
      </w:r>
      <w:r w:rsidRPr="0058687D">
        <w:t xml:space="preserve"> decision does not accept </w:t>
      </w:r>
      <w:r w:rsidR="00654C23">
        <w:t>Endeavour Energy's</w:t>
      </w:r>
      <w:r w:rsidR="00654C23" w:rsidRPr="0058687D">
        <w:t xml:space="preserve"> </w:t>
      </w:r>
      <w:r w:rsidRPr="0058687D">
        <w:t>proposed:</w:t>
      </w:r>
    </w:p>
    <w:p w:rsidR="00360F32" w:rsidRPr="0058687D" w:rsidRDefault="00360F32" w:rsidP="00360F32">
      <w:pPr>
        <w:pStyle w:val="AERbulletlistfirststyle"/>
      </w:pPr>
      <w:r w:rsidRPr="0058687D">
        <w:t xml:space="preserve">annual metering service charge, because the forecast capital and labour costs do not reasonably reflect the efficient costs of a prudent operator </w:t>
      </w:r>
    </w:p>
    <w:p w:rsidR="00360F32" w:rsidRPr="0058687D" w:rsidRDefault="00360F32" w:rsidP="00360F32">
      <w:pPr>
        <w:pStyle w:val="AERbulletlistfirststyle"/>
      </w:pPr>
      <w:r w:rsidRPr="0058687D">
        <w:t>price caps for new and upgraded connections, for similar reasons</w:t>
      </w:r>
    </w:p>
    <w:p w:rsidR="00360F32" w:rsidRPr="00360F32" w:rsidRDefault="00360F32" w:rsidP="00360F32">
      <w:pPr>
        <w:pStyle w:val="AERbulletlistfirststyle"/>
        <w:rPr>
          <w:rStyle w:val="AERbody"/>
        </w:rPr>
      </w:pPr>
      <w:proofErr w:type="gramStart"/>
      <w:r w:rsidRPr="0058687D">
        <w:t>transfer</w:t>
      </w:r>
      <w:proofErr w:type="gramEnd"/>
      <w:r w:rsidRPr="0058687D">
        <w:t xml:space="preserve"> or exit fee to switching customers to recover residual metering </w:t>
      </w:r>
      <w:r w:rsidR="0054512C">
        <w:t xml:space="preserve">or administrative </w:t>
      </w:r>
      <w:r w:rsidRPr="0058687D">
        <w:t>costs.</w:t>
      </w:r>
    </w:p>
    <w:p w:rsidR="00360F32" w:rsidRDefault="00360F32" w:rsidP="00360F32">
      <w:pPr>
        <w:pStyle w:val="Heading2"/>
      </w:pPr>
      <w:bookmarkStart w:id="160" w:name="_Toc417917018"/>
      <w:r w:rsidRPr="008F3A0D">
        <w:t>Incentive schemes</w:t>
      </w:r>
      <w:bookmarkEnd w:id="158"/>
      <w:bookmarkEnd w:id="159"/>
      <w:bookmarkEnd w:id="160"/>
    </w:p>
    <w:p w:rsidR="00360F32" w:rsidRPr="00CD30D4" w:rsidRDefault="00360F32" w:rsidP="00360F32">
      <w:r w:rsidRPr="00CD30D4">
        <w:t xml:space="preserve">Incentive schemes are a component of incentive-based regulation and complement our approach to assessing efficient costs. Under our incentive schemes, businesses are given financial rewards where they improve their efficiency and spend less than forecast during the regulatory period. Businesses may also be rewarded for efficient improvements in service quality, or be given an allowance to investigate and conduct demand management projects. </w:t>
      </w:r>
    </w:p>
    <w:p w:rsidR="00360F32" w:rsidRPr="00CD30D4" w:rsidRDefault="00360F32" w:rsidP="00360F32">
      <w:r w:rsidRPr="00CD30D4">
        <w:t>We apply incentive schemes to regulated businesses at the time of making our determinations</w:t>
      </w:r>
      <w:r w:rsidR="00F117CA">
        <w:t xml:space="preserve">. We decide whether to </w:t>
      </w:r>
      <w:r w:rsidRPr="00CD30D4">
        <w:t>apply a particular scheme, depending on the circumstances.</w:t>
      </w:r>
    </w:p>
    <w:p w:rsidR="00360F32" w:rsidRPr="00CD30D4" w:rsidRDefault="00360F32" w:rsidP="00360F32">
      <w:r w:rsidRPr="00CD30D4">
        <w:t>The AER’s four incentive schemes are:</w:t>
      </w:r>
    </w:p>
    <w:p w:rsidR="00360F32" w:rsidRPr="00CD30D4" w:rsidRDefault="00360F32" w:rsidP="00360F32">
      <w:pPr>
        <w:pStyle w:val="AERbulletlistfirststyle"/>
      </w:pPr>
      <w:r w:rsidRPr="00CD30D4">
        <w:t>The efficiency benefit sharing scheme (EBSS)</w:t>
      </w:r>
    </w:p>
    <w:p w:rsidR="00360F32" w:rsidRPr="00CD30D4" w:rsidRDefault="00360F32" w:rsidP="00360F32">
      <w:pPr>
        <w:pStyle w:val="AERbulletlistfirststyle"/>
      </w:pPr>
      <w:r w:rsidRPr="00CD30D4">
        <w:t>The capital expenditure sharing scheme (CESS)</w:t>
      </w:r>
    </w:p>
    <w:p w:rsidR="00360F32" w:rsidRDefault="00360F32" w:rsidP="00360F32">
      <w:pPr>
        <w:pStyle w:val="AERbulletlistfirststyle"/>
      </w:pPr>
      <w:r w:rsidRPr="00CD30D4">
        <w:t>The service target performance incentive scheme (STPIS)</w:t>
      </w:r>
    </w:p>
    <w:p w:rsidR="00360F32" w:rsidRPr="00360F32" w:rsidRDefault="00360F32" w:rsidP="00360F32">
      <w:pPr>
        <w:pStyle w:val="AERbulletlistfirststyle"/>
        <w:rPr>
          <w:rStyle w:val="AERbody"/>
        </w:rPr>
      </w:pPr>
      <w:r w:rsidRPr="00CD30D4">
        <w:t>The demand management incentive scheme (DMIS)</w:t>
      </w:r>
    </w:p>
    <w:p w:rsidR="00360F32" w:rsidRDefault="00360F32" w:rsidP="00360F32">
      <w:pPr>
        <w:pStyle w:val="Heading3"/>
      </w:pPr>
      <w:bookmarkStart w:id="161" w:name="_Toc417917019"/>
      <w:r>
        <w:t>Efficiency benefit sharing scheme</w:t>
      </w:r>
      <w:bookmarkEnd w:id="161"/>
    </w:p>
    <w:p w:rsidR="00360F32" w:rsidRPr="00CD30D4" w:rsidRDefault="00360F32" w:rsidP="00117E02">
      <w:pPr>
        <w:numPr>
          <w:ilvl w:val="0"/>
          <w:numId w:val="24"/>
        </w:numPr>
      </w:pPr>
      <w:r w:rsidRPr="00CD30D4">
        <w:rPr>
          <w:rStyle w:val="AERbody"/>
        </w:rPr>
        <w:t xml:space="preserve">The efficiency benefit sharing scheme (EBSS) provides an additional incentive for service providers to pursue efficiency improvements in </w:t>
      </w:r>
      <w:proofErr w:type="spellStart"/>
      <w:r w:rsidRPr="00CD30D4">
        <w:rPr>
          <w:rStyle w:val="AERbody"/>
        </w:rPr>
        <w:t>opex</w:t>
      </w:r>
      <w:proofErr w:type="spellEnd"/>
      <w:r w:rsidRPr="00CD30D4">
        <w:rPr>
          <w:rStyle w:val="AERbody"/>
        </w:rPr>
        <w:t>.</w:t>
      </w:r>
      <w:r w:rsidR="00F117CA">
        <w:rPr>
          <w:rStyle w:val="AERbody"/>
        </w:rPr>
        <w:t xml:space="preserve"> It is a key component of incentive regulation under the NER.</w:t>
      </w:r>
    </w:p>
    <w:p w:rsidR="00FB20FE" w:rsidRPr="00CD30D4" w:rsidRDefault="00F117CA" w:rsidP="00FB20FE">
      <w:pPr>
        <w:numPr>
          <w:ilvl w:val="0"/>
          <w:numId w:val="24"/>
        </w:numPr>
      </w:pPr>
      <w:r w:rsidRPr="00CD30D4">
        <w:t xml:space="preserve">Because </w:t>
      </w:r>
      <w:proofErr w:type="spellStart"/>
      <w:r w:rsidRPr="00CD30D4">
        <w:t>opex</w:t>
      </w:r>
      <w:proofErr w:type="spellEnd"/>
      <w:r w:rsidRPr="00CD30D4">
        <w:t xml:space="preserve"> is largely recurrent and predictable, </w:t>
      </w:r>
      <w:proofErr w:type="spellStart"/>
      <w:r w:rsidRPr="00CD30D4">
        <w:t>opex</w:t>
      </w:r>
      <w:proofErr w:type="spellEnd"/>
      <w:r w:rsidRPr="00CD30D4">
        <w:t xml:space="preserve"> in one period is </w:t>
      </w:r>
      <w:r>
        <w:t>often</w:t>
      </w:r>
      <w:r w:rsidRPr="00CD30D4">
        <w:t xml:space="preserve"> a good indicator of </w:t>
      </w:r>
      <w:proofErr w:type="spellStart"/>
      <w:r w:rsidRPr="00CD30D4">
        <w:t>opex</w:t>
      </w:r>
      <w:proofErr w:type="spellEnd"/>
      <w:r w:rsidRPr="00CD30D4">
        <w:t xml:space="preserve"> in the next period</w:t>
      </w:r>
      <w:r>
        <w:t xml:space="preserve"> (step changes provide for increases where this is not the case)</w:t>
      </w:r>
      <w:r w:rsidRPr="00CD30D4">
        <w:t xml:space="preserve">. Where a service provider is relatively efficient, we use the actual </w:t>
      </w:r>
      <w:proofErr w:type="spellStart"/>
      <w:r w:rsidRPr="00CD30D4">
        <w:t>opex</w:t>
      </w:r>
      <w:proofErr w:type="spellEnd"/>
      <w:r w:rsidRPr="00CD30D4">
        <w:t xml:space="preserve"> it incurred in a chosen base year of the regulatory control period </w:t>
      </w:r>
      <w:r>
        <w:t xml:space="preserve">(in this case 2012–13) </w:t>
      </w:r>
      <w:r w:rsidRPr="00CD30D4">
        <w:t xml:space="preserve">to forecast </w:t>
      </w:r>
      <w:proofErr w:type="spellStart"/>
      <w:r w:rsidRPr="00CD30D4">
        <w:t>opex</w:t>
      </w:r>
      <w:proofErr w:type="spellEnd"/>
      <w:r w:rsidRPr="00CD30D4">
        <w:t xml:space="preserve"> for the next regulatory control period.</w:t>
      </w:r>
      <w:r w:rsidR="00FB20FE">
        <w:t xml:space="preserve"> We call this the "revealed cost approach".</w:t>
      </w:r>
    </w:p>
    <w:p w:rsidR="00360F32" w:rsidRDefault="00360F32" w:rsidP="00360F32">
      <w:r w:rsidRPr="00CD30D4">
        <w:t>To encourage a service provider to become more efficient</w:t>
      </w:r>
      <w:r w:rsidR="00F117CA">
        <w:t xml:space="preserve"> during the regulatory control period</w:t>
      </w:r>
      <w:r w:rsidRPr="00CD30D4">
        <w:t xml:space="preserve"> it is allowed to keep any difference between its approved forecast and its actual </w:t>
      </w:r>
      <w:proofErr w:type="spellStart"/>
      <w:r w:rsidRPr="00CD30D4">
        <w:t>opex</w:t>
      </w:r>
      <w:proofErr w:type="spellEnd"/>
      <w:r w:rsidRPr="00CD30D4">
        <w:t xml:space="preserve"> during a regulatory control period. </w:t>
      </w:r>
      <w:r w:rsidR="00FB20FE" w:rsidRPr="00CD30D4">
        <w:t xml:space="preserve">This is supplemented by the EBSS which </w:t>
      </w:r>
      <w:r w:rsidR="00FB20FE">
        <w:t>allows the service provider to retain efficiency savings and efficiency losses for a longer period of time</w:t>
      </w:r>
      <w:r w:rsidR="00FB20FE" w:rsidRPr="00CD30D4">
        <w:t xml:space="preserve">. </w:t>
      </w:r>
      <w:r w:rsidRPr="00CD30D4">
        <w:t xml:space="preserve">In total these rewards and penalties work together to provide a continuous incentive for a service provider to pursue efficiency gains over the regulatory control period. The EBSS also discourages a service provider from incurring </w:t>
      </w:r>
      <w:proofErr w:type="spellStart"/>
      <w:r w:rsidRPr="00CD30D4">
        <w:t>opex</w:t>
      </w:r>
      <w:proofErr w:type="spellEnd"/>
      <w:r w:rsidRPr="00CD30D4">
        <w:t xml:space="preserve"> in the expected base year in order to receive a higher </w:t>
      </w:r>
      <w:proofErr w:type="spellStart"/>
      <w:r w:rsidRPr="00CD30D4">
        <w:t>opex</w:t>
      </w:r>
      <w:proofErr w:type="spellEnd"/>
      <w:r w:rsidRPr="00CD30D4">
        <w:t xml:space="preserve"> allowance in the following regulatory control period.</w:t>
      </w:r>
      <w:r w:rsidRPr="00CD30D4">
        <w:rPr>
          <w:rStyle w:val="FootnoteReference"/>
        </w:rPr>
        <w:footnoteReference w:id="53"/>
      </w:r>
    </w:p>
    <w:p w:rsidR="00360F32" w:rsidRDefault="00167416" w:rsidP="00360F32">
      <w:r>
        <w:t>In contrast to our</w:t>
      </w:r>
      <w:r w:rsidR="00360F32">
        <w:t xml:space="preserve"> draft decision, our final</w:t>
      </w:r>
      <w:r w:rsidR="00360F32" w:rsidRPr="00CD30D4">
        <w:t xml:space="preserve"> decision is that </w:t>
      </w:r>
      <w:r>
        <w:t>the EBSS will apply to Endeavour Energy</w:t>
      </w:r>
      <w:r w:rsidR="00360F32" w:rsidRPr="00CD30D4">
        <w:t xml:space="preserve"> in the 2015–19 regulatory control </w:t>
      </w:r>
      <w:proofErr w:type="gramStart"/>
      <w:r w:rsidR="00360F32" w:rsidRPr="00CD30D4">
        <w:t>period</w:t>
      </w:r>
      <w:proofErr w:type="gramEnd"/>
      <w:r>
        <w:t>.</w:t>
      </w:r>
      <w:r w:rsidR="001B6953">
        <w:rPr>
          <w:rStyle w:val="FootnoteReference"/>
        </w:rPr>
        <w:footnoteReference w:id="54"/>
      </w:r>
      <w:r w:rsidR="00360F32" w:rsidRPr="00CD30D4">
        <w:t xml:space="preserve"> We have made this decision because of our forecasting approach to </w:t>
      </w:r>
      <w:proofErr w:type="spellStart"/>
      <w:r w:rsidR="00360F32" w:rsidRPr="00CD30D4">
        <w:t>opex</w:t>
      </w:r>
      <w:proofErr w:type="spellEnd"/>
      <w:r w:rsidR="00360F32" w:rsidRPr="00CD30D4">
        <w:t xml:space="preserve"> and </w:t>
      </w:r>
      <w:r>
        <w:t>that having EBSS in place will increase the possibility that Endeavour</w:t>
      </w:r>
      <w:r w:rsidR="00654C23">
        <w:t xml:space="preserve"> Energy</w:t>
      </w:r>
      <w:r w:rsidR="00654C23" w:rsidRPr="00CD30D4">
        <w:t xml:space="preserve"> </w:t>
      </w:r>
      <w:r>
        <w:t>will become more efficient over time</w:t>
      </w:r>
      <w:r w:rsidR="00360F32" w:rsidRPr="00CD30D4">
        <w:t xml:space="preserve">. </w:t>
      </w:r>
    </w:p>
    <w:p w:rsidR="00360F32" w:rsidRPr="006878F7" w:rsidRDefault="00360F32" w:rsidP="00360F32">
      <w:pPr>
        <w:pStyle w:val="Heading3"/>
      </w:pPr>
      <w:bookmarkStart w:id="162" w:name="_Toc417917020"/>
      <w:r>
        <w:t>Capital expenditure</w:t>
      </w:r>
      <w:r w:rsidRPr="006878F7">
        <w:t xml:space="preserve"> sharing scheme</w:t>
      </w:r>
      <w:bookmarkEnd w:id="162"/>
    </w:p>
    <w:p w:rsidR="00360F32" w:rsidRPr="006878F7" w:rsidRDefault="00360F32" w:rsidP="00117E02">
      <w:pPr>
        <w:numPr>
          <w:ilvl w:val="0"/>
          <w:numId w:val="24"/>
        </w:numPr>
      </w:pPr>
      <w:r w:rsidRPr="006878F7">
        <w:t>The capital expenditure sharing scheme (CESS) provides financial rewards for network service providers whose capex becomes more efficient</w:t>
      </w:r>
      <w:r w:rsidR="005E3371">
        <w:t xml:space="preserve"> throughout the regulatory period</w:t>
      </w:r>
      <w:r w:rsidRPr="006878F7">
        <w:t xml:space="preserve"> and financial penalties for those that become less efficient. Consumers benefit from improved efficiency through lower regulated prices. </w:t>
      </w:r>
    </w:p>
    <w:p w:rsidR="00360F32" w:rsidRPr="006878F7" w:rsidRDefault="00360F32" w:rsidP="00117E02">
      <w:pPr>
        <w:numPr>
          <w:ilvl w:val="0"/>
          <w:numId w:val="24"/>
        </w:numPr>
      </w:pPr>
      <w:r w:rsidRPr="006878F7">
        <w:t xml:space="preserve">As part of the Better Regulation </w:t>
      </w:r>
      <w:r w:rsidR="005E3371">
        <w:t>P</w:t>
      </w:r>
      <w:r w:rsidR="005E3371" w:rsidRPr="006878F7">
        <w:t xml:space="preserve">rogram </w:t>
      </w:r>
      <w:r w:rsidRPr="006878F7">
        <w:t xml:space="preserve">we consulted on and published the </w:t>
      </w:r>
      <w:r w:rsidR="005E3371">
        <w:t>C</w:t>
      </w:r>
      <w:r w:rsidR="005E3371" w:rsidRPr="006878F7">
        <w:t xml:space="preserve">apital </w:t>
      </w:r>
      <w:r w:rsidR="005E3371">
        <w:t>E</w:t>
      </w:r>
      <w:r w:rsidR="005E3371" w:rsidRPr="006878F7">
        <w:t xml:space="preserve">xpenditure </w:t>
      </w:r>
      <w:r w:rsidR="005E3371">
        <w:t>I</w:t>
      </w:r>
      <w:r w:rsidR="005E3371" w:rsidRPr="006878F7">
        <w:t xml:space="preserve">ncentive </w:t>
      </w:r>
      <w:r w:rsidR="00F117CA">
        <w:t>G</w:t>
      </w:r>
      <w:r w:rsidRPr="006878F7">
        <w:t>uideline, which sets out version 1 of the CESS.</w:t>
      </w:r>
      <w:r w:rsidR="00654C23">
        <w:rPr>
          <w:rStyle w:val="FootnoteReference"/>
        </w:rPr>
        <w:footnoteReference w:id="55"/>
      </w:r>
      <w:r w:rsidRPr="006878F7">
        <w:t xml:space="preserve"> The CESS approximates efficiency gains and efficiency losses by calculating the difference</w:t>
      </w:r>
      <w:r w:rsidR="00CC408E">
        <w:t xml:space="preserve"> </w:t>
      </w:r>
      <w:r w:rsidRPr="006878F7">
        <w:t xml:space="preserve">between forecast and actual capex. It shares these gains or losses between service providers and consumers. </w:t>
      </w:r>
    </w:p>
    <w:p w:rsidR="00360F32" w:rsidRPr="006878F7" w:rsidRDefault="00360F32" w:rsidP="00360F32">
      <w:r w:rsidRPr="006878F7">
        <w:t xml:space="preserve">Under the CESS a service provider retains 30 per cent of the benefit or cost of </w:t>
      </w:r>
      <w:proofErr w:type="gramStart"/>
      <w:r w:rsidR="00654C23" w:rsidRPr="006878F7">
        <w:t>an underspend</w:t>
      </w:r>
      <w:proofErr w:type="gramEnd"/>
      <w:r w:rsidRPr="006878F7">
        <w:t xml:space="preserve"> or overspend, while consumers retain 70 per cent of the benefit or cost of an underspend or overspend. This means that for a one dollar saving in capex the service provider keeps 30 cents of the benefit while consumers keep 70 cents of the benefit. Conversely, in the case of </w:t>
      </w:r>
      <w:proofErr w:type="gramStart"/>
      <w:r w:rsidRPr="006878F7">
        <w:t>an overspend</w:t>
      </w:r>
      <w:proofErr w:type="gramEnd"/>
      <w:r w:rsidRPr="006878F7">
        <w:t>, the service provider pays for 30 cents of the cost while consumers bear 70 cents of the cost.</w:t>
      </w:r>
    </w:p>
    <w:p w:rsidR="00F117CA" w:rsidRDefault="00F117CA" w:rsidP="00F117CA">
      <w:r>
        <w:t>A</w:t>
      </w:r>
      <w:r w:rsidR="00360F32">
        <w:t>pplication of the CES</w:t>
      </w:r>
      <w:r w:rsidR="00360F32" w:rsidRPr="004E718A">
        <w:t xml:space="preserve">S </w:t>
      </w:r>
      <w:r>
        <w:t>is not</w:t>
      </w:r>
      <w:r w:rsidR="00360F32" w:rsidRPr="004E718A">
        <w:t xml:space="preserve"> dependent on whether we accept </w:t>
      </w:r>
      <w:r>
        <w:t>Endeavour Energy'</w:t>
      </w:r>
      <w:r w:rsidR="00360F32" w:rsidRPr="004E718A">
        <w:t xml:space="preserve">s revised </w:t>
      </w:r>
      <w:proofErr w:type="spellStart"/>
      <w:r w:rsidR="00360F32" w:rsidRPr="004E718A">
        <w:t>opex</w:t>
      </w:r>
      <w:proofErr w:type="spellEnd"/>
      <w:r w:rsidR="00360F32" w:rsidRPr="004E718A">
        <w:t xml:space="preserve"> and capex proposals.</w:t>
      </w:r>
      <w:r w:rsidRPr="00F117CA">
        <w:t xml:space="preserve"> </w:t>
      </w:r>
      <w:r>
        <w:t xml:space="preserve">In this way the CESS is different from the EBSS. </w:t>
      </w:r>
      <w:r w:rsidRPr="002F5D76">
        <w:t xml:space="preserve">The EBSS is intrinsically linked to the revealed cost forecasting approach for </w:t>
      </w:r>
      <w:proofErr w:type="spellStart"/>
      <w:r w:rsidRPr="002F5D76">
        <w:t>opex</w:t>
      </w:r>
      <w:proofErr w:type="spellEnd"/>
      <w:r w:rsidRPr="002F5D76">
        <w:t>.</w:t>
      </w:r>
      <w:r>
        <w:t xml:space="preserve"> </w:t>
      </w:r>
      <w:r w:rsidRPr="002F5D76">
        <w:t xml:space="preserve">If we do not use a revealed costs approach for forecasting </w:t>
      </w:r>
      <w:proofErr w:type="spellStart"/>
      <w:r w:rsidRPr="002F5D76">
        <w:t>opex</w:t>
      </w:r>
      <w:proofErr w:type="spellEnd"/>
      <w:r w:rsidRPr="002F5D76">
        <w:t xml:space="preserve"> in the future, there is not a strong</w:t>
      </w:r>
      <w:r>
        <w:t xml:space="preserve"> </w:t>
      </w:r>
      <w:r w:rsidRPr="002F5D76">
        <w:t>reason to apply the current version of the EBSS.</w:t>
      </w:r>
      <w:r>
        <w:t xml:space="preserve"> T</w:t>
      </w:r>
      <w:r w:rsidRPr="002C4193">
        <w:t xml:space="preserve">he CESS is not predicated on addressing incentives resulting from a revealed cost forecasting approach. </w:t>
      </w:r>
      <w:r>
        <w:t xml:space="preserve">The purpose of the CESS is to provide a continuous incentive to deliver efficient overall capex and to share the benefits of capex efficiency gains (or costs of capex efficiency losses) between the distributor and consumers. The way in which capex underspends and overspends are shared occurs independently of </w:t>
      </w:r>
      <w:r w:rsidRPr="00A840C0">
        <w:t xml:space="preserve">how the EBSS </w:t>
      </w:r>
      <w:r>
        <w:t>applies, and independently of the precise amount of total forecast capex.</w:t>
      </w:r>
      <w:r>
        <w:rPr>
          <w:rStyle w:val="FootnoteReference"/>
        </w:rPr>
        <w:footnoteReference w:id="56"/>
      </w:r>
    </w:p>
    <w:p w:rsidR="00360F32" w:rsidRPr="006878F7" w:rsidRDefault="00360F32" w:rsidP="00117E02">
      <w:pPr>
        <w:numPr>
          <w:ilvl w:val="0"/>
          <w:numId w:val="24"/>
        </w:numPr>
      </w:pPr>
      <w:r>
        <w:t xml:space="preserve"> </w:t>
      </w:r>
      <w:r w:rsidRPr="006878F7">
        <w:t xml:space="preserve">We will apply version 1 of the CESS, as set out in the </w:t>
      </w:r>
      <w:r w:rsidR="005E3371">
        <w:t>C</w:t>
      </w:r>
      <w:r w:rsidR="005E3371" w:rsidRPr="006878F7">
        <w:t xml:space="preserve">apital </w:t>
      </w:r>
      <w:r w:rsidR="005E3371">
        <w:t>E</w:t>
      </w:r>
      <w:r w:rsidR="005E3371" w:rsidRPr="006878F7">
        <w:t xml:space="preserve">xpenditure </w:t>
      </w:r>
      <w:r w:rsidR="005E3371">
        <w:t>I</w:t>
      </w:r>
      <w:r w:rsidR="005E3371" w:rsidRPr="006878F7">
        <w:t xml:space="preserve">ncentives </w:t>
      </w:r>
      <w:r w:rsidR="00F117CA">
        <w:t>G</w:t>
      </w:r>
      <w:r w:rsidRPr="006878F7">
        <w:t xml:space="preserve">uideline, to </w:t>
      </w:r>
      <w:r w:rsidR="00654C23">
        <w:t xml:space="preserve">Endeavour Energy </w:t>
      </w:r>
      <w:r>
        <w:t>in the 2015–19</w:t>
      </w:r>
      <w:r w:rsidRPr="006878F7">
        <w:t xml:space="preserve"> regulatory control period. </w:t>
      </w:r>
    </w:p>
    <w:p w:rsidR="00360F32" w:rsidRDefault="00360F32" w:rsidP="00360F32">
      <w:r w:rsidRPr="006878F7">
        <w:t>Attachment 10 sets out our reasons for our final decision on the CESS.</w:t>
      </w:r>
    </w:p>
    <w:p w:rsidR="00360F32" w:rsidRPr="006878F7" w:rsidRDefault="00360F32" w:rsidP="00360F32">
      <w:pPr>
        <w:pStyle w:val="Heading3"/>
      </w:pPr>
      <w:bookmarkStart w:id="163" w:name="_Toc417917021"/>
      <w:r>
        <w:t>Service target performance incentive</w:t>
      </w:r>
      <w:r w:rsidRPr="006878F7">
        <w:t xml:space="preserve"> scheme</w:t>
      </w:r>
      <w:bookmarkEnd w:id="163"/>
    </w:p>
    <w:p w:rsidR="00AB0E81" w:rsidRPr="00AB0E81" w:rsidRDefault="00AB0E81" w:rsidP="00AB0E81">
      <w:pPr>
        <w:numPr>
          <w:ilvl w:val="0"/>
          <w:numId w:val="24"/>
        </w:numPr>
      </w:pPr>
      <w:r>
        <w:t>We will apply the s–</w:t>
      </w:r>
      <w:r w:rsidRPr="00AB0E81">
        <w:t xml:space="preserve">factor component of our national STPIS </w:t>
      </w:r>
      <w:r>
        <w:t xml:space="preserve">to </w:t>
      </w:r>
      <w:r w:rsidRPr="00AB0E81">
        <w:t xml:space="preserve">Endeavour Energy for the 2015–19 regulatory control </w:t>
      </w:r>
      <w:proofErr w:type="gramStart"/>
      <w:r w:rsidRPr="00AB0E81">
        <w:t>period</w:t>
      </w:r>
      <w:proofErr w:type="gramEnd"/>
      <w:r w:rsidRPr="00AB0E81">
        <w:t>. We will not apply the GSL component</w:t>
      </w:r>
      <w:r>
        <w:t xml:space="preserve"> to</w:t>
      </w:r>
      <w:r w:rsidRPr="00AB0E81">
        <w:rPr>
          <w:highlight w:val="yellow"/>
        </w:rPr>
        <w:t xml:space="preserve"> </w:t>
      </w:r>
      <w:r w:rsidRPr="00AB0E81">
        <w:t>Endeavour Energy as the</w:t>
      </w:r>
      <w:r>
        <w:t xml:space="preserve"> existing NSW </w:t>
      </w:r>
      <w:r w:rsidRPr="00AB0E81">
        <w:t>GSL arrangements will continue to apply.</w:t>
      </w:r>
    </w:p>
    <w:p w:rsidR="00AB0E81" w:rsidRPr="00AB0E81" w:rsidRDefault="00AB0E81" w:rsidP="00AB0E81">
      <w:pPr>
        <w:numPr>
          <w:ilvl w:val="0"/>
          <w:numId w:val="24"/>
        </w:numPr>
        <w:rPr>
          <w:rStyle w:val="AERbody"/>
        </w:rPr>
      </w:pPr>
      <w:r w:rsidRPr="00AB0E81">
        <w:t>The national STPIS is intended to balance the incentives to reduce expenditure with the need to maintain or improve service quality. It achieves this by providing financial incentives to distributors to maintain and improve service performance (where customers are willing to pay for these improvements).</w:t>
      </w:r>
      <w:r>
        <w:rPr>
          <w:rStyle w:val="FootnoteReference"/>
        </w:rPr>
        <w:footnoteReference w:id="57"/>
      </w:r>
      <w:r w:rsidRPr="00AB0E81">
        <w:t xml:space="preserve"> Hence, t</w:t>
      </w:r>
      <w:r w:rsidRPr="00AB0E81">
        <w:rPr>
          <w:rStyle w:val="AERbody"/>
        </w:rPr>
        <w:t xml:space="preserve">he STPIS also provides an incentive for distributors to invest in further reliability improvements (via additional capex or </w:t>
      </w:r>
      <w:proofErr w:type="spellStart"/>
      <w:r w:rsidRPr="00AB0E81">
        <w:rPr>
          <w:rStyle w:val="AERbody"/>
        </w:rPr>
        <w:t>opex</w:t>
      </w:r>
      <w:proofErr w:type="spellEnd"/>
      <w:r w:rsidRPr="00AB0E81">
        <w:rPr>
          <w:rStyle w:val="AERbody"/>
        </w:rPr>
        <w:t xml:space="preserve">) where customers are willing to pay for it.  Conversely, the STPIS penalises distributors where they let reliability deteriorate. Importantly, the distributor will only receive a financial reward after actual improvements are delivered to the customers. </w:t>
      </w:r>
    </w:p>
    <w:p w:rsidR="00AB0E81" w:rsidRPr="00AB0E81" w:rsidRDefault="00AB0E81" w:rsidP="00AB0E81">
      <w:pPr>
        <w:rPr>
          <w:rStyle w:val="AERbody"/>
        </w:rPr>
      </w:pPr>
      <w:r w:rsidRPr="00AB0E81">
        <w:rPr>
          <w:rStyle w:val="AERbody"/>
        </w:rPr>
        <w:t>In conjunction with CESS</w:t>
      </w:r>
      <w:r>
        <w:rPr>
          <w:rStyle w:val="AERbody"/>
        </w:rPr>
        <w:t xml:space="preserve"> and EBSS</w:t>
      </w:r>
      <w:r w:rsidRPr="00AB0E81">
        <w:rPr>
          <w:rStyle w:val="AERbody"/>
        </w:rPr>
        <w:t>, the STPIS will ensure that:</w:t>
      </w:r>
    </w:p>
    <w:p w:rsidR="00AB0E81" w:rsidRPr="00AB0E81" w:rsidRDefault="00AB0E81" w:rsidP="00C07330">
      <w:pPr>
        <w:pStyle w:val="AERbulletlistfirststyle"/>
        <w:rPr>
          <w:rStyle w:val="AERbody"/>
        </w:rPr>
      </w:pPr>
      <w:r w:rsidRPr="00AB0E81">
        <w:rPr>
          <w:rStyle w:val="AERbody"/>
        </w:rPr>
        <w:t>any additional investments to improve reliability are based on prudent economic decisions</w:t>
      </w:r>
    </w:p>
    <w:p w:rsidR="00AB0E81" w:rsidRPr="00AB0E81" w:rsidRDefault="00AB0E81" w:rsidP="00C07330">
      <w:pPr>
        <w:pStyle w:val="AERbulletlistfirststyle"/>
        <w:rPr>
          <w:rStyle w:val="AERbody"/>
        </w:rPr>
      </w:pPr>
      <w:proofErr w:type="gramStart"/>
      <w:r w:rsidRPr="00AB0E81">
        <w:rPr>
          <w:rStyle w:val="AERbody"/>
        </w:rPr>
        <w:t>reductions</w:t>
      </w:r>
      <w:proofErr w:type="gramEnd"/>
      <w:r w:rsidRPr="00AB0E81">
        <w:rPr>
          <w:rStyle w:val="AERbody"/>
        </w:rPr>
        <w:t xml:space="preserve"> in capex</w:t>
      </w:r>
      <w:r>
        <w:rPr>
          <w:rStyle w:val="AERbody"/>
        </w:rPr>
        <w:t xml:space="preserve"> and </w:t>
      </w:r>
      <w:proofErr w:type="spellStart"/>
      <w:r>
        <w:rPr>
          <w:rStyle w:val="AERbody"/>
        </w:rPr>
        <w:t>opex</w:t>
      </w:r>
      <w:proofErr w:type="spellEnd"/>
      <w:r w:rsidRPr="00AB0E81">
        <w:rPr>
          <w:rStyle w:val="AERbody"/>
        </w:rPr>
        <w:t xml:space="preserve"> are achieved efficiently, rather than at the expense of service levels to customers.</w:t>
      </w:r>
    </w:p>
    <w:p w:rsidR="00AB0E81" w:rsidRPr="00AB0E81" w:rsidRDefault="00AB0E81" w:rsidP="00AB0E81">
      <w:pPr>
        <w:numPr>
          <w:ilvl w:val="0"/>
          <w:numId w:val="24"/>
        </w:numPr>
      </w:pPr>
      <w:r w:rsidRPr="00AB0E81">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360F32" w:rsidRPr="003B41AD" w:rsidRDefault="00360F32" w:rsidP="00360F32">
      <w:pPr>
        <w:pStyle w:val="Heading3"/>
      </w:pPr>
      <w:bookmarkStart w:id="164" w:name="_Toc417917022"/>
      <w:r>
        <w:t>Demand management incentive</w:t>
      </w:r>
      <w:r w:rsidRPr="003B41AD">
        <w:t xml:space="preserve"> scheme</w:t>
      </w:r>
      <w:bookmarkEnd w:id="164"/>
    </w:p>
    <w:p w:rsidR="00360F32" w:rsidRPr="003B41AD" w:rsidRDefault="00360F32" w:rsidP="00360F32">
      <w:r>
        <w:t xml:space="preserve">The current DMIS for the NSW distributors includes two components—the demand management innovation allowance (DMIA) and the D-factor. </w:t>
      </w:r>
      <w:r w:rsidRPr="003B41AD">
        <w:t>The DMIA is a capped allowance for distributors to investigate and conduct broad-based and/or peak demand management projects. It contains two parts:</w:t>
      </w:r>
    </w:p>
    <w:p w:rsidR="00360F32" w:rsidRPr="003B41AD" w:rsidRDefault="00360F32" w:rsidP="00360F32">
      <w:pPr>
        <w:pStyle w:val="AERbulletlistfirststyle"/>
      </w:pPr>
      <w:r w:rsidRPr="003B41AD">
        <w:t xml:space="preserve">Part A provides for an innovation allowance to be incorporated into each distributor's revenue allowance for </w:t>
      </w:r>
      <w:proofErr w:type="spellStart"/>
      <w:r w:rsidRPr="003B41AD">
        <w:t>opex</w:t>
      </w:r>
      <w:proofErr w:type="spellEnd"/>
      <w:r w:rsidRPr="003B41AD">
        <w:t xml:space="preserve"> each year of the regulatory control period. </w:t>
      </w:r>
    </w:p>
    <w:p w:rsidR="00360F32" w:rsidRDefault="00360F32" w:rsidP="00360F32">
      <w:pPr>
        <w:pStyle w:val="AERbulletlistfirststyle"/>
      </w:pPr>
      <w:r w:rsidRPr="003B41AD">
        <w:t xml:space="preserve">Part B compensates distributors for any foregone revenue demonstrated to have resulted from demand management initiatives approved under Part A. </w:t>
      </w:r>
    </w:p>
    <w:p w:rsidR="00360F32" w:rsidRPr="00360F32" w:rsidRDefault="00360F32" w:rsidP="00360F32">
      <w:pPr>
        <w:pStyle w:val="AERbulletlistfirststyle"/>
      </w:pPr>
      <w:r>
        <w:t>The D-factor offers compensation for both the costs and foregone revenue incurred from demand management projects.</w:t>
      </w:r>
    </w:p>
    <w:p w:rsidR="00360F32" w:rsidRPr="006878F7" w:rsidRDefault="00360F32" w:rsidP="00360F32">
      <w:r w:rsidRPr="003B41AD">
        <w:t xml:space="preserve">We have determined to continue Part A of the DMIA but we will not apply either Part B of the DMIA or the D-Factor scheme for </w:t>
      </w:r>
      <w:r w:rsidR="00654C23">
        <w:t>Endeavour Energy</w:t>
      </w:r>
      <w:r w:rsidR="00654C23" w:rsidRPr="003B41AD">
        <w:t xml:space="preserve"> </w:t>
      </w:r>
      <w:r w:rsidRPr="003B41AD">
        <w:t xml:space="preserve">in the 2015–19 regulatory control period. This is consistent with our </w:t>
      </w:r>
      <w:r w:rsidR="005E3371">
        <w:t>d</w:t>
      </w:r>
      <w:r w:rsidR="005E3371" w:rsidRPr="003B41AD">
        <w:t xml:space="preserve">raft </w:t>
      </w:r>
      <w:r w:rsidR="005E3371">
        <w:t>d</w:t>
      </w:r>
      <w:r w:rsidRPr="003B41AD">
        <w:t>ecision</w:t>
      </w:r>
      <w:r>
        <w:t>.</w:t>
      </w:r>
      <w:r w:rsidRPr="003B41AD">
        <w:rPr>
          <w:rStyle w:val="FootnoteReference"/>
        </w:rPr>
        <w:footnoteReference w:id="58"/>
      </w:r>
      <w:r w:rsidRPr="003B41AD">
        <w:t xml:space="preserve"> </w:t>
      </w:r>
    </w:p>
    <w:p w:rsidR="0029695E" w:rsidRPr="008F3A0D" w:rsidRDefault="0029695E" w:rsidP="0029695E">
      <w:pPr>
        <w:pStyle w:val="Heading1"/>
      </w:pPr>
      <w:bookmarkStart w:id="165" w:name="_Toc409638330"/>
      <w:bookmarkStart w:id="166" w:name="_Toc409638483"/>
      <w:bookmarkStart w:id="167" w:name="_Toc410815399"/>
      <w:bookmarkStart w:id="168" w:name="_Toc409638331"/>
      <w:bookmarkStart w:id="169" w:name="_Toc409638484"/>
      <w:bookmarkStart w:id="170" w:name="_Toc410815400"/>
      <w:bookmarkStart w:id="171" w:name="_Toc409638333"/>
      <w:bookmarkStart w:id="172" w:name="_Toc409638486"/>
      <w:bookmarkStart w:id="173" w:name="_Toc410815402"/>
      <w:bookmarkStart w:id="174" w:name="_Toc409638334"/>
      <w:bookmarkStart w:id="175" w:name="_Toc409638487"/>
      <w:bookmarkStart w:id="176" w:name="_Toc410815403"/>
      <w:bookmarkStart w:id="177" w:name="_Toc409638342"/>
      <w:bookmarkStart w:id="178" w:name="_Toc409638495"/>
      <w:bookmarkStart w:id="179" w:name="_Toc410815411"/>
      <w:bookmarkStart w:id="180" w:name="_Toc409638344"/>
      <w:bookmarkStart w:id="181" w:name="_Toc409638497"/>
      <w:bookmarkStart w:id="182" w:name="_Toc410815413"/>
      <w:bookmarkStart w:id="183" w:name="_Toc409638345"/>
      <w:bookmarkStart w:id="184" w:name="_Toc409638498"/>
      <w:bookmarkStart w:id="185" w:name="_Toc410815414"/>
      <w:bookmarkStart w:id="186" w:name="_Toc409638346"/>
      <w:bookmarkStart w:id="187" w:name="_Toc409638499"/>
      <w:bookmarkStart w:id="188" w:name="_Toc410815415"/>
      <w:bookmarkStart w:id="189" w:name="_Toc409638353"/>
      <w:bookmarkStart w:id="190" w:name="_Toc409638506"/>
      <w:bookmarkStart w:id="191" w:name="_Toc410815422"/>
      <w:bookmarkStart w:id="192" w:name="_Toc409638356"/>
      <w:bookmarkStart w:id="193" w:name="_Toc409638509"/>
      <w:bookmarkStart w:id="194" w:name="_Toc410815425"/>
      <w:bookmarkStart w:id="195" w:name="_Toc409638360"/>
      <w:bookmarkStart w:id="196" w:name="_Toc409638513"/>
      <w:bookmarkStart w:id="197" w:name="_Toc410815429"/>
      <w:bookmarkStart w:id="198" w:name="_Toc409638361"/>
      <w:bookmarkStart w:id="199" w:name="_Toc409638514"/>
      <w:bookmarkStart w:id="200" w:name="_Toc410815430"/>
      <w:bookmarkStart w:id="201" w:name="_Toc409638362"/>
      <w:bookmarkStart w:id="202" w:name="_Toc409638515"/>
      <w:bookmarkStart w:id="203" w:name="_Toc410815431"/>
      <w:bookmarkStart w:id="204" w:name="_Toc409638366"/>
      <w:bookmarkStart w:id="205" w:name="_Toc409638519"/>
      <w:bookmarkStart w:id="206" w:name="_Toc410815435"/>
      <w:bookmarkStart w:id="207" w:name="_Toc409638367"/>
      <w:bookmarkStart w:id="208" w:name="_Toc409638520"/>
      <w:bookmarkStart w:id="209" w:name="_Toc410815436"/>
      <w:bookmarkStart w:id="210" w:name="_Toc409638370"/>
      <w:bookmarkStart w:id="211" w:name="_Toc409638523"/>
      <w:bookmarkStart w:id="212" w:name="_Toc410815439"/>
      <w:bookmarkStart w:id="213" w:name="_Toc409638371"/>
      <w:bookmarkStart w:id="214" w:name="_Toc409638524"/>
      <w:bookmarkStart w:id="215" w:name="_Toc410815440"/>
      <w:bookmarkStart w:id="216" w:name="_Toc409638372"/>
      <w:bookmarkStart w:id="217" w:name="_Toc409638525"/>
      <w:bookmarkStart w:id="218" w:name="_Toc410815441"/>
      <w:bookmarkStart w:id="219" w:name="_Toc409638378"/>
      <w:bookmarkStart w:id="220" w:name="_Toc409638531"/>
      <w:bookmarkStart w:id="221" w:name="_Toc410815447"/>
      <w:bookmarkStart w:id="222" w:name="_Toc409638381"/>
      <w:bookmarkStart w:id="223" w:name="_Toc409638534"/>
      <w:bookmarkStart w:id="224" w:name="_Toc410815450"/>
      <w:bookmarkStart w:id="225" w:name="_Toc409638382"/>
      <w:bookmarkStart w:id="226" w:name="_Toc409638535"/>
      <w:bookmarkStart w:id="227" w:name="_Toc410815451"/>
      <w:bookmarkStart w:id="228" w:name="_Toc409638383"/>
      <w:bookmarkStart w:id="229" w:name="_Toc409638536"/>
      <w:bookmarkStart w:id="230" w:name="_Toc410815452"/>
      <w:bookmarkStart w:id="231" w:name="_Toc409638384"/>
      <w:bookmarkStart w:id="232" w:name="_Toc409638537"/>
      <w:bookmarkStart w:id="233" w:name="_Toc410815453"/>
      <w:bookmarkStart w:id="234" w:name="_Toc409638385"/>
      <w:bookmarkStart w:id="235" w:name="_Toc409638538"/>
      <w:bookmarkStart w:id="236" w:name="_Toc410815454"/>
      <w:bookmarkStart w:id="237" w:name="_Toc409638389"/>
      <w:bookmarkStart w:id="238" w:name="_Toc409638542"/>
      <w:bookmarkStart w:id="239" w:name="_Toc410815458"/>
      <w:bookmarkStart w:id="240" w:name="_Toc409638390"/>
      <w:bookmarkStart w:id="241" w:name="_Toc409638543"/>
      <w:bookmarkStart w:id="242" w:name="_Toc410815459"/>
      <w:bookmarkStart w:id="243" w:name="_Toc409638391"/>
      <w:bookmarkStart w:id="244" w:name="_Toc409638544"/>
      <w:bookmarkStart w:id="245" w:name="_Toc410815460"/>
      <w:bookmarkStart w:id="246" w:name="_Toc409638394"/>
      <w:bookmarkStart w:id="247" w:name="_Toc409638547"/>
      <w:bookmarkStart w:id="248" w:name="_Toc410815463"/>
      <w:bookmarkStart w:id="249" w:name="_Toc409638396"/>
      <w:bookmarkStart w:id="250" w:name="_Toc409638549"/>
      <w:bookmarkStart w:id="251" w:name="_Toc410815465"/>
      <w:bookmarkStart w:id="252" w:name="_Toc409638399"/>
      <w:bookmarkStart w:id="253" w:name="_Toc409638552"/>
      <w:bookmarkStart w:id="254" w:name="_Toc410815468"/>
      <w:bookmarkStart w:id="255" w:name="_Toc415925761"/>
      <w:bookmarkStart w:id="256" w:name="_Toc417917023"/>
      <w:bookmarkStart w:id="257" w:name="_Toc409422586"/>
      <w:bookmarkStart w:id="258" w:name="_Ref409424009"/>
      <w:bookmarkStart w:id="259" w:name="_Toc411428070"/>
      <w:bookmarkStart w:id="260" w:name="_Ref411507041"/>
      <w:bookmarkStart w:id="261" w:name="_Toc403144137"/>
      <w:bookmarkStart w:id="262" w:name="_Ref409425553"/>
      <w:bookmarkStart w:id="263" w:name="_Ref409433110"/>
      <w:bookmarkStart w:id="264" w:name="_Ref41081790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8F3A0D">
        <w:t>Regulatory framework</w:t>
      </w:r>
      <w:bookmarkEnd w:id="255"/>
      <w:bookmarkEnd w:id="256"/>
    </w:p>
    <w:p w:rsidR="0029695E" w:rsidRDefault="0029695E" w:rsidP="00117E02">
      <w:pPr>
        <w:numPr>
          <w:ilvl w:val="0"/>
          <w:numId w:val="24"/>
        </w:numPr>
      </w:pPr>
      <w:r w:rsidRPr="006C7462">
        <w:t xml:space="preserve">The NEL and the NER provide the </w:t>
      </w:r>
      <w:r>
        <w:t>regulatory</w:t>
      </w:r>
      <w:r w:rsidRPr="006C7462">
        <w:t xml:space="preserve"> framework under which we operate. </w:t>
      </w:r>
      <w:r>
        <w:t>These set out how we must assess a regulatory proposal and make our decision. In this section we set out some key aspects of this framework.</w:t>
      </w:r>
    </w:p>
    <w:p w:rsidR="0029695E" w:rsidRPr="006C7462" w:rsidRDefault="0029695E" w:rsidP="00117E02">
      <w:pPr>
        <w:numPr>
          <w:ilvl w:val="0"/>
          <w:numId w:val="24"/>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p>
    <w:p w:rsidR="0029695E" w:rsidRPr="006C7462" w:rsidRDefault="0029695E" w:rsidP="0029695E">
      <w:pPr>
        <w:pStyle w:val="AERquote"/>
      </w:pPr>
      <w:proofErr w:type="gramStart"/>
      <w:r w:rsidRPr="006C7462">
        <w:t>price</w:t>
      </w:r>
      <w:proofErr w:type="gramEnd"/>
      <w:r w:rsidRPr="006C7462">
        <w:t>, quality, safety, reliability and security of supply of electricity; and</w:t>
      </w:r>
    </w:p>
    <w:p w:rsidR="0029695E" w:rsidRPr="006C7462" w:rsidRDefault="0029695E" w:rsidP="0029695E">
      <w:pPr>
        <w:pStyle w:val="AERquote"/>
      </w:pPr>
      <w:proofErr w:type="gramStart"/>
      <w:r w:rsidRPr="006C7462">
        <w:t>the</w:t>
      </w:r>
      <w:proofErr w:type="gramEnd"/>
      <w:r w:rsidRPr="006C7462">
        <w:t xml:space="preserve"> reliability, safety and security of the national electricity system.</w:t>
      </w:r>
      <w:r w:rsidRPr="006C7462">
        <w:rPr>
          <w:rStyle w:val="FootnoteReference"/>
        </w:rPr>
        <w:footnoteReference w:id="59"/>
      </w:r>
      <w:r w:rsidRPr="006C7462">
        <w:t xml:space="preserve">  </w:t>
      </w:r>
    </w:p>
    <w:p w:rsidR="0029695E" w:rsidRPr="003B504B" w:rsidRDefault="0029695E" w:rsidP="0029695E">
      <w:r w:rsidRPr="006C7462">
        <w:t>The NEL also includes the revenue and pricing principles (RPP), which support the NEO.</w:t>
      </w:r>
      <w:r w:rsidRPr="006C7462">
        <w:rPr>
          <w:rStyle w:val="FootnoteReference"/>
        </w:rPr>
        <w:footnoteReference w:id="60"/>
      </w:r>
      <w:r w:rsidRPr="006C7462">
        <w:t xml:space="preserve"> As the NEL requires,</w:t>
      </w:r>
      <w:r w:rsidRPr="006C7462">
        <w:rPr>
          <w:rStyle w:val="FootnoteReference"/>
        </w:rPr>
        <w:footnoteReference w:id="61"/>
      </w:r>
      <w:r w:rsidRPr="006C7462">
        <w:t xml:space="preserve"> we have taken the RPPs into account throughout our analysis. The RPPs are: </w:t>
      </w:r>
    </w:p>
    <w:p w:rsidR="0029695E" w:rsidRPr="00AF78C7" w:rsidRDefault="0029695E" w:rsidP="0029695E">
      <w:pPr>
        <w:pStyle w:val="AERquote"/>
      </w:pPr>
      <w:r w:rsidRPr="00AF78C7">
        <w:t>A regulated network service provider should be provided with a reasonable opportunity to recover at least the efficient costs the operator incurs in—</w:t>
      </w:r>
    </w:p>
    <w:p w:rsidR="0029695E" w:rsidRPr="00AF78C7" w:rsidRDefault="0029695E" w:rsidP="0029695E">
      <w:pPr>
        <w:pStyle w:val="AERquotebullet1"/>
      </w:pPr>
      <w:r w:rsidRPr="00AF78C7">
        <w:t>providing direct control network services; and</w:t>
      </w:r>
    </w:p>
    <w:p w:rsidR="0029695E" w:rsidRPr="00AF78C7" w:rsidRDefault="0029695E" w:rsidP="0029695E">
      <w:pPr>
        <w:pStyle w:val="AERquotebullet1"/>
      </w:pPr>
      <w:proofErr w:type="gramStart"/>
      <w:r w:rsidRPr="00AF78C7">
        <w:t>complying</w:t>
      </w:r>
      <w:proofErr w:type="gramEnd"/>
      <w:r w:rsidRPr="00AF78C7">
        <w:t xml:space="preserve"> with a regulatory obligation or requirement or making a regulatory payment.</w:t>
      </w:r>
    </w:p>
    <w:p w:rsidR="0029695E" w:rsidRPr="00AF78C7" w:rsidRDefault="0029695E" w:rsidP="0029695E">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29695E" w:rsidRPr="00AF78C7" w:rsidRDefault="0029695E" w:rsidP="0029695E">
      <w:pPr>
        <w:pStyle w:val="AERquotebullet1"/>
      </w:pPr>
      <w:r w:rsidRPr="00AF78C7">
        <w:t>efficient investment in a distribution system or transmission system with which the operator provides direct control network services; and</w:t>
      </w:r>
    </w:p>
    <w:p w:rsidR="0029695E" w:rsidRPr="003B504B" w:rsidRDefault="0029695E" w:rsidP="0029695E">
      <w:pPr>
        <w:pStyle w:val="AERquotebullet1"/>
      </w:pPr>
      <w:r w:rsidRPr="00AF78C7">
        <w:t>the efficient provision of electricity network services; and</w:t>
      </w:r>
    </w:p>
    <w:p w:rsidR="0029695E" w:rsidRPr="00AF78C7" w:rsidRDefault="0029695E" w:rsidP="0029695E">
      <w:pPr>
        <w:pStyle w:val="AERquotebullet1"/>
      </w:pPr>
      <w:proofErr w:type="gramStart"/>
      <w:r w:rsidRPr="00AF78C7">
        <w:t>the</w:t>
      </w:r>
      <w:proofErr w:type="gramEnd"/>
      <w:r w:rsidRPr="00AF78C7">
        <w:t xml:space="preserve"> efficient use of the distribution system or transmission system with which the operator provides direct control network services.</w:t>
      </w:r>
    </w:p>
    <w:p w:rsidR="0029695E" w:rsidRPr="00AF78C7" w:rsidRDefault="0029695E" w:rsidP="0029695E">
      <w:pPr>
        <w:pStyle w:val="AERquote"/>
      </w:pPr>
      <w:r w:rsidRPr="00AF78C7">
        <w:t>Regard should be had to the regulatory asset base with respect to a distribution system or transmission system adopted—</w:t>
      </w:r>
    </w:p>
    <w:p w:rsidR="0029695E" w:rsidRPr="00AF78C7" w:rsidRDefault="0029695E" w:rsidP="0029695E">
      <w:pPr>
        <w:pStyle w:val="AERquotebullet1"/>
      </w:pPr>
      <w:r w:rsidRPr="00AF78C7">
        <w:t>in any previous—</w:t>
      </w:r>
    </w:p>
    <w:p w:rsidR="0029695E" w:rsidRPr="00AF78C7" w:rsidRDefault="0029695E" w:rsidP="001D63EC">
      <w:pPr>
        <w:pStyle w:val="AERquotebullet1"/>
        <w:numPr>
          <w:ilvl w:val="1"/>
          <w:numId w:val="22"/>
        </w:numPr>
      </w:pPr>
      <w:r w:rsidRPr="00AF78C7">
        <w:t>as the case requires, distribution determination or transmission determination; or</w:t>
      </w:r>
    </w:p>
    <w:p w:rsidR="0029695E" w:rsidRPr="00AF78C7" w:rsidRDefault="0029695E" w:rsidP="001D63EC">
      <w:pPr>
        <w:pStyle w:val="AERquotebullet1"/>
        <w:numPr>
          <w:ilvl w:val="1"/>
          <w:numId w:val="22"/>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29695E" w:rsidRPr="00AF78C7" w:rsidRDefault="0029695E" w:rsidP="0029695E">
      <w:pPr>
        <w:pStyle w:val="AERquotebullet1"/>
      </w:pPr>
      <w:proofErr w:type="gramStart"/>
      <w:r w:rsidRPr="00AF78C7">
        <w:t>in</w:t>
      </w:r>
      <w:proofErr w:type="gramEnd"/>
      <w:r w:rsidRPr="00AF78C7">
        <w:t xml:space="preserve"> the Rules.</w:t>
      </w:r>
    </w:p>
    <w:p w:rsidR="0029695E" w:rsidRPr="00AF78C7" w:rsidRDefault="0029695E" w:rsidP="0029695E">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29695E" w:rsidRPr="00AF78C7" w:rsidRDefault="0029695E" w:rsidP="0029695E">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29695E" w:rsidRDefault="0029695E" w:rsidP="0029695E">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29695E" w:rsidRDefault="005E3371" w:rsidP="00117E02">
      <w:pPr>
        <w:numPr>
          <w:ilvl w:val="0"/>
          <w:numId w:val="24"/>
        </w:numPr>
      </w:pPr>
      <w:r>
        <w:t>Consistent with Energy Ministers' views w</w:t>
      </w:r>
      <w:r w:rsidR="0029695E">
        <w:t xml:space="preserve">e set revenue allowances to balance all of the elements of the NEO and </w:t>
      </w:r>
      <w:r>
        <w:t>consider each</w:t>
      </w:r>
      <w:r w:rsidR="00CF3C1D">
        <w:t xml:space="preserve"> of the</w:t>
      </w:r>
      <w:r w:rsidR="001D63EC">
        <w:t xml:space="preserve"> </w:t>
      </w:r>
      <w:r>
        <w:t>RPPs</w:t>
      </w:r>
      <w:r w:rsidR="00CF3C1D">
        <w:t xml:space="preserve"> are equally vital.</w:t>
      </w:r>
      <w:r w:rsidR="00CF3C1D">
        <w:rPr>
          <w:rStyle w:val="FootnoteReference"/>
        </w:rPr>
        <w:footnoteReference w:id="62"/>
      </w:r>
      <w:r w:rsidR="0029695E">
        <w:t xml:space="preserve"> </w:t>
      </w:r>
    </w:p>
    <w:p w:rsidR="0029695E" w:rsidRDefault="0029695E" w:rsidP="00117E02">
      <w:pPr>
        <w:numPr>
          <w:ilvl w:val="0"/>
          <w:numId w:val="24"/>
        </w:numPr>
      </w:pPr>
      <w:r>
        <w:t>C</w:t>
      </w:r>
      <w:r w:rsidRPr="00892ECD">
        <w:t>hapter 6</w:t>
      </w:r>
      <w:r>
        <w:t>A</w:t>
      </w:r>
      <w:r w:rsidRPr="00892ECD">
        <w:t xml:space="preserve"> of the NER provides </w:t>
      </w:r>
      <w:r>
        <w:t xml:space="preserve">specifically for the </w:t>
      </w:r>
      <w:r w:rsidRPr="00892ECD">
        <w:t xml:space="preserve">economic regulation of </w:t>
      </w:r>
      <w:r w:rsidR="0096557E">
        <w:t>distributor</w:t>
      </w:r>
      <w:r>
        <w:t>s. It includes detailed rules about the constituent components of our decisions. These are intended to contribute to the achievement of the NEO.</w:t>
      </w:r>
      <w:r>
        <w:rPr>
          <w:rStyle w:val="FootnoteReference"/>
        </w:rPr>
        <w:footnoteReference w:id="63"/>
      </w:r>
      <w:r>
        <w:t xml:space="preserve"> The AEMC has made clear that, in relation to key aspects of revenue, the rules guide the AER. These rules do not dictate any specific regulatory outcome.</w:t>
      </w:r>
      <w:r>
        <w:rPr>
          <w:rStyle w:val="FootnoteReference"/>
        </w:rPr>
        <w:footnoteReference w:id="64"/>
      </w:r>
      <w:r>
        <w:t xml:space="preserve"> For example, the AEMC has said:</w:t>
      </w:r>
    </w:p>
    <w:p w:rsidR="0029695E" w:rsidRPr="00E25951" w:rsidRDefault="0029695E" w:rsidP="0029695E">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29695E" w:rsidRDefault="0029695E" w:rsidP="0029695E">
      <w:r>
        <w:t>Given this framework</w:t>
      </w:r>
      <w:r w:rsidRPr="00715EF7">
        <w:t>, we consider the NEO and how to achieve it throughout our decision making processes.</w:t>
      </w:r>
    </w:p>
    <w:p w:rsidR="0029695E" w:rsidRPr="003B504B" w:rsidRDefault="0029695E" w:rsidP="0029695E">
      <w:pPr>
        <w:pStyle w:val="Heading2"/>
      </w:pPr>
      <w:bookmarkStart w:id="265" w:name="_Toc415925762"/>
      <w:bookmarkStart w:id="266" w:name="_Toc417917024"/>
      <w:r w:rsidRPr="00352D7C">
        <w:t>Understanding</w:t>
      </w:r>
      <w:r w:rsidRPr="003B504B">
        <w:t xml:space="preserve"> the NEO</w:t>
      </w:r>
      <w:bookmarkEnd w:id="265"/>
      <w:bookmarkEnd w:id="266"/>
    </w:p>
    <w:p w:rsidR="0029695E" w:rsidRPr="006C7462" w:rsidRDefault="0029695E" w:rsidP="0029695E">
      <w:r w:rsidRPr="006C7462">
        <w:t>Energy Ministers have provided us with a substantial body of explanation that guides our understanding of the NEO.</w:t>
      </w:r>
      <w:r w:rsidRPr="006C7462">
        <w:rPr>
          <w:rStyle w:val="FootnoteReference"/>
        </w:rPr>
        <w:footnoteReference w:id="65"/>
      </w:r>
      <w:r>
        <w:t xml:space="preserve"> </w:t>
      </w:r>
      <w:r w:rsidRPr="006C7462">
        <w:t>The long term interests of consumers are not delivered by any one of the NEO's factors in isolation, but rather by balancing them</w:t>
      </w:r>
      <w:r w:rsidR="00CF3C1D">
        <w:t xml:space="preserve"> in reaching a regulatory decision</w:t>
      </w:r>
      <w:r w:rsidRPr="006C7462">
        <w:t>.</w:t>
      </w:r>
      <w:r w:rsidRPr="006C7462">
        <w:rPr>
          <w:rStyle w:val="FootnoteReference"/>
        </w:rPr>
        <w:footnoteReference w:id="66"/>
      </w:r>
    </w:p>
    <w:p w:rsidR="0029695E" w:rsidRPr="006C7462" w:rsidRDefault="0029695E" w:rsidP="0029695E">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w:t>
      </w:r>
      <w:r w:rsidR="00CF3C1D">
        <w:t xml:space="preserve"> safe and reliable</w:t>
      </w:r>
      <w:r w:rsidRPr="006C7462">
        <w:t xml:space="preserve"> service </w:t>
      </w:r>
      <w:r>
        <w:t xml:space="preserve">that they value </w:t>
      </w:r>
      <w:r w:rsidRPr="006C7462">
        <w:t xml:space="preserve">at </w:t>
      </w:r>
      <w:r>
        <w:t>least cost in the long run</w:t>
      </w:r>
      <w:r w:rsidRPr="006C7462">
        <w:t>.</w:t>
      </w:r>
      <w:r w:rsidRPr="006C7462">
        <w:rPr>
          <w:rStyle w:val="FootnoteReference"/>
        </w:rPr>
        <w:footnoteReference w:id="67"/>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29695E" w:rsidRPr="006C7462" w:rsidRDefault="0029695E" w:rsidP="0029695E">
      <w:r w:rsidRPr="006C7462">
        <w:t xml:space="preserve">However, in the energy networks industry the usual competitive disciplines do not </w:t>
      </w:r>
      <w:r w:rsidR="005E3371">
        <w:t>apply</w:t>
      </w:r>
      <w:r w:rsidRPr="006C7462">
        <w:t xml:space="preserve">. </w:t>
      </w:r>
      <w:r w:rsidR="005E3371">
        <w:t>Distributors</w:t>
      </w:r>
      <w:r w:rsidRPr="006C7462">
        <w:t xml:space="preserve"> are largely natural monopolies. </w:t>
      </w:r>
      <w:r w:rsidR="005E3371">
        <w:t>In addition, m</w:t>
      </w:r>
      <w:r w:rsidR="005E3371" w:rsidRPr="006C7462">
        <w:t xml:space="preserve">any </w:t>
      </w:r>
      <w:r w:rsidRPr="006C7462">
        <w:t>of the products they offer are essential services for most consumers. Consequently, in an uncompetitive environment, consumers have little choice but to accept the quality</w:t>
      </w:r>
      <w:r w:rsidR="00CF3C1D">
        <w:t xml:space="preserve">, reliability </w:t>
      </w:r>
      <w:r w:rsidRPr="006C7462">
        <w:t xml:space="preserve">and price the </w:t>
      </w:r>
      <w:r w:rsidR="0096557E">
        <w:t>distributor</w:t>
      </w:r>
      <w:r>
        <w:t>s</w:t>
      </w:r>
      <w:r w:rsidRPr="006C7462">
        <w:t xml:space="preserve"> offer.</w:t>
      </w:r>
    </w:p>
    <w:p w:rsidR="0029695E" w:rsidRPr="006C7462" w:rsidRDefault="0029695E" w:rsidP="0029695E">
      <w:r w:rsidRPr="006C7462">
        <w:t xml:space="preserve">The NEL and NER aim to remedy the absence of competition by </w:t>
      </w:r>
      <w:r>
        <w:t>providing that we</w:t>
      </w:r>
      <w:r w:rsidRPr="006C7462">
        <w:t xml:space="preserve">, as regulator, make decisions that are in the long term interests of consumers. In particular, we might need to require the </w:t>
      </w:r>
      <w:r w:rsidR="0096557E">
        <w:t xml:space="preserve">distributors </w:t>
      </w:r>
      <w:r w:rsidRPr="006C7462">
        <w:t xml:space="preserve">to offer their services at a different price than they would choose themselves. By its nature, this process will involve exercising regulatory </w:t>
      </w:r>
      <w:r>
        <w:t>judgement</w:t>
      </w:r>
      <w:r w:rsidRPr="006C7462">
        <w:t xml:space="preserve"> to balance the NEO's various factors.</w:t>
      </w:r>
    </w:p>
    <w:p w:rsidR="00CF3C1D" w:rsidRDefault="0029695E" w:rsidP="0029695E">
      <w:r w:rsidRPr="006C7462">
        <w:t xml:space="preserve">It is important to recognise that there </w:t>
      </w:r>
      <w:r>
        <w:t xml:space="preserve">are a number of plausible outcomes </w:t>
      </w:r>
      <w:r w:rsidRPr="006C7462">
        <w:t xml:space="preserve">that </w:t>
      </w:r>
      <w:r>
        <w:t xml:space="preserve">may </w:t>
      </w:r>
      <w:r w:rsidRPr="006C7462">
        <w:t xml:space="preserve">contribute to the achievement of the NEO. 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68"/>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69"/>
      </w:r>
      <w:r w:rsidRPr="006C7462">
        <w:t xml:space="preserve"> This could have significant longer term pricing implications for those consumers who continue to use network services. </w:t>
      </w:r>
    </w:p>
    <w:p w:rsidR="0029695E" w:rsidRDefault="0029695E" w:rsidP="0029695E">
      <w:r w:rsidRPr="006C7462">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70"/>
      </w:r>
      <w:r w:rsidRPr="006C7462">
        <w:t xml:space="preserve"> </w:t>
      </w:r>
      <w:r>
        <w:t>and</w:t>
      </w:r>
      <w:r w:rsidRPr="006C7462">
        <w:t xml:space="preserve"> </w:t>
      </w:r>
      <w:r>
        <w:t>could</w:t>
      </w:r>
      <w:r w:rsidRPr="006C7462">
        <w:t xml:space="preserve"> have adverse consequences for safety, security and reliability of the network. </w:t>
      </w:r>
    </w:p>
    <w:p w:rsidR="0029695E" w:rsidRPr="003B504B" w:rsidRDefault="003E67D0" w:rsidP="0029695E">
      <w:pPr>
        <w:pStyle w:val="Heading2"/>
      </w:pPr>
      <w:bookmarkStart w:id="267" w:name="_Toc417917025"/>
      <w:r>
        <w:t>The 2012 framework changes</w:t>
      </w:r>
      <w:bookmarkEnd w:id="267"/>
    </w:p>
    <w:p w:rsidR="0029695E" w:rsidRPr="006C7462" w:rsidRDefault="0029695E" w:rsidP="0029695E">
      <w:r w:rsidRPr="006C7462">
        <w:t xml:space="preserve">This is the first decision we have made following changes to the NEL and NER in 2012 and 2013. The NEL and NER were </w:t>
      </w:r>
      <w:r w:rsidR="00CF3C1D">
        <w:t>amended</w:t>
      </w:r>
      <w:r w:rsidRPr="006C7462">
        <w:t xml:space="preserve"> to provide greater emphasis on the NEO and greater discretion to us.</w:t>
      </w:r>
      <w:r w:rsidRPr="006C7462">
        <w:rPr>
          <w:rStyle w:val="FootnoteReference"/>
        </w:rPr>
        <w:footnoteReference w:id="71"/>
      </w:r>
      <w:r w:rsidRPr="006C7462">
        <w:t xml:space="preserve"> The amended NER allow</w:t>
      </w:r>
      <w:r w:rsidR="00CF3C1D">
        <w:t>,</w:t>
      </w:r>
      <w:r w:rsidRPr="006C7462">
        <w:t xml:space="preserve"> and </w:t>
      </w:r>
      <w:r>
        <w:t xml:space="preserve">the AEMC has </w:t>
      </w:r>
      <w:r w:rsidRPr="006C7462">
        <w:t>encourage</w:t>
      </w:r>
      <w:r>
        <w:t>d,</w:t>
      </w:r>
      <w:r w:rsidRPr="006C7462">
        <w:t xml:space="preserve"> us to approach decision making more holistically to meet overall objectives consistent with the NEO and RPPs.</w:t>
      </w:r>
      <w:r w:rsidRPr="006C7462">
        <w:rPr>
          <w:rStyle w:val="FootnoteReference"/>
        </w:rPr>
        <w:footnoteReference w:id="72"/>
      </w:r>
      <w:r w:rsidRPr="006C7462">
        <w:t xml:space="preserve"> </w:t>
      </w:r>
      <w:r w:rsidR="005E3371">
        <w:t xml:space="preserve">Also one of the </w:t>
      </w:r>
      <w:r>
        <w:t>purpose</w:t>
      </w:r>
      <w:r w:rsidR="005E3371">
        <w:t>s</w:t>
      </w:r>
      <w:r>
        <w:t xml:space="preserve"> of these</w:t>
      </w:r>
      <w:r w:rsidRPr="006C7462">
        <w:t xml:space="preserve"> changes </w:t>
      </w:r>
      <w:r>
        <w:t xml:space="preserve">was </w:t>
      </w:r>
      <w:r w:rsidRPr="006C7462">
        <w:t>to give consumers a clearer and more prominent role in the decision making process.</w:t>
      </w:r>
      <w:r w:rsidRPr="006C7462">
        <w:rPr>
          <w:rStyle w:val="FootnoteReference"/>
        </w:rPr>
        <w:footnoteReference w:id="73"/>
      </w:r>
    </w:p>
    <w:p w:rsidR="0029695E" w:rsidRDefault="0029695E" w:rsidP="00117E02">
      <w:pPr>
        <w:numPr>
          <w:ilvl w:val="0"/>
          <w:numId w:val="24"/>
        </w:numPr>
      </w:pPr>
      <w:r w:rsidRPr="006C7462">
        <w:t xml:space="preserve">In 2013, the NEL was changed with similar aims in mind. </w:t>
      </w:r>
      <w:r>
        <w:t>The long term interests of consumers are a key focus of the changes</w:t>
      </w:r>
      <w:r w:rsidRPr="006C7462">
        <w:t>.</w:t>
      </w:r>
      <w:r w:rsidRPr="006C7462">
        <w:rPr>
          <w:rStyle w:val="FootnoteReference"/>
        </w:rPr>
        <w:footnoteReference w:id="74"/>
      </w:r>
      <w:r w:rsidRPr="006C7462">
        <w:t xml:space="preserve"> The changes also </w:t>
      </w:r>
      <w:r>
        <w:t>support</w:t>
      </w:r>
      <w:r w:rsidRPr="006C7462">
        <w:t xml:space="preserve"> analys</w:t>
      </w:r>
      <w:r>
        <w:t>ing</w:t>
      </w:r>
      <w:r w:rsidRPr="006C7462">
        <w:t xml:space="preserve"> the decision </w:t>
      </w:r>
      <w:r w:rsidRPr="00CF3C1D">
        <w:rPr>
          <w:rStyle w:val="AERtextitalic"/>
        </w:rPr>
        <w:t>as a whole</w:t>
      </w:r>
      <w:r w:rsidRPr="006C7462">
        <w:t xml:space="preserve"> in light of the NEO.</w:t>
      </w:r>
      <w:r w:rsidRPr="006C7462">
        <w:rPr>
          <w:rStyle w:val="FootnoteReference"/>
        </w:rPr>
        <w:footnoteReference w:id="75"/>
      </w:r>
      <w:r w:rsidRPr="006C7462">
        <w:t xml:space="preserve"> </w:t>
      </w:r>
    </w:p>
    <w:p w:rsidR="0029695E" w:rsidRDefault="00CF3C1D" w:rsidP="00117E02">
      <w:pPr>
        <w:numPr>
          <w:ilvl w:val="0"/>
          <w:numId w:val="24"/>
        </w:numPr>
      </w:pPr>
      <w:r>
        <w:t>T</w:t>
      </w:r>
      <w:r w:rsidR="0029695E" w:rsidRPr="00C362C1">
        <w:t>he NEL now requires us to specify how the constituent components of our decision relate to each other and how we have taken those interrelationships into account in making our decision.</w:t>
      </w:r>
      <w:r w:rsidR="0029695E">
        <w:rPr>
          <w:rStyle w:val="FootnoteReference"/>
        </w:rPr>
        <w:footnoteReference w:id="76"/>
      </w:r>
      <w:r w:rsidR="0029695E" w:rsidRPr="00C362C1">
        <w:t xml:space="preserve"> </w:t>
      </w:r>
      <w:r w:rsidR="0029695E">
        <w:t xml:space="preserve">It </w:t>
      </w:r>
      <w:r w:rsidR="0029695E" w:rsidRPr="00C362C1">
        <w:t>also anticipates th</w:t>
      </w:r>
      <w:r w:rsidR="0029695E">
        <w:t>e possibility of</w:t>
      </w:r>
      <w:r w:rsidR="0029695E" w:rsidRPr="00C362C1">
        <w:t xml:space="preserve"> two or more decisions that will or are likely to contribute to the achievement of the NEO. It requires that, in those cases, we must make the decision we are satisfied will or is likely to contribute to the achievement of the NEO to the greatest degree.</w:t>
      </w:r>
      <w:r w:rsidR="0029695E">
        <w:rPr>
          <w:rStyle w:val="FootnoteReference"/>
        </w:rPr>
        <w:footnoteReference w:id="77"/>
      </w:r>
      <w:r w:rsidR="0029695E">
        <w:t xml:space="preserve"> </w:t>
      </w:r>
      <w:r>
        <w:t>The NER requires that we provide reasons for our decisions.</w:t>
      </w:r>
      <w:r>
        <w:rPr>
          <w:rStyle w:val="FootnoteReference"/>
        </w:rPr>
        <w:footnoteReference w:id="78"/>
      </w:r>
    </w:p>
    <w:p w:rsidR="0029695E" w:rsidRDefault="0029695E" w:rsidP="00117E02">
      <w:pPr>
        <w:numPr>
          <w:ilvl w:val="0"/>
          <w:numId w:val="24"/>
        </w:numPr>
        <w:rPr>
          <w:rStyle w:val="AERbody"/>
        </w:rPr>
      </w:pPr>
      <w:r w:rsidRPr="00B93891">
        <w:rPr>
          <w:rStyle w:val="AERbody"/>
        </w:rPr>
        <w:t xml:space="preserve">The NEL does not </w:t>
      </w:r>
      <w:r>
        <w:rPr>
          <w:rStyle w:val="AERbody"/>
        </w:rPr>
        <w:t>prescribe</w:t>
      </w:r>
      <w:r w:rsidRPr="00B93891">
        <w:rPr>
          <w:rStyle w:val="AERbody"/>
        </w:rPr>
        <w:t xml:space="preserve"> how we are to </w:t>
      </w:r>
      <w:r>
        <w:rPr>
          <w:rStyle w:val="AERbody"/>
        </w:rPr>
        <w:t>apply</w:t>
      </w:r>
      <w:r w:rsidRPr="00B93891">
        <w:rPr>
          <w:rStyle w:val="AERbody"/>
        </w:rPr>
        <w:t xml:space="preserve"> these </w:t>
      </w:r>
      <w:r>
        <w:rPr>
          <w:rStyle w:val="AERbody"/>
        </w:rPr>
        <w:t xml:space="preserve">overarching </w:t>
      </w:r>
      <w:r w:rsidRPr="00B93891">
        <w:rPr>
          <w:rStyle w:val="AERbody"/>
        </w:rPr>
        <w:t>requirements</w:t>
      </w:r>
      <w:r>
        <w:rPr>
          <w:rStyle w:val="AERbody"/>
        </w:rPr>
        <w:t xml:space="preserve"> and so in applying them, we have exercised our regulatory judgement</w:t>
      </w:r>
      <w:r w:rsidR="005E3371">
        <w:rPr>
          <w:rStyle w:val="AERbody"/>
        </w:rPr>
        <w:t>.</w:t>
      </w:r>
    </w:p>
    <w:p w:rsidR="0029695E" w:rsidRPr="00C362C1" w:rsidRDefault="0029695E" w:rsidP="00117E02">
      <w:pPr>
        <w:numPr>
          <w:ilvl w:val="0"/>
          <w:numId w:val="24"/>
        </w:numPr>
      </w:pPr>
      <w:r>
        <w:rPr>
          <w:rStyle w:val="AERbody"/>
        </w:rPr>
        <w:t>We have done so by</w:t>
      </w:r>
      <w:r>
        <w:t xml:space="preserve"> determining revenue in accordance with the detailed provisions in the NER. </w:t>
      </w:r>
      <w:r w:rsidR="00CF3C1D">
        <w:t xml:space="preserve">This assessment is in each of our attachments. As part of that assessment, and in accordance with the NEL requirements, we identify and assess the interrelationships between the constituent components of our final decision. In the following sections, </w:t>
      </w:r>
      <w:r w:rsidR="00CF3C1D" w:rsidRPr="00F94F51">
        <w:t>we explain our approach to evaluating these interrelationships and then set out how we assessed what will contribute to the achievement of the NEO to the greatest degree.</w:t>
      </w:r>
      <w:r w:rsidR="00CF3C1D">
        <w:t xml:space="preserve"> Section </w:t>
      </w:r>
      <w:r w:rsidR="00CF3C1D">
        <w:fldChar w:fldCharType="begin"/>
      </w:r>
      <w:r w:rsidR="00CF3C1D">
        <w:instrText xml:space="preserve"> REF _Ref416882735 \r \h </w:instrText>
      </w:r>
      <w:r w:rsidR="00CF3C1D">
        <w:fldChar w:fldCharType="separate"/>
      </w:r>
      <w:r w:rsidR="009D2F25">
        <w:t>1</w:t>
      </w:r>
      <w:r w:rsidR="00CF3C1D">
        <w:fldChar w:fldCharType="end"/>
      </w:r>
      <w:r w:rsidR="00CF3C1D">
        <w:t xml:space="preserve"> of this overview demonstrates how we have applied these approaches for this decision.</w:t>
      </w:r>
    </w:p>
    <w:p w:rsidR="0029695E" w:rsidRPr="00C362C1" w:rsidRDefault="0029695E" w:rsidP="0029695E">
      <w:pPr>
        <w:pStyle w:val="Heading3"/>
      </w:pPr>
      <w:bookmarkStart w:id="268" w:name="_Toc415925764"/>
      <w:bookmarkStart w:id="269" w:name="_Toc417917026"/>
      <w:r w:rsidRPr="00C362C1">
        <w:t>Interrelationships</w:t>
      </w:r>
      <w:bookmarkEnd w:id="268"/>
      <w:bookmarkEnd w:id="269"/>
      <w:r w:rsidRPr="00C362C1">
        <w:t xml:space="preserve"> </w:t>
      </w:r>
    </w:p>
    <w:p w:rsidR="0029695E" w:rsidRDefault="0029695E" w:rsidP="0029695E">
      <w:r w:rsidRPr="00C362C1">
        <w:t xml:space="preserve">A </w:t>
      </w:r>
      <w:r w:rsidR="0096557E">
        <w:t>distribution</w:t>
      </w:r>
      <w:r w:rsidRPr="00C362C1">
        <w:t xml:space="preserve"> determination is a complex decision and must be considered as such. </w:t>
      </w:r>
      <w:r w:rsidR="00CF3C1D">
        <w:t>Considering</w:t>
      </w:r>
      <w:r w:rsidRPr="00C362C1">
        <w:t xml:space="preserve"> constituent components in isolation ignores the importance of these interrelationships</w:t>
      </w:r>
      <w:r w:rsidR="005E3371">
        <w:t xml:space="preserve"> between the components and</w:t>
      </w:r>
      <w:r w:rsidRPr="00C362C1">
        <w:t xml:space="preserve"> would not contribute to the achievement of the NEO</w:t>
      </w:r>
      <w:r>
        <w:t>.</w:t>
      </w:r>
      <w:r w:rsidR="00CF3C1D">
        <w:t xml:space="preserve"> As outlined by Energy</w:t>
      </w:r>
      <w:r>
        <w:t xml:space="preserve"> Ministers</w:t>
      </w:r>
      <w:r w:rsidR="00CF3C1D">
        <w:t>,</w:t>
      </w:r>
      <w:r>
        <w:t xml:space="preserve"> consider</w:t>
      </w:r>
      <w:r w:rsidR="00CF3C1D">
        <w:t>ing the elements in isolation</w:t>
      </w:r>
      <w:r>
        <w:t xml:space="preserve"> has</w:t>
      </w:r>
      <w:r w:rsidRPr="00C362C1">
        <w:t xml:space="preserve"> resulted in regulatory failures</w:t>
      </w:r>
      <w:r w:rsidR="00CF3C1D">
        <w:t xml:space="preserve"> in the past</w:t>
      </w:r>
      <w:r w:rsidRPr="00C362C1">
        <w:t>.</w:t>
      </w:r>
      <w:r>
        <w:rPr>
          <w:rStyle w:val="FootnoteReference"/>
        </w:rPr>
        <w:footnoteReference w:id="79"/>
      </w:r>
      <w:r w:rsidRPr="00C362C1">
        <w:t xml:space="preserve"> Interrelationships can take various forms, including:</w:t>
      </w:r>
    </w:p>
    <w:p w:rsidR="0029695E" w:rsidRPr="00C362C1" w:rsidRDefault="0029695E" w:rsidP="0029695E">
      <w:pPr>
        <w:pStyle w:val="AERbulletlistfirststyle"/>
      </w:pPr>
      <w:proofErr w:type="gramStart"/>
      <w:r w:rsidRPr="00C362C1">
        <w:t>underlying</w:t>
      </w:r>
      <w:proofErr w:type="gramEnd"/>
      <w:r w:rsidRPr="00C362C1">
        <w:t xml:space="preserve"> drivers and context which are likely to affect many constituent components of our decision. For example, forecast demand affects the efficient levels of capex and </w:t>
      </w:r>
      <w:proofErr w:type="spellStart"/>
      <w:r w:rsidRPr="00C362C1">
        <w:t>opex</w:t>
      </w:r>
      <w:proofErr w:type="spellEnd"/>
      <w:r w:rsidRPr="00C362C1">
        <w:t xml:space="preserve"> in the regulatory control period </w:t>
      </w:r>
      <w:r>
        <w:t>(see Attachment 6)</w:t>
      </w:r>
      <w:r w:rsidRPr="00C362C1">
        <w:t>.</w:t>
      </w:r>
    </w:p>
    <w:p w:rsidR="0029695E" w:rsidRPr="00C362C1" w:rsidRDefault="0029695E" w:rsidP="0029695E">
      <w:pPr>
        <w:pStyle w:val="AERbulletlistfirststyle"/>
      </w:pPr>
      <w:proofErr w:type="gramStart"/>
      <w:r w:rsidRPr="00C362C1">
        <w:t>direct</w:t>
      </w:r>
      <w:proofErr w:type="gramEnd"/>
      <w:r w:rsidRPr="00C362C1">
        <w:t xml:space="preserve">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w:t>
      </w:r>
      <w:r>
        <w:t xml:space="preserve"> (see Attachments 3, 4 and 8)</w:t>
      </w:r>
      <w:r w:rsidRPr="00C362C1">
        <w:t>.</w:t>
      </w:r>
    </w:p>
    <w:p w:rsidR="0029695E" w:rsidRPr="00C362C1" w:rsidRDefault="0029695E" w:rsidP="0029695E">
      <w:pPr>
        <w:pStyle w:val="AERbulletlistfirststyle"/>
      </w:pPr>
      <w:proofErr w:type="gramStart"/>
      <w:r w:rsidRPr="00C362C1">
        <w:t>trade-</w:t>
      </w:r>
      <w:proofErr w:type="gramEnd"/>
      <w:r w:rsidRPr="00C362C1">
        <w:t xml:space="preserve">offs between different components of revenue. For example, undertaking a particular capex project may affect the need for </w:t>
      </w:r>
      <w:proofErr w:type="spellStart"/>
      <w:r w:rsidRPr="00C362C1">
        <w:t>opex</w:t>
      </w:r>
      <w:proofErr w:type="spellEnd"/>
      <w:r w:rsidRPr="00C362C1">
        <w:t xml:space="preserve"> </w:t>
      </w:r>
      <w:r w:rsidR="00CF3C1D">
        <w:t>or</w:t>
      </w:r>
      <w:r w:rsidRPr="00C362C1">
        <w:t xml:space="preserve"> vice versa</w:t>
      </w:r>
      <w:r>
        <w:t xml:space="preserve"> (see Attachments 6 and 7)</w:t>
      </w:r>
      <w:r w:rsidRPr="00C362C1">
        <w:t>.</w:t>
      </w:r>
    </w:p>
    <w:p w:rsidR="0029695E" w:rsidRPr="00C362C1" w:rsidRDefault="0029695E" w:rsidP="0029695E">
      <w:pPr>
        <w:pStyle w:val="AERbulletlistfirststyle"/>
      </w:pPr>
      <w:proofErr w:type="gramStart"/>
      <w:r w:rsidRPr="00C362C1">
        <w:t>trade-</w:t>
      </w:r>
      <w:proofErr w:type="gramEnd"/>
      <w:r w:rsidRPr="00C362C1">
        <w:t xml:space="preserve">offs between forecast and actual regulatory measures. The reasons for one part of a proposal may have impacts on other parts of a proposal. For example, an increase in augmentation to the network means the distributor has more assets to maintain leading to higher </w:t>
      </w:r>
      <w:proofErr w:type="spellStart"/>
      <w:r w:rsidRPr="00C362C1">
        <w:t>opex</w:t>
      </w:r>
      <w:proofErr w:type="spellEnd"/>
      <w:r w:rsidRPr="00C362C1">
        <w:t xml:space="preserve"> requirements</w:t>
      </w:r>
      <w:r>
        <w:t xml:space="preserve"> (see Attachments 6 and 7)</w:t>
      </w:r>
      <w:r w:rsidRPr="00C362C1">
        <w:t>.</w:t>
      </w:r>
    </w:p>
    <w:p w:rsidR="0029695E" w:rsidRPr="00C362C1" w:rsidRDefault="0029695E" w:rsidP="0029695E">
      <w:pPr>
        <w:pStyle w:val="AERbulletlistfirststyle"/>
      </w:pPr>
      <w:proofErr w:type="gramStart"/>
      <w:r w:rsidRPr="00C362C1">
        <w:t>the</w:t>
      </w:r>
      <w:proofErr w:type="gramEnd"/>
      <w:r w:rsidRPr="00C362C1">
        <w:t xml:space="preserve"> distributor's </w:t>
      </w:r>
      <w:r w:rsidR="000F60AF">
        <w:t>approach</w:t>
      </w:r>
      <w:r w:rsidR="000F60AF" w:rsidRPr="00C362C1">
        <w:t xml:space="preserve"> </w:t>
      </w:r>
      <w:r w:rsidRPr="00C362C1">
        <w:t>to managing its network. The distributor's governance arrangements and its approach to risk management will influence most aspects of the proposal, including capex/</w:t>
      </w:r>
      <w:proofErr w:type="spellStart"/>
      <w:r w:rsidRPr="00C362C1">
        <w:t>opex</w:t>
      </w:r>
      <w:proofErr w:type="spellEnd"/>
      <w:r w:rsidRPr="00C362C1">
        <w:t xml:space="preserve"> trade-offs</w:t>
      </w:r>
      <w:r>
        <w:t xml:space="preserve"> (see Attachment 6)</w:t>
      </w:r>
      <w:r w:rsidRPr="00C362C1">
        <w:t>.</w:t>
      </w:r>
    </w:p>
    <w:p w:rsidR="0029695E" w:rsidRPr="00C362C1" w:rsidRDefault="00CF3C1D" w:rsidP="0029695E">
      <w:r>
        <w:t xml:space="preserve">We have considered </w:t>
      </w:r>
      <w:r w:rsidR="0029695E" w:rsidRPr="00C362C1">
        <w:t xml:space="preserve">interrelationships </w:t>
      </w:r>
      <w:r>
        <w:t>in</w:t>
      </w:r>
      <w:r w:rsidR="0029695E">
        <w:t xml:space="preserve"> our analysis of the constituent components of our decision. </w:t>
      </w:r>
      <w:r w:rsidR="003E67D0">
        <w:t>These considerations are explored in the relevant attachments.</w:t>
      </w:r>
    </w:p>
    <w:p w:rsidR="0029695E" w:rsidRPr="00C362C1" w:rsidRDefault="0029695E" w:rsidP="0029695E"/>
    <w:p w:rsidR="00360F32" w:rsidRPr="008F3A0D" w:rsidRDefault="00360F32" w:rsidP="00360F32">
      <w:pPr>
        <w:pStyle w:val="Heading1"/>
      </w:pPr>
      <w:bookmarkStart w:id="270" w:name="_Toc411428073"/>
      <w:bookmarkStart w:id="271" w:name="_Ref411507049"/>
      <w:bookmarkStart w:id="272" w:name="_Toc417917027"/>
      <w:bookmarkEnd w:id="257"/>
      <w:bookmarkEnd w:id="258"/>
      <w:bookmarkEnd w:id="259"/>
      <w:bookmarkEnd w:id="260"/>
      <w:bookmarkEnd w:id="261"/>
      <w:r>
        <w:t>Process</w:t>
      </w:r>
      <w:bookmarkEnd w:id="98"/>
      <w:bookmarkEnd w:id="262"/>
      <w:bookmarkEnd w:id="263"/>
      <w:bookmarkEnd w:id="264"/>
      <w:bookmarkEnd w:id="270"/>
      <w:bookmarkEnd w:id="271"/>
      <w:bookmarkEnd w:id="272"/>
    </w:p>
    <w:p w:rsidR="00360F32" w:rsidRPr="00BE1F1B" w:rsidRDefault="00360F32" w:rsidP="00360F32">
      <w:r>
        <w:t>The NEL requires us to inform stakeholders of the material issues we are considering and to give them a reasonable opportunity to make submissions in respect of this decision.</w:t>
      </w:r>
      <w:r>
        <w:rPr>
          <w:rStyle w:val="FootnoteReference"/>
        </w:rPr>
        <w:footnoteReference w:id="80"/>
      </w:r>
    </w:p>
    <w:p w:rsidR="00360F32" w:rsidRPr="003B504B" w:rsidRDefault="00360F32" w:rsidP="00360F32">
      <w:r>
        <w:t>Below we set out the process we have followed</w:t>
      </w:r>
      <w:r w:rsidR="005E3371">
        <w:t xml:space="preserve"> leading up to</w:t>
      </w:r>
      <w:r>
        <w:t xml:space="preserve"> </w:t>
      </w:r>
      <w:r w:rsidR="00E75894">
        <w:t>Endeavour Energy</w:t>
      </w:r>
      <w:r w:rsidR="005E3371">
        <w:t>'s</w:t>
      </w:r>
      <w:r w:rsidR="00E75894">
        <w:t xml:space="preserve"> </w:t>
      </w:r>
      <w:r w:rsidR="005E3371">
        <w:t xml:space="preserve">submission </w:t>
      </w:r>
      <w:r>
        <w:t xml:space="preserve">its regulatory proposal, to ensure that </w:t>
      </w:r>
      <w:r w:rsidRPr="003B504B">
        <w:t xml:space="preserve">we have </w:t>
      </w:r>
      <w:r>
        <w:t>fully taken into account all views.</w:t>
      </w:r>
      <w:r w:rsidRPr="003B504B">
        <w:t xml:space="preserve"> </w:t>
      </w:r>
    </w:p>
    <w:p w:rsidR="00360F32" w:rsidRPr="00274C7E" w:rsidRDefault="00360F32" w:rsidP="00360F32">
      <w:pPr>
        <w:pStyle w:val="Heading2"/>
      </w:pPr>
      <w:bookmarkStart w:id="273" w:name="_Ref399959548"/>
      <w:bookmarkStart w:id="274" w:name="_Toc404437109"/>
      <w:bookmarkStart w:id="275" w:name="_Toc411428074"/>
      <w:bookmarkStart w:id="276" w:name="_Toc417917028"/>
      <w:r w:rsidRPr="00274C7E">
        <w:t>Better Regulation program</w:t>
      </w:r>
      <w:bookmarkEnd w:id="273"/>
      <w:bookmarkEnd w:id="274"/>
      <w:bookmarkEnd w:id="275"/>
      <w:bookmarkEnd w:id="276"/>
    </w:p>
    <w:p w:rsidR="00BA1E03" w:rsidRDefault="00BA1E03" w:rsidP="00BA1E03">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81"/>
      </w:r>
      <w:r>
        <w:t xml:space="preserve"> The Better Regulation program was designed to be an inclusive process that provided an opportunity for all stakeholders to be engaged and provide their input.</w:t>
      </w:r>
      <w:r w:rsidRPr="00BF5C86">
        <w:rPr>
          <w:rStyle w:val="FootnoteReference"/>
        </w:rPr>
        <w:footnoteReference w:id="82"/>
      </w:r>
      <w:r>
        <w:t xml:space="preserve"> </w:t>
      </w:r>
    </w:p>
    <w:p w:rsidR="00495D6F" w:rsidRDefault="00495D6F" w:rsidP="00495D6F">
      <w:bookmarkStart w:id="277" w:name="_Toc404437111"/>
      <w:bookmarkStart w:id="278" w:name="_Toc411428076"/>
      <w:r>
        <w:t>The resulting guidelines support our decision making framework as set out in section 16 of the NEL.</w:t>
      </w:r>
      <w:r w:rsidRPr="00191E12">
        <w:t xml:space="preserve"> </w:t>
      </w:r>
      <w:r>
        <w:t xml:space="preserve">Our consultation and engagement gives us confidence the approaches set out in the guidelines, which we have applied in this decision, will result in decisions that will or are likely to contribute to the achievement of the NEO. </w:t>
      </w:r>
      <w:r w:rsidRPr="00583AB7">
        <w:t xml:space="preserve">Our </w:t>
      </w:r>
      <w:r>
        <w:t xml:space="preserve">Better Regulation </w:t>
      </w:r>
      <w:r w:rsidRPr="00583AB7">
        <w:t xml:space="preserve">guidelines are </w:t>
      </w:r>
      <w:r>
        <w:t>available on our website and include:</w:t>
      </w:r>
      <w:r>
        <w:rPr>
          <w:rStyle w:val="FootnoteReference"/>
        </w:rPr>
        <w:footnoteReference w:id="83"/>
      </w:r>
    </w:p>
    <w:p w:rsidR="00495D6F" w:rsidRDefault="00495D6F" w:rsidP="00495D6F">
      <w:pPr>
        <w:pStyle w:val="AERbulletlistfirststyle"/>
      </w:pPr>
      <w:r>
        <w:t>Expenditure Forecast Assessment Guideline</w:t>
      </w:r>
    </w:p>
    <w:p w:rsidR="00495D6F" w:rsidRDefault="00495D6F" w:rsidP="00495D6F">
      <w:pPr>
        <w:pStyle w:val="AERbulletlistfirststyle"/>
      </w:pPr>
      <w:r>
        <w:t>Expenditure Incentives Guideline</w:t>
      </w:r>
    </w:p>
    <w:p w:rsidR="00495D6F" w:rsidRDefault="00495D6F" w:rsidP="00495D6F">
      <w:pPr>
        <w:pStyle w:val="AERbulletlistfirststyle"/>
      </w:pPr>
      <w:r>
        <w:t>Rate of Return Guideline</w:t>
      </w:r>
    </w:p>
    <w:p w:rsidR="00495D6F" w:rsidRDefault="00495D6F" w:rsidP="00495D6F">
      <w:pPr>
        <w:pStyle w:val="AERbulletlistfirststyle"/>
      </w:pPr>
      <w:r>
        <w:t>Consumer Engagement Guideline</w:t>
      </w:r>
    </w:p>
    <w:p w:rsidR="00495D6F" w:rsidRDefault="00495D6F" w:rsidP="00495D6F">
      <w:pPr>
        <w:pStyle w:val="AERbulletlistfirststyle"/>
      </w:pPr>
      <w:r>
        <w:t>Shared Assets Guideline</w:t>
      </w:r>
    </w:p>
    <w:p w:rsidR="00495D6F" w:rsidRDefault="00495D6F" w:rsidP="00495D6F">
      <w:pPr>
        <w:pStyle w:val="AERbulletlistfirststyle"/>
      </w:pPr>
      <w:r>
        <w:t>Confidentiality Guideline.</w:t>
      </w:r>
    </w:p>
    <w:p w:rsidR="00360F32" w:rsidRDefault="00360F32" w:rsidP="00495D6F">
      <w:pPr>
        <w:pStyle w:val="Heading2"/>
      </w:pPr>
      <w:bookmarkStart w:id="279" w:name="_Toc417917029"/>
      <w:r>
        <w:t>Our e</w:t>
      </w:r>
      <w:r w:rsidRPr="004D5416">
        <w:t>ngagement</w:t>
      </w:r>
      <w:bookmarkEnd w:id="277"/>
      <w:r>
        <w:t xml:space="preserve"> during the decision making process</w:t>
      </w:r>
      <w:bookmarkEnd w:id="278"/>
      <w:bookmarkEnd w:id="279"/>
    </w:p>
    <w:p w:rsidR="00360F32" w:rsidRDefault="00360F32" w:rsidP="00117E02">
      <w:pPr>
        <w:numPr>
          <w:ilvl w:val="0"/>
          <w:numId w:val="24"/>
        </w:numPr>
      </w:pPr>
      <w:r>
        <w:t>Effective consultation with stakeholders is essential to the performance of our regulatory functions. In summary, throughout the review process, we engaged with stakeholders by:</w:t>
      </w:r>
    </w:p>
    <w:p w:rsidR="00360F32" w:rsidRPr="008F3A0D" w:rsidRDefault="00360F32" w:rsidP="00360F32">
      <w:pPr>
        <w:pStyle w:val="AERbulletlistfirststyle"/>
      </w:pPr>
      <w:proofErr w:type="gramStart"/>
      <w:r>
        <w:t>holding</w:t>
      </w:r>
      <w:proofErr w:type="gramEnd"/>
      <w:r>
        <w:t xml:space="preserve"> monthly meetings with </w:t>
      </w:r>
      <w:r w:rsidR="00E75894">
        <w:t xml:space="preserve">Endeavour Energy </w:t>
      </w:r>
      <w:r>
        <w:t>to discuss issues relevant to this decision. These meetings commence</w:t>
      </w:r>
      <w:r w:rsidRPr="008F3A0D">
        <w:t xml:space="preserve">d </w:t>
      </w:r>
      <w:r w:rsidRPr="008F3A0D">
        <w:rPr>
          <w:rStyle w:val="AERbody"/>
        </w:rPr>
        <w:t>in October 2011</w:t>
      </w:r>
      <w:r w:rsidRPr="008F3A0D">
        <w:t xml:space="preserve"> to discuss the framework and approach. The meetings continued throughout our decision making process.</w:t>
      </w:r>
    </w:p>
    <w:p w:rsidR="00360F32" w:rsidRPr="008F3A0D" w:rsidRDefault="00360F32" w:rsidP="00360F32">
      <w:pPr>
        <w:pStyle w:val="AERbulletlistfirststyle"/>
      </w:pPr>
      <w:r>
        <w:t>establishing the Consumer Challenge Panel (CCP)</w:t>
      </w:r>
      <w:r w:rsidRPr="008F3A0D">
        <w:t xml:space="preserve"> to assist us to make better regulatory determinations by providing input on issues of importance to consumers</w:t>
      </w:r>
    </w:p>
    <w:p w:rsidR="00360F32" w:rsidRPr="008F3A0D" w:rsidRDefault="00360F32" w:rsidP="00360F32">
      <w:pPr>
        <w:pStyle w:val="AERbulletlistfirststyle"/>
      </w:pPr>
      <w:r>
        <w:t xml:space="preserve">considering </w:t>
      </w:r>
      <w:r w:rsidR="003E7214">
        <w:t>21</w:t>
      </w:r>
      <w:r w:rsidRPr="008F3A0D">
        <w:t xml:space="preserve"> submissions on </w:t>
      </w:r>
      <w:r w:rsidR="00E75894">
        <w:t>Endeavour Energy</w:t>
      </w:r>
      <w:r w:rsidR="00E75894" w:rsidRPr="008F3A0D">
        <w:t xml:space="preserve">'s </w:t>
      </w:r>
      <w:r w:rsidRPr="008F3A0D">
        <w:t>regulatory proposal</w:t>
      </w:r>
      <w:r>
        <w:t xml:space="preserve"> and </w:t>
      </w:r>
      <w:r w:rsidR="003E7214">
        <w:t xml:space="preserve">30 </w:t>
      </w:r>
      <w:r>
        <w:t xml:space="preserve">submissions on </w:t>
      </w:r>
      <w:r w:rsidR="00E75894">
        <w:t xml:space="preserve">Endeavour Energy's </w:t>
      </w:r>
      <w:r>
        <w:t>revised proposal</w:t>
      </w:r>
    </w:p>
    <w:p w:rsidR="00360F32" w:rsidRDefault="00360F32" w:rsidP="00360F32">
      <w:pPr>
        <w:pStyle w:val="AERbulletlistfirststyle"/>
      </w:pPr>
      <w:r>
        <w:t xml:space="preserve">publishing an issues paper to help stakeholders engage with, and meaningfully respond to issues in </w:t>
      </w:r>
      <w:r w:rsidR="00E75894">
        <w:t xml:space="preserve">Endeavour Energy's </w:t>
      </w:r>
      <w:r>
        <w:t>regulatory proposal that we considered material to consumers</w:t>
      </w:r>
    </w:p>
    <w:p w:rsidR="00360F32" w:rsidRPr="008F3A0D" w:rsidRDefault="00360F32" w:rsidP="00360F32">
      <w:pPr>
        <w:pStyle w:val="AERbulletlistfirststyle"/>
      </w:pPr>
      <w:r>
        <w:t>publishing a consultation paper on a</w:t>
      </w:r>
      <w:r w:rsidRPr="00794D62">
        <w:t>lternative mechanism for the recovery of the residual metering capital costs</w:t>
      </w:r>
      <w:r>
        <w:t xml:space="preserve"> to seek stakeholder views</w:t>
      </w:r>
    </w:p>
    <w:p w:rsidR="00360F32" w:rsidRPr="008F3A0D" w:rsidRDefault="00360F32" w:rsidP="00360F32">
      <w:pPr>
        <w:pStyle w:val="AERbulletlistfirststyle"/>
      </w:pPr>
      <w:r w:rsidRPr="00583AB7">
        <w:t>hosting a public forum</w:t>
      </w:r>
      <w:r>
        <w:t>s</w:t>
      </w:r>
      <w:r w:rsidRPr="00583AB7">
        <w:t xml:space="preserve"> in Sydney on 10 July 2014</w:t>
      </w:r>
      <w:r>
        <w:t xml:space="preserve"> and 8 December 2014</w:t>
      </w:r>
      <w:r w:rsidRPr="00583AB7">
        <w:t xml:space="preserve"> so stakeholders could question the AER, the CCP and </w:t>
      </w:r>
      <w:r w:rsidR="00E75894">
        <w:t>Endeavour Energy</w:t>
      </w:r>
      <w:r w:rsidR="00E75894" w:rsidRPr="00583AB7">
        <w:t xml:space="preserve"> </w:t>
      </w:r>
      <w:r w:rsidRPr="00583AB7">
        <w:t xml:space="preserve">on </w:t>
      </w:r>
      <w:r>
        <w:t xml:space="preserve">the </w:t>
      </w:r>
      <w:r w:rsidRPr="00583AB7">
        <w:t>regulatory pr</w:t>
      </w:r>
      <w:r>
        <w:t>oposal and our draft decision</w:t>
      </w:r>
    </w:p>
    <w:p w:rsidR="00360F32" w:rsidRPr="008F3A0D" w:rsidRDefault="00360F32" w:rsidP="00360F32">
      <w:pPr>
        <w:pStyle w:val="AERbulletlistfirststyle"/>
      </w:pPr>
      <w:r>
        <w:t xml:space="preserve">having </w:t>
      </w:r>
      <w:r w:rsidR="00E75894">
        <w:t xml:space="preserve">Endeavour Energy </w:t>
      </w:r>
      <w:r>
        <w:t xml:space="preserve">present its revenue proposal to the AER Board </w:t>
      </w:r>
      <w:r w:rsidRPr="008F3A0D">
        <w:t xml:space="preserve">on </w:t>
      </w:r>
      <w:r w:rsidRPr="008F3A0D">
        <w:rPr>
          <w:rStyle w:val="AERbody"/>
        </w:rPr>
        <w:t>1 August</w:t>
      </w:r>
      <w:r w:rsidRPr="008F3A0D">
        <w:t xml:space="preserve"> 2014, so questions could be raised and key issues explained</w:t>
      </w:r>
    </w:p>
    <w:p w:rsidR="00360F32" w:rsidRPr="008F3A0D" w:rsidRDefault="00360F32" w:rsidP="00360F32">
      <w:pPr>
        <w:pStyle w:val="AERbulletlistfirststyle"/>
      </w:pPr>
      <w:r>
        <w:t xml:space="preserve">having the </w:t>
      </w:r>
      <w:r w:rsidRPr="008F3A0D">
        <w:t xml:space="preserve">CCP present its advice in response to </w:t>
      </w:r>
      <w:r w:rsidR="00E75894">
        <w:t>Endeavour Energy</w:t>
      </w:r>
      <w:r w:rsidR="00E75894" w:rsidRPr="008F3A0D">
        <w:t xml:space="preserve">'s </w:t>
      </w:r>
      <w:r w:rsidRPr="008F3A0D">
        <w:t xml:space="preserve">regulatory proposal </w:t>
      </w:r>
      <w:r>
        <w:t xml:space="preserve">and revised proposal </w:t>
      </w:r>
      <w:r w:rsidRPr="008F3A0D">
        <w:t>to the AER Board</w:t>
      </w:r>
    </w:p>
    <w:p w:rsidR="00360F32" w:rsidRPr="008F3A0D" w:rsidRDefault="00360F32" w:rsidP="00360F32">
      <w:pPr>
        <w:pStyle w:val="AERbulletlistfirststyle"/>
      </w:pPr>
      <w:r>
        <w:t xml:space="preserve">convening </w:t>
      </w:r>
      <w:r w:rsidRPr="008F3A0D">
        <w:t>monthly meetings between the CCP and AER staff to discuss key issues</w:t>
      </w:r>
    </w:p>
    <w:p w:rsidR="00360F32" w:rsidRPr="008F3A0D" w:rsidRDefault="00360F32" w:rsidP="00360F32">
      <w:pPr>
        <w:pStyle w:val="AERbulletlistfirststyle"/>
      </w:pPr>
      <w:r>
        <w:t>ongoing formal and informal jurisdictional consumer forums from February 2012</w:t>
      </w:r>
    </w:p>
    <w:p w:rsidR="00360F32" w:rsidRPr="008F3A0D" w:rsidRDefault="00360F32" w:rsidP="00360F32">
      <w:pPr>
        <w:pStyle w:val="AERbulletlistfirststyle"/>
      </w:pPr>
      <w:r>
        <w:rPr>
          <w:rStyle w:val="AERbody"/>
        </w:rPr>
        <w:t xml:space="preserve">consulting on benchmarking measures prepared by </w:t>
      </w:r>
      <w:r w:rsidRPr="008F3A0D">
        <w:rPr>
          <w:rStyle w:val="AERbody"/>
        </w:rPr>
        <w:t xml:space="preserve">us and Economic Insights, jointly relevant to the preparation of the annual benchmarking report and our assessment of </w:t>
      </w:r>
      <w:r w:rsidR="00E75894">
        <w:rPr>
          <w:rStyle w:val="AERbody"/>
        </w:rPr>
        <w:t>Endeavour Energy</w:t>
      </w:r>
      <w:r w:rsidR="00E75894" w:rsidRPr="008F3A0D">
        <w:rPr>
          <w:rStyle w:val="AERbody"/>
        </w:rPr>
        <w:t xml:space="preserve">'s </w:t>
      </w:r>
      <w:r w:rsidRPr="008F3A0D">
        <w:rPr>
          <w:rStyle w:val="AERbody"/>
        </w:rPr>
        <w:t>regulatory proposal</w:t>
      </w:r>
    </w:p>
    <w:p w:rsidR="00360F32" w:rsidRPr="008F3A0D" w:rsidRDefault="00360F32" w:rsidP="00360F32">
      <w:pPr>
        <w:pStyle w:val="AERbulletlistfirststyle"/>
        <w:rPr>
          <w:rStyle w:val="AERbody"/>
        </w:rPr>
      </w:pPr>
      <w:proofErr w:type="gramStart"/>
      <w:r>
        <w:t>having</w:t>
      </w:r>
      <w:proofErr w:type="gramEnd"/>
      <w:r>
        <w:t xml:space="preserve"> ongoing discussions with </w:t>
      </w:r>
      <w:r w:rsidR="00E75894">
        <w:t xml:space="preserve">Endeavour Energy </w:t>
      </w:r>
      <w:r>
        <w:t>about its regulatory proposal</w:t>
      </w:r>
      <w:r w:rsidRPr="008F3A0D">
        <w:t xml:space="preserve">. In particular, our consultants and AER staff met with </w:t>
      </w:r>
      <w:r w:rsidR="00E75894">
        <w:t>Endeavour Energy</w:t>
      </w:r>
      <w:r w:rsidR="00E75894" w:rsidRPr="008F3A0D">
        <w:t xml:space="preserve"> </w:t>
      </w:r>
      <w:r w:rsidRPr="008F3A0D">
        <w:t xml:space="preserve">to discuss operating expenditure, augmentation capital expenditure, and replacement capital expenditure. During this process, AER staff and our consultants </w:t>
      </w:r>
      <w:r w:rsidRPr="008F3A0D">
        <w:rPr>
          <w:rStyle w:val="AERbody"/>
        </w:rPr>
        <w:t xml:space="preserve">considered over </w:t>
      </w:r>
      <w:r>
        <w:rPr>
          <w:rStyle w:val="AERbody"/>
        </w:rPr>
        <w:t>60</w:t>
      </w:r>
      <w:r w:rsidRPr="008F3A0D">
        <w:rPr>
          <w:rStyle w:val="AERbody"/>
        </w:rPr>
        <w:t xml:space="preserve"> responses to information requested from </w:t>
      </w:r>
      <w:r w:rsidR="00E75894">
        <w:rPr>
          <w:rStyle w:val="AERbody"/>
        </w:rPr>
        <w:t>Endeavour Energy</w:t>
      </w:r>
      <w:r w:rsidRPr="008F3A0D">
        <w:rPr>
          <w:rStyle w:val="AERbody"/>
        </w:rPr>
        <w:t>.</w:t>
      </w:r>
    </w:p>
    <w:p w:rsidR="00360F32" w:rsidRPr="008F3A0D" w:rsidRDefault="00360F32" w:rsidP="00360F32">
      <w:pPr>
        <w:pStyle w:val="AERbulletlistfirststyle"/>
        <w:rPr>
          <w:rStyle w:val="AERbody"/>
        </w:rPr>
      </w:pPr>
      <w:r>
        <w:rPr>
          <w:rStyle w:val="AERbody"/>
        </w:rPr>
        <w:t xml:space="preserve">hosting a workshop on treatment of metering exit fees on 11 September 2014 </w:t>
      </w:r>
    </w:p>
    <w:p w:rsidR="00360F32" w:rsidRPr="008F3A0D" w:rsidRDefault="00360F32" w:rsidP="00360F32">
      <w:pPr>
        <w:pStyle w:val="AERbulletlistfirststyle"/>
        <w:rPr>
          <w:rStyle w:val="AERbody"/>
        </w:rPr>
      </w:pPr>
      <w:proofErr w:type="gramStart"/>
      <w:r>
        <w:rPr>
          <w:rStyle w:val="AERbody"/>
        </w:rPr>
        <w:t>meeting</w:t>
      </w:r>
      <w:proofErr w:type="gramEnd"/>
      <w:r>
        <w:rPr>
          <w:rStyle w:val="AERbody"/>
        </w:rPr>
        <w:t xml:space="preserve"> with the NSW Public Interest Advocacy Centre and</w:t>
      </w:r>
      <w:r w:rsidRPr="008F3A0D">
        <w:rPr>
          <w:rStyle w:val="AERbody"/>
        </w:rPr>
        <w:t xml:space="preserve"> other stakeholders to discuss their submissions in detail.</w:t>
      </w:r>
    </w:p>
    <w:p w:rsidR="00360F32" w:rsidRPr="001767F0" w:rsidRDefault="00360F32" w:rsidP="00360F32">
      <w:r w:rsidRPr="001767F0">
        <w:t xml:space="preserve">We </w:t>
      </w:r>
      <w:r>
        <w:t>i</w:t>
      </w:r>
      <w:r w:rsidRPr="001767F0">
        <w:t xml:space="preserve">nvestigated </w:t>
      </w:r>
      <w:r w:rsidR="00E75894">
        <w:t>Endeavour Energy</w:t>
      </w:r>
      <w:r w:rsidR="00E75894" w:rsidRPr="001767F0">
        <w:t xml:space="preserve">'s </w:t>
      </w:r>
      <w:r w:rsidRPr="001767F0">
        <w:t xml:space="preserve">proposal by engaging with </w:t>
      </w:r>
      <w:r>
        <w:t xml:space="preserve">our consultants and visiting </w:t>
      </w:r>
      <w:r w:rsidR="00E75894">
        <w:t xml:space="preserve">Endeavour Energy </w:t>
      </w:r>
      <w:r>
        <w:t>at its offices</w:t>
      </w:r>
      <w:r w:rsidRPr="001767F0">
        <w:t xml:space="preserve">. AER staff, including our technical advisors and </w:t>
      </w:r>
      <w:proofErr w:type="spellStart"/>
      <w:r w:rsidRPr="001767F0">
        <w:t>EMCa</w:t>
      </w:r>
      <w:proofErr w:type="spellEnd"/>
      <w:r w:rsidRPr="001767F0">
        <w:t xml:space="preserve"> directly engaged with </w:t>
      </w:r>
      <w:r w:rsidR="00E75894">
        <w:t xml:space="preserve">Endeavour Energy </w:t>
      </w:r>
      <w:r>
        <w:t>staff</w:t>
      </w:r>
      <w:r w:rsidRPr="001767F0">
        <w:t xml:space="preserve"> involved in developing and managing the network, and tested material and information which underpins </w:t>
      </w:r>
      <w:r>
        <w:t>its</w:t>
      </w:r>
      <w:r w:rsidRPr="001767F0">
        <w:t xml:space="preserve"> revenue proposal</w:t>
      </w:r>
      <w:r>
        <w:t>.</w:t>
      </w:r>
    </w:p>
    <w:p w:rsidR="00360F32" w:rsidRDefault="00360F32" w:rsidP="00117E02">
      <w:pPr>
        <w:numPr>
          <w:ilvl w:val="0"/>
          <w:numId w:val="24"/>
        </w:numPr>
      </w:pPr>
      <w:r w:rsidRPr="00AD7140">
        <w:t xml:space="preserve">A list of all submissions is at Appendix </w:t>
      </w:r>
      <w:r w:rsidR="0054538A">
        <w:t>B</w:t>
      </w:r>
      <w:r w:rsidRPr="00AD7140">
        <w:t>.</w:t>
      </w:r>
    </w:p>
    <w:p w:rsidR="00360F32" w:rsidRPr="00E6612F" w:rsidRDefault="00360F32" w:rsidP="00360F32">
      <w:pPr>
        <w:pStyle w:val="Heading1"/>
      </w:pPr>
      <w:bookmarkStart w:id="280" w:name="_Toc415837365"/>
      <w:bookmarkStart w:id="281" w:name="_Toc417917030"/>
      <w:r w:rsidRPr="00E6612F">
        <w:t>Next steps</w:t>
      </w:r>
      <w:bookmarkEnd w:id="280"/>
      <w:bookmarkEnd w:id="281"/>
    </w:p>
    <w:p w:rsidR="00360F32" w:rsidRDefault="00360F32" w:rsidP="00360F32">
      <w:r>
        <w:t xml:space="preserve">Following publication of this final decision, </w:t>
      </w:r>
      <w:r w:rsidR="00E75894">
        <w:t xml:space="preserve">Endeavour Energy </w:t>
      </w:r>
      <w:r>
        <w:t>will submit a 2015–16 pricing proposal. This pricing proposal will incorporate the revenues approved in this final decision in</w:t>
      </w:r>
      <w:r w:rsidR="005E3371">
        <w:t>to</w:t>
      </w:r>
      <w:r>
        <w:t xml:space="preserve"> network prices from 1 July 2015.</w:t>
      </w:r>
    </w:p>
    <w:p w:rsidR="00360F32" w:rsidRPr="007B7B60" w:rsidRDefault="00360F32" w:rsidP="00360F32">
      <w:r>
        <w:t xml:space="preserve">As this decision is a reviewable regulatory decision under the NEL, </w:t>
      </w:r>
      <w:r w:rsidR="00E75894">
        <w:t xml:space="preserve">Endeavour Energy </w:t>
      </w:r>
      <w:r w:rsidR="005E3371">
        <w:t>has the right</w:t>
      </w:r>
      <w:r>
        <w:t xml:space="preserve"> to the Australian Competition Tribunal for a review of the final decision. </w:t>
      </w:r>
      <w:r w:rsidR="00E75894">
        <w:t xml:space="preserve">Endeavour Energy </w:t>
      </w:r>
      <w:r>
        <w:t>may also apply for a review of the decision in the Federal Court.</w:t>
      </w:r>
    </w:p>
    <w:p w:rsidR="008173B4" w:rsidRDefault="008173B4">
      <w:pPr>
        <w:spacing w:line="240" w:lineRule="auto"/>
        <w:rPr>
          <w:sz w:val="20"/>
          <w:szCs w:val="20"/>
        </w:rPr>
      </w:pPr>
      <w:r>
        <w:br w:type="page"/>
      </w:r>
    </w:p>
    <w:p w:rsidR="00033E5B" w:rsidRDefault="00033E5B" w:rsidP="00117E02">
      <w:pPr>
        <w:pStyle w:val="UnnumberedHeading"/>
        <w:numPr>
          <w:ilvl w:val="0"/>
          <w:numId w:val="23"/>
        </w:numPr>
      </w:pPr>
      <w:bookmarkStart w:id="282" w:name="_Toc417917031"/>
      <w:r>
        <w:t xml:space="preserve">Appendix A </w:t>
      </w:r>
      <w:r w:rsidRPr="00ED755A">
        <w:t>–</w:t>
      </w:r>
      <w:r>
        <w:t xml:space="preserve"> Constituent decisions</w:t>
      </w:r>
      <w:bookmarkEnd w:id="282"/>
    </w:p>
    <w:p w:rsidR="00033E5B" w:rsidRDefault="00033E5B" w:rsidP="00117E02">
      <w:pPr>
        <w:numPr>
          <w:ilvl w:val="0"/>
          <w:numId w:val="24"/>
        </w:numPr>
      </w:pPr>
      <w:r>
        <w:t xml:space="preserve">Our </w:t>
      </w:r>
      <w:r w:rsidR="00CF2C0C">
        <w:t xml:space="preserve">final </w:t>
      </w:r>
      <w:r>
        <w:t>distribution determination is predicated on the following decisions (constituent decision):</w:t>
      </w:r>
      <w:r>
        <w:rPr>
          <w:rStyle w:val="FootnoteReference"/>
        </w:rPr>
        <w:footnoteReference w:id="84"/>
      </w:r>
    </w:p>
    <w:tbl>
      <w:tblPr>
        <w:tblStyle w:val="AERtable-text0"/>
        <w:tblW w:w="0" w:type="auto"/>
        <w:tblLook w:val="04A0" w:firstRow="1" w:lastRow="0" w:firstColumn="1" w:lastColumn="0" w:noHBand="0" w:noVBand="1"/>
      </w:tblPr>
      <w:tblGrid>
        <w:gridCol w:w="8693"/>
      </w:tblGrid>
      <w:tr w:rsidR="00033E5B" w:rsidTr="000D5E6B">
        <w:trPr>
          <w:cnfStyle w:val="100000000000" w:firstRow="1" w:lastRow="0" w:firstColumn="0" w:lastColumn="0" w:oddVBand="0" w:evenVBand="0" w:oddHBand="0" w:evenHBand="0" w:firstRowFirstColumn="0" w:firstRowLastColumn="0" w:lastRowFirstColumn="0" w:lastRowLastColumn="0"/>
        </w:trPr>
        <w:tc>
          <w:tcPr>
            <w:tcW w:w="9242" w:type="dxa"/>
          </w:tcPr>
          <w:p w:rsidR="00033E5B" w:rsidRPr="0046153F" w:rsidRDefault="00033E5B" w:rsidP="00117E02">
            <w:pPr>
              <w:numPr>
                <w:ilvl w:val="0"/>
                <w:numId w:val="24"/>
              </w:numPr>
            </w:pPr>
            <w:r>
              <w:t>Constituent decision</w:t>
            </w:r>
          </w:p>
        </w:tc>
      </w:tr>
      <w:tr w:rsidR="00033E5B" w:rsidRPr="00185712" w:rsidTr="000D5E6B">
        <w:trPr>
          <w:trHeight w:val="2649"/>
        </w:trPr>
        <w:tc>
          <w:tcPr>
            <w:tcW w:w="9242" w:type="dxa"/>
          </w:tcPr>
          <w:p w:rsidR="00033E5B" w:rsidRPr="00185712" w:rsidRDefault="00033E5B" w:rsidP="00117E02">
            <w:pPr>
              <w:numPr>
                <w:ilvl w:val="0"/>
                <w:numId w:val="24"/>
              </w:numPr>
            </w:pPr>
            <w:r>
              <w:t>In accordance with clause 6.12.1(1) of the NER, the following classification of services will apply to Endeavour Energy for the 2015</w:t>
            </w:r>
            <w:r w:rsidRPr="0046153F">
              <w:t>–</w:t>
            </w:r>
            <w:r>
              <w:t xml:space="preserve">19 regulatory control period </w:t>
            </w:r>
            <w:r w:rsidRPr="00185712">
              <w:t>(listed by service group):</w:t>
            </w:r>
          </w:p>
          <w:p w:rsidR="00033E5B" w:rsidRPr="00033E5B" w:rsidRDefault="00033E5B" w:rsidP="00033E5B">
            <w:pPr>
              <w:pStyle w:val="AERbulletlistfirststyle"/>
            </w:pPr>
            <w:r w:rsidRPr="00185712">
              <w:t xml:space="preserve">Standard control services include network </w:t>
            </w:r>
            <w:r w:rsidRPr="00033E5B">
              <w:t>services, augmentation of the network, type 5 and 6 unrecovered meter cost and type 7 metering services</w:t>
            </w:r>
          </w:p>
          <w:p w:rsidR="00033E5B" w:rsidRPr="00033E5B" w:rsidRDefault="00033E5B" w:rsidP="00033E5B">
            <w:pPr>
              <w:pStyle w:val="AERbulletlistfirststyle"/>
            </w:pPr>
            <w:r w:rsidRPr="00185712">
              <w:t xml:space="preserve">Alternative </w:t>
            </w:r>
            <w:r w:rsidRPr="00033E5B">
              <w:t>control services include metering types 5 and 6 provision, maintenance, reading, data services and transfer administration services, ancillary network services and public lighting</w:t>
            </w:r>
          </w:p>
          <w:p w:rsidR="00033E5B" w:rsidRPr="00033E5B" w:rsidRDefault="00033E5B" w:rsidP="00033E5B">
            <w:pPr>
              <w:pStyle w:val="AERbulletlistfirststyle"/>
            </w:pPr>
            <w:r w:rsidRPr="00185712">
              <w:t>Unregulated services includes type 1 to 4 metering services, metering types 5 and 6 installation services, network premises connections, net</w:t>
            </w:r>
            <w:r w:rsidRPr="00033E5B">
              <w:t>work extensions.</w:t>
            </w:r>
          </w:p>
        </w:tc>
      </w:tr>
      <w:tr w:rsidR="00033E5B"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46153F" w:rsidRDefault="00033E5B" w:rsidP="00CF2C0C">
            <w:pPr>
              <w:numPr>
                <w:ilvl w:val="0"/>
                <w:numId w:val="24"/>
              </w:numPr>
            </w:pPr>
            <w:r>
              <w:t>In accordance with clause 6.12.1(2)(</w:t>
            </w:r>
            <w:proofErr w:type="spellStart"/>
            <w:r>
              <w:t>i</w:t>
            </w:r>
            <w:proofErr w:type="spellEnd"/>
            <w:r>
              <w:t>) of the NER, the AER does not</w:t>
            </w:r>
            <w:r w:rsidRPr="0046153F">
              <w:t xml:space="preserve"> approve the annual revenue requirement set out in </w:t>
            </w:r>
            <w:r>
              <w:t>Endeavour Energy</w:t>
            </w:r>
            <w:r w:rsidRPr="0046153F">
              <w:t xml:space="preserve">'s building block proposal. Our </w:t>
            </w:r>
            <w:r w:rsidR="00CF2C0C">
              <w:t>final</w:t>
            </w:r>
            <w:r w:rsidR="00CF2C0C" w:rsidRPr="0046153F">
              <w:t xml:space="preserve"> </w:t>
            </w:r>
            <w:r w:rsidRPr="0046153F">
              <w:t xml:space="preserve">decision on </w:t>
            </w:r>
            <w:r>
              <w:t>Endeavour Energy</w:t>
            </w:r>
            <w:r w:rsidRPr="0046153F">
              <w:t xml:space="preserve">'s annual revenue requirement for each year of the 2014–19 </w:t>
            </w:r>
            <w:proofErr w:type="gramStart"/>
            <w:r w:rsidRPr="0046153F">
              <w:t>period</w:t>
            </w:r>
            <w:proofErr w:type="gramEnd"/>
            <w:r w:rsidRPr="0046153F">
              <w:t xml:space="preserve"> is set out in Attachment 1 of the </w:t>
            </w:r>
            <w:r w:rsidR="00CF2C0C">
              <w:t>final</w:t>
            </w:r>
            <w:r w:rsidR="00CF2C0C" w:rsidRPr="0046153F">
              <w:t xml:space="preserve"> </w:t>
            </w:r>
            <w:r w:rsidRPr="0046153F">
              <w:t>decision.</w:t>
            </w:r>
          </w:p>
        </w:tc>
      </w:tr>
      <w:tr w:rsidR="00033E5B" w:rsidTr="000D5E6B">
        <w:tc>
          <w:tcPr>
            <w:tcW w:w="9242" w:type="dxa"/>
          </w:tcPr>
          <w:p w:rsidR="00033E5B" w:rsidRPr="0046153F" w:rsidRDefault="00033E5B" w:rsidP="00117E02">
            <w:pPr>
              <w:numPr>
                <w:ilvl w:val="0"/>
                <w:numId w:val="24"/>
              </w:numPr>
            </w:pPr>
            <w:r>
              <w:t>In accordance with clause 6.12.1(2</w:t>
            </w:r>
            <w:proofErr w:type="gramStart"/>
            <w:r>
              <w:t>)(</w:t>
            </w:r>
            <w:proofErr w:type="gramEnd"/>
            <w:r>
              <w:t xml:space="preserve">ii) of the NER, </w:t>
            </w:r>
            <w:r w:rsidRPr="0046153F">
              <w:t xml:space="preserve">the AER approves </w:t>
            </w:r>
            <w:r>
              <w:t>Endeavour Energy</w:t>
            </w:r>
            <w:r w:rsidRPr="0046153F">
              <w:t xml:space="preserve">'s proposal that the subsequent regulatory control period will commence on 1 July 2015. Also in accordance with clause 6.12.1(2)(ii) of the NER, the AER approves </w:t>
            </w:r>
            <w:r>
              <w:t>Endeavour Energy</w:t>
            </w:r>
            <w:r w:rsidRPr="0046153F">
              <w:t xml:space="preserve">'s proposal that the length of the subsequent regulatory control period will be four years from 1 July 2015 to 30 June 2019. </w:t>
            </w:r>
          </w:p>
        </w:tc>
      </w:tr>
      <w:tr w:rsidR="00033E5B"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46153F" w:rsidRDefault="00033E5B" w:rsidP="00CF2C0C">
            <w:pPr>
              <w:numPr>
                <w:ilvl w:val="0"/>
                <w:numId w:val="24"/>
              </w:numPr>
            </w:pPr>
            <w:r>
              <w:t xml:space="preserve">In accordance with clause 6.12.1(3)(ii) and acting in accordance with clause 6.5.7(c), </w:t>
            </w:r>
            <w:r w:rsidRPr="0046153F">
              <w:t>the AER accept</w:t>
            </w:r>
            <w:r w:rsidR="00D849F5">
              <w:t>s</w:t>
            </w:r>
            <w:r w:rsidRPr="0046153F">
              <w:t xml:space="preserve"> </w:t>
            </w:r>
            <w:r>
              <w:t>Endeavour Energy</w:t>
            </w:r>
            <w:r w:rsidRPr="0046153F">
              <w:t>'s proposed total forecast capital expenditure of $</w:t>
            </w:r>
            <w:r w:rsidR="00D849F5" w:rsidRPr="00D849F5">
              <w:t>1595.84</w:t>
            </w:r>
            <w:r w:rsidR="00D849F5">
              <w:t xml:space="preserve"> </w:t>
            </w:r>
            <w:r w:rsidRPr="0046153F">
              <w:t xml:space="preserve">million ($2013–14). This is discussed in Attachment 6 of the </w:t>
            </w:r>
            <w:r w:rsidR="00CF2C0C">
              <w:t>final</w:t>
            </w:r>
            <w:r w:rsidR="00CF2C0C" w:rsidRPr="0046153F">
              <w:t xml:space="preserve"> </w:t>
            </w:r>
            <w:r w:rsidRPr="0046153F">
              <w:t>decision.</w:t>
            </w:r>
          </w:p>
        </w:tc>
      </w:tr>
      <w:tr w:rsidR="00033E5B" w:rsidTr="000D5E6B">
        <w:tc>
          <w:tcPr>
            <w:tcW w:w="9242" w:type="dxa"/>
          </w:tcPr>
          <w:p w:rsidR="00033E5B" w:rsidRPr="0046153F" w:rsidRDefault="00033E5B" w:rsidP="005D2394">
            <w:pPr>
              <w:numPr>
                <w:ilvl w:val="0"/>
                <w:numId w:val="24"/>
              </w:numPr>
            </w:pPr>
            <w:r>
              <w:t xml:space="preserve">In accordance with clause 6.12.1(4)(ii) and acting in accordance with clause 6.5.6(d), </w:t>
            </w:r>
            <w:r w:rsidRPr="0046153F">
              <w:t xml:space="preserve">the AER does not accept </w:t>
            </w:r>
            <w:r>
              <w:t>Endeavour Energy</w:t>
            </w:r>
            <w:r w:rsidRPr="0046153F">
              <w:t xml:space="preserve">'s proposed total forecast operating expenditure </w:t>
            </w:r>
            <w:r w:rsidR="005D2394">
              <w:t xml:space="preserve">inclusive of debt raising costs </w:t>
            </w:r>
            <w:r w:rsidRPr="0046153F">
              <w:t>of $</w:t>
            </w:r>
            <w:r w:rsidR="005D2394" w:rsidRPr="005D2394">
              <w:t>1482.7</w:t>
            </w:r>
            <w:r w:rsidRPr="0046153F">
              <w:t xml:space="preserve"> million ($2013–14). Our substitute estimate of </w:t>
            </w:r>
            <w:r>
              <w:t>Endeavour Energy</w:t>
            </w:r>
            <w:r w:rsidRPr="0046153F">
              <w:t xml:space="preserve">'s total forecast </w:t>
            </w:r>
            <w:proofErr w:type="spellStart"/>
            <w:r w:rsidRPr="0046153F">
              <w:t>opex</w:t>
            </w:r>
            <w:proofErr w:type="spellEnd"/>
            <w:r w:rsidRPr="0046153F">
              <w:t xml:space="preserve"> for the 2014–19 period</w:t>
            </w:r>
            <w:r w:rsidR="00CF2C0C">
              <w:t xml:space="preserve"> </w:t>
            </w:r>
            <w:r w:rsidRPr="0046153F">
              <w:t>is $</w:t>
            </w:r>
            <w:proofErr w:type="gramStart"/>
            <w:r w:rsidR="005D2394">
              <w:t>1</w:t>
            </w:r>
            <w:r w:rsidR="005D2394" w:rsidRPr="005D2394">
              <w:t xml:space="preserve">233.5 </w:t>
            </w:r>
            <w:r w:rsidR="00CF2C0C">
              <w:t xml:space="preserve"> </w:t>
            </w:r>
            <w:r w:rsidRPr="0046153F">
              <w:t>million</w:t>
            </w:r>
            <w:proofErr w:type="gramEnd"/>
            <w:r w:rsidRPr="0046153F">
              <w:t xml:space="preserve"> ($2013–14). This is discussed in Attachment 7 of the draft decision.</w:t>
            </w:r>
          </w:p>
        </w:tc>
      </w:tr>
      <w:tr w:rsidR="00033E5B"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46153F" w:rsidRDefault="00033E5B" w:rsidP="00117E02">
            <w:pPr>
              <w:numPr>
                <w:ilvl w:val="0"/>
                <w:numId w:val="24"/>
              </w:numPr>
            </w:pPr>
            <w:r>
              <w:t>In accordance with clause 6.12.1(4A</w:t>
            </w:r>
            <w:proofErr w:type="gramStart"/>
            <w:r>
              <w:t>)(</w:t>
            </w:r>
            <w:proofErr w:type="spellStart"/>
            <w:proofErr w:type="gramEnd"/>
            <w:r>
              <w:t>i</w:t>
            </w:r>
            <w:proofErr w:type="spellEnd"/>
            <w:r>
              <w:t>) the AER determines</w:t>
            </w:r>
            <w:r w:rsidRPr="0046153F">
              <w:t xml:space="preserve"> that there are no contingent projects for the purposes of the distribution</w:t>
            </w:r>
            <w:r>
              <w:t xml:space="preserve"> determination.</w:t>
            </w:r>
          </w:p>
        </w:tc>
      </w:tr>
      <w:tr w:rsidR="00033E5B" w:rsidTr="000D5E6B">
        <w:tc>
          <w:tcPr>
            <w:tcW w:w="9242" w:type="dxa"/>
          </w:tcPr>
          <w:p w:rsidR="00033E5B" w:rsidRPr="0046153F" w:rsidRDefault="00033E5B" w:rsidP="00117E02">
            <w:pPr>
              <w:numPr>
                <w:ilvl w:val="0"/>
                <w:numId w:val="24"/>
              </w:numPr>
            </w:pPr>
            <w:r>
              <w:t xml:space="preserve">Endeavour Energy did not </w:t>
            </w:r>
            <w:r w:rsidRPr="0046153F">
              <w:t xml:space="preserve">include any proposed contingent projects in its regulatory proposal for the 2015–19 regulatory control </w:t>
            </w:r>
            <w:proofErr w:type="gramStart"/>
            <w:r w:rsidRPr="0046153F">
              <w:t>period</w:t>
            </w:r>
            <w:proofErr w:type="gramEnd"/>
            <w:r w:rsidRPr="0046153F">
              <w:t>. Therefore,</w:t>
            </w:r>
          </w:p>
          <w:p w:rsidR="00033E5B" w:rsidRPr="00033E5B" w:rsidRDefault="00033E5B" w:rsidP="00033E5B">
            <w:pPr>
              <w:pStyle w:val="AERbulletlistfirststyle"/>
            </w:pPr>
            <w:r>
              <w:t>i</w:t>
            </w:r>
            <w:r w:rsidRPr="00033E5B">
              <w:t>n accordance with clause 6.12.1(4A)(ii), the AER has not made an assessment of whether the capital expenditure proposed in the context of each contingent project reflects the capital expenditure criteria and factors</w:t>
            </w:r>
          </w:p>
          <w:p w:rsidR="00033E5B" w:rsidRPr="00033E5B" w:rsidRDefault="00033E5B" w:rsidP="00033E5B">
            <w:pPr>
              <w:pStyle w:val="AERbulletlistfirststyle"/>
            </w:pPr>
            <w:r w:rsidRPr="00C97F75">
              <w:t xml:space="preserve">in accordance with clause </w:t>
            </w:r>
            <w:r w:rsidRPr="00033E5B">
              <w:t>6.12.1(4A)(iii), the AER does not specify any trigger events in relation to contingent projects</w:t>
            </w:r>
          </w:p>
          <w:p w:rsidR="00033E5B" w:rsidRPr="00033E5B" w:rsidRDefault="00033E5B" w:rsidP="00033E5B">
            <w:pPr>
              <w:pStyle w:val="AERbulletlistfirststyle"/>
            </w:pPr>
            <w:proofErr w:type="gramStart"/>
            <w:r>
              <w:t>i</w:t>
            </w:r>
            <w:r w:rsidRPr="00033E5B">
              <w:t>n</w:t>
            </w:r>
            <w:proofErr w:type="gramEnd"/>
            <w:r w:rsidRPr="00033E5B">
              <w:t xml:space="preserve"> accordance with clause 6.12.1(4A)(iv), the AER does not determine that any proposed contingent project is not a contingent project.</w:t>
            </w:r>
          </w:p>
        </w:tc>
      </w:tr>
      <w:tr w:rsidR="00033E5B"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033E5B" w:rsidRDefault="00033E5B" w:rsidP="0050643D">
            <w:pPr>
              <w:numPr>
                <w:ilvl w:val="0"/>
                <w:numId w:val="24"/>
              </w:numPr>
            </w:pPr>
            <w:r>
              <w:t>In accordance with clause 6.12.1(5) the AER's decision on the allowed rate o</w:t>
            </w:r>
            <w:r w:rsidRPr="0046153F">
              <w:t xml:space="preserve">f return for the </w:t>
            </w:r>
            <w:r w:rsidR="0050643D">
              <w:t>2014–15</w:t>
            </w:r>
            <w:r w:rsidR="0050643D" w:rsidRPr="0046153F">
              <w:t xml:space="preserve"> </w:t>
            </w:r>
            <w:r w:rsidRPr="0046153F">
              <w:t xml:space="preserve">regulatory year in accordance with clause 6.5.2 is not to accept </w:t>
            </w:r>
            <w:r>
              <w:t>Endeavour Energy</w:t>
            </w:r>
            <w:r w:rsidRPr="0046153F">
              <w:t>'s proposal of 8.8</w:t>
            </w:r>
            <w:r w:rsidR="00763B0B">
              <w:t>5</w:t>
            </w:r>
            <w:r w:rsidRPr="0046153F">
              <w:t xml:space="preserve"> per cent. Our decision on the allowed rate of return for </w:t>
            </w:r>
            <w:r w:rsidR="0050643D">
              <w:t>2014–15 and 2015–</w:t>
            </w:r>
            <w:proofErr w:type="gramStart"/>
            <w:r w:rsidR="0050643D">
              <w:t xml:space="preserve">16 </w:t>
            </w:r>
            <w:r w:rsidRPr="0046153F">
              <w:t xml:space="preserve"> regulatory</w:t>
            </w:r>
            <w:proofErr w:type="gramEnd"/>
            <w:r w:rsidRPr="0046153F">
              <w:t xml:space="preserve"> year</w:t>
            </w:r>
            <w:r w:rsidR="0050643D">
              <w:t xml:space="preserve">s are 6.74 and 6.68 </w:t>
            </w:r>
            <w:r w:rsidRPr="00FF78C3">
              <w:t xml:space="preserve"> per</w:t>
            </w:r>
            <w:r w:rsidRPr="0046153F">
              <w:t xml:space="preserve"> cent</w:t>
            </w:r>
            <w:r w:rsidR="0050643D">
              <w:t xml:space="preserve">, respectively </w:t>
            </w:r>
            <w:r w:rsidRPr="0046153F">
              <w:t xml:space="preserve">as set out in Table 1 of Attachment 3 of the </w:t>
            </w:r>
            <w:r w:rsidR="0050643D">
              <w:t>final</w:t>
            </w:r>
            <w:r w:rsidR="0050643D" w:rsidRPr="0046153F">
              <w:t xml:space="preserve"> </w:t>
            </w:r>
            <w:r w:rsidRPr="0046153F">
              <w:t>decision. Th</w:t>
            </w:r>
            <w:r w:rsidR="0050643D">
              <w:t>e</w:t>
            </w:r>
            <w:r w:rsidRPr="0046153F">
              <w:t xml:space="preserve"> rate of return </w:t>
            </w:r>
            <w:r w:rsidR="0050643D">
              <w:t xml:space="preserve">for the remaining regulatory years 2016–19 </w:t>
            </w:r>
            <w:r w:rsidRPr="0046153F">
              <w:t>will be updated annually because our decision is to apply a trailing average portfolio approach to estimating debt which incorporates annual updating of the allowed return on debt.</w:t>
            </w:r>
          </w:p>
        </w:tc>
      </w:tr>
      <w:tr w:rsidR="00033E5B" w:rsidTr="000D5E6B">
        <w:tc>
          <w:tcPr>
            <w:tcW w:w="9242" w:type="dxa"/>
          </w:tcPr>
          <w:p w:rsidR="00033E5B" w:rsidRPr="0046153F" w:rsidRDefault="00033E5B" w:rsidP="00CF2C0C">
            <w:pPr>
              <w:numPr>
                <w:ilvl w:val="0"/>
                <w:numId w:val="24"/>
              </w:numPr>
            </w:pPr>
            <w:r>
              <w:t>In accordance with clause 6.12.1(5A) the AER</w:t>
            </w:r>
            <w:r w:rsidRPr="0046153F">
              <w:t>'s decision is that the return on debt is to be estimated using a methodology referred to in clause 6.5.2(</w:t>
            </w:r>
            <w:proofErr w:type="spellStart"/>
            <w:r w:rsidRPr="0046153F">
              <w:t>i</w:t>
            </w:r>
            <w:proofErr w:type="spellEnd"/>
            <w:proofErr w:type="gramStart"/>
            <w:r w:rsidRPr="0046153F">
              <w:t>)(</w:t>
            </w:r>
            <w:proofErr w:type="gramEnd"/>
            <w:r w:rsidRPr="0046153F">
              <w:t xml:space="preserve">2) which is set out in  </w:t>
            </w:r>
            <w:r>
              <w:t>a</w:t>
            </w:r>
            <w:r w:rsidRPr="0046153F">
              <w:t xml:space="preserve">ttachment 3 of the </w:t>
            </w:r>
            <w:r w:rsidR="00CF2C0C">
              <w:t xml:space="preserve">final </w:t>
            </w:r>
            <w:r w:rsidRPr="0046153F">
              <w:t xml:space="preserve">decision. </w:t>
            </w:r>
          </w:p>
        </w:tc>
      </w:tr>
      <w:tr w:rsidR="00033E5B"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46153F" w:rsidRDefault="00033E5B" w:rsidP="00CF2C0C">
            <w:pPr>
              <w:numPr>
                <w:ilvl w:val="0"/>
                <w:numId w:val="24"/>
              </w:numPr>
            </w:pPr>
            <w:r>
              <w:t>In accordance with clause 6.12.1(5B) the AER's decision on the value of imputation credits as referred to in clause 6.5.3</w:t>
            </w:r>
            <w:r w:rsidRPr="0046153F">
              <w:t xml:space="preserve"> is to adopt a value of 0.4. This </w:t>
            </w:r>
            <w:r>
              <w:t>is set out in a</w:t>
            </w:r>
            <w:r w:rsidRPr="0046153F">
              <w:t xml:space="preserve">ttachment 4 of the </w:t>
            </w:r>
            <w:r w:rsidR="00CF2C0C">
              <w:t>final</w:t>
            </w:r>
            <w:r w:rsidR="00CF2C0C" w:rsidRPr="0046153F">
              <w:t xml:space="preserve"> </w:t>
            </w:r>
            <w:r w:rsidRPr="0046153F">
              <w:t xml:space="preserve">decision. </w:t>
            </w:r>
          </w:p>
        </w:tc>
      </w:tr>
      <w:tr w:rsidR="00033E5B" w:rsidTr="000D5E6B">
        <w:tc>
          <w:tcPr>
            <w:tcW w:w="9242" w:type="dxa"/>
          </w:tcPr>
          <w:p w:rsidR="00033E5B" w:rsidRPr="0046153F" w:rsidRDefault="00033E5B" w:rsidP="00CF2C0C">
            <w:pPr>
              <w:numPr>
                <w:ilvl w:val="0"/>
                <w:numId w:val="24"/>
              </w:numPr>
            </w:pPr>
            <w:r>
              <w:t xml:space="preserve">In accordance with clause 6.12.1(6) the AER's decision on </w:t>
            </w:r>
            <w:r w:rsidR="00A02677">
              <w:t>Endeavour Energy's</w:t>
            </w:r>
            <w:r>
              <w:t xml:space="preserve"> regulatory asset base as at 1 July 2014 in accordance with clause 6.5.1 and schedule 6.2</w:t>
            </w:r>
            <w:r w:rsidRPr="0046153F">
              <w:t xml:space="preserve"> is $</w:t>
            </w:r>
            <w:r w:rsidR="001A1DB1">
              <w:t>5581.3</w:t>
            </w:r>
            <w:r>
              <w:t xml:space="preserve"> </w:t>
            </w:r>
            <w:r w:rsidRPr="0046153F">
              <w:t xml:space="preserve">million. This is set out in </w:t>
            </w:r>
            <w:r w:rsidR="00CF2C0C">
              <w:t>a</w:t>
            </w:r>
            <w:r w:rsidR="00CF2C0C" w:rsidRPr="0046153F">
              <w:t xml:space="preserve">ttachment </w:t>
            </w:r>
            <w:r w:rsidRPr="0046153F">
              <w:t xml:space="preserve">2 of the </w:t>
            </w:r>
            <w:r w:rsidR="00CF2C0C">
              <w:t>final</w:t>
            </w:r>
            <w:r w:rsidR="00CF2C0C" w:rsidRPr="0046153F">
              <w:t xml:space="preserve"> </w:t>
            </w:r>
            <w:r w:rsidRPr="0046153F">
              <w:t>decision.</w:t>
            </w:r>
          </w:p>
        </w:tc>
      </w:tr>
      <w:tr w:rsidR="00033E5B"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46153F" w:rsidRDefault="00033E5B" w:rsidP="00CF2C0C">
            <w:pPr>
              <w:numPr>
                <w:ilvl w:val="0"/>
                <w:numId w:val="24"/>
              </w:numPr>
            </w:pPr>
            <w:r>
              <w:t>In accordance with clause 6.12.1(7)</w:t>
            </w:r>
            <w:r w:rsidRPr="0046153F">
              <w:t xml:space="preserve"> the AER does not accept </w:t>
            </w:r>
            <w:r>
              <w:t>Endeavour Energy</w:t>
            </w:r>
            <w:r w:rsidRPr="0046153F">
              <w:t xml:space="preserve">'s proposed corporate income tax of </w:t>
            </w:r>
            <w:r w:rsidRPr="00E57171">
              <w:t>$</w:t>
            </w:r>
            <w:r w:rsidR="001A1DB1">
              <w:t>349.2</w:t>
            </w:r>
            <w:r>
              <w:t> </w:t>
            </w:r>
            <w:r w:rsidRPr="00B96485">
              <w:t>million ($ nominal)</w:t>
            </w:r>
            <w:r w:rsidRPr="0046153F">
              <w:t xml:space="preserve">. Our decision on </w:t>
            </w:r>
            <w:r>
              <w:t>Endeavour Energy</w:t>
            </w:r>
            <w:r w:rsidRPr="0046153F">
              <w:t xml:space="preserve">'s corporate income tax is </w:t>
            </w:r>
            <w:r w:rsidRPr="00FE296E">
              <w:t>$</w:t>
            </w:r>
            <w:r w:rsidR="001A1DB1">
              <w:t xml:space="preserve">187.4 </w:t>
            </w:r>
            <w:r w:rsidRPr="00FE296E">
              <w:t>million ($ nominal)</w:t>
            </w:r>
            <w:r w:rsidRPr="0046153F">
              <w:t>.</w:t>
            </w:r>
            <w:r>
              <w:t xml:space="preserve"> </w:t>
            </w:r>
            <w:r w:rsidRPr="0046153F">
              <w:t xml:space="preserve">This is set out in </w:t>
            </w:r>
            <w:r>
              <w:t>at a</w:t>
            </w:r>
            <w:r w:rsidRPr="0046153F">
              <w:t xml:space="preserve">ttachment </w:t>
            </w:r>
            <w:r>
              <w:t>8</w:t>
            </w:r>
            <w:r w:rsidRPr="0046153F">
              <w:t xml:space="preserve"> of the </w:t>
            </w:r>
            <w:r w:rsidR="00CF2C0C">
              <w:t>final</w:t>
            </w:r>
            <w:r w:rsidRPr="0046153F">
              <w:t xml:space="preserve"> decision</w:t>
            </w:r>
            <w:r>
              <w:t>.</w:t>
            </w:r>
          </w:p>
        </w:tc>
      </w:tr>
      <w:tr w:rsidR="00033E5B" w:rsidTr="000D5E6B">
        <w:tc>
          <w:tcPr>
            <w:tcW w:w="9242" w:type="dxa"/>
          </w:tcPr>
          <w:p w:rsidR="00033E5B" w:rsidRPr="0046153F" w:rsidRDefault="00033E5B" w:rsidP="00CF2C0C">
            <w:pPr>
              <w:numPr>
                <w:ilvl w:val="0"/>
                <w:numId w:val="24"/>
              </w:numPr>
            </w:pPr>
            <w:r>
              <w:t xml:space="preserve">In accordance with clause 6.12.1(8) the AER's decision </w:t>
            </w:r>
            <w:r w:rsidRPr="0046153F">
              <w:t xml:space="preserve">is not to approve the depreciation schedules submitted by </w:t>
            </w:r>
            <w:r>
              <w:t>Endeavour Energy</w:t>
            </w:r>
            <w:r w:rsidRPr="0046153F">
              <w:t xml:space="preserve">. This is set out in Attachment </w:t>
            </w:r>
            <w:r>
              <w:t>5</w:t>
            </w:r>
            <w:r w:rsidRPr="0046153F">
              <w:t xml:space="preserve"> of the </w:t>
            </w:r>
            <w:r w:rsidR="00CF2C0C">
              <w:t>final</w:t>
            </w:r>
            <w:r w:rsidR="00CF2C0C" w:rsidRPr="0046153F">
              <w:t xml:space="preserve"> </w:t>
            </w:r>
            <w:r w:rsidRPr="0046153F">
              <w:t>decision.</w:t>
            </w:r>
          </w:p>
        </w:tc>
      </w:tr>
      <w:tr w:rsidR="00033E5B"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033E5B" w:rsidRDefault="00033E5B" w:rsidP="00033E5B">
            <w:r>
              <w:t>In accordance with clause 6.12.1(9) the AER</w:t>
            </w:r>
            <w:r w:rsidRPr="00033E5B">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033E5B" w:rsidRPr="00033E5B" w:rsidRDefault="008E13B5" w:rsidP="008E13B5">
            <w:pPr>
              <w:pStyle w:val="AERbulletlistfirststyle"/>
            </w:pPr>
            <w:r w:rsidRPr="008E13B5">
              <w:t xml:space="preserve">In accordance with clause 6.12.1(9) of the NER, the AER’s final decision is that expenditure incurred by Endeavour Energy will be subject to version 2 of the EBSS in the 2015–19 regulatory control </w:t>
            </w:r>
            <w:proofErr w:type="gramStart"/>
            <w:r w:rsidRPr="008E13B5">
              <w:t>period</w:t>
            </w:r>
            <w:proofErr w:type="gramEnd"/>
            <w:r w:rsidRPr="008E13B5">
              <w:t>. This is set out in attachment 9 of the final decision.</w:t>
            </w:r>
          </w:p>
          <w:p w:rsidR="00033E5B" w:rsidRDefault="00033E5B" w:rsidP="008E13B5">
            <w:pPr>
              <w:pStyle w:val="AERbulletlistfirststyle"/>
            </w:pPr>
            <w:r w:rsidRPr="00DD74C3">
              <w:t>In accordance with clause 6.12.1(9) of the NER</w:t>
            </w:r>
            <w:r w:rsidRPr="00033E5B">
              <w:t xml:space="preserve">, we will apply the CESS as set out in version 1 of the capital expenditure incentives guideline to Endeavour Energy in the 2015–19 regulatory control </w:t>
            </w:r>
            <w:proofErr w:type="gramStart"/>
            <w:r w:rsidRPr="00033E5B">
              <w:t>period</w:t>
            </w:r>
            <w:proofErr w:type="gramEnd"/>
            <w:r w:rsidRPr="00033E5B">
              <w:t>.</w:t>
            </w:r>
          </w:p>
          <w:p w:rsidR="00997685" w:rsidRPr="00997685" w:rsidRDefault="00997685" w:rsidP="008E13B5">
            <w:pPr>
              <w:pStyle w:val="AERbulletlistfirststyle"/>
            </w:pPr>
            <w:r w:rsidRPr="00997685">
              <w:t>In accordance with clause 6.12.1(9) of the NER, we will apply our Service Target Performance Incentive Scheme (STPIS) to Endeavour Energy for the 2015-</w:t>
            </w:r>
            <w:r>
              <w:t>19</w:t>
            </w:r>
            <w:r w:rsidRPr="00997685">
              <w:t xml:space="preserve"> regulatory control </w:t>
            </w:r>
            <w:proofErr w:type="gramStart"/>
            <w:r w:rsidRPr="00997685">
              <w:t>period</w:t>
            </w:r>
            <w:proofErr w:type="gramEnd"/>
            <w:r w:rsidRPr="00997685">
              <w:t>.</w:t>
            </w:r>
          </w:p>
          <w:p w:rsidR="00997685" w:rsidRPr="00997685" w:rsidRDefault="00997685" w:rsidP="008E13B5">
            <w:pPr>
              <w:pStyle w:val="AERbulletlistfirststyle"/>
            </w:pPr>
            <w:r w:rsidRPr="00997685">
              <w:t xml:space="preserve">We will apply the System Average Interruption Duration Index (SAIDI) and System Average Interruption Frequency Index (SAIFI) reliability of supply parameters. We will also apply the customer service telephone answering parameter. We will not apply a guaranteed service level scheme as Endeavour Energy must comply with its existing NSW jurisdictional guaranteed service level scheme. </w:t>
            </w:r>
          </w:p>
          <w:p w:rsidR="00997685" w:rsidRPr="00997685" w:rsidRDefault="00997685">
            <w:pPr>
              <w:pStyle w:val="AERbulletlistfirststyle"/>
            </w:pPr>
            <w:r w:rsidRPr="00997685">
              <w:t xml:space="preserve">A beta of 2.5, using the Box-Cox transformation method, will be used to calculate the major event day boundary. </w:t>
            </w:r>
          </w:p>
          <w:p w:rsidR="00997685" w:rsidRPr="00997685" w:rsidRDefault="00997685">
            <w:pPr>
              <w:pStyle w:val="AERbulletlistfirststyle"/>
            </w:pPr>
            <w:r w:rsidRPr="00997685">
              <w:t xml:space="preserve">Our decision on the SAIDI and SAIFI performance targets and incentive rates to apply to Endeavour Energy in the 2015-20 regulatory control </w:t>
            </w:r>
            <w:proofErr w:type="gramStart"/>
            <w:r w:rsidRPr="00997685">
              <w:t>period</w:t>
            </w:r>
            <w:proofErr w:type="gramEnd"/>
            <w:r w:rsidRPr="00997685">
              <w:t xml:space="preserve"> are set out in tables 11-1 and 11-2 of attachment 11 of this final decision.</w:t>
            </w:r>
          </w:p>
          <w:p w:rsidR="00997685" w:rsidRPr="00997685" w:rsidRDefault="00997685">
            <w:pPr>
              <w:pStyle w:val="AERbulletlistfirststyle"/>
            </w:pPr>
            <w:r w:rsidRPr="00997685">
              <w:t xml:space="preserve">Our decision on the customer service component performance target and incentive rate are set out in section 11.4.5 of attachment 11 of this final decision.  </w:t>
            </w:r>
          </w:p>
          <w:p w:rsidR="00997685" w:rsidRPr="00997685" w:rsidRDefault="00997685">
            <w:pPr>
              <w:pStyle w:val="AERbulletlistfirststyle"/>
            </w:pPr>
            <w:r w:rsidRPr="00997685">
              <w:t>The revenue at risk for Endeavour Energy will be capped at ±2.5 per cent. Within this there will be a cap of ±0.25 per cent on the telephone answering parameter for performance.</w:t>
            </w:r>
          </w:p>
          <w:p w:rsidR="00997685" w:rsidRPr="00997685" w:rsidRDefault="00997685">
            <w:pPr>
              <w:pStyle w:val="AERbulletlistfirststyle"/>
            </w:pPr>
            <w:r w:rsidRPr="00997685">
              <w:t>The value of St for 2015-16 and 2016-17 regulatory years shall be zero. The value for St from 2017-18 onwards shall be calculated in accordance with appendix C of the Service Target Performance Incentive Scheme, November 2009.</w:t>
            </w:r>
          </w:p>
          <w:p w:rsidR="00997685" w:rsidRPr="00997685" w:rsidRDefault="00997685" w:rsidP="008C525B">
            <w:pPr>
              <w:pStyle w:val="ListContinue2"/>
            </w:pPr>
            <w:r w:rsidRPr="00997685">
              <w:t>Note: The meaning for year "t" under the price control formula for this determination is different to that in Appendix C of STPIS. Year "t+1" in Appendix C of STPIS is equivalent to year "t" in the price control formula of this decision.</w:t>
            </w:r>
          </w:p>
          <w:p w:rsidR="00033E5B" w:rsidRPr="00033E5B" w:rsidRDefault="00033E5B" w:rsidP="008E13B5">
            <w:pPr>
              <w:pStyle w:val="AERbulletlistfirststyle"/>
            </w:pPr>
            <w:r>
              <w:t xml:space="preserve">The AER has </w:t>
            </w:r>
            <w:r w:rsidRPr="00033E5B">
              <w:t xml:space="preserve">determined to continue Part A of the Demand Management Innovation Allowance (DMIA) but will not apply either Part B of the DMIA or the D-factor scheme for Endeavour Energy in the 2015–19 regulatory control </w:t>
            </w:r>
            <w:proofErr w:type="gramStart"/>
            <w:r w:rsidRPr="00033E5B">
              <w:t>period</w:t>
            </w:r>
            <w:proofErr w:type="gramEnd"/>
            <w:r w:rsidRPr="00033E5B">
              <w:t>.</w:t>
            </w:r>
          </w:p>
        </w:tc>
      </w:tr>
      <w:tr w:rsidR="00033E5B" w:rsidTr="000D5E6B">
        <w:tc>
          <w:tcPr>
            <w:tcW w:w="9242" w:type="dxa"/>
          </w:tcPr>
          <w:p w:rsidR="00033E5B" w:rsidRPr="00033E5B" w:rsidRDefault="00033E5B" w:rsidP="00033E5B">
            <w:r w:rsidRPr="008A7BAC">
              <w:t>In accordance with clause 6.12.1(10) the AER's decision is that all appropriate amounts, values and inputs are as set out in this determination including attachments.</w:t>
            </w:r>
          </w:p>
        </w:tc>
      </w:tr>
      <w:tr w:rsidR="00033E5B" w:rsidRPr="007A08A0"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033E5B" w:rsidRDefault="00033E5B" w:rsidP="007B5ECE">
            <w:r w:rsidRPr="007A08A0">
              <w:t xml:space="preserve">In accordance with clause 6.12.1(11) the AER's decision on the form of control mechanisms </w:t>
            </w:r>
            <w:r w:rsidRPr="00033E5B">
              <w:t xml:space="preserve">(including the X factor) for standard control services is a revenue cap. The revenue cap for Endeavour Energy for any given regulatory year is the </w:t>
            </w:r>
            <w:r w:rsidR="002D5A57">
              <w:t>total annual revenue</w:t>
            </w:r>
            <w:r w:rsidR="002D5A57" w:rsidRPr="002D5A57">
              <w:t xml:space="preserve"> (TAR) for distribution services for that regulatory year </w:t>
            </w:r>
            <w:r w:rsidRPr="00033E5B">
              <w:t xml:space="preserve">plus any adjustment required to move the </w:t>
            </w:r>
            <w:proofErr w:type="spellStart"/>
            <w:r w:rsidRPr="00033E5B">
              <w:t>DUoS</w:t>
            </w:r>
            <w:proofErr w:type="spellEnd"/>
            <w:r w:rsidRPr="00033E5B">
              <w:t xml:space="preserve"> under/over account to zero. This is discussed at attachment 14.</w:t>
            </w:r>
          </w:p>
        </w:tc>
      </w:tr>
      <w:tr w:rsidR="00033E5B" w:rsidRPr="007A08A0" w:rsidTr="000D5E6B">
        <w:tc>
          <w:tcPr>
            <w:tcW w:w="9242" w:type="dxa"/>
          </w:tcPr>
          <w:p w:rsidR="00033E5B" w:rsidRPr="00033E5B" w:rsidRDefault="00033E5B" w:rsidP="00033E5B">
            <w:r w:rsidRPr="007A08A0">
              <w:t>In accordance with clause 6.12.1(12) the AER's decision on the</w:t>
            </w:r>
            <w:r w:rsidRPr="00033E5B">
              <w:t xml:space="preserve"> form of the control mechanism for alternative control services is to apply price caps. Th</w:t>
            </w:r>
            <w:r w:rsidR="00B120E4">
              <w:t>is is discussed in attachment 16</w:t>
            </w:r>
            <w:r w:rsidRPr="00033E5B">
              <w:t>.</w:t>
            </w:r>
          </w:p>
        </w:tc>
      </w:tr>
      <w:tr w:rsidR="00033E5B" w:rsidRPr="007A08A0"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033E5B" w:rsidRDefault="00033E5B" w:rsidP="00033E5B">
            <w:r w:rsidRPr="007A08A0">
              <w:t>In accordance with clause 6.12.1(13)</w:t>
            </w:r>
            <w:r w:rsidRPr="00033E5B">
              <w:t xml:space="preserve">, to demonstrate compliance with its distribution determination, the AER's decision is Endeavour Energy must maintain a </w:t>
            </w:r>
            <w:proofErr w:type="spellStart"/>
            <w:r w:rsidRPr="00033E5B">
              <w:t>DUoS</w:t>
            </w:r>
            <w:proofErr w:type="spellEnd"/>
            <w:r w:rsidRPr="00033E5B">
              <w:t xml:space="preserve"> </w:t>
            </w:r>
            <w:proofErr w:type="spellStart"/>
            <w:r w:rsidRPr="00033E5B">
              <w:t>unders</w:t>
            </w:r>
            <w:proofErr w:type="spellEnd"/>
            <w:r w:rsidRPr="00033E5B">
              <w:t xml:space="preserve"> and overs account. It must provide information on this account to us in its annual pricing proposal.</w:t>
            </w:r>
          </w:p>
        </w:tc>
      </w:tr>
      <w:tr w:rsidR="00033E5B" w:rsidTr="000D5E6B">
        <w:tc>
          <w:tcPr>
            <w:tcW w:w="9242" w:type="dxa"/>
          </w:tcPr>
          <w:p w:rsidR="00033E5B" w:rsidRPr="00033E5B" w:rsidRDefault="00033E5B" w:rsidP="00033E5B">
            <w:r w:rsidRPr="0078506D">
              <w:t xml:space="preserve">In accordance with clause 6.12.1(14) the AER's decision on the additional pass through events that are to apply is to not to accept the nominated pass through events as drafted by </w:t>
            </w:r>
            <w:r w:rsidRPr="00033E5B">
              <w:t>Endeavour Energy. The AER substitutes its own definitions for the following events:</w:t>
            </w:r>
          </w:p>
          <w:p w:rsidR="00033E5B" w:rsidRDefault="00033E5B" w:rsidP="00033E5B">
            <w:pPr>
              <w:pStyle w:val="AERbulletlistfirststyle"/>
            </w:pPr>
            <w:r>
              <w:t>i</w:t>
            </w:r>
            <w:r w:rsidRPr="00033E5B">
              <w:t>nsurance cap event</w:t>
            </w:r>
          </w:p>
          <w:p w:rsidR="0072203E" w:rsidRPr="00033E5B" w:rsidRDefault="0072203E" w:rsidP="00033E5B">
            <w:pPr>
              <w:pStyle w:val="AERbulletlistfirststyle"/>
            </w:pPr>
            <w:r>
              <w:t>insurer's credit risk</w:t>
            </w:r>
          </w:p>
          <w:p w:rsidR="00033E5B" w:rsidRPr="00033E5B" w:rsidRDefault="00033E5B" w:rsidP="00033E5B">
            <w:pPr>
              <w:pStyle w:val="AERbulletlistfirststyle"/>
            </w:pPr>
            <w:r>
              <w:t>t</w:t>
            </w:r>
            <w:r w:rsidRPr="00033E5B">
              <w:t>errorism event</w:t>
            </w:r>
          </w:p>
          <w:p w:rsidR="00033E5B" w:rsidRPr="00033E5B" w:rsidRDefault="00033E5B" w:rsidP="00033E5B">
            <w:pPr>
              <w:pStyle w:val="AERbulletlistfirststyle"/>
            </w:pPr>
            <w:proofErr w:type="gramStart"/>
            <w:r>
              <w:t>n</w:t>
            </w:r>
            <w:r w:rsidRPr="00033E5B">
              <w:t>atural</w:t>
            </w:r>
            <w:proofErr w:type="gramEnd"/>
            <w:r w:rsidRPr="00033E5B">
              <w:t xml:space="preserve"> disaster event.</w:t>
            </w:r>
          </w:p>
        </w:tc>
      </w:tr>
      <w:tr w:rsidR="00033E5B" w:rsidRPr="007A08A0"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033E5B" w:rsidRDefault="00033E5B" w:rsidP="00680C52">
            <w:r w:rsidRPr="007A08A0">
              <w:t>In accordance with clause 6.12.1(15) the AER's decision</w:t>
            </w:r>
            <w:r w:rsidRPr="00033E5B">
              <w:t xml:space="preserve"> is to approve Endeavour Energy's proposed negotiating framework. The negotiating framework that is to apply to Endeavour Energy is set out at attachment 17 of the </w:t>
            </w:r>
            <w:r w:rsidR="00680C52">
              <w:t>final</w:t>
            </w:r>
            <w:r w:rsidR="00680C52" w:rsidRPr="00033E5B">
              <w:t xml:space="preserve"> </w:t>
            </w:r>
            <w:r w:rsidRPr="00033E5B">
              <w:t xml:space="preserve">decision. </w:t>
            </w:r>
          </w:p>
        </w:tc>
      </w:tr>
      <w:tr w:rsidR="00033E5B" w:rsidRPr="007A08A0" w:rsidTr="000D5E6B">
        <w:tc>
          <w:tcPr>
            <w:tcW w:w="9242" w:type="dxa"/>
          </w:tcPr>
          <w:p w:rsidR="00033E5B" w:rsidRPr="00033E5B" w:rsidRDefault="00033E5B" w:rsidP="00680C52">
            <w:r w:rsidRPr="007A08A0">
              <w:t xml:space="preserve">In accordance with clause 6.12.1(16) the AER's decision </w:t>
            </w:r>
            <w:r w:rsidRPr="00033E5B">
              <w:t xml:space="preserve">is to apply the negotiated distribution services criteria published in June 2014 to Endeavour Energy. This is set out is at attachment 17 of the </w:t>
            </w:r>
            <w:r w:rsidR="00680C52">
              <w:t>final</w:t>
            </w:r>
            <w:r w:rsidR="00680C52" w:rsidRPr="00033E5B">
              <w:t xml:space="preserve"> </w:t>
            </w:r>
            <w:r w:rsidRPr="00033E5B">
              <w:t>decision.</w:t>
            </w:r>
          </w:p>
        </w:tc>
      </w:tr>
      <w:tr w:rsidR="00033E5B" w:rsidRPr="007A08A0"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033E5B" w:rsidRDefault="00033E5B" w:rsidP="00E0739B">
            <w:r w:rsidRPr="007A08A0">
              <w:t xml:space="preserve">In accordance with clause 6.12.1(17) the AER's decision on the procedures for assigning retail customers to </w:t>
            </w:r>
            <w:r w:rsidRPr="00033E5B">
              <w:t xml:space="preserve">tariff classes not to accept Endeavour Energy's proposed procedure. The AER's decision on the procedures for assigning retail customers to tariff classes is set out at </w:t>
            </w:r>
            <w:r w:rsidRPr="00E0739B">
              <w:t>attachment 14 of the</w:t>
            </w:r>
            <w:r w:rsidRPr="00033E5B">
              <w:t xml:space="preserve"> </w:t>
            </w:r>
            <w:r w:rsidR="00680C52">
              <w:t>final</w:t>
            </w:r>
            <w:r w:rsidRPr="00033E5B">
              <w:t xml:space="preserve"> decision. </w:t>
            </w:r>
          </w:p>
        </w:tc>
      </w:tr>
      <w:tr w:rsidR="00033E5B" w:rsidRPr="007A08A0" w:rsidTr="000D5E6B">
        <w:tc>
          <w:tcPr>
            <w:tcW w:w="9242" w:type="dxa"/>
          </w:tcPr>
          <w:p w:rsidR="00033E5B" w:rsidRPr="00033E5B" w:rsidRDefault="00033E5B" w:rsidP="00680C52">
            <w:r w:rsidRPr="007A08A0">
              <w:t xml:space="preserve">In accordance with clause 6.12.1(18) </w:t>
            </w:r>
            <w:r w:rsidRPr="00033E5B">
              <w:t xml:space="preserve">the AER's decision on regulatory depreciation is that the forecast depreciation approach is to be used to establish the RAB at the commencement of Endeavour Energy's regulatory control period (1 July 2019). This is discussed in Attachment 2 of the </w:t>
            </w:r>
            <w:r w:rsidR="00680C52">
              <w:t>final</w:t>
            </w:r>
            <w:r w:rsidRPr="00033E5B">
              <w:t xml:space="preserve"> decision. </w:t>
            </w:r>
          </w:p>
        </w:tc>
      </w:tr>
      <w:tr w:rsidR="00033E5B" w:rsidRPr="007A08A0"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033E5B" w:rsidRPr="00033E5B" w:rsidRDefault="00033E5B" w:rsidP="00680C52">
            <w:r w:rsidRPr="00432690">
              <w:t xml:space="preserve">In accordance with clause 6.12.1(19) the AER's decision on how Endeavour Energy is to report to the AER on its recovery of designated pricing proposal charges is </w:t>
            </w:r>
            <w:r w:rsidRPr="00033E5B">
              <w:t xml:space="preserve">Endeavour Energy is to set these out in its annual pricing proposal. The AER accepts Endeavour Energy's proposed methodology however does not accept the adjustments to be made to subsequent pricing proposals to account for under and over recovery of charges. This is discussed in Attachment 14 of the </w:t>
            </w:r>
            <w:r w:rsidR="00680C52">
              <w:t>final</w:t>
            </w:r>
            <w:r w:rsidR="00680C52" w:rsidRPr="00033E5B">
              <w:t xml:space="preserve"> </w:t>
            </w:r>
            <w:r w:rsidRPr="00033E5B">
              <w:t>decision.</w:t>
            </w:r>
          </w:p>
        </w:tc>
      </w:tr>
      <w:tr w:rsidR="00033E5B" w:rsidRPr="007A08A0" w:rsidTr="000D5E6B">
        <w:tc>
          <w:tcPr>
            <w:tcW w:w="9242" w:type="dxa"/>
            <w:shd w:val="clear" w:color="auto" w:fill="auto"/>
          </w:tcPr>
          <w:p w:rsidR="00033E5B" w:rsidRPr="00033E5B" w:rsidRDefault="00033E5B" w:rsidP="00E0739B">
            <w:r w:rsidRPr="007A08A0">
              <w:t xml:space="preserve">In accordance </w:t>
            </w:r>
            <w:r w:rsidRPr="00033E5B">
              <w:t xml:space="preserve">with clause 6.12.1(20) the AER's decision is we require Endeavour Energy to maintain a jurisdictional scheme </w:t>
            </w:r>
            <w:proofErr w:type="spellStart"/>
            <w:r w:rsidRPr="00033E5B">
              <w:t>unders</w:t>
            </w:r>
            <w:proofErr w:type="spellEnd"/>
            <w:r w:rsidRPr="00033E5B">
              <w:t xml:space="preserve"> and overs account. It must provide information on this account to us in its annual pricing proposal as set out in </w:t>
            </w:r>
            <w:r w:rsidRPr="00E0739B">
              <w:t>attachment 14 of the</w:t>
            </w:r>
            <w:r w:rsidRPr="00033E5B">
              <w:t xml:space="preserve"> </w:t>
            </w:r>
            <w:r w:rsidR="00680C52">
              <w:t>final</w:t>
            </w:r>
            <w:r w:rsidR="00680C52" w:rsidRPr="00033E5B">
              <w:t xml:space="preserve"> </w:t>
            </w:r>
            <w:r w:rsidRPr="00033E5B">
              <w:t>decision.</w:t>
            </w:r>
          </w:p>
        </w:tc>
      </w:tr>
      <w:tr w:rsidR="00033E5B" w:rsidTr="000D5E6B">
        <w:trPr>
          <w:cnfStyle w:val="000000010000" w:firstRow="0" w:lastRow="0" w:firstColumn="0" w:lastColumn="0" w:oddVBand="0" w:evenVBand="0" w:oddHBand="0" w:evenHBand="1" w:firstRowFirstColumn="0" w:firstRowLastColumn="0" w:lastRowFirstColumn="0" w:lastRowLastColumn="0"/>
        </w:trPr>
        <w:tc>
          <w:tcPr>
            <w:tcW w:w="9242" w:type="dxa"/>
          </w:tcPr>
          <w:p w:rsidR="00997685" w:rsidRPr="00033E5B" w:rsidRDefault="00033E5B" w:rsidP="00680C52">
            <w:r>
              <w:t xml:space="preserve">In accordance with clause 6.12.1(21) the </w:t>
            </w:r>
            <w:r w:rsidRPr="00033E5B">
              <w:t>AER approves the connection policy as proposed by Endeavour Energy in its</w:t>
            </w:r>
            <w:r w:rsidR="00997685">
              <w:t xml:space="preserve"> revised</w:t>
            </w:r>
            <w:r w:rsidRPr="00033E5B">
              <w:t xml:space="preserve"> proposal. This is set out in attachment 18 of the </w:t>
            </w:r>
            <w:r w:rsidR="00680C52">
              <w:t>final</w:t>
            </w:r>
            <w:r w:rsidR="00680C52" w:rsidRPr="00033E5B">
              <w:t xml:space="preserve"> </w:t>
            </w:r>
            <w:r w:rsidRPr="00033E5B">
              <w:t>decision.</w:t>
            </w:r>
          </w:p>
        </w:tc>
      </w:tr>
    </w:tbl>
    <w:p w:rsidR="00033E5B" w:rsidRDefault="00033E5B" w:rsidP="00117E02">
      <w:pPr>
        <w:numPr>
          <w:ilvl w:val="0"/>
          <w:numId w:val="24"/>
        </w:numPr>
      </w:pPr>
    </w:p>
    <w:p w:rsidR="008173B4" w:rsidRDefault="008173B4" w:rsidP="00117E02">
      <w:pPr>
        <w:numPr>
          <w:ilvl w:val="0"/>
          <w:numId w:val="24"/>
        </w:numPr>
      </w:pPr>
    </w:p>
    <w:p w:rsidR="000D5E6B" w:rsidRDefault="000D5E6B" w:rsidP="00117E02">
      <w:pPr>
        <w:pStyle w:val="UnnumberedHeading"/>
        <w:numPr>
          <w:ilvl w:val="0"/>
          <w:numId w:val="24"/>
        </w:numPr>
      </w:pPr>
      <w:bookmarkStart w:id="283" w:name="_Toc404667289"/>
      <w:bookmarkStart w:id="284" w:name="_Toc417917032"/>
      <w:r w:rsidRPr="00B6585E">
        <w:t xml:space="preserve">Appendix </w:t>
      </w:r>
      <w:r w:rsidR="005E3371">
        <w:t>B</w:t>
      </w:r>
      <w:r w:rsidR="005E3371" w:rsidRPr="00B6585E">
        <w:t xml:space="preserve"> </w:t>
      </w:r>
      <w:r w:rsidRPr="00B6585E">
        <w:t>– List of submissions</w:t>
      </w:r>
      <w:bookmarkEnd w:id="283"/>
      <w:bookmarkEnd w:id="284"/>
      <w:r w:rsidRPr="00B6585E">
        <w:t xml:space="preserve"> </w:t>
      </w:r>
    </w:p>
    <w:p w:rsidR="000D5E6B" w:rsidRDefault="000D5E6B" w:rsidP="00117E02">
      <w:pPr>
        <w:numPr>
          <w:ilvl w:val="0"/>
          <w:numId w:val="24"/>
        </w:numPr>
      </w:pPr>
      <w:r>
        <w:t>We received 21 submissions in response to Endeavour Energy's regulatory proposal as listed below:</w:t>
      </w:r>
    </w:p>
    <w:tbl>
      <w:tblPr>
        <w:tblStyle w:val="AERtable-text0"/>
        <w:tblW w:w="8613" w:type="dxa"/>
        <w:tblLayout w:type="fixed"/>
        <w:tblLook w:val="04A0" w:firstRow="1" w:lastRow="0" w:firstColumn="1" w:lastColumn="0" w:noHBand="0" w:noVBand="1"/>
      </w:tblPr>
      <w:tblGrid>
        <w:gridCol w:w="535"/>
        <w:gridCol w:w="4416"/>
        <w:gridCol w:w="1536"/>
        <w:gridCol w:w="2126"/>
      </w:tblGrid>
      <w:tr w:rsidR="00480456" w:rsidRPr="00982A99" w:rsidTr="00480456">
        <w:trPr>
          <w:cnfStyle w:val="100000000000" w:firstRow="1" w:lastRow="0" w:firstColumn="0" w:lastColumn="0" w:oddVBand="0" w:evenVBand="0" w:oddHBand="0" w:evenHBand="0" w:firstRowFirstColumn="0" w:firstRowLastColumn="0" w:lastRowFirstColumn="0" w:lastRowLastColumn="0"/>
        </w:trPr>
        <w:tc>
          <w:tcPr>
            <w:tcW w:w="535" w:type="dxa"/>
          </w:tcPr>
          <w:p w:rsidR="00480456" w:rsidRPr="00F32D6E" w:rsidRDefault="00480456" w:rsidP="000D5E6B"/>
        </w:tc>
        <w:tc>
          <w:tcPr>
            <w:tcW w:w="4416" w:type="dxa"/>
          </w:tcPr>
          <w:p w:rsidR="00480456" w:rsidRPr="00F32D6E" w:rsidRDefault="00480456" w:rsidP="000D5E6B">
            <w:r>
              <w:t>Submission from</w:t>
            </w:r>
          </w:p>
        </w:tc>
        <w:tc>
          <w:tcPr>
            <w:tcW w:w="1536" w:type="dxa"/>
          </w:tcPr>
          <w:p w:rsidR="00480456" w:rsidRPr="00F32D6E" w:rsidRDefault="00480456" w:rsidP="000D5E6B">
            <w:r>
              <w:t>Date received</w:t>
            </w:r>
          </w:p>
        </w:tc>
        <w:tc>
          <w:tcPr>
            <w:tcW w:w="2126" w:type="dxa"/>
          </w:tcPr>
          <w:p w:rsidR="00480456" w:rsidRPr="00F32D6E" w:rsidRDefault="00480456" w:rsidP="000D5E6B">
            <w:r>
              <w:t>Submission on</w:t>
            </w:r>
          </w:p>
        </w:tc>
      </w:tr>
      <w:tr w:rsidR="000D5E6B" w:rsidRPr="00982A99" w:rsidTr="00480456">
        <w:tc>
          <w:tcPr>
            <w:tcW w:w="535" w:type="dxa"/>
          </w:tcPr>
          <w:p w:rsidR="000D5E6B" w:rsidRPr="000D5E6B" w:rsidRDefault="000D5E6B" w:rsidP="000D5E6B">
            <w:r w:rsidRPr="00F32D6E">
              <w:t>1</w:t>
            </w:r>
          </w:p>
        </w:tc>
        <w:tc>
          <w:tcPr>
            <w:tcW w:w="4416" w:type="dxa"/>
          </w:tcPr>
          <w:p w:rsidR="000D5E6B" w:rsidRPr="000D5E6B" w:rsidRDefault="000D5E6B" w:rsidP="000D5E6B">
            <w:r w:rsidRPr="00F32D6E">
              <w:t>Energy Australia</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2</w:t>
            </w:r>
          </w:p>
        </w:tc>
        <w:tc>
          <w:tcPr>
            <w:tcW w:w="4416" w:type="dxa"/>
          </w:tcPr>
          <w:p w:rsidR="000D5E6B" w:rsidRPr="000D5E6B" w:rsidRDefault="000D5E6B" w:rsidP="000D5E6B">
            <w:r w:rsidRPr="00F32D6E">
              <w:t>Energy Retailers Association of Australia (ERAA)</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3</w:t>
            </w:r>
          </w:p>
        </w:tc>
        <w:tc>
          <w:tcPr>
            <w:tcW w:w="4416" w:type="dxa"/>
          </w:tcPr>
          <w:p w:rsidR="000D5E6B" w:rsidRPr="000D5E6B" w:rsidRDefault="000D5E6B" w:rsidP="000D5E6B">
            <w:r w:rsidRPr="00F32D6E">
              <w:t>AGL</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4</w:t>
            </w:r>
          </w:p>
        </w:tc>
        <w:tc>
          <w:tcPr>
            <w:tcW w:w="4416" w:type="dxa"/>
          </w:tcPr>
          <w:p w:rsidR="000D5E6B" w:rsidRPr="000D5E6B" w:rsidRDefault="000D5E6B" w:rsidP="000D5E6B">
            <w:proofErr w:type="spellStart"/>
            <w:r w:rsidRPr="00F32D6E">
              <w:t>EnerNOC</w:t>
            </w:r>
            <w:proofErr w:type="spellEnd"/>
            <w:r w:rsidRPr="00F32D6E">
              <w:t xml:space="preserve"> Pty Ltd</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5</w:t>
            </w:r>
          </w:p>
        </w:tc>
        <w:tc>
          <w:tcPr>
            <w:tcW w:w="4416" w:type="dxa"/>
          </w:tcPr>
          <w:p w:rsidR="000D5E6B" w:rsidRPr="000D5E6B" w:rsidRDefault="000D5E6B" w:rsidP="000D5E6B">
            <w:r w:rsidRPr="00F32D6E">
              <w:t xml:space="preserve">Clean </w:t>
            </w:r>
            <w:r w:rsidRPr="000D5E6B">
              <w:t>Energy Council (CEC)</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6</w:t>
            </w:r>
          </w:p>
        </w:tc>
        <w:tc>
          <w:tcPr>
            <w:tcW w:w="4416" w:type="dxa"/>
          </w:tcPr>
          <w:p w:rsidR="000D5E6B" w:rsidRPr="000D5E6B" w:rsidRDefault="000D5E6B" w:rsidP="000D5E6B">
            <w:r w:rsidRPr="00F32D6E">
              <w:t>Networks NSW</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7</w:t>
            </w:r>
          </w:p>
        </w:tc>
        <w:tc>
          <w:tcPr>
            <w:tcW w:w="4416" w:type="dxa"/>
          </w:tcPr>
          <w:p w:rsidR="000D5E6B" w:rsidRPr="000D5E6B" w:rsidRDefault="000D5E6B" w:rsidP="000D5E6B">
            <w:r w:rsidRPr="00F32D6E">
              <w:t xml:space="preserve">Energy Markets Reform Forum (EMRF) – EMRF is an affiliate of Major Energy Users </w:t>
            </w:r>
            <w:proofErr w:type="spellStart"/>
            <w:r w:rsidRPr="00F32D6E">
              <w:t>Inc</w:t>
            </w:r>
            <w:proofErr w:type="spellEnd"/>
            <w:r w:rsidRPr="00F32D6E">
              <w:t xml:space="preserve"> (MEU)</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8</w:t>
            </w:r>
          </w:p>
        </w:tc>
        <w:tc>
          <w:tcPr>
            <w:tcW w:w="4416" w:type="dxa"/>
          </w:tcPr>
          <w:p w:rsidR="000D5E6B" w:rsidRPr="000D5E6B" w:rsidRDefault="000D5E6B" w:rsidP="000D5E6B">
            <w:r w:rsidRPr="00F32D6E">
              <w:t xml:space="preserve">Energy Users </w:t>
            </w:r>
            <w:r w:rsidRPr="000D5E6B">
              <w:t>Association of Australia (EUAA)</w:t>
            </w:r>
          </w:p>
        </w:tc>
        <w:tc>
          <w:tcPr>
            <w:tcW w:w="1536" w:type="dxa"/>
          </w:tcPr>
          <w:p w:rsidR="000D5E6B" w:rsidRPr="000D5E6B" w:rsidRDefault="000D5E6B" w:rsidP="000D5E6B">
            <w:r w:rsidRPr="00F32D6E">
              <w:t>10/08/2014</w:t>
            </w:r>
          </w:p>
        </w:tc>
        <w:tc>
          <w:tcPr>
            <w:tcW w:w="2126" w:type="dxa"/>
          </w:tcPr>
          <w:p w:rsidR="000D5E6B" w:rsidRPr="000D5E6B" w:rsidRDefault="000D5E6B" w:rsidP="000D5E6B">
            <w:r w:rsidRPr="00F32D6E">
              <w:t xml:space="preserve">NSW </w:t>
            </w:r>
            <w:r w:rsidRPr="000D5E6B">
              <w:t>DNSPs</w:t>
            </w:r>
          </w:p>
        </w:tc>
      </w:tr>
      <w:tr w:rsidR="000D5E6B" w:rsidRPr="00982A99" w:rsidTr="00480456">
        <w:tc>
          <w:tcPr>
            <w:tcW w:w="535" w:type="dxa"/>
          </w:tcPr>
          <w:p w:rsidR="000D5E6B" w:rsidRPr="000D5E6B" w:rsidRDefault="000D5E6B" w:rsidP="000D5E6B">
            <w:r w:rsidRPr="00F32D6E">
              <w:t>9</w:t>
            </w:r>
          </w:p>
        </w:tc>
        <w:tc>
          <w:tcPr>
            <w:tcW w:w="4416" w:type="dxa"/>
          </w:tcPr>
          <w:p w:rsidR="000D5E6B" w:rsidRPr="000D5E6B" w:rsidRDefault="000D5E6B" w:rsidP="000D5E6B">
            <w:r w:rsidRPr="00F32D6E">
              <w:t>PIAC</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10</w:t>
            </w:r>
          </w:p>
        </w:tc>
        <w:tc>
          <w:tcPr>
            <w:tcW w:w="4416" w:type="dxa"/>
          </w:tcPr>
          <w:p w:rsidR="000D5E6B" w:rsidRPr="000D5E6B" w:rsidRDefault="000D5E6B" w:rsidP="000D5E6B">
            <w:r w:rsidRPr="00F32D6E">
              <w:t>Vector</w:t>
            </w:r>
            <w:r w:rsidRPr="000D5E6B">
              <w:t xml:space="preserve"> Limited</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11</w:t>
            </w:r>
          </w:p>
        </w:tc>
        <w:tc>
          <w:tcPr>
            <w:tcW w:w="4416" w:type="dxa"/>
          </w:tcPr>
          <w:p w:rsidR="000D5E6B" w:rsidRPr="000D5E6B" w:rsidRDefault="000D5E6B" w:rsidP="000D5E6B">
            <w:r w:rsidRPr="00F32D6E">
              <w:t>EUAA</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12</w:t>
            </w:r>
          </w:p>
        </w:tc>
        <w:tc>
          <w:tcPr>
            <w:tcW w:w="4416" w:type="dxa"/>
          </w:tcPr>
          <w:p w:rsidR="000D5E6B" w:rsidRPr="000D5E6B" w:rsidRDefault="000D5E6B" w:rsidP="000D5E6B">
            <w:r w:rsidRPr="00F32D6E">
              <w:t>Ethnic Communities’ Council of NSW (ECC)</w:t>
            </w:r>
          </w:p>
        </w:tc>
        <w:tc>
          <w:tcPr>
            <w:tcW w:w="1536" w:type="dxa"/>
          </w:tcPr>
          <w:p w:rsidR="000D5E6B" w:rsidRPr="000D5E6B" w:rsidRDefault="000D5E6B" w:rsidP="000D5E6B">
            <w:r w:rsidRPr="00F32D6E">
              <w:t>07/08/2014</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13</w:t>
            </w:r>
          </w:p>
        </w:tc>
        <w:tc>
          <w:tcPr>
            <w:tcW w:w="4416" w:type="dxa"/>
          </w:tcPr>
          <w:p w:rsidR="000D5E6B" w:rsidRPr="000D5E6B" w:rsidRDefault="000D5E6B" w:rsidP="000D5E6B">
            <w:r w:rsidRPr="00F32D6E">
              <w:t xml:space="preserve">Council of Social Service of NSW </w:t>
            </w:r>
            <w:r w:rsidRPr="000D5E6B">
              <w:t>(NCOSS)</w:t>
            </w:r>
          </w:p>
        </w:tc>
        <w:tc>
          <w:tcPr>
            <w:tcW w:w="1536" w:type="dxa"/>
          </w:tcPr>
          <w:p w:rsidR="000D5E6B" w:rsidRPr="000D5E6B" w:rsidRDefault="000D5E6B" w:rsidP="000D5E6B">
            <w:r w:rsidRPr="00F32D6E">
              <w:t>07/08/2014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1</w:t>
            </w:r>
            <w:r w:rsidRPr="000D5E6B">
              <w:t>4</w:t>
            </w:r>
          </w:p>
        </w:tc>
        <w:tc>
          <w:tcPr>
            <w:tcW w:w="4416" w:type="dxa"/>
          </w:tcPr>
          <w:p w:rsidR="000D5E6B" w:rsidRPr="000D5E6B" w:rsidRDefault="000D5E6B" w:rsidP="000D5E6B">
            <w:r w:rsidRPr="00F32D6E">
              <w:t xml:space="preserve">National </w:t>
            </w:r>
            <w:r w:rsidRPr="000D5E6B">
              <w:t>Generators Forum</w:t>
            </w:r>
          </w:p>
        </w:tc>
        <w:tc>
          <w:tcPr>
            <w:tcW w:w="1536" w:type="dxa"/>
          </w:tcPr>
          <w:p w:rsidR="000D5E6B" w:rsidRPr="000D5E6B" w:rsidRDefault="000D5E6B" w:rsidP="000D5E6B">
            <w:r w:rsidRPr="00F32D6E">
              <w:t>01/07/2014</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1</w:t>
            </w:r>
            <w:r w:rsidRPr="000D5E6B">
              <w:t>5</w:t>
            </w:r>
          </w:p>
        </w:tc>
        <w:tc>
          <w:tcPr>
            <w:tcW w:w="4416" w:type="dxa"/>
          </w:tcPr>
          <w:p w:rsidR="000D5E6B" w:rsidRPr="000D5E6B" w:rsidRDefault="000D5E6B" w:rsidP="000D5E6B">
            <w:r w:rsidRPr="00F32D6E">
              <w:t xml:space="preserve">Origin </w:t>
            </w:r>
            <w:r w:rsidRPr="000D5E6B">
              <w:t>Energy</w:t>
            </w:r>
          </w:p>
        </w:tc>
        <w:tc>
          <w:tcPr>
            <w:tcW w:w="1536" w:type="dxa"/>
          </w:tcPr>
          <w:p w:rsidR="000D5E6B" w:rsidRPr="000D5E6B" w:rsidRDefault="000D5E6B" w:rsidP="000D5E6B">
            <w:r w:rsidRPr="00F32D6E">
              <w:t>08/08/2014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1</w:t>
            </w:r>
            <w:r w:rsidRPr="000D5E6B">
              <w:t>6</w:t>
            </w:r>
          </w:p>
        </w:tc>
        <w:tc>
          <w:tcPr>
            <w:tcW w:w="4416" w:type="dxa"/>
          </w:tcPr>
          <w:p w:rsidR="000D5E6B" w:rsidRPr="000D5E6B" w:rsidRDefault="000D5E6B" w:rsidP="000D5E6B">
            <w:r w:rsidRPr="00F32D6E">
              <w:t>C</w:t>
            </w:r>
            <w:r w:rsidRPr="000D5E6B">
              <w:t>onsumer Challenge Panel (sub-panel1)</w:t>
            </w:r>
          </w:p>
        </w:tc>
        <w:tc>
          <w:tcPr>
            <w:tcW w:w="1536" w:type="dxa"/>
          </w:tcPr>
          <w:p w:rsidR="000D5E6B" w:rsidRPr="000D5E6B" w:rsidRDefault="000D5E6B" w:rsidP="000D5E6B">
            <w:r w:rsidRPr="00F32D6E">
              <w:t>12/08/2014</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t>16</w:t>
            </w:r>
          </w:p>
        </w:tc>
        <w:tc>
          <w:tcPr>
            <w:tcW w:w="4416" w:type="dxa"/>
          </w:tcPr>
          <w:p w:rsidR="000D5E6B" w:rsidRPr="000D5E6B" w:rsidRDefault="000D5E6B" w:rsidP="000D5E6B">
            <w:r w:rsidRPr="00F32D6E">
              <w:t>Simply Energy</w:t>
            </w:r>
          </w:p>
        </w:tc>
        <w:tc>
          <w:tcPr>
            <w:tcW w:w="1536" w:type="dxa"/>
          </w:tcPr>
          <w:p w:rsidR="000D5E6B" w:rsidRPr="000D5E6B" w:rsidRDefault="000D5E6B" w:rsidP="000D5E6B">
            <w:r w:rsidRPr="00F32D6E">
              <w:t>14/08/2014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17</w:t>
            </w:r>
          </w:p>
        </w:tc>
        <w:tc>
          <w:tcPr>
            <w:tcW w:w="4416" w:type="dxa"/>
          </w:tcPr>
          <w:p w:rsidR="000D5E6B" w:rsidRPr="000D5E6B" w:rsidRDefault="000D5E6B" w:rsidP="000D5E6B">
            <w:r w:rsidRPr="00F32D6E">
              <w:t>Total Environment Centre</w:t>
            </w:r>
          </w:p>
        </w:tc>
        <w:tc>
          <w:tcPr>
            <w:tcW w:w="1536" w:type="dxa"/>
          </w:tcPr>
          <w:p w:rsidR="000D5E6B" w:rsidRPr="000D5E6B" w:rsidRDefault="000D5E6B" w:rsidP="000D5E6B">
            <w:r w:rsidRPr="00F32D6E">
              <w:t>14/08/2014</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t>18</w:t>
            </w:r>
          </w:p>
        </w:tc>
        <w:tc>
          <w:tcPr>
            <w:tcW w:w="4416" w:type="dxa"/>
          </w:tcPr>
          <w:p w:rsidR="000D5E6B" w:rsidRPr="000D5E6B" w:rsidRDefault="000D5E6B" w:rsidP="000D5E6B">
            <w:proofErr w:type="spellStart"/>
            <w:r w:rsidRPr="00F32D6E">
              <w:t>UnitingCare</w:t>
            </w:r>
            <w:proofErr w:type="spellEnd"/>
            <w:r w:rsidRPr="00F32D6E">
              <w:t xml:space="preserve"> Australia</w:t>
            </w:r>
          </w:p>
        </w:tc>
        <w:tc>
          <w:tcPr>
            <w:tcW w:w="1536" w:type="dxa"/>
          </w:tcPr>
          <w:p w:rsidR="000D5E6B" w:rsidRPr="000D5E6B" w:rsidRDefault="000D5E6B" w:rsidP="000D5E6B">
            <w:r w:rsidRPr="00F32D6E">
              <w:t>03/09/2014</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19</w:t>
            </w:r>
          </w:p>
        </w:tc>
        <w:tc>
          <w:tcPr>
            <w:tcW w:w="4416" w:type="dxa"/>
          </w:tcPr>
          <w:p w:rsidR="000D5E6B" w:rsidRPr="000D5E6B" w:rsidRDefault="000D5E6B" w:rsidP="000D5E6B">
            <w:r w:rsidRPr="00E67372">
              <w:t>TRANS TASMAN Energy Group (to represent combined interests of Endeavour Energy Supplied Councils)</w:t>
            </w:r>
          </w:p>
        </w:tc>
        <w:tc>
          <w:tcPr>
            <w:tcW w:w="1536" w:type="dxa"/>
          </w:tcPr>
          <w:p w:rsidR="000D5E6B" w:rsidRPr="000D5E6B" w:rsidRDefault="000D5E6B" w:rsidP="000D5E6B">
            <w:r w:rsidRPr="00E67372">
              <w:t>11/08/2014</w:t>
            </w:r>
          </w:p>
        </w:tc>
        <w:tc>
          <w:tcPr>
            <w:tcW w:w="2126" w:type="dxa"/>
          </w:tcPr>
          <w:p w:rsidR="000D5E6B" w:rsidRPr="000D5E6B" w:rsidRDefault="000D5E6B" w:rsidP="000D5E6B">
            <w:r w:rsidRPr="00E67372">
              <w:t>Endeavour Energy</w:t>
            </w:r>
          </w:p>
        </w:tc>
      </w:tr>
      <w:tr w:rsidR="000D5E6B" w:rsidRPr="00982A99" w:rsidTr="00480456">
        <w:tc>
          <w:tcPr>
            <w:tcW w:w="535" w:type="dxa"/>
          </w:tcPr>
          <w:p w:rsidR="000D5E6B" w:rsidRPr="000D5E6B" w:rsidRDefault="000D5E6B" w:rsidP="000D5E6B">
            <w:r w:rsidRPr="00E67372">
              <w:t>2</w:t>
            </w:r>
            <w:r w:rsidRPr="000D5E6B">
              <w:t>0</w:t>
            </w:r>
          </w:p>
        </w:tc>
        <w:tc>
          <w:tcPr>
            <w:tcW w:w="4416" w:type="dxa"/>
          </w:tcPr>
          <w:p w:rsidR="000D5E6B" w:rsidRPr="000D5E6B" w:rsidRDefault="000D5E6B" w:rsidP="000D5E6B">
            <w:r w:rsidRPr="00E67372">
              <w:t>Wollongong City Council</w:t>
            </w:r>
          </w:p>
        </w:tc>
        <w:tc>
          <w:tcPr>
            <w:tcW w:w="1536" w:type="dxa"/>
          </w:tcPr>
          <w:p w:rsidR="000D5E6B" w:rsidRPr="000D5E6B" w:rsidRDefault="000D5E6B" w:rsidP="000D5E6B">
            <w:r w:rsidRPr="00E67372">
              <w:t>08/08/2014</w:t>
            </w:r>
          </w:p>
        </w:tc>
        <w:tc>
          <w:tcPr>
            <w:tcW w:w="2126" w:type="dxa"/>
          </w:tcPr>
          <w:p w:rsidR="000D5E6B" w:rsidRPr="000D5E6B" w:rsidRDefault="000D5E6B" w:rsidP="000D5E6B">
            <w:r w:rsidRPr="00E67372">
              <w:t>Endeavour Energy</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21</w:t>
            </w:r>
          </w:p>
        </w:tc>
        <w:tc>
          <w:tcPr>
            <w:tcW w:w="4416" w:type="dxa"/>
          </w:tcPr>
          <w:p w:rsidR="000D5E6B" w:rsidRPr="000D5E6B" w:rsidRDefault="000D5E6B" w:rsidP="000D5E6B">
            <w:r w:rsidRPr="00E67372">
              <w:t xml:space="preserve">TRSNS TASMAN Energy Group - Camden Council </w:t>
            </w:r>
            <w:r w:rsidRPr="000D5E6B">
              <w:t>(Confidential and public versions)</w:t>
            </w:r>
          </w:p>
        </w:tc>
        <w:tc>
          <w:tcPr>
            <w:tcW w:w="1536" w:type="dxa"/>
          </w:tcPr>
          <w:p w:rsidR="000D5E6B" w:rsidRPr="000D5E6B" w:rsidRDefault="000D5E6B" w:rsidP="000D5E6B">
            <w:r w:rsidRPr="00E67372">
              <w:t>11/08/2018</w:t>
            </w:r>
          </w:p>
        </w:tc>
        <w:tc>
          <w:tcPr>
            <w:tcW w:w="2126" w:type="dxa"/>
          </w:tcPr>
          <w:p w:rsidR="000D5E6B" w:rsidRPr="000D5E6B" w:rsidRDefault="000D5E6B" w:rsidP="000D5E6B">
            <w:r w:rsidRPr="00E67372">
              <w:t>Endeavour Energy</w:t>
            </w:r>
          </w:p>
        </w:tc>
      </w:tr>
    </w:tbl>
    <w:p w:rsidR="000D5E6B" w:rsidRDefault="000D5E6B" w:rsidP="000D5E6B"/>
    <w:p w:rsidR="000D5E6B" w:rsidRPr="000D5E6B" w:rsidRDefault="000D5E6B" w:rsidP="000D5E6B">
      <w:r>
        <w:br w:type="page"/>
      </w:r>
    </w:p>
    <w:p w:rsidR="000D5E6B" w:rsidRPr="00ED755A" w:rsidRDefault="000D5E6B" w:rsidP="000D5E6B">
      <w:pPr>
        <w:rPr>
          <w:rStyle w:val="AERtexthighlight"/>
        </w:rPr>
      </w:pPr>
      <w:r>
        <w:t>We received 30 submissions in response to our draft decision and Endeavour Energy's revised proposal as listed below:</w:t>
      </w:r>
    </w:p>
    <w:tbl>
      <w:tblPr>
        <w:tblStyle w:val="AERtable-text0"/>
        <w:tblW w:w="8613" w:type="dxa"/>
        <w:tblLayout w:type="fixed"/>
        <w:tblLook w:val="04A0" w:firstRow="1" w:lastRow="0" w:firstColumn="1" w:lastColumn="0" w:noHBand="0" w:noVBand="1"/>
      </w:tblPr>
      <w:tblGrid>
        <w:gridCol w:w="535"/>
        <w:gridCol w:w="4416"/>
        <w:gridCol w:w="1536"/>
        <w:gridCol w:w="2126"/>
      </w:tblGrid>
      <w:tr w:rsidR="00480456" w:rsidRPr="00982A99" w:rsidTr="00480456">
        <w:trPr>
          <w:cnfStyle w:val="100000000000" w:firstRow="1" w:lastRow="0" w:firstColumn="0" w:lastColumn="0" w:oddVBand="0" w:evenVBand="0" w:oddHBand="0" w:evenHBand="0" w:firstRowFirstColumn="0" w:firstRowLastColumn="0" w:lastRowFirstColumn="0" w:lastRowLastColumn="0"/>
        </w:trPr>
        <w:tc>
          <w:tcPr>
            <w:tcW w:w="535" w:type="dxa"/>
          </w:tcPr>
          <w:p w:rsidR="00480456" w:rsidRPr="00F32D6E" w:rsidRDefault="00480456" w:rsidP="000D5E6B"/>
        </w:tc>
        <w:tc>
          <w:tcPr>
            <w:tcW w:w="4416" w:type="dxa"/>
          </w:tcPr>
          <w:p w:rsidR="00480456" w:rsidRDefault="00480456" w:rsidP="000D5E6B">
            <w:r>
              <w:t>Submission from</w:t>
            </w:r>
          </w:p>
        </w:tc>
        <w:tc>
          <w:tcPr>
            <w:tcW w:w="1536" w:type="dxa"/>
          </w:tcPr>
          <w:p w:rsidR="00480456" w:rsidRDefault="00480456" w:rsidP="000D5E6B">
            <w:r>
              <w:t>Date received</w:t>
            </w:r>
          </w:p>
        </w:tc>
        <w:tc>
          <w:tcPr>
            <w:tcW w:w="2126" w:type="dxa"/>
          </w:tcPr>
          <w:p w:rsidR="00480456" w:rsidRPr="00F32D6E" w:rsidRDefault="00480456" w:rsidP="000D5E6B">
            <w:r>
              <w:t>Submission on</w:t>
            </w:r>
          </w:p>
        </w:tc>
      </w:tr>
      <w:tr w:rsidR="000D5E6B" w:rsidRPr="00982A99" w:rsidTr="00480456">
        <w:tc>
          <w:tcPr>
            <w:tcW w:w="535" w:type="dxa"/>
          </w:tcPr>
          <w:p w:rsidR="000D5E6B" w:rsidRPr="000D5E6B" w:rsidRDefault="000D5E6B" w:rsidP="000D5E6B">
            <w:r w:rsidRPr="00F32D6E">
              <w:t>1</w:t>
            </w:r>
          </w:p>
        </w:tc>
        <w:tc>
          <w:tcPr>
            <w:tcW w:w="4416" w:type="dxa"/>
          </w:tcPr>
          <w:p w:rsidR="000D5E6B" w:rsidRPr="000D5E6B" w:rsidRDefault="000D5E6B" w:rsidP="000D5E6B">
            <w:r>
              <w:t>Andrew Murphy</w:t>
            </w:r>
          </w:p>
        </w:tc>
        <w:tc>
          <w:tcPr>
            <w:tcW w:w="1536" w:type="dxa"/>
          </w:tcPr>
          <w:p w:rsidR="000D5E6B" w:rsidRPr="000D5E6B" w:rsidRDefault="000D5E6B" w:rsidP="000D5E6B">
            <w:r>
              <w:t>13/01/2015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2</w:t>
            </w:r>
          </w:p>
        </w:tc>
        <w:tc>
          <w:tcPr>
            <w:tcW w:w="4416" w:type="dxa"/>
          </w:tcPr>
          <w:p w:rsidR="000D5E6B" w:rsidRPr="000D5E6B" w:rsidRDefault="000D5E6B" w:rsidP="000D5E6B">
            <w:proofErr w:type="spellStart"/>
            <w:r>
              <w:t>CitiPower</w:t>
            </w:r>
            <w:proofErr w:type="spellEnd"/>
            <w:r>
              <w:t xml:space="preserve"> and </w:t>
            </w:r>
            <w:proofErr w:type="spellStart"/>
            <w:r>
              <w:t>Powercor</w:t>
            </w:r>
            <w:proofErr w:type="spellEnd"/>
          </w:p>
        </w:tc>
        <w:tc>
          <w:tcPr>
            <w:tcW w:w="1536" w:type="dxa"/>
          </w:tcPr>
          <w:p w:rsidR="000D5E6B" w:rsidRPr="000D5E6B" w:rsidRDefault="000D5E6B" w:rsidP="000D5E6B">
            <w:r>
              <w:t>06/02/2015</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3</w:t>
            </w:r>
          </w:p>
        </w:tc>
        <w:tc>
          <w:tcPr>
            <w:tcW w:w="4416" w:type="dxa"/>
          </w:tcPr>
          <w:p w:rsidR="000D5E6B" w:rsidRPr="000D5E6B" w:rsidRDefault="000D5E6B" w:rsidP="000D5E6B">
            <w:r>
              <w:t>Jemena Limited</w:t>
            </w:r>
          </w:p>
        </w:tc>
        <w:tc>
          <w:tcPr>
            <w:tcW w:w="1536" w:type="dxa"/>
          </w:tcPr>
          <w:p w:rsidR="000D5E6B" w:rsidRPr="000D5E6B" w:rsidRDefault="000D5E6B" w:rsidP="000D5E6B">
            <w:r>
              <w:t>06/02/2015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4</w:t>
            </w:r>
          </w:p>
        </w:tc>
        <w:tc>
          <w:tcPr>
            <w:tcW w:w="4416" w:type="dxa"/>
          </w:tcPr>
          <w:p w:rsidR="000D5E6B" w:rsidRPr="000D5E6B" w:rsidRDefault="000D5E6B" w:rsidP="000D5E6B">
            <w:r>
              <w:t>SA Power Network</w:t>
            </w:r>
          </w:p>
        </w:tc>
        <w:tc>
          <w:tcPr>
            <w:tcW w:w="1536" w:type="dxa"/>
          </w:tcPr>
          <w:p w:rsidR="000D5E6B" w:rsidRPr="000D5E6B" w:rsidRDefault="000D5E6B" w:rsidP="000D5E6B">
            <w:r>
              <w:t>06/02/2015</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5</w:t>
            </w:r>
          </w:p>
        </w:tc>
        <w:tc>
          <w:tcPr>
            <w:tcW w:w="4416" w:type="dxa"/>
          </w:tcPr>
          <w:p w:rsidR="000D5E6B" w:rsidRPr="000D5E6B" w:rsidRDefault="000D5E6B" w:rsidP="000D5E6B">
            <w:r>
              <w:t>United Energy</w:t>
            </w:r>
          </w:p>
        </w:tc>
        <w:tc>
          <w:tcPr>
            <w:tcW w:w="1536" w:type="dxa"/>
          </w:tcPr>
          <w:p w:rsidR="000D5E6B" w:rsidRPr="000D5E6B" w:rsidRDefault="000D5E6B" w:rsidP="000D5E6B">
            <w:r>
              <w:t>06/02/2015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6</w:t>
            </w:r>
          </w:p>
        </w:tc>
        <w:tc>
          <w:tcPr>
            <w:tcW w:w="4416" w:type="dxa"/>
          </w:tcPr>
          <w:p w:rsidR="000D5E6B" w:rsidRPr="000D5E6B" w:rsidRDefault="000D5E6B" w:rsidP="000D5E6B">
            <w:r>
              <w:t>United Energy and Multinet</w:t>
            </w:r>
          </w:p>
        </w:tc>
        <w:tc>
          <w:tcPr>
            <w:tcW w:w="1536" w:type="dxa"/>
          </w:tcPr>
          <w:p w:rsidR="000D5E6B" w:rsidRPr="000D5E6B" w:rsidRDefault="000D5E6B" w:rsidP="000D5E6B">
            <w:r>
              <w:t>06/02/2015</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7</w:t>
            </w:r>
          </w:p>
        </w:tc>
        <w:tc>
          <w:tcPr>
            <w:tcW w:w="4416" w:type="dxa"/>
          </w:tcPr>
          <w:p w:rsidR="000D5E6B" w:rsidRPr="000D5E6B" w:rsidRDefault="000D5E6B" w:rsidP="000D5E6B">
            <w:r>
              <w:t>TasNetworks</w:t>
            </w:r>
          </w:p>
        </w:tc>
        <w:tc>
          <w:tcPr>
            <w:tcW w:w="1536" w:type="dxa"/>
          </w:tcPr>
          <w:p w:rsidR="000D5E6B" w:rsidRPr="000D5E6B" w:rsidRDefault="000D5E6B" w:rsidP="000D5E6B">
            <w:r>
              <w:t>11/02/2015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8</w:t>
            </w:r>
          </w:p>
        </w:tc>
        <w:tc>
          <w:tcPr>
            <w:tcW w:w="4416" w:type="dxa"/>
          </w:tcPr>
          <w:p w:rsidR="000D5E6B" w:rsidRPr="000D5E6B" w:rsidRDefault="000D5E6B" w:rsidP="000D5E6B">
            <w:r>
              <w:t>Ethnic Communities Council of NSW</w:t>
            </w:r>
          </w:p>
        </w:tc>
        <w:tc>
          <w:tcPr>
            <w:tcW w:w="1536" w:type="dxa"/>
          </w:tcPr>
          <w:p w:rsidR="000D5E6B" w:rsidRPr="000D5E6B" w:rsidRDefault="000D5E6B" w:rsidP="000D5E6B">
            <w:r>
              <w:t>11/02/2015</w:t>
            </w:r>
          </w:p>
        </w:tc>
        <w:tc>
          <w:tcPr>
            <w:tcW w:w="2126" w:type="dxa"/>
          </w:tcPr>
          <w:p w:rsidR="000D5E6B" w:rsidRPr="000D5E6B" w:rsidRDefault="000D5E6B" w:rsidP="000D5E6B">
            <w:r w:rsidRPr="00F32D6E">
              <w:t xml:space="preserve">NSW </w:t>
            </w:r>
            <w:r w:rsidRPr="000D5E6B">
              <w:t>DNSPs</w:t>
            </w:r>
          </w:p>
        </w:tc>
      </w:tr>
      <w:tr w:rsidR="000D5E6B" w:rsidRPr="00982A99" w:rsidTr="00480456">
        <w:tc>
          <w:tcPr>
            <w:tcW w:w="535" w:type="dxa"/>
          </w:tcPr>
          <w:p w:rsidR="000D5E6B" w:rsidRPr="000D5E6B" w:rsidRDefault="000D5E6B" w:rsidP="000D5E6B">
            <w:r w:rsidRPr="00F32D6E">
              <w:t>9</w:t>
            </w:r>
          </w:p>
        </w:tc>
        <w:tc>
          <w:tcPr>
            <w:tcW w:w="4416" w:type="dxa"/>
          </w:tcPr>
          <w:p w:rsidR="000D5E6B" w:rsidRPr="000D5E6B" w:rsidRDefault="000D5E6B" w:rsidP="000D5E6B">
            <w:r>
              <w:t>The Greens (John Kaye MP)</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10</w:t>
            </w:r>
          </w:p>
        </w:tc>
        <w:tc>
          <w:tcPr>
            <w:tcW w:w="4416" w:type="dxa"/>
          </w:tcPr>
          <w:p w:rsidR="000D5E6B" w:rsidRPr="000D5E6B" w:rsidRDefault="000D5E6B" w:rsidP="000D5E6B">
            <w:r>
              <w:t>Professionals Australia</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11</w:t>
            </w:r>
          </w:p>
        </w:tc>
        <w:tc>
          <w:tcPr>
            <w:tcW w:w="4416" w:type="dxa"/>
          </w:tcPr>
          <w:p w:rsidR="000D5E6B" w:rsidRPr="000D5E6B" w:rsidRDefault="000D5E6B" w:rsidP="000D5E6B">
            <w:r w:rsidRPr="00F32D6E">
              <w:t>E</w:t>
            </w:r>
            <w:r w:rsidRPr="000D5E6B">
              <w:t>nergy Retailers Association of Australia</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12</w:t>
            </w:r>
          </w:p>
        </w:tc>
        <w:tc>
          <w:tcPr>
            <w:tcW w:w="4416" w:type="dxa"/>
          </w:tcPr>
          <w:p w:rsidR="000D5E6B" w:rsidRPr="000D5E6B" w:rsidRDefault="000D5E6B" w:rsidP="000D5E6B">
            <w:r>
              <w:t>Spark Infrastructure</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13</w:t>
            </w:r>
          </w:p>
        </w:tc>
        <w:tc>
          <w:tcPr>
            <w:tcW w:w="4416" w:type="dxa"/>
          </w:tcPr>
          <w:p w:rsidR="000D5E6B" w:rsidRPr="000D5E6B" w:rsidRDefault="000D5E6B" w:rsidP="000D5E6B">
            <w:proofErr w:type="spellStart"/>
            <w:r>
              <w:t>AUSNet</w:t>
            </w:r>
            <w:proofErr w:type="spellEnd"/>
          </w:p>
        </w:tc>
        <w:tc>
          <w:tcPr>
            <w:tcW w:w="1536" w:type="dxa"/>
          </w:tcPr>
          <w:p w:rsidR="000D5E6B" w:rsidRPr="000D5E6B" w:rsidRDefault="000D5E6B" w:rsidP="000D5E6B">
            <w:r>
              <w:t>12/02/2015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1</w:t>
            </w:r>
            <w:r w:rsidRPr="000D5E6B">
              <w:t>4</w:t>
            </w:r>
          </w:p>
        </w:tc>
        <w:tc>
          <w:tcPr>
            <w:tcW w:w="4416" w:type="dxa"/>
          </w:tcPr>
          <w:p w:rsidR="000D5E6B" w:rsidRPr="000D5E6B" w:rsidRDefault="000D5E6B" w:rsidP="000D5E6B">
            <w:r>
              <w:t>Vector Limited</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rsidRPr="00F32D6E">
              <w:t>1</w:t>
            </w:r>
            <w:r w:rsidRPr="000D5E6B">
              <w:t>5</w:t>
            </w:r>
          </w:p>
        </w:tc>
        <w:tc>
          <w:tcPr>
            <w:tcW w:w="4416" w:type="dxa"/>
          </w:tcPr>
          <w:p w:rsidR="000D5E6B" w:rsidRPr="000D5E6B" w:rsidRDefault="000D5E6B" w:rsidP="000D5E6B">
            <w:proofErr w:type="spellStart"/>
            <w:r>
              <w:t>EnerNOC</w:t>
            </w:r>
            <w:proofErr w:type="spellEnd"/>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rsidRPr="00F32D6E">
              <w:t>1</w:t>
            </w:r>
            <w:r w:rsidRPr="000D5E6B">
              <w:t>6</w:t>
            </w:r>
          </w:p>
        </w:tc>
        <w:tc>
          <w:tcPr>
            <w:tcW w:w="4416" w:type="dxa"/>
          </w:tcPr>
          <w:p w:rsidR="000D5E6B" w:rsidRPr="000D5E6B" w:rsidRDefault="000D5E6B" w:rsidP="000D5E6B">
            <w:r>
              <w:t>Total Environment Centre</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c>
          <w:tcPr>
            <w:tcW w:w="535" w:type="dxa"/>
          </w:tcPr>
          <w:p w:rsidR="000D5E6B" w:rsidRPr="000D5E6B" w:rsidRDefault="000D5E6B" w:rsidP="000D5E6B">
            <w:r>
              <w:t>16</w:t>
            </w:r>
          </w:p>
        </w:tc>
        <w:tc>
          <w:tcPr>
            <w:tcW w:w="4416" w:type="dxa"/>
          </w:tcPr>
          <w:p w:rsidR="000D5E6B" w:rsidRPr="000D5E6B" w:rsidRDefault="000D5E6B" w:rsidP="000D5E6B">
            <w:r>
              <w:t>Energy Australia</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17</w:t>
            </w:r>
          </w:p>
        </w:tc>
        <w:tc>
          <w:tcPr>
            <w:tcW w:w="4416" w:type="dxa"/>
          </w:tcPr>
          <w:p w:rsidR="000D5E6B" w:rsidRPr="000D5E6B" w:rsidRDefault="000D5E6B" w:rsidP="000D5E6B">
            <w:r>
              <w:t>EUAA</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w:t>
            </w:r>
            <w:r w:rsidRPr="000D5E6B">
              <w:t xml:space="preserve"> DNSPs</w:t>
            </w:r>
          </w:p>
        </w:tc>
      </w:tr>
      <w:tr w:rsidR="000D5E6B" w:rsidRPr="00982A99" w:rsidTr="00480456">
        <w:tc>
          <w:tcPr>
            <w:tcW w:w="535" w:type="dxa"/>
          </w:tcPr>
          <w:p w:rsidR="000D5E6B" w:rsidRPr="000D5E6B" w:rsidRDefault="000D5E6B" w:rsidP="000D5E6B">
            <w:r>
              <w:t>18</w:t>
            </w:r>
          </w:p>
        </w:tc>
        <w:tc>
          <w:tcPr>
            <w:tcW w:w="4416" w:type="dxa"/>
          </w:tcPr>
          <w:p w:rsidR="000D5E6B" w:rsidRPr="000D5E6B" w:rsidRDefault="000D5E6B" w:rsidP="000D5E6B">
            <w:r>
              <w:t>Institute for Sustainable Futures</w:t>
            </w:r>
          </w:p>
        </w:tc>
        <w:tc>
          <w:tcPr>
            <w:tcW w:w="1536" w:type="dxa"/>
          </w:tcPr>
          <w:p w:rsidR="000D5E6B" w:rsidRPr="000D5E6B" w:rsidRDefault="000D5E6B" w:rsidP="000D5E6B">
            <w:r>
              <w:t>13/02/2015</w:t>
            </w:r>
          </w:p>
        </w:tc>
        <w:tc>
          <w:tcPr>
            <w:tcW w:w="2126" w:type="dxa"/>
          </w:tcPr>
          <w:p w:rsidR="000D5E6B" w:rsidRPr="000D5E6B" w:rsidRDefault="000D5E6B" w:rsidP="000D5E6B">
            <w:r w:rsidRPr="00F32D6E">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19</w:t>
            </w:r>
          </w:p>
        </w:tc>
        <w:tc>
          <w:tcPr>
            <w:tcW w:w="4416" w:type="dxa"/>
          </w:tcPr>
          <w:p w:rsidR="000D5E6B" w:rsidRPr="000D5E6B" w:rsidRDefault="000D5E6B" w:rsidP="000D5E6B">
            <w:r>
              <w:t>Joy Llewellyn-Smith</w:t>
            </w:r>
          </w:p>
        </w:tc>
        <w:tc>
          <w:tcPr>
            <w:tcW w:w="1536" w:type="dxa"/>
          </w:tcPr>
          <w:p w:rsidR="000D5E6B" w:rsidRPr="000D5E6B" w:rsidRDefault="000D5E6B" w:rsidP="000D5E6B">
            <w:r>
              <w:t>19/02/2015</w:t>
            </w:r>
          </w:p>
        </w:tc>
        <w:tc>
          <w:tcPr>
            <w:tcW w:w="2126" w:type="dxa"/>
          </w:tcPr>
          <w:p w:rsidR="000D5E6B" w:rsidRPr="000D5E6B" w:rsidRDefault="000D5E6B" w:rsidP="000D5E6B">
            <w:r>
              <w:t>NSW DNSPs</w:t>
            </w:r>
          </w:p>
        </w:tc>
      </w:tr>
      <w:tr w:rsidR="000D5E6B" w:rsidRPr="00982A99" w:rsidTr="00480456">
        <w:tc>
          <w:tcPr>
            <w:tcW w:w="535" w:type="dxa"/>
          </w:tcPr>
          <w:p w:rsidR="000D5E6B" w:rsidRPr="000D5E6B" w:rsidRDefault="000D5E6B" w:rsidP="000D5E6B">
            <w:r w:rsidRPr="00E67372">
              <w:t>2</w:t>
            </w:r>
            <w:r w:rsidRPr="000D5E6B">
              <w:t>0</w:t>
            </w:r>
          </w:p>
        </w:tc>
        <w:tc>
          <w:tcPr>
            <w:tcW w:w="4416" w:type="dxa"/>
          </w:tcPr>
          <w:p w:rsidR="000D5E6B" w:rsidRPr="000D5E6B" w:rsidRDefault="000D5E6B" w:rsidP="000D5E6B">
            <w:r>
              <w:t>Council of Social Service of NSW</w:t>
            </w:r>
          </w:p>
        </w:tc>
        <w:tc>
          <w:tcPr>
            <w:tcW w:w="1536" w:type="dxa"/>
          </w:tcPr>
          <w:p w:rsidR="000D5E6B" w:rsidRPr="000D5E6B" w:rsidRDefault="000D5E6B" w:rsidP="000D5E6B">
            <w:r>
              <w:t>13/02/2015</w:t>
            </w:r>
          </w:p>
        </w:tc>
        <w:tc>
          <w:tcPr>
            <w:tcW w:w="2126" w:type="dxa"/>
          </w:tcPr>
          <w:p w:rsidR="000D5E6B" w:rsidRPr="000D5E6B" w:rsidRDefault="000D5E6B" w:rsidP="000D5E6B">
            <w:r>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21</w:t>
            </w:r>
          </w:p>
        </w:tc>
        <w:tc>
          <w:tcPr>
            <w:tcW w:w="4416" w:type="dxa"/>
          </w:tcPr>
          <w:p w:rsidR="000D5E6B" w:rsidRPr="000D5E6B" w:rsidRDefault="000D5E6B" w:rsidP="000D5E6B">
            <w:r>
              <w:t>Networks NSW</w:t>
            </w:r>
          </w:p>
        </w:tc>
        <w:tc>
          <w:tcPr>
            <w:tcW w:w="1536" w:type="dxa"/>
          </w:tcPr>
          <w:p w:rsidR="000D5E6B" w:rsidRPr="000D5E6B" w:rsidRDefault="000D5E6B" w:rsidP="000D5E6B">
            <w:r>
              <w:t>13/02/2015</w:t>
            </w:r>
          </w:p>
        </w:tc>
        <w:tc>
          <w:tcPr>
            <w:tcW w:w="2126" w:type="dxa"/>
          </w:tcPr>
          <w:p w:rsidR="000D5E6B" w:rsidRPr="000D5E6B" w:rsidRDefault="000D5E6B" w:rsidP="000D5E6B">
            <w:r>
              <w:t>NSW DNSPs</w:t>
            </w:r>
          </w:p>
        </w:tc>
      </w:tr>
      <w:tr w:rsidR="000D5E6B" w:rsidRPr="00982A99" w:rsidTr="00480456">
        <w:tc>
          <w:tcPr>
            <w:tcW w:w="535" w:type="dxa"/>
          </w:tcPr>
          <w:p w:rsidR="000D5E6B" w:rsidRPr="000D5E6B" w:rsidRDefault="000D5E6B" w:rsidP="000D5E6B">
            <w:r>
              <w:t>22</w:t>
            </w:r>
          </w:p>
        </w:tc>
        <w:tc>
          <w:tcPr>
            <w:tcW w:w="4416" w:type="dxa"/>
          </w:tcPr>
          <w:p w:rsidR="000D5E6B" w:rsidRPr="000D5E6B" w:rsidRDefault="000D5E6B" w:rsidP="000D5E6B">
            <w:r>
              <w:t>The National Institute of Economic and Industry Research</w:t>
            </w:r>
          </w:p>
        </w:tc>
        <w:tc>
          <w:tcPr>
            <w:tcW w:w="1536" w:type="dxa"/>
          </w:tcPr>
          <w:p w:rsidR="000D5E6B" w:rsidRPr="000D5E6B" w:rsidRDefault="000D5E6B" w:rsidP="000D5E6B">
            <w:r>
              <w:t>12/02/2015</w:t>
            </w:r>
          </w:p>
        </w:tc>
        <w:tc>
          <w:tcPr>
            <w:tcW w:w="2126" w:type="dxa"/>
          </w:tcPr>
          <w:p w:rsidR="000D5E6B" w:rsidRPr="000D5E6B" w:rsidRDefault="000D5E6B" w:rsidP="000D5E6B">
            <w:r>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23</w:t>
            </w:r>
          </w:p>
        </w:tc>
        <w:tc>
          <w:tcPr>
            <w:tcW w:w="4416" w:type="dxa"/>
          </w:tcPr>
          <w:p w:rsidR="000D5E6B" w:rsidRPr="000D5E6B" w:rsidRDefault="000D5E6B" w:rsidP="000D5E6B">
            <w:r>
              <w:t>Origin Energy</w:t>
            </w:r>
          </w:p>
        </w:tc>
        <w:tc>
          <w:tcPr>
            <w:tcW w:w="1536" w:type="dxa"/>
          </w:tcPr>
          <w:p w:rsidR="000D5E6B" w:rsidRPr="000D5E6B" w:rsidRDefault="000D5E6B" w:rsidP="000D5E6B">
            <w:r>
              <w:t>15/02/2015</w:t>
            </w:r>
          </w:p>
        </w:tc>
        <w:tc>
          <w:tcPr>
            <w:tcW w:w="2126" w:type="dxa"/>
          </w:tcPr>
          <w:p w:rsidR="000D5E6B" w:rsidRPr="000D5E6B" w:rsidRDefault="000D5E6B" w:rsidP="000D5E6B">
            <w:r>
              <w:t>NSW DNSPs</w:t>
            </w:r>
          </w:p>
        </w:tc>
      </w:tr>
      <w:tr w:rsidR="000D5E6B" w:rsidRPr="00982A99" w:rsidTr="00480456">
        <w:tc>
          <w:tcPr>
            <w:tcW w:w="535" w:type="dxa"/>
          </w:tcPr>
          <w:p w:rsidR="000D5E6B" w:rsidRPr="000D5E6B" w:rsidRDefault="000D5E6B" w:rsidP="000D5E6B">
            <w:r>
              <w:t>24</w:t>
            </w:r>
          </w:p>
        </w:tc>
        <w:tc>
          <w:tcPr>
            <w:tcW w:w="4416" w:type="dxa"/>
          </w:tcPr>
          <w:p w:rsidR="000D5E6B" w:rsidRPr="000D5E6B" w:rsidRDefault="000D5E6B" w:rsidP="000D5E6B">
            <w:r>
              <w:t>Public Interest Advocacy Council</w:t>
            </w:r>
          </w:p>
        </w:tc>
        <w:tc>
          <w:tcPr>
            <w:tcW w:w="1536" w:type="dxa"/>
          </w:tcPr>
          <w:p w:rsidR="000D5E6B" w:rsidRPr="000D5E6B" w:rsidRDefault="000D5E6B" w:rsidP="000D5E6B">
            <w:r>
              <w:t>14/02/2015</w:t>
            </w:r>
          </w:p>
        </w:tc>
        <w:tc>
          <w:tcPr>
            <w:tcW w:w="2126" w:type="dxa"/>
          </w:tcPr>
          <w:p w:rsidR="000D5E6B" w:rsidRPr="000D5E6B" w:rsidRDefault="000D5E6B" w:rsidP="000D5E6B">
            <w:r>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25</w:t>
            </w:r>
          </w:p>
        </w:tc>
        <w:tc>
          <w:tcPr>
            <w:tcW w:w="4416" w:type="dxa"/>
          </w:tcPr>
          <w:p w:rsidR="000D5E6B" w:rsidRPr="000D5E6B" w:rsidRDefault="000D5E6B" w:rsidP="000D5E6B">
            <w:r>
              <w:t>RARE Infrastructure</w:t>
            </w:r>
          </w:p>
        </w:tc>
        <w:tc>
          <w:tcPr>
            <w:tcW w:w="1536" w:type="dxa"/>
          </w:tcPr>
          <w:p w:rsidR="000D5E6B" w:rsidRPr="000D5E6B" w:rsidRDefault="000D5E6B" w:rsidP="000D5E6B">
            <w:r>
              <w:t>13/02/2015</w:t>
            </w:r>
          </w:p>
        </w:tc>
        <w:tc>
          <w:tcPr>
            <w:tcW w:w="2126" w:type="dxa"/>
          </w:tcPr>
          <w:p w:rsidR="000D5E6B" w:rsidRPr="000D5E6B" w:rsidRDefault="000D5E6B" w:rsidP="000D5E6B">
            <w:r>
              <w:t>NSW DNSPs</w:t>
            </w:r>
          </w:p>
        </w:tc>
      </w:tr>
      <w:tr w:rsidR="000D5E6B" w:rsidRPr="00982A99" w:rsidTr="00480456">
        <w:tc>
          <w:tcPr>
            <w:tcW w:w="535" w:type="dxa"/>
          </w:tcPr>
          <w:p w:rsidR="000D5E6B" w:rsidRPr="000D5E6B" w:rsidRDefault="000D5E6B" w:rsidP="000D5E6B">
            <w:r>
              <w:t>26</w:t>
            </w:r>
          </w:p>
        </w:tc>
        <w:tc>
          <w:tcPr>
            <w:tcW w:w="4416" w:type="dxa"/>
          </w:tcPr>
          <w:p w:rsidR="000D5E6B" w:rsidRPr="000D5E6B" w:rsidRDefault="000D5E6B" w:rsidP="000D5E6B">
            <w:r>
              <w:t xml:space="preserve">The </w:t>
            </w:r>
            <w:proofErr w:type="spellStart"/>
            <w:r>
              <w:t>McKell</w:t>
            </w:r>
            <w:proofErr w:type="spellEnd"/>
            <w:r>
              <w:t xml:space="preserve"> Institute</w:t>
            </w:r>
          </w:p>
        </w:tc>
        <w:tc>
          <w:tcPr>
            <w:tcW w:w="1536" w:type="dxa"/>
          </w:tcPr>
          <w:p w:rsidR="000D5E6B" w:rsidRPr="000D5E6B" w:rsidRDefault="000D5E6B" w:rsidP="000D5E6B">
            <w:r>
              <w:t>13/02/2015</w:t>
            </w:r>
          </w:p>
        </w:tc>
        <w:tc>
          <w:tcPr>
            <w:tcW w:w="2126" w:type="dxa"/>
          </w:tcPr>
          <w:p w:rsidR="000D5E6B" w:rsidRPr="000D5E6B" w:rsidRDefault="000D5E6B" w:rsidP="000D5E6B">
            <w:r>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27</w:t>
            </w:r>
          </w:p>
        </w:tc>
        <w:tc>
          <w:tcPr>
            <w:tcW w:w="4416" w:type="dxa"/>
          </w:tcPr>
          <w:p w:rsidR="000D5E6B" w:rsidRPr="000D5E6B" w:rsidRDefault="000D5E6B" w:rsidP="000D5E6B">
            <w:r>
              <w:t>AGL</w:t>
            </w:r>
          </w:p>
        </w:tc>
        <w:tc>
          <w:tcPr>
            <w:tcW w:w="1536" w:type="dxa"/>
          </w:tcPr>
          <w:p w:rsidR="000D5E6B" w:rsidRPr="000D5E6B" w:rsidRDefault="000D5E6B" w:rsidP="000D5E6B">
            <w:r>
              <w:t>15/02/2015</w:t>
            </w:r>
          </w:p>
        </w:tc>
        <w:tc>
          <w:tcPr>
            <w:tcW w:w="2126" w:type="dxa"/>
          </w:tcPr>
          <w:p w:rsidR="000D5E6B" w:rsidRPr="000D5E6B" w:rsidRDefault="000D5E6B" w:rsidP="000D5E6B">
            <w:r>
              <w:t>NSW DNSPs</w:t>
            </w:r>
          </w:p>
        </w:tc>
      </w:tr>
      <w:tr w:rsidR="000D5E6B" w:rsidRPr="00982A99" w:rsidTr="00480456">
        <w:tc>
          <w:tcPr>
            <w:tcW w:w="535" w:type="dxa"/>
          </w:tcPr>
          <w:p w:rsidR="000D5E6B" w:rsidRPr="000D5E6B" w:rsidRDefault="000D5E6B" w:rsidP="000D5E6B">
            <w:r>
              <w:t>28</w:t>
            </w:r>
          </w:p>
        </w:tc>
        <w:tc>
          <w:tcPr>
            <w:tcW w:w="4416" w:type="dxa"/>
          </w:tcPr>
          <w:p w:rsidR="000D5E6B" w:rsidRPr="000D5E6B" w:rsidRDefault="000D5E6B" w:rsidP="000D5E6B">
            <w:r>
              <w:t>CCP</w:t>
            </w:r>
          </w:p>
        </w:tc>
        <w:tc>
          <w:tcPr>
            <w:tcW w:w="1536" w:type="dxa"/>
          </w:tcPr>
          <w:p w:rsidR="000D5E6B" w:rsidRPr="000D5E6B" w:rsidRDefault="000D5E6B" w:rsidP="000D5E6B">
            <w:r>
              <w:t>16/02/2015</w:t>
            </w:r>
          </w:p>
        </w:tc>
        <w:tc>
          <w:tcPr>
            <w:tcW w:w="2126" w:type="dxa"/>
          </w:tcPr>
          <w:p w:rsidR="000D5E6B" w:rsidRPr="000D5E6B" w:rsidRDefault="000D5E6B" w:rsidP="000D5E6B">
            <w:r>
              <w:t>NSW DNSPs</w:t>
            </w:r>
          </w:p>
        </w:tc>
      </w:tr>
      <w:tr w:rsidR="000D5E6B" w:rsidRPr="00982A99" w:rsidTr="00480456">
        <w:trPr>
          <w:cnfStyle w:val="000000010000" w:firstRow="0" w:lastRow="0" w:firstColumn="0" w:lastColumn="0" w:oddVBand="0" w:evenVBand="0" w:oddHBand="0" w:evenHBand="1" w:firstRowFirstColumn="0" w:firstRowLastColumn="0" w:lastRowFirstColumn="0" w:lastRowLastColumn="0"/>
        </w:trPr>
        <w:tc>
          <w:tcPr>
            <w:tcW w:w="535" w:type="dxa"/>
          </w:tcPr>
          <w:p w:rsidR="000D5E6B" w:rsidRPr="000D5E6B" w:rsidRDefault="000D5E6B" w:rsidP="000D5E6B">
            <w:r>
              <w:t>29</w:t>
            </w:r>
          </w:p>
        </w:tc>
        <w:tc>
          <w:tcPr>
            <w:tcW w:w="4416" w:type="dxa"/>
          </w:tcPr>
          <w:p w:rsidR="000D5E6B" w:rsidRPr="000D5E6B" w:rsidRDefault="000D5E6B" w:rsidP="000D5E6B">
            <w:r>
              <w:t>ENA</w:t>
            </w:r>
          </w:p>
        </w:tc>
        <w:tc>
          <w:tcPr>
            <w:tcW w:w="1536" w:type="dxa"/>
          </w:tcPr>
          <w:p w:rsidR="000D5E6B" w:rsidRPr="000D5E6B" w:rsidRDefault="000D5E6B" w:rsidP="000D5E6B">
            <w:r>
              <w:t>13/02/2015</w:t>
            </w:r>
          </w:p>
        </w:tc>
        <w:tc>
          <w:tcPr>
            <w:tcW w:w="2126" w:type="dxa"/>
          </w:tcPr>
          <w:p w:rsidR="000D5E6B" w:rsidRPr="000D5E6B" w:rsidRDefault="000D5E6B" w:rsidP="000D5E6B">
            <w:r>
              <w:t>NSW DNSPs</w:t>
            </w:r>
          </w:p>
        </w:tc>
      </w:tr>
      <w:tr w:rsidR="000D5E6B" w:rsidRPr="00982A99" w:rsidTr="00480456">
        <w:tc>
          <w:tcPr>
            <w:tcW w:w="535" w:type="dxa"/>
          </w:tcPr>
          <w:p w:rsidR="000D5E6B" w:rsidRPr="000D5E6B" w:rsidRDefault="000D5E6B" w:rsidP="000D5E6B">
            <w:r>
              <w:t>30</w:t>
            </w:r>
          </w:p>
        </w:tc>
        <w:tc>
          <w:tcPr>
            <w:tcW w:w="4416" w:type="dxa"/>
          </w:tcPr>
          <w:p w:rsidR="000D5E6B" w:rsidRPr="000D5E6B" w:rsidRDefault="000D5E6B" w:rsidP="000D5E6B">
            <w:r>
              <w:t>Ergon Energy</w:t>
            </w:r>
          </w:p>
        </w:tc>
        <w:tc>
          <w:tcPr>
            <w:tcW w:w="1536" w:type="dxa"/>
          </w:tcPr>
          <w:p w:rsidR="000D5E6B" w:rsidRPr="000D5E6B" w:rsidRDefault="000D5E6B" w:rsidP="000D5E6B">
            <w:r>
              <w:t>16/02/2015</w:t>
            </w:r>
          </w:p>
        </w:tc>
        <w:tc>
          <w:tcPr>
            <w:tcW w:w="2126" w:type="dxa"/>
          </w:tcPr>
          <w:p w:rsidR="000D5E6B" w:rsidRPr="000D5E6B" w:rsidRDefault="000D5E6B" w:rsidP="000D5E6B">
            <w:r>
              <w:t>NSW DNSPs</w:t>
            </w:r>
          </w:p>
        </w:tc>
      </w:tr>
    </w:tbl>
    <w:p w:rsidR="000D5E6B" w:rsidRPr="00A067BB" w:rsidRDefault="000D5E6B" w:rsidP="00480456"/>
    <w:sectPr w:rsidR="000D5E6B" w:rsidRPr="00A067BB" w:rsidSect="00654C23">
      <w:footerReference w:type="even" r:id="rId23"/>
      <w:footerReference w:type="default" r:id="rId24"/>
      <w:footerReference w:type="first" r:id="rId25"/>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5B" w:rsidRPr="00290C63" w:rsidRDefault="008C525B" w:rsidP="00290C63">
      <w:r>
        <w:separator/>
      </w:r>
    </w:p>
    <w:p w:rsidR="008C525B" w:rsidRDefault="008C525B"/>
  </w:endnote>
  <w:endnote w:type="continuationSeparator" w:id="0">
    <w:p w:rsidR="008C525B" w:rsidRPr="00290C63" w:rsidRDefault="008C525B" w:rsidP="00290C63">
      <w:r>
        <w:continuationSeparator/>
      </w:r>
    </w:p>
    <w:p w:rsidR="008C525B" w:rsidRDefault="008C5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5B" w:rsidRPr="00290C63" w:rsidRDefault="008C525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C525B" w:rsidRDefault="008C525B"/>
  <w:p w:rsidR="008C525B" w:rsidRDefault="008C525B"/>
  <w:p w:rsidR="008C525B" w:rsidRDefault="008C525B"/>
  <w:p w:rsidR="008C525B" w:rsidRDefault="008C525B"/>
  <w:p w:rsidR="008C525B" w:rsidRDefault="008C525B"/>
  <w:p w:rsidR="008C525B" w:rsidRDefault="008C525B"/>
  <w:p w:rsidR="008C525B" w:rsidRDefault="008C52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C525B" w:rsidRPr="009B6F84" w:rsidRDefault="008C525B">
        <w:pPr>
          <w:pStyle w:val="Footer"/>
          <w:rPr>
            <w:sz w:val="20"/>
          </w:rPr>
        </w:pPr>
        <w:r>
          <w:fldChar w:fldCharType="begin"/>
        </w:r>
        <w:r>
          <w:instrText xml:space="preserve"> PAGE   \* MERGEFORMAT </w:instrText>
        </w:r>
        <w:r>
          <w:fldChar w:fldCharType="separate"/>
        </w:r>
        <w:r w:rsidR="0010003E">
          <w:rPr>
            <w:noProof/>
          </w:rPr>
          <w:t>1</w:t>
        </w:r>
        <w:r>
          <w:rPr>
            <w:noProof/>
          </w:rPr>
          <w:fldChar w:fldCharType="end"/>
        </w:r>
        <w:r>
          <w:rPr>
            <w:noProof/>
          </w:rPr>
          <w:t xml:space="preserve">          </w:t>
        </w:r>
        <w:r>
          <w:t>Final decision</w:t>
        </w:r>
        <w:r w:rsidRPr="009B6F84">
          <w:rPr>
            <w:rFonts w:cs="Gautami"/>
            <w:noProof/>
            <w:szCs w:val="16"/>
          </w:rPr>
          <w:t xml:space="preserve"> | </w:t>
        </w:r>
        <w:r>
          <w:t>Endeavour Energy distribution determination</w:t>
        </w:r>
        <w:r w:rsidRPr="009B6F84">
          <w:rPr>
            <w:sz w:val="20"/>
          </w:rPr>
          <w:t xml:space="preserve"> </w:t>
        </w:r>
        <w:r w:rsidRPr="009B6F84">
          <w:rPr>
            <w:rFonts w:cs="Gautami"/>
            <w:noProof/>
            <w:szCs w:val="16"/>
          </w:rPr>
          <w:t>2015–1</w:t>
        </w:r>
        <w:r>
          <w:t>9</w:t>
        </w:r>
      </w:p>
    </w:sdtContent>
  </w:sdt>
  <w:p w:rsidR="008C525B" w:rsidRDefault="008C5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5B" w:rsidRPr="00290C63" w:rsidRDefault="008C525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C525B" w:rsidRDefault="008C525B">
    <w:pPr>
      <w:pStyle w:val="Footer"/>
    </w:pPr>
  </w:p>
  <w:p w:rsidR="008C525B" w:rsidRDefault="008C525B"/>
  <w:p w:rsidR="008C525B" w:rsidRDefault="008C525B"/>
  <w:p w:rsidR="008C525B" w:rsidRDefault="008C525B"/>
  <w:p w:rsidR="008C525B" w:rsidRDefault="008C525B"/>
  <w:p w:rsidR="008C525B" w:rsidRDefault="008C525B"/>
  <w:p w:rsidR="008C525B" w:rsidRDefault="008C525B"/>
  <w:p w:rsidR="008C525B" w:rsidRDefault="008C52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5B" w:rsidRPr="00290C63" w:rsidRDefault="008C525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C525B" w:rsidRDefault="008C525B"/>
  <w:p w:rsidR="008C525B" w:rsidRDefault="008C525B"/>
  <w:p w:rsidR="008C525B" w:rsidRDefault="008C525B"/>
  <w:p w:rsidR="008C525B" w:rsidRDefault="008C525B"/>
  <w:p w:rsidR="008C525B" w:rsidRDefault="008C525B"/>
  <w:p w:rsidR="008C525B" w:rsidRDefault="008C525B"/>
  <w:p w:rsidR="008C525B" w:rsidRDefault="008C525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8C525B" w:rsidRPr="009B6F84" w:rsidRDefault="008C525B">
        <w:pPr>
          <w:pStyle w:val="Footer"/>
          <w:rPr>
            <w:sz w:val="20"/>
          </w:rPr>
        </w:pPr>
        <w:r>
          <w:fldChar w:fldCharType="begin"/>
        </w:r>
        <w:r>
          <w:instrText xml:space="preserve"> PAGE   \* MERGEFORMAT </w:instrText>
        </w:r>
        <w:r>
          <w:fldChar w:fldCharType="separate"/>
        </w:r>
        <w:r w:rsidR="0010003E">
          <w:rPr>
            <w:noProof/>
          </w:rPr>
          <w:t>58</w:t>
        </w:r>
        <w:r>
          <w:rPr>
            <w:noProof/>
          </w:rPr>
          <w:fldChar w:fldCharType="end"/>
        </w:r>
        <w:r>
          <w:rPr>
            <w:noProof/>
          </w:rPr>
          <w:t xml:space="preserve">          </w:t>
        </w:r>
        <w:r>
          <w:t>Overview</w:t>
        </w:r>
        <w:r w:rsidRPr="009B6F84">
          <w:rPr>
            <w:rFonts w:cs="Gautami"/>
            <w:noProof/>
            <w:szCs w:val="16"/>
          </w:rPr>
          <w:t xml:space="preserve"> | </w:t>
        </w:r>
        <w:r>
          <w:t>Endeavour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8C525B" w:rsidRDefault="008C52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5B" w:rsidRPr="00290C63" w:rsidRDefault="008C525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C525B" w:rsidRDefault="008C525B">
    <w:pPr>
      <w:pStyle w:val="Footer"/>
    </w:pPr>
  </w:p>
  <w:p w:rsidR="008C525B" w:rsidRDefault="008C525B"/>
  <w:p w:rsidR="008C525B" w:rsidRDefault="008C525B"/>
  <w:p w:rsidR="008C525B" w:rsidRDefault="008C525B"/>
  <w:p w:rsidR="008C525B" w:rsidRDefault="008C525B"/>
  <w:p w:rsidR="008C525B" w:rsidRDefault="008C525B"/>
  <w:p w:rsidR="008C525B" w:rsidRDefault="008C525B"/>
  <w:p w:rsidR="008C525B" w:rsidRDefault="008C52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5B" w:rsidRPr="00290C63" w:rsidRDefault="008C525B" w:rsidP="00290C63">
      <w:r>
        <w:separator/>
      </w:r>
    </w:p>
    <w:p w:rsidR="008C525B" w:rsidRDefault="008C525B"/>
  </w:footnote>
  <w:footnote w:type="continuationSeparator" w:id="0">
    <w:p w:rsidR="008C525B" w:rsidRPr="00290C63" w:rsidRDefault="008C525B" w:rsidP="00290C63">
      <w:r>
        <w:continuationSeparator/>
      </w:r>
    </w:p>
    <w:p w:rsidR="008C525B" w:rsidRDefault="008C525B"/>
  </w:footnote>
  <w:footnote w:id="1">
    <w:p w:rsidR="008C525B" w:rsidRDefault="008C525B" w:rsidP="00360F32">
      <w:pPr>
        <w:pStyle w:val="FootnoteText"/>
      </w:pPr>
      <w:r>
        <w:rPr>
          <w:rStyle w:val="FootnoteReference"/>
        </w:rPr>
        <w:footnoteRef/>
      </w:r>
      <w:r>
        <w:t xml:space="preserve"> </w:t>
      </w:r>
      <w:r>
        <w:tab/>
      </w:r>
      <w:proofErr w:type="gramStart"/>
      <w:r>
        <w:t>NEL, s. 7.</w:t>
      </w:r>
      <w:proofErr w:type="gramEnd"/>
    </w:p>
  </w:footnote>
  <w:footnote w:id="2">
    <w:p w:rsidR="008C525B" w:rsidRDefault="008C525B" w:rsidP="00360F32">
      <w:pPr>
        <w:pStyle w:val="FootnoteText"/>
      </w:pPr>
      <w:r>
        <w:rPr>
          <w:rStyle w:val="FootnoteReference"/>
        </w:rPr>
        <w:footnoteRef/>
      </w:r>
      <w:r>
        <w:t xml:space="preserve"> </w:t>
      </w:r>
      <w:r>
        <w:tab/>
      </w:r>
      <w:proofErr w:type="gramStart"/>
      <w:r>
        <w:t>NER, cl. 6.8.2.</w:t>
      </w:r>
      <w:proofErr w:type="gramEnd"/>
    </w:p>
  </w:footnote>
  <w:footnote w:id="3">
    <w:p w:rsidR="008C525B" w:rsidRDefault="008C525B" w:rsidP="00360F3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6.3.1 and 6.8.2. As we explained in our draft decision, the regulatory control period is 2015-19. However, the NER requires us to determine a notional annual revenue requirement for each year of the 2014-19 </w:t>
      </w:r>
      <w:proofErr w:type="gramStart"/>
      <w:r>
        <w:t>period</w:t>
      </w:r>
      <w:proofErr w:type="gramEnd"/>
      <w:r>
        <w:t xml:space="preserve">. We must then true this us with the placeholder 2014-15 annual revenue requirement we determined in the placeholder decision we made in 2014. As a result, this decision often refers to the 2014-19 </w:t>
      </w:r>
      <w:proofErr w:type="gramStart"/>
      <w:r>
        <w:t>period</w:t>
      </w:r>
      <w:proofErr w:type="gramEnd"/>
      <w:r>
        <w:t>, rather than the 2015-19 regulatory control period.</w:t>
      </w:r>
    </w:p>
  </w:footnote>
  <w:footnote w:id="4">
    <w:p w:rsidR="008C525B" w:rsidRDefault="008C525B" w:rsidP="00360F32">
      <w:pPr>
        <w:pStyle w:val="FootnoteText"/>
      </w:pPr>
      <w:r>
        <w:rPr>
          <w:rStyle w:val="FootnoteReference"/>
        </w:rPr>
        <w:footnoteRef/>
      </w:r>
      <w:r>
        <w:t xml:space="preserve"> </w:t>
      </w:r>
      <w:r>
        <w:tab/>
        <w:t>Hansard, SA House of Assembly, 9 February 2005 p. 1452</w:t>
      </w:r>
    </w:p>
  </w:footnote>
  <w:footnote w:id="5">
    <w:p w:rsidR="008C525B" w:rsidRDefault="008C525B" w:rsidP="00430678">
      <w:pPr>
        <w:pStyle w:val="FootnoteText"/>
      </w:pPr>
      <w:r>
        <w:rPr>
          <w:rStyle w:val="FootnoteReference"/>
        </w:rPr>
        <w:footnoteRef/>
      </w:r>
      <w:r>
        <w:t xml:space="preserve"> </w:t>
      </w:r>
      <w:r>
        <w:tab/>
        <w:t xml:space="preserve">Endeavour Energy, </w:t>
      </w:r>
      <w:r>
        <w:rPr>
          <w:rStyle w:val="AERtextitalic"/>
        </w:rPr>
        <w:t>R</w:t>
      </w:r>
      <w:r w:rsidRPr="00F506B0">
        <w:rPr>
          <w:rStyle w:val="AERtextitalic"/>
        </w:rPr>
        <w:t>egulatory proposal</w:t>
      </w:r>
      <w:r>
        <w:t>, June 2014, p. 1.</w:t>
      </w:r>
    </w:p>
  </w:footnote>
  <w:footnote w:id="6">
    <w:p w:rsidR="008C525B" w:rsidRDefault="008C525B" w:rsidP="00776B30">
      <w:pPr>
        <w:pStyle w:val="FootnoteText"/>
      </w:pPr>
      <w:r>
        <w:rPr>
          <w:rStyle w:val="FootnoteReference"/>
        </w:rPr>
        <w:footnoteRef/>
      </w:r>
      <w:r>
        <w:t xml:space="preserve"> </w:t>
      </w:r>
      <w:r>
        <w:tab/>
        <w:t>How these key cost drivers impact total revenue is further explained in section 2 of this Overview.</w:t>
      </w:r>
    </w:p>
  </w:footnote>
  <w:footnote w:id="7">
    <w:p w:rsidR="008C525B" w:rsidRDefault="008C525B">
      <w:pPr>
        <w:pStyle w:val="FootnoteText"/>
      </w:pPr>
      <w:r>
        <w:rPr>
          <w:rStyle w:val="FootnoteReference"/>
        </w:rPr>
        <w:footnoteRef/>
      </w:r>
      <w:r>
        <w:t xml:space="preserve"> </w:t>
      </w:r>
      <w:r>
        <w:tab/>
        <w:t>NER, cl. 6.5.2(b)</w:t>
      </w:r>
    </w:p>
  </w:footnote>
  <w:footnote w:id="8">
    <w:p w:rsidR="008C525B" w:rsidRDefault="008C525B">
      <w:pPr>
        <w:pStyle w:val="FootnoteText"/>
      </w:pPr>
      <w:r>
        <w:rPr>
          <w:rStyle w:val="FootnoteReference"/>
        </w:rPr>
        <w:footnoteRef/>
      </w:r>
      <w:r>
        <w:t xml:space="preserve"> </w:t>
      </w:r>
      <w:r>
        <w:tab/>
      </w:r>
      <w:r w:rsidRPr="009D1563">
        <w:t xml:space="preserve">The rate of return that </w:t>
      </w:r>
      <w:r>
        <w:t>Endeavour Energy</w:t>
      </w:r>
      <w:r w:rsidRPr="009D1563">
        <w:t xml:space="preserve"> included in its proposal is an indicative value. Its proposal includes provision for the AER to adjust this value based on updated information that was not available when </w:t>
      </w:r>
      <w:r>
        <w:t>Endeavour Energy</w:t>
      </w:r>
      <w:r w:rsidRPr="009D1563">
        <w:t xml:space="preserve"> submitted its revised proposal.</w:t>
      </w:r>
    </w:p>
  </w:footnote>
  <w:footnote w:id="9">
    <w:p w:rsidR="008C525B" w:rsidRDefault="008C525B" w:rsidP="002B4A9D">
      <w:pPr>
        <w:pStyle w:val="FootnoteText"/>
      </w:pPr>
      <w:r>
        <w:rPr>
          <w:rStyle w:val="FootnoteReference"/>
        </w:rPr>
        <w:footnoteRef/>
      </w:r>
      <w:r>
        <w:t xml:space="preserve"> </w:t>
      </w:r>
      <w:r>
        <w:tab/>
        <w:t xml:space="preserve">AER, Rate of Return Guideline, December 2013: </w:t>
      </w:r>
      <w:hyperlink r:id="rId1" w:history="1">
        <w:r w:rsidRPr="002B4A9D">
          <w:rPr>
            <w:rStyle w:val="Hyperlink"/>
            <w:color w:val="auto"/>
            <w:sz w:val="16"/>
            <w:u w:val="none"/>
          </w:rPr>
          <w:t>http://www.aer.gov.au/node/18859</w:t>
        </w:r>
      </w:hyperlink>
    </w:p>
  </w:footnote>
  <w:footnote w:id="10">
    <w:p w:rsidR="008C525B" w:rsidRDefault="008C525B" w:rsidP="00720C67">
      <w:pPr>
        <w:pStyle w:val="FootnoteText"/>
      </w:pPr>
      <w:r>
        <w:rPr>
          <w:rStyle w:val="FootnoteReference"/>
        </w:rPr>
        <w:footnoteRef/>
      </w:r>
      <w:r>
        <w:t xml:space="preserve"> </w:t>
      </w:r>
      <w:r>
        <w:tab/>
        <w:t xml:space="preserve">For example, TasNetworks, Regulatory Proposal, June 2014 </w:t>
      </w:r>
    </w:p>
  </w:footnote>
  <w:footnote w:id="11">
    <w:p w:rsidR="008C525B" w:rsidRDefault="008C525B" w:rsidP="00720C67">
      <w:pPr>
        <w:pStyle w:val="FootnoteText"/>
      </w:pPr>
      <w:r>
        <w:rPr>
          <w:rStyle w:val="FootnoteReference"/>
        </w:rPr>
        <w:footnoteRef/>
      </w:r>
      <w:r>
        <w:t xml:space="preserve"> </w:t>
      </w:r>
      <w:r>
        <w:tab/>
        <w:t>See Attachment 3 - Rate of Return</w:t>
      </w:r>
    </w:p>
  </w:footnote>
  <w:footnote w:id="12">
    <w:p w:rsidR="008C525B" w:rsidRDefault="008C525B" w:rsidP="00927287">
      <w:pPr>
        <w:pStyle w:val="FootnoteText"/>
      </w:pPr>
      <w:r>
        <w:rPr>
          <w:rStyle w:val="FootnoteReference"/>
        </w:rPr>
        <w:footnoteRef/>
      </w:r>
      <w:r>
        <w:t xml:space="preserve"> </w:t>
      </w:r>
      <w:r>
        <w:tab/>
        <w:t xml:space="preserve">NER, </w:t>
      </w:r>
      <w:proofErr w:type="spellStart"/>
      <w:r>
        <w:t>cll</w:t>
      </w:r>
      <w:proofErr w:type="spellEnd"/>
      <w:r>
        <w:t xml:space="preserve"> 6.5.6(a) </w:t>
      </w:r>
    </w:p>
  </w:footnote>
  <w:footnote w:id="13">
    <w:p w:rsidR="008C525B" w:rsidRDefault="008C525B" w:rsidP="000A633B">
      <w:pPr>
        <w:pStyle w:val="FootnoteText"/>
      </w:pPr>
      <w:r>
        <w:rPr>
          <w:rStyle w:val="FootnoteReference"/>
        </w:rPr>
        <w:footnoteRef/>
      </w:r>
      <w:r>
        <w:t xml:space="preserve"> </w:t>
      </w:r>
      <w:r>
        <w:tab/>
        <w:t>Endeavour Energy, Revised Regulatory Proposal, January 2015, p. 10</w:t>
      </w:r>
    </w:p>
  </w:footnote>
  <w:footnote w:id="14">
    <w:p w:rsidR="008C525B" w:rsidRDefault="008C525B" w:rsidP="000A633B">
      <w:pPr>
        <w:pStyle w:val="FootnoteText"/>
      </w:pPr>
      <w:r>
        <w:rPr>
          <w:rStyle w:val="FootnoteReference"/>
        </w:rPr>
        <w:footnoteRef/>
      </w:r>
      <w:r>
        <w:t xml:space="preserve"> </w:t>
      </w:r>
      <w:r>
        <w:tab/>
        <w:t>Endeavour Energy, Revised Regulatory Proposal, January 2015, Attachment 2.11.</w:t>
      </w:r>
    </w:p>
  </w:footnote>
  <w:footnote w:id="15">
    <w:p w:rsidR="008C525B" w:rsidRDefault="008C525B" w:rsidP="000A633B">
      <w:pPr>
        <w:pStyle w:val="FootnoteText"/>
      </w:pPr>
      <w:r>
        <w:rPr>
          <w:rStyle w:val="FootnoteReference"/>
        </w:rPr>
        <w:footnoteRef/>
      </w:r>
      <w:r>
        <w:t xml:space="preserve"> </w:t>
      </w:r>
      <w:r>
        <w:tab/>
        <w:t>Oakley Greenwood, Peer review of the willingness to pay research submitted by NSW distribution business, April 2015, p. 4</w:t>
      </w:r>
    </w:p>
  </w:footnote>
  <w:footnote w:id="16">
    <w:p w:rsidR="008C525B" w:rsidRDefault="008C525B" w:rsidP="000A633B">
      <w:pPr>
        <w:pStyle w:val="FootnoteText"/>
      </w:pPr>
      <w:r>
        <w:rPr>
          <w:rStyle w:val="FootnoteReference"/>
        </w:rPr>
        <w:footnoteRef/>
      </w:r>
      <w:r>
        <w:t xml:space="preserve"> </w:t>
      </w:r>
      <w:r>
        <w:tab/>
        <w:t>Oakley Greenwood, Peer review of the willingness to pay research submitted by NSW distribution business, April 2015, p. 11</w:t>
      </w:r>
    </w:p>
  </w:footnote>
  <w:footnote w:id="17">
    <w:p w:rsidR="008C525B" w:rsidRDefault="008C525B" w:rsidP="009D443F">
      <w:pPr>
        <w:pStyle w:val="FootnoteText"/>
      </w:pPr>
      <w:r>
        <w:rPr>
          <w:rStyle w:val="FootnoteReference"/>
        </w:rPr>
        <w:footnoteRef/>
      </w:r>
      <w:r>
        <w:t xml:space="preserve"> </w:t>
      </w:r>
      <w:r>
        <w:tab/>
        <w:t xml:space="preserve">Endeavour Energy, Revised Regulatory Proposal, January 2015, p. </w:t>
      </w:r>
      <w:r w:rsidR="00EB3464">
        <w:t>10.</w:t>
      </w:r>
    </w:p>
  </w:footnote>
  <w:footnote w:id="18">
    <w:p w:rsidR="008C525B" w:rsidRDefault="008C525B">
      <w:pPr>
        <w:pStyle w:val="FootnoteText"/>
      </w:pPr>
      <w:r>
        <w:rPr>
          <w:rStyle w:val="FootnoteReference"/>
        </w:rPr>
        <w:footnoteRef/>
      </w:r>
      <w:r>
        <w:t xml:space="preserve"> </w:t>
      </w:r>
      <w:r>
        <w:tab/>
        <w:t>Oakley Greenwood, Peer review of the willingness to pay research submitted by NSW distribution business, April 2015, p. 12</w:t>
      </w:r>
    </w:p>
  </w:footnote>
  <w:footnote w:id="19">
    <w:p w:rsidR="008C525B" w:rsidRDefault="008C525B" w:rsidP="00C45281">
      <w:pPr>
        <w:pStyle w:val="FootnoteText"/>
      </w:pPr>
      <w:r>
        <w:rPr>
          <w:rStyle w:val="FootnoteReference"/>
        </w:rPr>
        <w:footnoteRef/>
      </w:r>
      <w:r>
        <w:t xml:space="preserve"> </w:t>
      </w:r>
      <w:r>
        <w:tab/>
        <w:t xml:space="preserve">David Newbery, </w:t>
      </w:r>
      <w:r w:rsidRPr="006C61DB">
        <w:rPr>
          <w:rStyle w:val="AERtextitalic"/>
        </w:rPr>
        <w:t>Cambridge Economic Policy Associates: Expert Report</w:t>
      </w:r>
      <w:r>
        <w:t>, January 2015.</w:t>
      </w:r>
    </w:p>
  </w:footnote>
  <w:footnote w:id="20">
    <w:p w:rsidR="008C525B" w:rsidRDefault="008C525B" w:rsidP="00C45281">
      <w:pPr>
        <w:pStyle w:val="FootnoteText"/>
      </w:pPr>
      <w:r>
        <w:rPr>
          <w:rStyle w:val="FootnoteReference"/>
        </w:rPr>
        <w:footnoteRef/>
      </w:r>
      <w:r>
        <w:t xml:space="preserve"> </w:t>
      </w:r>
      <w:r>
        <w:tab/>
        <w:t xml:space="preserve">S&amp;P, </w:t>
      </w:r>
      <w:r w:rsidRPr="006C61DB">
        <w:rPr>
          <w:rStyle w:val="AERtextitalic"/>
        </w:rPr>
        <w:t xml:space="preserve">Confidential credit assessment: </w:t>
      </w:r>
      <w:r>
        <w:rPr>
          <w:rStyle w:val="AERtextitalic"/>
        </w:rPr>
        <w:t>Endeavour Energy</w:t>
      </w:r>
      <w:r w:rsidRPr="006C61DB">
        <w:rPr>
          <w:rStyle w:val="AERtextitalic"/>
        </w:rPr>
        <w:t>—Stand-alone credit profile</w:t>
      </w:r>
      <w:r>
        <w:t>, January 2015.</w:t>
      </w:r>
    </w:p>
  </w:footnote>
  <w:footnote w:id="21">
    <w:p w:rsidR="008C525B" w:rsidRDefault="008C525B" w:rsidP="00C45281">
      <w:pPr>
        <w:pStyle w:val="FootnoteText"/>
      </w:pPr>
      <w:r>
        <w:rPr>
          <w:rStyle w:val="FootnoteReference"/>
        </w:rPr>
        <w:footnoteRef/>
      </w:r>
      <w:r>
        <w:t xml:space="preserve"> </w:t>
      </w:r>
      <w:r>
        <w:tab/>
        <w:t xml:space="preserve">UBS, </w:t>
      </w:r>
      <w:proofErr w:type="spellStart"/>
      <w:r w:rsidRPr="006C61DB">
        <w:rPr>
          <w:rStyle w:val="AERtextitalic"/>
        </w:rPr>
        <w:t>Financeability</w:t>
      </w:r>
      <w:proofErr w:type="spellEnd"/>
      <w:r w:rsidRPr="006C61DB">
        <w:rPr>
          <w:rStyle w:val="AERtextitalic"/>
        </w:rPr>
        <w:t>— Debt issue and capital structure</w:t>
      </w:r>
      <w:r>
        <w:rPr>
          <w:rStyle w:val="AERtextitalic"/>
        </w:rPr>
        <w:t xml:space="preserve"> (Confidential version)</w:t>
      </w:r>
      <w:r>
        <w:t>, January 2015</w:t>
      </w:r>
    </w:p>
  </w:footnote>
  <w:footnote w:id="22">
    <w:p w:rsidR="008C525B" w:rsidRDefault="008C525B" w:rsidP="00C45281">
      <w:pPr>
        <w:pStyle w:val="FootnoteText"/>
      </w:pPr>
      <w:r>
        <w:rPr>
          <w:rStyle w:val="FootnoteReference"/>
        </w:rPr>
        <w:footnoteRef/>
      </w:r>
      <w:r>
        <w:t xml:space="preserve"> </w:t>
      </w:r>
      <w:r>
        <w:tab/>
      </w:r>
      <w:r w:rsidRPr="00036F6A">
        <w:t xml:space="preserve">For example, RARE infrastructure submitted that "[t]here are many characteristics of the Australian Regulatory framework that makes its energy network potentially attractive investments" RARE Infrastructure, </w:t>
      </w:r>
      <w:r w:rsidRPr="00036F6A">
        <w:rPr>
          <w:rStyle w:val="AERtextitalic"/>
        </w:rPr>
        <w:t>Letter to the AER</w:t>
      </w:r>
      <w:r w:rsidRPr="00036F6A">
        <w:t>, 13 February 2015.</w:t>
      </w:r>
    </w:p>
  </w:footnote>
  <w:footnote w:id="23">
    <w:p w:rsidR="008C525B" w:rsidRDefault="008C525B" w:rsidP="00742F6C">
      <w:pPr>
        <w:pStyle w:val="FootnoteText"/>
      </w:pPr>
      <w:r>
        <w:rPr>
          <w:rStyle w:val="FootnoteReference"/>
        </w:rPr>
        <w:footnoteRef/>
      </w:r>
      <w:r>
        <w:t xml:space="preserve"> </w:t>
      </w:r>
      <w:r>
        <w:tab/>
        <w:t>NEL, s. 16(1)(d)</w:t>
      </w:r>
    </w:p>
  </w:footnote>
  <w:footnote w:id="24">
    <w:p w:rsidR="008C525B" w:rsidRDefault="008C525B">
      <w:pPr>
        <w:pStyle w:val="FootnoteText"/>
      </w:pPr>
      <w:r>
        <w:rPr>
          <w:rStyle w:val="FootnoteReference"/>
        </w:rPr>
        <w:footnoteRef/>
      </w:r>
      <w:r>
        <w:t xml:space="preserve"> </w:t>
      </w:r>
      <w:r>
        <w:tab/>
      </w:r>
      <w:proofErr w:type="gramStart"/>
      <w:r>
        <w:t>NER cl.6.3.</w:t>
      </w:r>
      <w:proofErr w:type="gramEnd"/>
    </w:p>
  </w:footnote>
  <w:footnote w:id="25">
    <w:p w:rsidR="008C525B" w:rsidRPr="00984C40" w:rsidRDefault="008C525B" w:rsidP="00742F6C">
      <w:pPr>
        <w:pStyle w:val="FootnoteText"/>
      </w:pPr>
      <w:r>
        <w:rPr>
          <w:rStyle w:val="FootnoteReference"/>
        </w:rPr>
        <w:footnoteRef/>
      </w:r>
      <w:r>
        <w:t xml:space="preserve"> </w:t>
      </w:r>
      <w:r>
        <w:tab/>
      </w:r>
      <w:hyperlink r:id="rId2" w:history="1">
        <w:r w:rsidRPr="00984C40">
          <w:rPr>
            <w:rStyle w:val="Hyperlink"/>
            <w:color w:val="auto"/>
            <w:sz w:val="16"/>
            <w:u w:val="none"/>
          </w:rPr>
          <w:t>http://www.aer.gov.au/Better-regulation</w:t>
        </w:r>
      </w:hyperlink>
    </w:p>
  </w:footnote>
  <w:footnote w:id="26">
    <w:p w:rsidR="008C525B" w:rsidRDefault="008C525B">
      <w:pPr>
        <w:pStyle w:val="FootnoteText"/>
      </w:pPr>
      <w:r>
        <w:rPr>
          <w:rStyle w:val="FootnoteReference"/>
        </w:rPr>
        <w:footnoteRef/>
      </w:r>
      <w:r>
        <w:t xml:space="preserve"> </w:t>
      </w:r>
      <w:r>
        <w:tab/>
        <w:t>NER cl. 6A.5.4</w:t>
      </w:r>
    </w:p>
  </w:footnote>
  <w:footnote w:id="27">
    <w:p w:rsidR="008C525B" w:rsidRDefault="008C525B" w:rsidP="00360F3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6.5.1 and S6.2.</w:t>
      </w:r>
    </w:p>
  </w:footnote>
  <w:footnote w:id="28">
    <w:p w:rsidR="008C525B" w:rsidRDefault="008C525B" w:rsidP="005A08E7">
      <w:pPr>
        <w:pStyle w:val="FootnoteText"/>
      </w:pPr>
      <w:r>
        <w:rPr>
          <w:rStyle w:val="FootnoteReference"/>
        </w:rPr>
        <w:footnoteRef/>
      </w:r>
      <w:r>
        <w:t xml:space="preserve"> </w:t>
      </w:r>
      <w:r>
        <w:tab/>
      </w:r>
      <w:proofErr w:type="gramStart"/>
      <w:r>
        <w:t>NER, cl. 6.5.2(a).</w:t>
      </w:r>
      <w:proofErr w:type="gramEnd"/>
    </w:p>
  </w:footnote>
  <w:footnote w:id="29">
    <w:p w:rsidR="008C525B" w:rsidRDefault="008C525B" w:rsidP="005A08E7">
      <w:pPr>
        <w:pStyle w:val="FootnoteText"/>
      </w:pPr>
      <w:r>
        <w:rPr>
          <w:rStyle w:val="FootnoteReference"/>
        </w:rPr>
        <w:footnoteRef/>
      </w:r>
      <w:r>
        <w:t xml:space="preserve"> </w:t>
      </w:r>
      <w:r>
        <w:tab/>
        <w:t>NER, cl. 6.5.2(b)</w:t>
      </w:r>
    </w:p>
  </w:footnote>
  <w:footnote w:id="30">
    <w:p w:rsidR="008C525B" w:rsidRDefault="008C525B" w:rsidP="005A08E7">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31">
    <w:p w:rsidR="008C525B" w:rsidRDefault="008C525B">
      <w:pPr>
        <w:pStyle w:val="FootnoteText"/>
      </w:pPr>
      <w:r>
        <w:rPr>
          <w:rStyle w:val="FootnoteReference"/>
        </w:rPr>
        <w:footnoteRef/>
      </w:r>
      <w:r>
        <w:t xml:space="preserve"> </w:t>
      </w:r>
      <w:r>
        <w:tab/>
      </w:r>
      <w:r w:rsidRPr="009D1563">
        <w:t xml:space="preserve">The rate of return that </w:t>
      </w:r>
      <w:r>
        <w:t>Endeavour Energy</w:t>
      </w:r>
      <w:r w:rsidRPr="009D1563">
        <w:t xml:space="preserve"> included in its proposal is an indicative value. Its proposal includes provision for the AER to adjust this value based on updated information that was not available when </w:t>
      </w:r>
      <w:r>
        <w:t>Endeavour Energy</w:t>
      </w:r>
      <w:r w:rsidRPr="009D1563">
        <w:t xml:space="preserve"> submitted its revised proposal.</w:t>
      </w:r>
    </w:p>
  </w:footnote>
  <w:footnote w:id="32">
    <w:p w:rsidR="008C525B" w:rsidRDefault="008C525B" w:rsidP="005A08E7">
      <w:pPr>
        <w:pStyle w:val="FootnoteText"/>
      </w:pPr>
      <w:r>
        <w:rPr>
          <w:rStyle w:val="FootnoteReference"/>
        </w:rPr>
        <w:footnoteRef/>
      </w:r>
      <w:r>
        <w:t xml:space="preserve"> </w:t>
      </w:r>
      <w:r>
        <w:tab/>
        <w:t>NER, cl. 6.5.2(</w:t>
      </w:r>
      <w:proofErr w:type="spellStart"/>
      <w:r>
        <w:t>i</w:t>
      </w:r>
      <w:proofErr w:type="spellEnd"/>
      <w:proofErr w:type="gramStart"/>
      <w:r>
        <w:t>)(</w:t>
      </w:r>
      <w:proofErr w:type="gramEnd"/>
      <w:r>
        <w:t>2).</w:t>
      </w:r>
    </w:p>
  </w:footnote>
  <w:footnote w:id="33">
    <w:p w:rsidR="008C525B" w:rsidRDefault="008C525B" w:rsidP="005A08E7">
      <w:pPr>
        <w:pStyle w:val="FootnoteText"/>
      </w:pPr>
      <w:r>
        <w:rPr>
          <w:rStyle w:val="FootnoteReference"/>
        </w:rPr>
        <w:footnoteRef/>
      </w:r>
      <w:r>
        <w:t xml:space="preserve"> </w:t>
      </w:r>
      <w:r>
        <w:tab/>
      </w:r>
      <w:proofErr w:type="gramStart"/>
      <w:r>
        <w:t>NER, cl. 6.5.2(b).</w:t>
      </w:r>
      <w:proofErr w:type="gramEnd"/>
    </w:p>
  </w:footnote>
  <w:footnote w:id="34">
    <w:p w:rsidR="008C525B" w:rsidRDefault="008C525B" w:rsidP="005A08E7">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35">
    <w:p w:rsidR="008C525B" w:rsidRDefault="008C525B" w:rsidP="005A08E7">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rate of return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36">
    <w:p w:rsidR="008C525B" w:rsidRDefault="008C525B" w:rsidP="005A08E7">
      <w:pPr>
        <w:pStyle w:val="FootnoteText"/>
      </w:pPr>
      <w:r>
        <w:rPr>
          <w:rStyle w:val="FootnoteReference"/>
        </w:rPr>
        <w:footnoteRef/>
      </w:r>
      <w:r>
        <w:t xml:space="preserve"> </w:t>
      </w:r>
      <w:r>
        <w:tab/>
      </w:r>
      <w:proofErr w:type="gramStart"/>
      <w:r w:rsidRPr="00835CE1">
        <w:t>NER, cl.</w:t>
      </w:r>
      <w:r>
        <w:t xml:space="preserve"> </w:t>
      </w:r>
      <w:r w:rsidRPr="00835CE1">
        <w:t>6.</w:t>
      </w:r>
      <w:r>
        <w:t>5</w:t>
      </w:r>
      <w:r w:rsidRPr="00835CE1">
        <w:t>.2(m).</w:t>
      </w:r>
      <w:proofErr w:type="gramEnd"/>
    </w:p>
  </w:footnote>
  <w:footnote w:id="37">
    <w:p w:rsidR="008C525B" w:rsidRDefault="008C525B" w:rsidP="00B1408C">
      <w:pPr>
        <w:pStyle w:val="FootnoteText"/>
      </w:pPr>
      <w:r>
        <w:rPr>
          <w:rStyle w:val="FootnoteReference"/>
        </w:rPr>
        <w:footnoteRef/>
      </w:r>
      <w:r>
        <w:t xml:space="preserve"> </w:t>
      </w:r>
      <w:r>
        <w:tab/>
      </w:r>
      <w:hyperlink r:id="rId3" w:history="1">
        <w:r w:rsidRPr="00B1408C">
          <w:rPr>
            <w:rStyle w:val="Hyperlink"/>
            <w:color w:val="auto"/>
            <w:sz w:val="16"/>
            <w:u w:val="none"/>
          </w:rPr>
          <w:t>http://www.aer.gov.au/node/18859</w:t>
        </w:r>
      </w:hyperlink>
    </w:p>
  </w:footnote>
  <w:footnote w:id="38">
    <w:p w:rsidR="008C525B" w:rsidRPr="00F869C5" w:rsidRDefault="008C525B" w:rsidP="00570784">
      <w:pPr>
        <w:pStyle w:val="FootnoteText"/>
      </w:pPr>
      <w:r>
        <w:rPr>
          <w:rStyle w:val="FootnoteReference"/>
        </w:rPr>
        <w:footnoteRef/>
      </w:r>
      <w:r>
        <w:t xml:space="preserve"> </w:t>
      </w:r>
      <w:r>
        <w:tab/>
        <w:t xml:space="preserve">This involved determining the return on debt by reference to the return on BBB+ rated bonds over a 10-40 business day averaging period that occurred as close as practicable to the </w:t>
      </w:r>
      <w:r w:rsidRPr="00F869C5">
        <w:t xml:space="preserve">start of the </w:t>
      </w:r>
      <w:r w:rsidRPr="00F869C5">
        <w:rPr>
          <w:rStyle w:val="AERtexthighlight"/>
          <w:shd w:val="clear" w:color="auto" w:fill="auto"/>
        </w:rPr>
        <w:t>regulatory control period</w:t>
      </w:r>
      <w:r w:rsidRPr="00F869C5">
        <w:t>.</w:t>
      </w:r>
    </w:p>
  </w:footnote>
  <w:footnote w:id="39">
    <w:p w:rsidR="008C525B" w:rsidRPr="00F869C5" w:rsidRDefault="008C525B" w:rsidP="00570784">
      <w:pPr>
        <w:pStyle w:val="FootnoteText"/>
      </w:pPr>
      <w:r w:rsidRPr="00F13F60">
        <w:rPr>
          <w:rStyle w:val="AERsuperscript"/>
        </w:rPr>
        <w:footnoteRef/>
      </w:r>
      <w:r w:rsidRPr="00F869C5">
        <w:t xml:space="preserve"> </w:t>
      </w:r>
      <w:r w:rsidRPr="00F869C5">
        <w:tab/>
        <w:t>In broad terms, this means that</w:t>
      </w:r>
      <w:r>
        <w:t>, over the longer term,</w:t>
      </w:r>
      <w:r w:rsidRPr="00F869C5">
        <w:t xml:space="preserve"> the return on debt for any year will represent the average return on debt over the previous ten years. </w:t>
      </w:r>
    </w:p>
  </w:footnote>
  <w:footnote w:id="40">
    <w:p w:rsidR="008C525B" w:rsidRDefault="008C525B" w:rsidP="00F13F60">
      <w:pPr>
        <w:pStyle w:val="FootnoteText"/>
      </w:pPr>
      <w:r>
        <w:rPr>
          <w:rStyle w:val="FootnoteReference"/>
        </w:rPr>
        <w:footnoteRef/>
      </w:r>
      <w:r>
        <w:t xml:space="preserve"> </w:t>
      </w:r>
      <w:r>
        <w:tab/>
      </w:r>
      <w:r w:rsidRPr="009B1E6B">
        <w:t>For 2015-16, this involves 100 per cent of the return on debt reflecting the return on BBB+ rated bonds over a 10-40 business day averaging period that occurred as close as practicable to the start of the 2015-</w:t>
      </w:r>
      <w:r w:rsidRPr="002F4311">
        <w:t>16 regulatory year.</w:t>
      </w:r>
      <w:r w:rsidRPr="009B1E6B">
        <w:t xml:space="preserve"> For 2016-17, this will involve 90 per cent of the return on debt reflecting the 2015-16 averaging period and 10 per cent reflecting the 2016-17 averaging period. For 2017-18 this will involve 80 per cent of the return on debt reflecting the 2015-16 averaging period, 10 per cent reflecting the 2016-17 averaging period and 10 per cent reflecting the 2017-18 averaging period. This process will continue until, after 10 years, the entire debt portfolio has been updated and incorporated into the trailing average approach. At that point the transition is complete. This approach is the same as the transitional arrangements we proposed in the rate of return guideline.</w:t>
      </w:r>
    </w:p>
  </w:footnote>
  <w:footnote w:id="41">
    <w:p w:rsidR="008C525B" w:rsidRDefault="008C525B">
      <w:pPr>
        <w:pStyle w:val="FootnoteText"/>
      </w:pPr>
      <w:r>
        <w:rPr>
          <w:rStyle w:val="FootnoteReference"/>
        </w:rPr>
        <w:footnoteRef/>
      </w:r>
      <w:r>
        <w:t xml:space="preserve"> </w:t>
      </w:r>
      <w:r>
        <w:tab/>
        <w:t>NEL, Cl. 6.5.2(e)(1)</w:t>
      </w:r>
    </w:p>
  </w:footnote>
  <w:footnote w:id="42">
    <w:p w:rsidR="008C525B" w:rsidRDefault="008C525B" w:rsidP="005A08E7">
      <w:pPr>
        <w:pStyle w:val="FootnoteText"/>
      </w:pPr>
      <w:r>
        <w:rPr>
          <w:rStyle w:val="FootnoteReference"/>
        </w:rPr>
        <w:footnoteRef/>
      </w:r>
      <w:r>
        <w:t xml:space="preserve"> </w:t>
      </w:r>
      <w:r>
        <w:tab/>
        <w:t xml:space="preserve">McKenzie &amp; </w:t>
      </w:r>
      <w:proofErr w:type="spellStart"/>
      <w:r>
        <w:t>Partington</w:t>
      </w:r>
      <w:proofErr w:type="spellEnd"/>
      <w:r>
        <w:t xml:space="preserve">, </w:t>
      </w:r>
      <w:r w:rsidRPr="00555743">
        <w:rPr>
          <w:rStyle w:val="AERtextitalic"/>
        </w:rPr>
        <w:t>Part A: Return on equity, Report to the AER</w:t>
      </w:r>
      <w:r>
        <w:t xml:space="preserve">, October 2014, p. 13;and </w:t>
      </w:r>
      <w:r w:rsidRPr="00555743">
        <w:rPr>
          <w:rStyle w:val="AERtextitalic"/>
        </w:rPr>
        <w:t>Return on equity, Report to the AER</w:t>
      </w:r>
      <w:r>
        <w:t xml:space="preserve">, (Updated) April 2015, John Handley, </w:t>
      </w:r>
      <w:r w:rsidRPr="00450C4F">
        <w:rPr>
          <w:rStyle w:val="AERtextitalic"/>
        </w:rPr>
        <w:t>Advice on return on equity, Report prepared for the AER</w:t>
      </w:r>
      <w:r>
        <w:t>, October 2014, p. 3.</w:t>
      </w:r>
    </w:p>
  </w:footnote>
  <w:footnote w:id="43">
    <w:p w:rsidR="008C525B" w:rsidRDefault="008C525B" w:rsidP="005A08E7">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44">
    <w:p w:rsidR="008C525B" w:rsidRDefault="008C525B" w:rsidP="00570784">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45">
    <w:p w:rsidR="008C525B" w:rsidRDefault="008C525B" w:rsidP="00570784">
      <w:pPr>
        <w:pStyle w:val="FootnoteText"/>
      </w:pPr>
      <w:r>
        <w:rPr>
          <w:rStyle w:val="FootnoteReference"/>
        </w:rPr>
        <w:footnoteRef/>
      </w:r>
      <w:r>
        <w:t xml:space="preserve"> </w:t>
      </w:r>
      <w:r>
        <w:tab/>
      </w:r>
      <w:proofErr w:type="spellStart"/>
      <w:r>
        <w:t>ActewAGL</w:t>
      </w:r>
      <w:proofErr w:type="spellEnd"/>
      <w:r>
        <w:t xml:space="preserve">, </w:t>
      </w:r>
      <w:proofErr w:type="spellStart"/>
      <w:r>
        <w:t>Ausgrid</w:t>
      </w:r>
      <w:proofErr w:type="spellEnd"/>
      <w:r>
        <w:t xml:space="preserve">, </w:t>
      </w:r>
      <w:proofErr w:type="spellStart"/>
      <w:r>
        <w:t>Directlink</w:t>
      </w:r>
      <w:proofErr w:type="spellEnd"/>
      <w:r>
        <w:t>, Endeavour Energy, Energex, Ergon Energy, Essential Energy, Jemena Gas Networks, SA Power Networks, TasNetworks, and TransGrid.</w:t>
      </w:r>
    </w:p>
  </w:footnote>
  <w:footnote w:id="46">
    <w:p w:rsidR="008C525B" w:rsidRDefault="008C525B" w:rsidP="00570784">
      <w:pPr>
        <w:pStyle w:val="FootnoteText"/>
      </w:pPr>
      <w:r>
        <w:rPr>
          <w:rStyle w:val="FootnoteReference"/>
        </w:rPr>
        <w:footnoteRef/>
      </w:r>
      <w:r>
        <w:t xml:space="preserve"> </w:t>
      </w:r>
      <w:r>
        <w:tab/>
        <w:t xml:space="preserve">Energy Users Association of Australia,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 xml:space="preserve">Submission to </w:t>
      </w:r>
      <w:proofErr w:type="spellStart"/>
      <w:r w:rsidRPr="003D19E3">
        <w:rPr>
          <w:rStyle w:val="AERtextitalic"/>
        </w:rPr>
        <w:t>ActewAGL’s</w:t>
      </w:r>
      <w:proofErr w:type="spellEnd"/>
      <w:r w:rsidRPr="003D19E3">
        <w:rPr>
          <w:rStyle w:val="AERtextitalic"/>
        </w:rPr>
        <w:t xml:space="preserve"> regulatory proposal for 2014–19</w:t>
      </w:r>
      <w:r w:rsidRPr="00E5005D">
        <w:t>, August 2014, p. 4.</w:t>
      </w:r>
    </w:p>
  </w:footnote>
  <w:footnote w:id="47">
    <w:p w:rsidR="008C525B" w:rsidRDefault="008C525B" w:rsidP="00360F32">
      <w:pPr>
        <w:pStyle w:val="FootnoteText"/>
      </w:pPr>
      <w:r>
        <w:rPr>
          <w:rStyle w:val="FootnoteReference"/>
        </w:rPr>
        <w:footnoteRef/>
      </w:r>
      <w:r>
        <w:t xml:space="preserve"> </w:t>
      </w:r>
      <w:r>
        <w:tab/>
      </w:r>
      <w:r w:rsidRPr="00890E69">
        <w:rPr>
          <w:rStyle w:val="AERtextitalic"/>
        </w:rPr>
        <w:t>Income Tax Assessment Act 1997</w:t>
      </w:r>
      <w:r>
        <w:t>, parts 3–6.</w:t>
      </w:r>
    </w:p>
  </w:footnote>
  <w:footnote w:id="48">
    <w:p w:rsidR="008C525B" w:rsidRDefault="008C525B" w:rsidP="00360F32">
      <w:pPr>
        <w:pStyle w:val="FootnoteText"/>
      </w:pPr>
      <w:r>
        <w:rPr>
          <w:rStyle w:val="FootnoteReference"/>
        </w:rPr>
        <w:footnoteRef/>
      </w:r>
      <w:r>
        <w:t xml:space="preserve"> </w:t>
      </w:r>
      <w:r>
        <w:tab/>
        <w:t xml:space="preserve">NER, </w:t>
      </w:r>
      <w:proofErr w:type="spellStart"/>
      <w:r>
        <w:t>cls</w:t>
      </w:r>
      <w:proofErr w:type="spellEnd"/>
      <w:r>
        <w:t xml:space="preserve"> 6.4.3(a)(4), 6.4.3(b)(4), 6.5.3, 6A.5.4(a)(4), 6A.5.4(b)(4) and 6A.6.4; NGR, </w:t>
      </w:r>
      <w:proofErr w:type="spellStart"/>
      <w:r>
        <w:t>rs</w:t>
      </w:r>
      <w:proofErr w:type="spellEnd"/>
      <w:r>
        <w:t xml:space="preserve"> 76(c) and 87A.</w:t>
      </w:r>
    </w:p>
  </w:footnote>
  <w:footnote w:id="49">
    <w:p w:rsidR="008C525B" w:rsidRDefault="008C525B" w:rsidP="00360F32">
      <w:pPr>
        <w:pStyle w:val="FootnoteText"/>
      </w:pPr>
      <w:r>
        <w:rPr>
          <w:rStyle w:val="FootnoteReference"/>
        </w:rPr>
        <w:footnoteRef/>
      </w:r>
      <w:r>
        <w:t xml:space="preserve"> </w:t>
      </w:r>
      <w:r>
        <w:tab/>
      </w:r>
      <w:proofErr w:type="gramStart"/>
      <w:r w:rsidRPr="00740082">
        <w:t>NER, cl 6.12.1(8).</w:t>
      </w:r>
      <w:proofErr w:type="gramEnd"/>
    </w:p>
  </w:footnote>
  <w:footnote w:id="50">
    <w:p w:rsidR="008C525B" w:rsidRDefault="008C525B" w:rsidP="0054512C">
      <w:pPr>
        <w:pStyle w:val="FootnoteText"/>
      </w:pPr>
      <w:r>
        <w:rPr>
          <w:rStyle w:val="FootnoteReference"/>
        </w:rPr>
        <w:footnoteRef/>
      </w:r>
      <w:r>
        <w:t xml:space="preserve"> </w:t>
      </w:r>
      <w:r>
        <w:tab/>
        <w:t>NER, cl. 6.4.2(a</w:t>
      </w:r>
      <w:proofErr w:type="gramStart"/>
      <w:r>
        <w:t>)(</w:t>
      </w:r>
      <w:proofErr w:type="gramEnd"/>
      <w:r>
        <w:t>4).</w:t>
      </w:r>
    </w:p>
  </w:footnote>
  <w:footnote w:id="51">
    <w:p w:rsidR="008C525B" w:rsidRDefault="008C525B" w:rsidP="00360F32">
      <w:pPr>
        <w:pStyle w:val="FootnoteText"/>
      </w:pPr>
      <w:r>
        <w:rPr>
          <w:rStyle w:val="FootnoteReference"/>
        </w:rPr>
        <w:footnoteRef/>
      </w:r>
      <w:r>
        <w:t xml:space="preserve"> </w:t>
      </w:r>
      <w:r>
        <w:tab/>
      </w:r>
      <w:proofErr w:type="gramStart"/>
      <w:r>
        <w:t>NER, cl. 6.2.6(b).</w:t>
      </w:r>
      <w:proofErr w:type="gramEnd"/>
      <w:r>
        <w:t xml:space="preserve"> </w:t>
      </w:r>
    </w:p>
  </w:footnote>
  <w:footnote w:id="52">
    <w:p w:rsidR="008C525B" w:rsidRDefault="008C525B" w:rsidP="00360F32">
      <w:pPr>
        <w:pStyle w:val="FootnoteText"/>
      </w:pPr>
      <w:r>
        <w:rPr>
          <w:rStyle w:val="FootnoteReference"/>
        </w:rPr>
        <w:footnoteRef/>
      </w:r>
      <w:r>
        <w:t xml:space="preserve"> </w:t>
      </w:r>
      <w:r>
        <w:tab/>
        <w:t>AEMC, Draft Rule Determination, National Electricity Amendment (Expanding competition in metering related services) Rule 2015, 26 March 2015.</w:t>
      </w:r>
    </w:p>
  </w:footnote>
  <w:footnote w:id="53">
    <w:p w:rsidR="008C525B" w:rsidRDefault="008C525B" w:rsidP="00360F32">
      <w:pPr>
        <w:pStyle w:val="FootnoteText"/>
      </w:pPr>
      <w:r>
        <w:rPr>
          <w:rStyle w:val="FootnoteReference"/>
        </w:rPr>
        <w:footnoteRef/>
      </w:r>
      <w:r>
        <w:t xml:space="preserve"> </w:t>
      </w:r>
      <w:r>
        <w:tab/>
        <w:t xml:space="preserve">These concepts are explained more fully in the explanatory statement to the EBSS, AER, </w:t>
      </w:r>
      <w:r w:rsidRPr="00EA74C7">
        <w:rPr>
          <w:rStyle w:val="AERtextitalic"/>
        </w:rPr>
        <w:t>Efficiency benefit sharing scheme for electricity network service providers</w:t>
      </w:r>
      <w:r>
        <w:rPr>
          <w:rStyle w:val="AERtextitalic"/>
        </w:rPr>
        <w:t xml:space="preserve"> - explanatory statement</w:t>
      </w:r>
      <w:r>
        <w:t>, November 2013.</w:t>
      </w:r>
    </w:p>
  </w:footnote>
  <w:footnote w:id="54">
    <w:p w:rsidR="008C525B" w:rsidRDefault="008C525B">
      <w:pPr>
        <w:pStyle w:val="FootnoteText"/>
      </w:pPr>
      <w:r>
        <w:rPr>
          <w:rStyle w:val="FootnoteReference"/>
        </w:rPr>
        <w:footnoteRef/>
      </w:r>
      <w:r>
        <w:t xml:space="preserve"> </w:t>
      </w:r>
      <w:r>
        <w:tab/>
      </w:r>
      <w:r w:rsidRPr="00CD30D4">
        <w:t xml:space="preserve">This also means that expenditure will be subject to the EBSS in the 2014–15 regulatory control </w:t>
      </w:r>
      <w:proofErr w:type="gramStart"/>
      <w:r w:rsidRPr="00CD30D4">
        <w:t>period</w:t>
      </w:r>
      <w:proofErr w:type="gramEnd"/>
      <w:r w:rsidRPr="00CD30D4">
        <w:t>.</w:t>
      </w:r>
    </w:p>
  </w:footnote>
  <w:footnote w:id="55">
    <w:p w:rsidR="008C525B" w:rsidRDefault="008C525B">
      <w:pPr>
        <w:pStyle w:val="FootnoteText"/>
      </w:pPr>
      <w:r>
        <w:rPr>
          <w:rStyle w:val="FootnoteReference"/>
        </w:rPr>
        <w:footnoteRef/>
      </w:r>
      <w:r>
        <w:t xml:space="preserve"> </w:t>
      </w:r>
      <w:r>
        <w:tab/>
      </w:r>
      <w:proofErr w:type="gramStart"/>
      <w:r>
        <w:t xml:space="preserve">AER, </w:t>
      </w:r>
      <w:r>
        <w:rPr>
          <w:rStyle w:val="AERtextitalic"/>
        </w:rPr>
        <w:t>Capex incentive guideline</w:t>
      </w:r>
      <w:r>
        <w:t>, Nov 2013, pp. 5–9.</w:t>
      </w:r>
      <w:proofErr w:type="gramEnd"/>
    </w:p>
  </w:footnote>
  <w:footnote w:id="56">
    <w:p w:rsidR="008C525B" w:rsidRDefault="008C525B" w:rsidP="00F117CA">
      <w:pPr>
        <w:pStyle w:val="FootnoteText"/>
      </w:pPr>
      <w:r>
        <w:rPr>
          <w:rStyle w:val="FootnoteReference"/>
        </w:rPr>
        <w:footnoteRef/>
      </w:r>
      <w:r>
        <w:t xml:space="preserve"> </w:t>
      </w:r>
      <w:r>
        <w:tab/>
      </w:r>
      <w:r w:rsidRPr="008A7B7A">
        <w:t>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w:t>
      </w:r>
    </w:p>
  </w:footnote>
  <w:footnote w:id="57">
    <w:p w:rsidR="008C525B" w:rsidRDefault="008C525B">
      <w:pPr>
        <w:pStyle w:val="FootnoteText"/>
      </w:pPr>
      <w:r>
        <w:rPr>
          <w:rStyle w:val="FootnoteReference"/>
        </w:rPr>
        <w:footnoteRef/>
      </w:r>
      <w:r>
        <w:t xml:space="preserve"> </w:t>
      </w:r>
      <w:r>
        <w:tab/>
      </w:r>
      <w:r w:rsidRPr="00AB0E81">
        <w:t xml:space="preserve">AER, </w:t>
      </w:r>
      <w:r w:rsidRPr="00AB0E81">
        <w:rPr>
          <w:rStyle w:val="AERtextitalic"/>
        </w:rPr>
        <w:t>Electricity distribution network service providers—service target performance incentive scheme</w:t>
      </w:r>
      <w:r w:rsidRPr="00AB0E81">
        <w:t xml:space="preserve">, 1 November 2009. </w:t>
      </w:r>
      <w:proofErr w:type="gramStart"/>
      <w:r w:rsidRPr="00AB0E81">
        <w:t xml:space="preserve">(AER, </w:t>
      </w:r>
      <w:r w:rsidRPr="00AB0E81">
        <w:rPr>
          <w:rStyle w:val="AERtextitalic"/>
        </w:rPr>
        <w:t>Electricity distribution STPIS</w:t>
      </w:r>
      <w:r w:rsidRPr="00AB0E81">
        <w:t>, Nov 2009).</w:t>
      </w:r>
      <w:proofErr w:type="gramEnd"/>
    </w:p>
  </w:footnote>
  <w:footnote w:id="58">
    <w:p w:rsidR="008C525B" w:rsidRPr="001D04BD" w:rsidRDefault="008C525B" w:rsidP="00360F32">
      <w:pPr>
        <w:pStyle w:val="FootnoteText"/>
        <w:rPr>
          <w:rStyle w:val="AERtextitalic"/>
          <w:i w:val="0"/>
        </w:rPr>
      </w:pPr>
      <w:r>
        <w:rPr>
          <w:rStyle w:val="FootnoteReference"/>
        </w:rPr>
        <w:footnoteRef/>
      </w:r>
      <w:r>
        <w:t xml:space="preserve"> </w:t>
      </w:r>
      <w:r>
        <w:tab/>
        <w:t xml:space="preserve">AER, </w:t>
      </w:r>
      <w:r>
        <w:rPr>
          <w:rStyle w:val="AERtextitalic"/>
        </w:rPr>
        <w:t xml:space="preserve">Draft decision: Endeavour Energy distribution determination </w:t>
      </w:r>
      <w:r w:rsidRPr="001D04BD">
        <w:rPr>
          <w:rStyle w:val="AERtextitalic"/>
        </w:rPr>
        <w:t>2015–19</w:t>
      </w:r>
      <w:r>
        <w:rPr>
          <w:rStyle w:val="AERtextitalic"/>
        </w:rPr>
        <w:t xml:space="preserve">, </w:t>
      </w:r>
      <w:r>
        <w:t>November 2014, Attachment 12, pp 7 &amp; 8 (AER, Draft Decision, November 2014).</w:t>
      </w:r>
    </w:p>
  </w:footnote>
  <w:footnote w:id="59">
    <w:p w:rsidR="008C525B" w:rsidRDefault="008C525B" w:rsidP="0029695E">
      <w:pPr>
        <w:pStyle w:val="FootnoteText"/>
      </w:pPr>
      <w:r>
        <w:rPr>
          <w:rStyle w:val="FootnoteReference"/>
        </w:rPr>
        <w:footnoteRef/>
      </w:r>
      <w:r>
        <w:t xml:space="preserve"> </w:t>
      </w:r>
      <w:r>
        <w:tab/>
      </w:r>
      <w:proofErr w:type="gramStart"/>
      <w:r>
        <w:t>NEL, s. 7.</w:t>
      </w:r>
      <w:proofErr w:type="gramEnd"/>
    </w:p>
  </w:footnote>
  <w:footnote w:id="60">
    <w:p w:rsidR="008C525B" w:rsidRDefault="008C525B" w:rsidP="0029695E">
      <w:pPr>
        <w:pStyle w:val="FootnoteText"/>
      </w:pPr>
      <w:r>
        <w:rPr>
          <w:rStyle w:val="FootnoteReference"/>
        </w:rPr>
        <w:footnoteRef/>
      </w:r>
      <w:r>
        <w:t xml:space="preserve"> </w:t>
      </w:r>
      <w:r>
        <w:tab/>
      </w:r>
      <w:proofErr w:type="gramStart"/>
      <w:r>
        <w:t>NEL, s. 7A.</w:t>
      </w:r>
      <w:proofErr w:type="gramEnd"/>
    </w:p>
  </w:footnote>
  <w:footnote w:id="61">
    <w:p w:rsidR="008C525B" w:rsidRDefault="008C525B" w:rsidP="0029695E">
      <w:pPr>
        <w:pStyle w:val="FootnoteText"/>
      </w:pPr>
      <w:r>
        <w:rPr>
          <w:rStyle w:val="FootnoteReference"/>
        </w:rPr>
        <w:footnoteRef/>
      </w:r>
      <w:r>
        <w:t xml:space="preserve"> </w:t>
      </w:r>
      <w:r>
        <w:tab/>
      </w:r>
      <w:proofErr w:type="gramStart"/>
      <w:r>
        <w:t>NEL, s. 16(2).</w:t>
      </w:r>
      <w:proofErr w:type="gramEnd"/>
    </w:p>
  </w:footnote>
  <w:footnote w:id="62">
    <w:p w:rsidR="008C525B" w:rsidRDefault="008C525B" w:rsidP="005E3371">
      <w:pPr>
        <w:pStyle w:val="FootnoteText"/>
      </w:pPr>
      <w:r>
        <w:rPr>
          <w:rStyle w:val="FootnoteReference"/>
        </w:rPr>
        <w:footnoteRef/>
      </w:r>
      <w:r>
        <w:t xml:space="preserve"> </w:t>
      </w:r>
      <w:r>
        <w:tab/>
        <w:t>Hansard, SA House of Assembly, 27 September 2007 pp. 965. Hansard, SA House of Assembly, 26 September 2013 p. 7173.</w:t>
      </w:r>
    </w:p>
  </w:footnote>
  <w:footnote w:id="63">
    <w:p w:rsidR="008C525B" w:rsidRDefault="008C525B" w:rsidP="0029695E">
      <w:pPr>
        <w:pStyle w:val="FootnoteText"/>
      </w:pPr>
      <w:r>
        <w:rPr>
          <w:rStyle w:val="FootnoteReference"/>
        </w:rPr>
        <w:footnoteRef/>
      </w:r>
      <w:r>
        <w:t xml:space="preserve"> </w:t>
      </w:r>
      <w:r>
        <w:tab/>
      </w:r>
      <w:proofErr w:type="gramStart"/>
      <w:r>
        <w:t>NEL, s. 88.</w:t>
      </w:r>
      <w:proofErr w:type="gramEnd"/>
    </w:p>
    <w:p w:rsidR="008C525B" w:rsidRDefault="008C525B" w:rsidP="0029695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proofErr w:type="gramStart"/>
      <w:r>
        <w:rPr>
          <w:rStyle w:val="AERtextitalic"/>
        </w:rPr>
        <w:t xml:space="preserve">,  </w:t>
      </w:r>
      <w:r w:rsidRPr="00BC0992">
        <w:rPr>
          <w:rStyle w:val="AERtextsize8"/>
        </w:rPr>
        <w:t>p</w:t>
      </w:r>
      <w:proofErr w:type="gramEnd"/>
      <w:r>
        <w:rPr>
          <w:rStyle w:val="AERtextsize8"/>
        </w:rPr>
        <w:t>. 8.</w:t>
      </w:r>
    </w:p>
  </w:footnote>
  <w:footnote w:id="64">
    <w:p w:rsidR="008C525B" w:rsidRDefault="008C525B" w:rsidP="0029695E">
      <w:pPr>
        <w:pStyle w:val="FootnoteText"/>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33-34</w:t>
      </w:r>
    </w:p>
    <w:p w:rsidR="008C525B" w:rsidRPr="00E81031" w:rsidRDefault="008C525B" w:rsidP="0029695E">
      <w:pPr>
        <w:pStyle w:val="FootnoteText"/>
        <w:rPr>
          <w:rStyle w:val="AERtexthighlight"/>
        </w:rPr>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proofErr w:type="gramStart"/>
      <w:r>
        <w:rPr>
          <w:rStyle w:val="AERtextitalic"/>
        </w:rPr>
        <w:t xml:space="preserve">,  </w:t>
      </w:r>
      <w:r w:rsidRPr="00BC0992">
        <w:rPr>
          <w:rStyle w:val="AERtextsize8"/>
        </w:rPr>
        <w:t>p</w:t>
      </w:r>
      <w:r>
        <w:rPr>
          <w:rStyle w:val="AERtextsize8"/>
        </w:rPr>
        <w:t>p</w:t>
      </w:r>
      <w:proofErr w:type="gramEnd"/>
      <w:r>
        <w:rPr>
          <w:rStyle w:val="AERtextsize8"/>
        </w:rPr>
        <w:t xml:space="preserve"> 35-6.   </w:t>
      </w:r>
    </w:p>
    <w:p w:rsidR="008C525B" w:rsidRDefault="008C525B" w:rsidP="0029695E">
      <w:pPr>
        <w:pStyle w:val="FootnoteText"/>
      </w:pPr>
    </w:p>
  </w:footnote>
  <w:footnote w:id="65">
    <w:p w:rsidR="008C525B" w:rsidRDefault="008C525B" w:rsidP="0029695E">
      <w:pPr>
        <w:pStyle w:val="FootnoteText"/>
      </w:pPr>
      <w:r>
        <w:rPr>
          <w:rStyle w:val="FootnoteReference"/>
        </w:rPr>
        <w:footnoteRef/>
      </w:r>
      <w:r>
        <w:t xml:space="preserve"> </w:t>
      </w:r>
      <w:r>
        <w:tab/>
        <w:t>Hansard, SA House of Assembly, 9 February 2005 pp. 1451</w:t>
      </w:r>
      <w:r>
        <w:rPr>
          <w:rFonts w:cs="Gautami"/>
        </w:rPr>
        <w:t>–</w:t>
      </w:r>
      <w:r>
        <w:t>1460.</w:t>
      </w:r>
    </w:p>
    <w:p w:rsidR="008C525B" w:rsidRDefault="008C525B" w:rsidP="0029695E">
      <w:pPr>
        <w:pStyle w:val="FootnoteText"/>
      </w:pPr>
      <w:r>
        <w:tab/>
        <w:t>Hansard, SA House of Assembly, 27 September 2007 pp. 963</w:t>
      </w:r>
      <w:r>
        <w:rPr>
          <w:rFonts w:cs="Gautami"/>
        </w:rPr>
        <w:t>–</w:t>
      </w:r>
      <w:r>
        <w:t xml:space="preserve">972. </w:t>
      </w:r>
    </w:p>
    <w:p w:rsidR="008C525B" w:rsidRDefault="008C525B" w:rsidP="0029695E">
      <w:pPr>
        <w:pStyle w:val="FootnoteText"/>
      </w:pPr>
      <w:r>
        <w:tab/>
        <w:t>Hansard, SA House of Assembly, 26 September 2013 pp. 7171</w:t>
      </w:r>
      <w:r>
        <w:rPr>
          <w:rFonts w:cs="Gautami"/>
        </w:rPr>
        <w:t>–</w:t>
      </w:r>
      <w:r>
        <w:t>7176.</w:t>
      </w:r>
    </w:p>
  </w:footnote>
  <w:footnote w:id="66">
    <w:p w:rsidR="008C525B" w:rsidRDefault="008C525B" w:rsidP="0029695E">
      <w:pPr>
        <w:pStyle w:val="FootnoteText"/>
      </w:pPr>
      <w:r>
        <w:rPr>
          <w:rStyle w:val="FootnoteReference"/>
        </w:rPr>
        <w:footnoteRef/>
      </w:r>
      <w:r>
        <w:tab/>
        <w:t>Hansard, SA House of Assembly, 26 September 2013 p. 7173.</w:t>
      </w:r>
    </w:p>
  </w:footnote>
  <w:footnote w:id="67">
    <w:p w:rsidR="008C525B" w:rsidRDefault="008C525B" w:rsidP="0029695E">
      <w:pPr>
        <w:pStyle w:val="FootnoteText"/>
      </w:pPr>
      <w:r>
        <w:rPr>
          <w:rStyle w:val="FootnoteReference"/>
        </w:rPr>
        <w:footnoteRef/>
      </w:r>
      <w:r>
        <w:t xml:space="preserve"> </w:t>
      </w:r>
      <w:r>
        <w:tab/>
        <w:t>Hansard, SA House of Assembly, 9 February 2005 p. 1452.</w:t>
      </w:r>
    </w:p>
  </w:footnote>
  <w:footnote w:id="68">
    <w:p w:rsidR="008C525B" w:rsidRPr="001114AA" w:rsidRDefault="008C525B" w:rsidP="0029695E">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8C525B" w:rsidRDefault="008C525B" w:rsidP="0029695E">
      <w:pPr>
        <w:pStyle w:val="FootnoteText"/>
      </w:pPr>
      <w:r>
        <w:tab/>
        <w:t>Energy Ministers also accept this view – see Hansard, SA House of Assembly, 26 September 2013 p. 7172.</w:t>
      </w:r>
    </w:p>
    <w:p w:rsidR="008C525B" w:rsidRDefault="008C525B" w:rsidP="0029695E">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69">
    <w:p w:rsidR="008C525B" w:rsidRDefault="008C525B" w:rsidP="0029695E">
      <w:pPr>
        <w:pStyle w:val="FootnoteText"/>
      </w:pPr>
      <w:r>
        <w:rPr>
          <w:rStyle w:val="FootnoteReference"/>
        </w:rPr>
        <w:footnoteRef/>
      </w:r>
      <w:r>
        <w:t xml:space="preserve"> </w:t>
      </w:r>
      <w:r>
        <w:tab/>
        <w:t xml:space="preserve">NEL, s. </w:t>
      </w:r>
      <w:proofErr w:type="gramStart"/>
      <w:r>
        <w:t>7A(</w:t>
      </w:r>
      <w:proofErr w:type="gramEnd"/>
      <w:r>
        <w:t>7).</w:t>
      </w:r>
    </w:p>
  </w:footnote>
  <w:footnote w:id="70">
    <w:p w:rsidR="008C525B" w:rsidRDefault="008C525B" w:rsidP="0029695E">
      <w:pPr>
        <w:pStyle w:val="FootnoteText"/>
      </w:pPr>
      <w:r>
        <w:rPr>
          <w:rStyle w:val="FootnoteReference"/>
        </w:rPr>
        <w:footnoteRef/>
      </w:r>
      <w:r>
        <w:t xml:space="preserve"> </w:t>
      </w:r>
      <w:r>
        <w:tab/>
        <w:t xml:space="preserve">NEL, s. </w:t>
      </w:r>
      <w:proofErr w:type="gramStart"/>
      <w:r>
        <w:t>7A(</w:t>
      </w:r>
      <w:proofErr w:type="gramEnd"/>
      <w:r>
        <w:t>6).</w:t>
      </w:r>
    </w:p>
  </w:footnote>
  <w:footnote w:id="71">
    <w:p w:rsidR="008C525B" w:rsidRDefault="008C525B" w:rsidP="0029695E">
      <w:pPr>
        <w:pStyle w:val="FootnoteText"/>
      </w:pPr>
      <w:r>
        <w:rPr>
          <w:rStyle w:val="FootnoteReference"/>
        </w:rPr>
        <w:footnoteRef/>
      </w:r>
      <w:r>
        <w:t xml:space="preserve"> </w:t>
      </w:r>
      <w:r>
        <w:tab/>
        <w:t>NEL, ss. 16(1</w:t>
      </w:r>
      <w:proofErr w:type="gramStart"/>
      <w:r>
        <w:t>)(</w:t>
      </w:r>
      <w:proofErr w:type="gramEnd"/>
      <w:r>
        <w:t>d) and 71P(2a)(c).</w:t>
      </w:r>
    </w:p>
    <w:p w:rsidR="008C525B" w:rsidRDefault="008C525B" w:rsidP="0029695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w:t>
      </w:r>
      <w:proofErr w:type="spellStart"/>
      <w:r>
        <w:t>i</w:t>
      </w:r>
      <w:proofErr w:type="spellEnd"/>
      <w:r>
        <w:t>, iii, iv, vi, vii, 8, 24 32, 36, 38, 45, 49, 67, 68, 90, 96 106, 112 and 113.</w:t>
      </w:r>
    </w:p>
    <w:p w:rsidR="008C525B" w:rsidRDefault="008C525B" w:rsidP="0029695E">
      <w:pPr>
        <w:pStyle w:val="FootnoteText"/>
      </w:pPr>
      <w:r>
        <w:tab/>
        <w:t>Hansard, SA House of Assembly, 26 September 2013 p. 7172.</w:t>
      </w:r>
    </w:p>
  </w:footnote>
  <w:footnote w:id="72">
    <w:p w:rsidR="008C525B" w:rsidRDefault="008C525B" w:rsidP="0029695E">
      <w:pPr>
        <w:pStyle w:val="FootnoteText"/>
      </w:pPr>
      <w:r>
        <w:rPr>
          <w:rStyle w:val="FootnoteReference"/>
        </w:rPr>
        <w:footnoteRef/>
      </w:r>
      <w:r>
        <w:t xml:space="preserve"> </w:t>
      </w:r>
      <w:r>
        <w:tab/>
        <w:t>For example, NER, cl. 6.5.2(b), 6.5.6(a), 6.5.7(a)</w:t>
      </w:r>
    </w:p>
    <w:p w:rsidR="008C525B" w:rsidRDefault="008C525B" w:rsidP="0029695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73">
    <w:p w:rsidR="008C525B" w:rsidRDefault="008C525B" w:rsidP="0029695E">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74">
    <w:p w:rsidR="008C525B" w:rsidRDefault="008C525B" w:rsidP="0029695E">
      <w:pPr>
        <w:pStyle w:val="FootnoteText"/>
      </w:pPr>
      <w:r>
        <w:rPr>
          <w:rStyle w:val="FootnoteReference"/>
        </w:rPr>
        <w:footnoteRef/>
      </w:r>
      <w:r>
        <w:t xml:space="preserve"> </w:t>
      </w:r>
      <w:r>
        <w:tab/>
        <w:t>Hansard, SA House of Assembly, 26 September 2013 p. 7171.</w:t>
      </w:r>
    </w:p>
  </w:footnote>
  <w:footnote w:id="75">
    <w:p w:rsidR="008C525B" w:rsidRDefault="008C525B" w:rsidP="0029695E">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8C525B" w:rsidRDefault="008C525B" w:rsidP="0029695E">
      <w:pPr>
        <w:pStyle w:val="FootnoteText"/>
      </w:pPr>
      <w:r>
        <w:tab/>
        <w:t>Hansard, SA House of Assembly, 26 September 2013 pp. 7171 and 7173; See also NEL, ss. 2, 16 and 71A which focus the AER’s decision making and merits review at the overall decision, rather than its constituent components.</w:t>
      </w:r>
    </w:p>
    <w:p w:rsidR="008C525B" w:rsidRDefault="008C525B" w:rsidP="0029695E">
      <w:pPr>
        <w:pStyle w:val="FootnoteText"/>
      </w:pPr>
      <w:r>
        <w:tab/>
        <w:t xml:space="preserve">SCER, </w:t>
      </w:r>
      <w:hyperlink r:id="rId4" w:history="1">
        <w:r>
          <w:rPr>
            <w:rStyle w:val="AERtextitalic"/>
          </w:rPr>
          <w:t>Regulation Impact Statement – Limited Merits Review of Decision-Making in the Electricity and Gas Regulatory Frameworks</w:t>
        </w:r>
      </w:hyperlink>
      <w:r>
        <w:rPr>
          <w:rStyle w:val="FootnoteReference"/>
        </w:rPr>
        <w:t>,</w:t>
      </w:r>
      <w:r>
        <w:t xml:space="preserve"> 6 June 2013 pp. </w:t>
      </w:r>
      <w:proofErr w:type="spellStart"/>
      <w:r>
        <w:t>i</w:t>
      </w:r>
      <w:proofErr w:type="spellEnd"/>
      <w:r>
        <w:t>, ii, 6</w:t>
      </w:r>
      <w:r>
        <w:rPr>
          <w:rFonts w:cs="Gautami"/>
        </w:rPr>
        <w:t>–</w:t>
      </w:r>
      <w:r>
        <w:t>7, 10, 36, 41 and 76.</w:t>
      </w:r>
    </w:p>
  </w:footnote>
  <w:footnote w:id="76">
    <w:p w:rsidR="008C525B" w:rsidRDefault="008C525B" w:rsidP="0029695E">
      <w:pPr>
        <w:pStyle w:val="FootnoteText"/>
      </w:pPr>
      <w:r>
        <w:rPr>
          <w:rStyle w:val="FootnoteReference"/>
        </w:rPr>
        <w:footnoteRef/>
      </w:r>
      <w:r>
        <w:t xml:space="preserve"> </w:t>
      </w:r>
      <w:r>
        <w:tab/>
      </w:r>
      <w:proofErr w:type="gramStart"/>
      <w:r>
        <w:t>NEL, s. 16(c).</w:t>
      </w:r>
      <w:proofErr w:type="gramEnd"/>
    </w:p>
  </w:footnote>
  <w:footnote w:id="77">
    <w:p w:rsidR="008C525B" w:rsidRDefault="008C525B" w:rsidP="0029695E">
      <w:pPr>
        <w:pStyle w:val="FootnoteText"/>
      </w:pPr>
      <w:r>
        <w:rPr>
          <w:rStyle w:val="FootnoteReference"/>
        </w:rPr>
        <w:footnoteRef/>
      </w:r>
      <w:r>
        <w:t xml:space="preserve"> </w:t>
      </w:r>
      <w:r>
        <w:tab/>
        <w:t>NEL, s. 16(1</w:t>
      </w:r>
      <w:proofErr w:type="gramStart"/>
      <w:r>
        <w:t>)(</w:t>
      </w:r>
      <w:proofErr w:type="gramEnd"/>
      <w:r>
        <w:t>d).</w:t>
      </w:r>
    </w:p>
  </w:footnote>
  <w:footnote w:id="78">
    <w:p w:rsidR="008C525B" w:rsidRDefault="008C525B" w:rsidP="00CF3C1D">
      <w:pPr>
        <w:pStyle w:val="FootnoteText"/>
      </w:pPr>
      <w:r>
        <w:rPr>
          <w:rStyle w:val="FootnoteReference"/>
        </w:rPr>
        <w:footnoteRef/>
      </w:r>
      <w:r>
        <w:t xml:space="preserve"> </w:t>
      </w:r>
      <w:r>
        <w:tab/>
      </w:r>
      <w:proofErr w:type="gramStart"/>
      <w:r>
        <w:t>NER, cl. 6.11.2(c).</w:t>
      </w:r>
      <w:proofErr w:type="gramEnd"/>
    </w:p>
  </w:footnote>
  <w:footnote w:id="79">
    <w:p w:rsidR="008C525B" w:rsidRDefault="008C525B" w:rsidP="0029695E">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80">
    <w:p w:rsidR="008C525B" w:rsidRDefault="008C525B" w:rsidP="00360F32">
      <w:pPr>
        <w:pStyle w:val="FootnoteText"/>
      </w:pPr>
      <w:r>
        <w:rPr>
          <w:rStyle w:val="FootnoteReference"/>
        </w:rPr>
        <w:footnoteRef/>
      </w:r>
      <w:r>
        <w:t xml:space="preserve"> </w:t>
      </w:r>
      <w:r>
        <w:tab/>
        <w:t>NEL, s. 16(1)(b)</w:t>
      </w:r>
    </w:p>
  </w:footnote>
  <w:footnote w:id="81">
    <w:p w:rsidR="008C525B" w:rsidRDefault="008C525B" w:rsidP="00BA1E03">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sidRPr="00356A31">
        <w:t>–</w:t>
      </w:r>
      <w:r>
        <w:t>13.</w:t>
      </w:r>
      <w:proofErr w:type="gramEnd"/>
    </w:p>
  </w:footnote>
  <w:footnote w:id="82">
    <w:p w:rsidR="008C525B" w:rsidRDefault="008C525B" w:rsidP="00BA1E03">
      <w:pPr>
        <w:pStyle w:val="FootnoteText"/>
      </w:pPr>
      <w:r>
        <w:rPr>
          <w:rStyle w:val="FootnoteReference"/>
        </w:rPr>
        <w:footnoteRef/>
      </w:r>
      <w:r>
        <w:t xml:space="preserve"> </w:t>
      </w:r>
      <w:r>
        <w:tab/>
      </w:r>
      <w:proofErr w:type="gramStart"/>
      <w:r>
        <w:t xml:space="preserve">AER, </w:t>
      </w:r>
      <w:r w:rsidRPr="009D1CE9">
        <w:rPr>
          <w:rStyle w:val="AERtextitalic"/>
        </w:rPr>
        <w:t>Overview of the Better Regulation reform package</w:t>
      </w:r>
      <w:r>
        <w:t>, April 2014, pp. 4 and 7</w:t>
      </w:r>
      <w:r>
        <w:rPr>
          <w:rFonts w:cs="Gautami"/>
        </w:rPr>
        <w:t>–</w:t>
      </w:r>
      <w:r>
        <w:t>13.</w:t>
      </w:r>
      <w:proofErr w:type="gramEnd"/>
    </w:p>
  </w:footnote>
  <w:footnote w:id="83">
    <w:p w:rsidR="008C525B" w:rsidRDefault="008C525B" w:rsidP="00495D6F">
      <w:pPr>
        <w:pStyle w:val="FootnoteText"/>
      </w:pPr>
      <w:r>
        <w:rPr>
          <w:rStyle w:val="FootnoteReference"/>
        </w:rPr>
        <w:footnoteRef/>
      </w:r>
      <w:r>
        <w:t xml:space="preserve"> </w:t>
      </w:r>
      <w:r>
        <w:tab/>
      </w:r>
      <w:r w:rsidRPr="00A97AE6">
        <w:t>http://www.aer.gov.au/Better-regulation-reform-program</w:t>
      </w:r>
    </w:p>
  </w:footnote>
  <w:footnote w:id="84">
    <w:p w:rsidR="008C525B" w:rsidRDefault="008C525B" w:rsidP="00033E5B">
      <w:pPr>
        <w:pStyle w:val="FootnoteText"/>
      </w:pPr>
      <w:r>
        <w:rPr>
          <w:rStyle w:val="FootnoteReference"/>
        </w:rPr>
        <w:footnoteRef/>
      </w:r>
      <w:r>
        <w:t xml:space="preserve"> </w:t>
      </w:r>
      <w:r>
        <w:tab/>
      </w:r>
      <w:proofErr w:type="gramStart"/>
      <w:r>
        <w:t>NER, cl. 6.12.1.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5B" w:rsidRDefault="008C5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0"/>
  </w:num>
  <w:num w:numId="15">
    <w:abstractNumId w:val="14"/>
  </w:num>
  <w:num w:numId="16">
    <w:abstractNumId w:val="20"/>
  </w:num>
  <w:num w:numId="17">
    <w:abstractNumId w:val="9"/>
  </w:num>
  <w:num w:numId="18">
    <w:abstractNumId w:val="16"/>
  </w:num>
  <w:num w:numId="19">
    <w:abstractNumId w:val="21"/>
  </w:num>
  <w:num w:numId="20">
    <w:abstractNumId w:val="27"/>
  </w:num>
  <w:num w:numId="21">
    <w:abstractNumId w:val="24"/>
  </w:num>
  <w:num w:numId="22">
    <w:abstractNumId w:val="22"/>
  </w:num>
  <w:num w:numId="23">
    <w:abstractNumId w:val="17"/>
  </w:num>
  <w:num w:numId="24">
    <w:abstractNumId w:val="23"/>
  </w:num>
  <w:num w:numId="25">
    <w:abstractNumId w:val="25"/>
  </w:num>
  <w:num w:numId="26">
    <w:abstractNumId w:val="18"/>
  </w:num>
  <w:num w:numId="27">
    <w:abstractNumId w:val="15"/>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09pYkPc/B7ZxmK3PgUnp1GXwBxamh8NC5QPYMFk+ADw=" w:saltValue="nZB80UwhYRA1KDvYvL8ULw==" w:algorithmName="SHA-256"/>
  <w:defaultTabStop w:val="34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768\AER15 454  AER - Final decision Endeavour Energy distribution determination - Overview - April 2015.DOCX"/>
  </w:docVars>
  <w:rsids>
    <w:rsidRoot w:val="00961A4A"/>
    <w:rsid w:val="00017C8C"/>
    <w:rsid w:val="00021202"/>
    <w:rsid w:val="00021C2B"/>
    <w:rsid w:val="0002517F"/>
    <w:rsid w:val="00033E5B"/>
    <w:rsid w:val="0003578C"/>
    <w:rsid w:val="00051188"/>
    <w:rsid w:val="00063247"/>
    <w:rsid w:val="00063B73"/>
    <w:rsid w:val="00070F9F"/>
    <w:rsid w:val="0007137B"/>
    <w:rsid w:val="00072AF8"/>
    <w:rsid w:val="000806C2"/>
    <w:rsid w:val="000829D8"/>
    <w:rsid w:val="00085663"/>
    <w:rsid w:val="00085EBF"/>
    <w:rsid w:val="000867E7"/>
    <w:rsid w:val="00091B15"/>
    <w:rsid w:val="00092CE7"/>
    <w:rsid w:val="00094453"/>
    <w:rsid w:val="000A3020"/>
    <w:rsid w:val="000A633B"/>
    <w:rsid w:val="000A6C7B"/>
    <w:rsid w:val="000B250A"/>
    <w:rsid w:val="000C2B40"/>
    <w:rsid w:val="000C2FED"/>
    <w:rsid w:val="000D122C"/>
    <w:rsid w:val="000D3DE8"/>
    <w:rsid w:val="000D5E6B"/>
    <w:rsid w:val="000E1819"/>
    <w:rsid w:val="000E4821"/>
    <w:rsid w:val="000E4C49"/>
    <w:rsid w:val="000E6C72"/>
    <w:rsid w:val="000F0ACE"/>
    <w:rsid w:val="000F4557"/>
    <w:rsid w:val="000F60AF"/>
    <w:rsid w:val="0010003E"/>
    <w:rsid w:val="00102D45"/>
    <w:rsid w:val="00116EB2"/>
    <w:rsid w:val="00117E02"/>
    <w:rsid w:val="00124609"/>
    <w:rsid w:val="00126A4C"/>
    <w:rsid w:val="00133349"/>
    <w:rsid w:val="001440F6"/>
    <w:rsid w:val="0014573B"/>
    <w:rsid w:val="0015215E"/>
    <w:rsid w:val="00152683"/>
    <w:rsid w:val="001573E4"/>
    <w:rsid w:val="00160756"/>
    <w:rsid w:val="001613C3"/>
    <w:rsid w:val="00167416"/>
    <w:rsid w:val="00171CC3"/>
    <w:rsid w:val="0017232E"/>
    <w:rsid w:val="00174102"/>
    <w:rsid w:val="001754EE"/>
    <w:rsid w:val="00180157"/>
    <w:rsid w:val="00185CB9"/>
    <w:rsid w:val="00186F77"/>
    <w:rsid w:val="001903FB"/>
    <w:rsid w:val="0019264E"/>
    <w:rsid w:val="001926A4"/>
    <w:rsid w:val="00192AD5"/>
    <w:rsid w:val="001A1DB1"/>
    <w:rsid w:val="001A530D"/>
    <w:rsid w:val="001B255E"/>
    <w:rsid w:val="001B45A0"/>
    <w:rsid w:val="001B6953"/>
    <w:rsid w:val="001C6C8B"/>
    <w:rsid w:val="001D055E"/>
    <w:rsid w:val="001D63EC"/>
    <w:rsid w:val="001F05A4"/>
    <w:rsid w:val="001F492E"/>
    <w:rsid w:val="001F6DA3"/>
    <w:rsid w:val="002010BC"/>
    <w:rsid w:val="002016E7"/>
    <w:rsid w:val="00202E03"/>
    <w:rsid w:val="002038FC"/>
    <w:rsid w:val="002043AA"/>
    <w:rsid w:val="0020492C"/>
    <w:rsid w:val="00224DB9"/>
    <w:rsid w:val="0023193C"/>
    <w:rsid w:val="00233775"/>
    <w:rsid w:val="00246B82"/>
    <w:rsid w:val="00251745"/>
    <w:rsid w:val="00263AC0"/>
    <w:rsid w:val="00264264"/>
    <w:rsid w:val="0026772D"/>
    <w:rsid w:val="00286874"/>
    <w:rsid w:val="00290C63"/>
    <w:rsid w:val="00291680"/>
    <w:rsid w:val="0029695E"/>
    <w:rsid w:val="00296B65"/>
    <w:rsid w:val="002A018D"/>
    <w:rsid w:val="002A0A19"/>
    <w:rsid w:val="002A16BD"/>
    <w:rsid w:val="002A7DEF"/>
    <w:rsid w:val="002B4A9D"/>
    <w:rsid w:val="002C233C"/>
    <w:rsid w:val="002D49B8"/>
    <w:rsid w:val="002D5A57"/>
    <w:rsid w:val="002D61C9"/>
    <w:rsid w:val="002D72E8"/>
    <w:rsid w:val="002E7B22"/>
    <w:rsid w:val="002F4311"/>
    <w:rsid w:val="002F7986"/>
    <w:rsid w:val="00301B40"/>
    <w:rsid w:val="003029EE"/>
    <w:rsid w:val="00305CC8"/>
    <w:rsid w:val="00307F6D"/>
    <w:rsid w:val="003177A2"/>
    <w:rsid w:val="003271B5"/>
    <w:rsid w:val="00327A1E"/>
    <w:rsid w:val="00331264"/>
    <w:rsid w:val="00334C8D"/>
    <w:rsid w:val="00343A18"/>
    <w:rsid w:val="003500E4"/>
    <w:rsid w:val="003518B3"/>
    <w:rsid w:val="00360F32"/>
    <w:rsid w:val="003646AC"/>
    <w:rsid w:val="003846F1"/>
    <w:rsid w:val="003939F5"/>
    <w:rsid w:val="003B05A8"/>
    <w:rsid w:val="003B484F"/>
    <w:rsid w:val="003B7FBA"/>
    <w:rsid w:val="003C461D"/>
    <w:rsid w:val="003E67A8"/>
    <w:rsid w:val="003E67D0"/>
    <w:rsid w:val="003E7214"/>
    <w:rsid w:val="003F174D"/>
    <w:rsid w:val="00415F31"/>
    <w:rsid w:val="00423A77"/>
    <w:rsid w:val="00430678"/>
    <w:rsid w:val="00433195"/>
    <w:rsid w:val="00443E5F"/>
    <w:rsid w:val="004505FB"/>
    <w:rsid w:val="00452149"/>
    <w:rsid w:val="0045777E"/>
    <w:rsid w:val="00461B17"/>
    <w:rsid w:val="00480456"/>
    <w:rsid w:val="00480B4B"/>
    <w:rsid w:val="00485DC4"/>
    <w:rsid w:val="004900BA"/>
    <w:rsid w:val="00495D6F"/>
    <w:rsid w:val="004961B8"/>
    <w:rsid w:val="004A43D1"/>
    <w:rsid w:val="004B09AC"/>
    <w:rsid w:val="004B35B8"/>
    <w:rsid w:val="004B4412"/>
    <w:rsid w:val="004C348C"/>
    <w:rsid w:val="004D1108"/>
    <w:rsid w:val="004D55BA"/>
    <w:rsid w:val="004E22EC"/>
    <w:rsid w:val="004F6A0E"/>
    <w:rsid w:val="004F7B98"/>
    <w:rsid w:val="0050643D"/>
    <w:rsid w:val="00507E4F"/>
    <w:rsid w:val="00511770"/>
    <w:rsid w:val="00522079"/>
    <w:rsid w:val="00530128"/>
    <w:rsid w:val="00532467"/>
    <w:rsid w:val="0054512C"/>
    <w:rsid w:val="0054538A"/>
    <w:rsid w:val="0055496A"/>
    <w:rsid w:val="00564A4D"/>
    <w:rsid w:val="00567BA5"/>
    <w:rsid w:val="00570784"/>
    <w:rsid w:val="00571B35"/>
    <w:rsid w:val="00571D57"/>
    <w:rsid w:val="00577A09"/>
    <w:rsid w:val="005829C2"/>
    <w:rsid w:val="00584D8F"/>
    <w:rsid w:val="00584FF3"/>
    <w:rsid w:val="005916AB"/>
    <w:rsid w:val="00595107"/>
    <w:rsid w:val="00597849"/>
    <w:rsid w:val="005A08E7"/>
    <w:rsid w:val="005A404D"/>
    <w:rsid w:val="005B1E3C"/>
    <w:rsid w:val="005B4895"/>
    <w:rsid w:val="005B704A"/>
    <w:rsid w:val="005C21A4"/>
    <w:rsid w:val="005C26CC"/>
    <w:rsid w:val="005C2884"/>
    <w:rsid w:val="005D2394"/>
    <w:rsid w:val="005D2E01"/>
    <w:rsid w:val="005D7BA2"/>
    <w:rsid w:val="005E3371"/>
    <w:rsid w:val="005E36C2"/>
    <w:rsid w:val="005E75AE"/>
    <w:rsid w:val="00600768"/>
    <w:rsid w:val="00610EF9"/>
    <w:rsid w:val="00612F4F"/>
    <w:rsid w:val="006142B9"/>
    <w:rsid w:val="00615C6B"/>
    <w:rsid w:val="00621DCE"/>
    <w:rsid w:val="00626C1E"/>
    <w:rsid w:val="00632D6D"/>
    <w:rsid w:val="00642C3E"/>
    <w:rsid w:val="00644D38"/>
    <w:rsid w:val="00651E13"/>
    <w:rsid w:val="00654C23"/>
    <w:rsid w:val="006602E0"/>
    <w:rsid w:val="0066104A"/>
    <w:rsid w:val="006630A0"/>
    <w:rsid w:val="00663DAD"/>
    <w:rsid w:val="006711AD"/>
    <w:rsid w:val="00675E20"/>
    <w:rsid w:val="00676679"/>
    <w:rsid w:val="00680C52"/>
    <w:rsid w:val="00683C89"/>
    <w:rsid w:val="006A3265"/>
    <w:rsid w:val="006A5CE1"/>
    <w:rsid w:val="006A73D9"/>
    <w:rsid w:val="006B2395"/>
    <w:rsid w:val="006B2C46"/>
    <w:rsid w:val="006B4CF9"/>
    <w:rsid w:val="006B7AC8"/>
    <w:rsid w:val="006C1736"/>
    <w:rsid w:val="006D0231"/>
    <w:rsid w:val="006D3BAA"/>
    <w:rsid w:val="006D550F"/>
    <w:rsid w:val="0070011E"/>
    <w:rsid w:val="00701CAB"/>
    <w:rsid w:val="00707563"/>
    <w:rsid w:val="00716D41"/>
    <w:rsid w:val="00720C67"/>
    <w:rsid w:val="0072203E"/>
    <w:rsid w:val="0072348C"/>
    <w:rsid w:val="00724A37"/>
    <w:rsid w:val="00726FAF"/>
    <w:rsid w:val="007303C3"/>
    <w:rsid w:val="007429BE"/>
    <w:rsid w:val="00742F6C"/>
    <w:rsid w:val="00743223"/>
    <w:rsid w:val="00746E01"/>
    <w:rsid w:val="0075326F"/>
    <w:rsid w:val="00757364"/>
    <w:rsid w:val="00757BDF"/>
    <w:rsid w:val="007609D0"/>
    <w:rsid w:val="00763003"/>
    <w:rsid w:val="00763B0B"/>
    <w:rsid w:val="00763E5D"/>
    <w:rsid w:val="00767740"/>
    <w:rsid w:val="00776B30"/>
    <w:rsid w:val="00777EE6"/>
    <w:rsid w:val="00782237"/>
    <w:rsid w:val="00782EEA"/>
    <w:rsid w:val="00793B92"/>
    <w:rsid w:val="007957D9"/>
    <w:rsid w:val="007A3B11"/>
    <w:rsid w:val="007B186E"/>
    <w:rsid w:val="007B2C72"/>
    <w:rsid w:val="007B5ECE"/>
    <w:rsid w:val="007C1C53"/>
    <w:rsid w:val="007C74BB"/>
    <w:rsid w:val="007D0E47"/>
    <w:rsid w:val="007D456E"/>
    <w:rsid w:val="007E1717"/>
    <w:rsid w:val="007E4904"/>
    <w:rsid w:val="007E4CB5"/>
    <w:rsid w:val="007F066B"/>
    <w:rsid w:val="0080192A"/>
    <w:rsid w:val="008033C4"/>
    <w:rsid w:val="0080456F"/>
    <w:rsid w:val="00806C88"/>
    <w:rsid w:val="0081034E"/>
    <w:rsid w:val="00810DE4"/>
    <w:rsid w:val="008173B4"/>
    <w:rsid w:val="00822466"/>
    <w:rsid w:val="008344F6"/>
    <w:rsid w:val="0083510F"/>
    <w:rsid w:val="008443CF"/>
    <w:rsid w:val="00851209"/>
    <w:rsid w:val="008662FC"/>
    <w:rsid w:val="00875B81"/>
    <w:rsid w:val="008837AC"/>
    <w:rsid w:val="008856ED"/>
    <w:rsid w:val="008A587D"/>
    <w:rsid w:val="008B35CD"/>
    <w:rsid w:val="008B5FCC"/>
    <w:rsid w:val="008B62BF"/>
    <w:rsid w:val="008C39EF"/>
    <w:rsid w:val="008C525B"/>
    <w:rsid w:val="008C5486"/>
    <w:rsid w:val="008D1661"/>
    <w:rsid w:val="008D6800"/>
    <w:rsid w:val="008E0DD8"/>
    <w:rsid w:val="008E13B5"/>
    <w:rsid w:val="008E2866"/>
    <w:rsid w:val="008E5E3A"/>
    <w:rsid w:val="008E66D9"/>
    <w:rsid w:val="008E7031"/>
    <w:rsid w:val="008E77DE"/>
    <w:rsid w:val="008F07A3"/>
    <w:rsid w:val="009001B6"/>
    <w:rsid w:val="00900E1B"/>
    <w:rsid w:val="00917B39"/>
    <w:rsid w:val="009233EE"/>
    <w:rsid w:val="009247EB"/>
    <w:rsid w:val="00924E09"/>
    <w:rsid w:val="00927287"/>
    <w:rsid w:val="00927851"/>
    <w:rsid w:val="009332D1"/>
    <w:rsid w:val="009460AA"/>
    <w:rsid w:val="00951978"/>
    <w:rsid w:val="00953C79"/>
    <w:rsid w:val="00957E1B"/>
    <w:rsid w:val="00961A4A"/>
    <w:rsid w:val="0096557E"/>
    <w:rsid w:val="009661DE"/>
    <w:rsid w:val="00974C74"/>
    <w:rsid w:val="00982D45"/>
    <w:rsid w:val="00983C25"/>
    <w:rsid w:val="0098553E"/>
    <w:rsid w:val="009856B7"/>
    <w:rsid w:val="00985C86"/>
    <w:rsid w:val="00997685"/>
    <w:rsid w:val="009A5FC3"/>
    <w:rsid w:val="009B6F84"/>
    <w:rsid w:val="009B74B0"/>
    <w:rsid w:val="009C0852"/>
    <w:rsid w:val="009C297C"/>
    <w:rsid w:val="009D2F25"/>
    <w:rsid w:val="009D3906"/>
    <w:rsid w:val="009D443F"/>
    <w:rsid w:val="009D6B46"/>
    <w:rsid w:val="009F4940"/>
    <w:rsid w:val="009F49D9"/>
    <w:rsid w:val="009F5BA1"/>
    <w:rsid w:val="009F7E1C"/>
    <w:rsid w:val="00A02677"/>
    <w:rsid w:val="00A02A88"/>
    <w:rsid w:val="00A0562E"/>
    <w:rsid w:val="00A0726D"/>
    <w:rsid w:val="00A13C91"/>
    <w:rsid w:val="00A2749A"/>
    <w:rsid w:val="00A30BEC"/>
    <w:rsid w:val="00A32FBB"/>
    <w:rsid w:val="00A333D1"/>
    <w:rsid w:val="00A34A5A"/>
    <w:rsid w:val="00A428EE"/>
    <w:rsid w:val="00A43B97"/>
    <w:rsid w:val="00A4478A"/>
    <w:rsid w:val="00A44852"/>
    <w:rsid w:val="00A50502"/>
    <w:rsid w:val="00A51D54"/>
    <w:rsid w:val="00A51FB9"/>
    <w:rsid w:val="00A547FC"/>
    <w:rsid w:val="00A57D04"/>
    <w:rsid w:val="00A60A26"/>
    <w:rsid w:val="00A61598"/>
    <w:rsid w:val="00A64E70"/>
    <w:rsid w:val="00A67EC2"/>
    <w:rsid w:val="00A81891"/>
    <w:rsid w:val="00A84A99"/>
    <w:rsid w:val="00A84F46"/>
    <w:rsid w:val="00A871F4"/>
    <w:rsid w:val="00A96E59"/>
    <w:rsid w:val="00AB0AB3"/>
    <w:rsid w:val="00AB0E81"/>
    <w:rsid w:val="00AC1B2C"/>
    <w:rsid w:val="00AC3264"/>
    <w:rsid w:val="00AE1BF1"/>
    <w:rsid w:val="00AE7B31"/>
    <w:rsid w:val="00AF0DD2"/>
    <w:rsid w:val="00B120E4"/>
    <w:rsid w:val="00B13048"/>
    <w:rsid w:val="00B1408C"/>
    <w:rsid w:val="00B1716D"/>
    <w:rsid w:val="00B17A1D"/>
    <w:rsid w:val="00B207A0"/>
    <w:rsid w:val="00B514DD"/>
    <w:rsid w:val="00B52AF0"/>
    <w:rsid w:val="00B561BD"/>
    <w:rsid w:val="00B56E03"/>
    <w:rsid w:val="00B6081E"/>
    <w:rsid w:val="00B61AC6"/>
    <w:rsid w:val="00B8080B"/>
    <w:rsid w:val="00B82223"/>
    <w:rsid w:val="00B827FC"/>
    <w:rsid w:val="00B85B27"/>
    <w:rsid w:val="00B87BA5"/>
    <w:rsid w:val="00B87C39"/>
    <w:rsid w:val="00B92377"/>
    <w:rsid w:val="00B9562D"/>
    <w:rsid w:val="00B97091"/>
    <w:rsid w:val="00B977DE"/>
    <w:rsid w:val="00BA1E03"/>
    <w:rsid w:val="00BA4665"/>
    <w:rsid w:val="00BB2FB2"/>
    <w:rsid w:val="00BB3304"/>
    <w:rsid w:val="00BB3391"/>
    <w:rsid w:val="00BD0BD1"/>
    <w:rsid w:val="00BD3446"/>
    <w:rsid w:val="00BE1F1B"/>
    <w:rsid w:val="00BE47B5"/>
    <w:rsid w:val="00BE56D7"/>
    <w:rsid w:val="00BF3FFE"/>
    <w:rsid w:val="00BF6324"/>
    <w:rsid w:val="00C038CD"/>
    <w:rsid w:val="00C07330"/>
    <w:rsid w:val="00C17E95"/>
    <w:rsid w:val="00C233EF"/>
    <w:rsid w:val="00C25FA6"/>
    <w:rsid w:val="00C31773"/>
    <w:rsid w:val="00C32E55"/>
    <w:rsid w:val="00C45281"/>
    <w:rsid w:val="00C46E8A"/>
    <w:rsid w:val="00C538A9"/>
    <w:rsid w:val="00C53B5A"/>
    <w:rsid w:val="00C54F5A"/>
    <w:rsid w:val="00C569B4"/>
    <w:rsid w:val="00C63AD5"/>
    <w:rsid w:val="00C648A6"/>
    <w:rsid w:val="00C67A92"/>
    <w:rsid w:val="00C84560"/>
    <w:rsid w:val="00C86679"/>
    <w:rsid w:val="00C94BB6"/>
    <w:rsid w:val="00CA08E2"/>
    <w:rsid w:val="00CA3AA0"/>
    <w:rsid w:val="00CA489E"/>
    <w:rsid w:val="00CB0279"/>
    <w:rsid w:val="00CB30A4"/>
    <w:rsid w:val="00CB4DF3"/>
    <w:rsid w:val="00CB666B"/>
    <w:rsid w:val="00CC408E"/>
    <w:rsid w:val="00CC4CEF"/>
    <w:rsid w:val="00CC7F1D"/>
    <w:rsid w:val="00CD248F"/>
    <w:rsid w:val="00CD4655"/>
    <w:rsid w:val="00CE484B"/>
    <w:rsid w:val="00CE5CE4"/>
    <w:rsid w:val="00CF0DEE"/>
    <w:rsid w:val="00CF161E"/>
    <w:rsid w:val="00CF1C62"/>
    <w:rsid w:val="00CF2C0C"/>
    <w:rsid w:val="00CF2ED8"/>
    <w:rsid w:val="00CF3C1D"/>
    <w:rsid w:val="00D006AE"/>
    <w:rsid w:val="00D01CF0"/>
    <w:rsid w:val="00D01DB5"/>
    <w:rsid w:val="00D0442A"/>
    <w:rsid w:val="00D152FE"/>
    <w:rsid w:val="00D26322"/>
    <w:rsid w:val="00D35FB2"/>
    <w:rsid w:val="00D41701"/>
    <w:rsid w:val="00D61388"/>
    <w:rsid w:val="00D61A54"/>
    <w:rsid w:val="00D61D01"/>
    <w:rsid w:val="00D64DEA"/>
    <w:rsid w:val="00D7168E"/>
    <w:rsid w:val="00D71E57"/>
    <w:rsid w:val="00D80893"/>
    <w:rsid w:val="00D84854"/>
    <w:rsid w:val="00D849F5"/>
    <w:rsid w:val="00D92CF1"/>
    <w:rsid w:val="00D92D38"/>
    <w:rsid w:val="00D950F5"/>
    <w:rsid w:val="00DA4752"/>
    <w:rsid w:val="00DA61F3"/>
    <w:rsid w:val="00DB0F93"/>
    <w:rsid w:val="00DB1A67"/>
    <w:rsid w:val="00DB5074"/>
    <w:rsid w:val="00DB5FC1"/>
    <w:rsid w:val="00DC7981"/>
    <w:rsid w:val="00DD6AE0"/>
    <w:rsid w:val="00DE1093"/>
    <w:rsid w:val="00DE47D3"/>
    <w:rsid w:val="00DE4EFA"/>
    <w:rsid w:val="00DE5520"/>
    <w:rsid w:val="00DE563D"/>
    <w:rsid w:val="00DF2624"/>
    <w:rsid w:val="00E04818"/>
    <w:rsid w:val="00E06442"/>
    <w:rsid w:val="00E0739B"/>
    <w:rsid w:val="00E131B8"/>
    <w:rsid w:val="00E132C7"/>
    <w:rsid w:val="00E21930"/>
    <w:rsid w:val="00E23993"/>
    <w:rsid w:val="00E25B8C"/>
    <w:rsid w:val="00E423F4"/>
    <w:rsid w:val="00E447FA"/>
    <w:rsid w:val="00E60B0D"/>
    <w:rsid w:val="00E65C85"/>
    <w:rsid w:val="00E66199"/>
    <w:rsid w:val="00E755EC"/>
    <w:rsid w:val="00E75894"/>
    <w:rsid w:val="00E7624D"/>
    <w:rsid w:val="00E930D5"/>
    <w:rsid w:val="00EA24CB"/>
    <w:rsid w:val="00EA3D42"/>
    <w:rsid w:val="00EA6B1B"/>
    <w:rsid w:val="00EB0099"/>
    <w:rsid w:val="00EB2E0F"/>
    <w:rsid w:val="00EB3464"/>
    <w:rsid w:val="00EB782A"/>
    <w:rsid w:val="00EC04F1"/>
    <w:rsid w:val="00EC159C"/>
    <w:rsid w:val="00EC4A35"/>
    <w:rsid w:val="00ED0764"/>
    <w:rsid w:val="00ED08BD"/>
    <w:rsid w:val="00ED7323"/>
    <w:rsid w:val="00EE28F3"/>
    <w:rsid w:val="00EE50D1"/>
    <w:rsid w:val="00EF5110"/>
    <w:rsid w:val="00EF5889"/>
    <w:rsid w:val="00F10411"/>
    <w:rsid w:val="00F117CA"/>
    <w:rsid w:val="00F13F60"/>
    <w:rsid w:val="00F15882"/>
    <w:rsid w:val="00F171E0"/>
    <w:rsid w:val="00F20BCE"/>
    <w:rsid w:val="00F20BD3"/>
    <w:rsid w:val="00F27BB0"/>
    <w:rsid w:val="00F27F3B"/>
    <w:rsid w:val="00F373A5"/>
    <w:rsid w:val="00F47559"/>
    <w:rsid w:val="00F50FDE"/>
    <w:rsid w:val="00F51F5F"/>
    <w:rsid w:val="00F52765"/>
    <w:rsid w:val="00F64C7B"/>
    <w:rsid w:val="00F676DD"/>
    <w:rsid w:val="00F75A26"/>
    <w:rsid w:val="00F76706"/>
    <w:rsid w:val="00F807A3"/>
    <w:rsid w:val="00F83FAD"/>
    <w:rsid w:val="00F907E2"/>
    <w:rsid w:val="00F952A0"/>
    <w:rsid w:val="00FA3C7F"/>
    <w:rsid w:val="00FB20FE"/>
    <w:rsid w:val="00FB60FE"/>
    <w:rsid w:val="00FB74E2"/>
    <w:rsid w:val="00FC74EA"/>
    <w:rsid w:val="00FD5614"/>
    <w:rsid w:val="00FD5E78"/>
    <w:rsid w:val="00FE0BE1"/>
    <w:rsid w:val="00FE1DE9"/>
    <w:rsid w:val="00FE36AF"/>
    <w:rsid w:val="00FE39C2"/>
    <w:rsid w:val="00FE3C32"/>
    <w:rsid w:val="00FE6290"/>
    <w:rsid w:val="00FE64AE"/>
    <w:rsid w:val="00FF4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360F32"/>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360F32"/>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360F32"/>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360F32"/>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360F32"/>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360F32"/>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360F32"/>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360F32"/>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360F32"/>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360F32"/>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2293700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90411471">
      <w:bodyDiv w:val="1"/>
      <w:marLeft w:val="0"/>
      <w:marRight w:val="0"/>
      <w:marTop w:val="0"/>
      <w:marBottom w:val="0"/>
      <w:divBdr>
        <w:top w:val="none" w:sz="0" w:space="0" w:color="auto"/>
        <w:left w:val="none" w:sz="0" w:space="0" w:color="auto"/>
        <w:bottom w:val="none" w:sz="0" w:space="0" w:color="auto"/>
        <w:right w:val="none" w:sz="0" w:space="0" w:color="auto"/>
      </w:divBdr>
    </w:div>
    <w:div w:id="20402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4.xml"/><Relationship Id="rId10" Type="http://schemas.openxmlformats.org/officeDocument/2006/relationships/hyperlink" Target="mailto:AERInquiry@aer.gov.au"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8859" TargetMode="External"/><Relationship Id="rId2" Type="http://schemas.openxmlformats.org/officeDocument/2006/relationships/hyperlink" Target="http://www.aer.gov.au/Better-regulation" TargetMode="External"/><Relationship Id="rId1" Type="http://schemas.openxmlformats.org/officeDocument/2006/relationships/hyperlink" Target="http://www.aer.gov.au/node/18859" TargetMode="External"/><Relationship Id="rId4" Type="http://schemas.openxmlformats.org/officeDocument/2006/relationships/hyperlink" Target="http://www.scer.gov.au/files/2013/09/LMR-Decision-RIS-June-2013.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spPr>
            <a:noFill/>
            <a:ln>
              <a:noFill/>
            </a:ln>
          </c:spPr>
          <c:invertIfNegative val="0"/>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'Output|Decomposition'!$C$97:$C$102</c:f>
              <c:numCache>
                <c:formatCode>"$"#\ ##0;\–"$"#\ ##0</c:formatCode>
                <c:ptCount val="6"/>
                <c:pt idx="1">
                  <c:v>1120.7817123307855</c:v>
                </c:pt>
                <c:pt idx="2">
                  <c:v>1120.7817123307855</c:v>
                </c:pt>
                <c:pt idx="3">
                  <c:v>1153.6921055366281</c:v>
                </c:pt>
                <c:pt idx="4">
                  <c:v>1178.6681444701942</c:v>
                </c:pt>
              </c:numCache>
            </c:numRef>
          </c:val>
        </c:ser>
        <c:ser>
          <c:idx val="1"/>
          <c:order val="1"/>
          <c:spPr>
            <a:solidFill>
              <a:schemeClr val="accent1"/>
            </a:solidFill>
            <a:ln w="25400">
              <a:solidFill>
                <a:schemeClr val="accent1"/>
              </a:solidFill>
            </a:ln>
          </c:spPr>
          <c:invertIfNegative val="0"/>
          <c:dLbls>
            <c:numFmt formatCode="&quot;$&quot;###0.0" sourceLinked="0"/>
            <c:showLegendKey val="0"/>
            <c:showVal val="1"/>
            <c:showCatName val="0"/>
            <c:showSerName val="0"/>
            <c:showPercent val="0"/>
            <c:showBubbleSize val="0"/>
            <c:showLeaderLines val="0"/>
          </c:dLbls>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'Output|Decomposition'!$D$97:$D$102</c:f>
              <c:numCache>
                <c:formatCode>General</c:formatCode>
                <c:ptCount val="6"/>
                <c:pt idx="0" formatCode="&quot;$&quot;#\ ##0;\–&quot;$&quot;#\ ##0">
                  <c:v>1407.9275660543549</c:v>
                </c:pt>
                <c:pt idx="5" formatCode="&quot;$&quot;#\ ##0;\–&quot;$&quot;#\ ##0">
                  <c:v>1218.3199856152821</c:v>
                </c:pt>
              </c:numCache>
            </c:numRef>
          </c:val>
        </c:ser>
        <c:ser>
          <c:idx val="2"/>
          <c:order val="2"/>
          <c:spPr>
            <a:solidFill>
              <a:schemeClr val="accent2"/>
            </a:solidFill>
            <a:ln w="25400">
              <a:solidFill>
                <a:schemeClr val="accent2"/>
              </a:solidFill>
            </a:ln>
          </c:spPr>
          <c:invertIfNegative val="0"/>
          <c:dLbls>
            <c:dLbl>
              <c:idx val="1"/>
              <c:layout>
                <c:manualLayout>
                  <c:x val="0"/>
                  <c:y val="-5.4520202020202004E-2"/>
                </c:manualLayout>
              </c:layout>
              <c:showLegendKey val="0"/>
              <c:showVal val="1"/>
              <c:showCatName val="0"/>
              <c:showSerName val="0"/>
              <c:showPercent val="0"/>
              <c:showBubbleSize val="0"/>
            </c:dLbl>
            <c:dLbl>
              <c:idx val="2"/>
              <c:layout>
                <c:manualLayout>
                  <c:x val="-2.4296787621470696E-3"/>
                  <c:y val="-3.9447222222222224E-2"/>
                </c:manualLayout>
              </c:layout>
              <c:showLegendKey val="0"/>
              <c:showVal val="1"/>
              <c:showCatName val="0"/>
              <c:showSerName val="0"/>
              <c:showPercent val="0"/>
              <c:showBubbleSize val="0"/>
            </c:dLbl>
            <c:dLbl>
              <c:idx val="3"/>
              <c:layout>
                <c:manualLayout>
                  <c:x val="0"/>
                  <c:y val="-3.335353535353535E-2"/>
                </c:manualLayout>
              </c:layout>
              <c:showLegendKey val="0"/>
              <c:showVal val="1"/>
              <c:showCatName val="0"/>
              <c:showSerName val="0"/>
              <c:showPercent val="0"/>
              <c:showBubbleSize val="0"/>
            </c:dLbl>
            <c:dLbl>
              <c:idx val="4"/>
              <c:layout>
                <c:manualLayout>
                  <c:x val="0"/>
                  <c:y val="-3.9767676767676764E-2"/>
                </c:manualLayout>
              </c:layout>
              <c:showLegendKey val="0"/>
              <c:showVal val="1"/>
              <c:showCatName val="0"/>
              <c:showSerName val="0"/>
              <c:showPercent val="0"/>
              <c:showBubbleSize val="0"/>
            </c:dLbl>
            <c:dLbl>
              <c:idx val="5"/>
              <c:layout>
                <c:manualLayout>
                  <c:x val="0"/>
                  <c:y val="-3.6560606060606057E-2"/>
                </c:manualLayout>
              </c:layout>
              <c:showLegendKey val="0"/>
              <c:showVal val="1"/>
              <c:showCatName val="0"/>
              <c:showSerName val="0"/>
              <c:showPercent val="0"/>
              <c:showBubbleSize val="0"/>
            </c:dLbl>
            <c:dLbl>
              <c:idx val="6"/>
              <c:layout>
                <c:manualLayout>
                  <c:x val="-2.4170026046533579E-3"/>
                  <c:y val="-2.6297979797979799E-2"/>
                </c:manualLayout>
              </c:layout>
              <c:showLegendKey val="0"/>
              <c:showVal val="1"/>
              <c:showCatName val="0"/>
              <c:showSerName val="0"/>
              <c:showPercent val="0"/>
              <c:showBubbleSize val="0"/>
            </c:dLbl>
            <c:dLbl>
              <c:idx val="7"/>
              <c:layout>
                <c:manualLayout>
                  <c:x val="-2.4170026046533579E-3"/>
                  <c:y val="-2.212878787878788E-2"/>
                </c:manualLayout>
              </c:layout>
              <c:showLegendKey val="0"/>
              <c:showVal val="1"/>
              <c:showCatName val="0"/>
              <c:showSerName val="0"/>
              <c:showPercent val="0"/>
              <c:showBubbleSize val="0"/>
            </c:dLbl>
            <c:dLbl>
              <c:idx val="8"/>
              <c:layout>
                <c:manualLayout>
                  <c:x val="-1.9031516563211444E-7"/>
                  <c:y val="-2.5977272727272727E-2"/>
                </c:manualLayout>
              </c:layout>
              <c:showLegendKey val="0"/>
              <c:showVal val="1"/>
              <c:showCatName val="0"/>
              <c:showSerName val="0"/>
              <c:showPercent val="0"/>
              <c:showBubbleSize val="0"/>
            </c:dLbl>
            <c:dLbl>
              <c:idx val="9"/>
              <c:layout>
                <c:manualLayout>
                  <c:x val="-1.9031516572073685E-7"/>
                  <c:y val="-2.9505050505050506E-2"/>
                </c:manualLayout>
              </c:layout>
              <c:showLegendKey val="0"/>
              <c:showVal val="1"/>
              <c:showCatName val="0"/>
              <c:showSerName val="0"/>
              <c:showPercent val="0"/>
              <c:showBubbleSize val="0"/>
            </c:dLbl>
            <c:dLbl>
              <c:idx val="10"/>
              <c:layout>
                <c:manualLayout>
                  <c:x val="0"/>
                  <c:y val="-3.2070707070707069E-2"/>
                </c:manualLayout>
              </c:layout>
              <c:showLegendKey val="0"/>
              <c:showVal val="1"/>
              <c:showCatName val="0"/>
              <c:showSerName val="0"/>
              <c:showPercent val="0"/>
              <c:showBubbleSize val="0"/>
            </c:dLbl>
            <c:dLbl>
              <c:idx val="11"/>
              <c:layout>
                <c:manualLayout>
                  <c:x val="0"/>
                  <c:y val="-2.8863636363636362E-2"/>
                </c:manualLayout>
              </c:layout>
              <c:showLegendKey val="0"/>
              <c:showVal val="1"/>
              <c:showCatName val="0"/>
              <c:showSerName val="0"/>
              <c:showPercent val="0"/>
              <c:showBubbleSize val="0"/>
            </c:dLbl>
            <c:dLbl>
              <c:idx val="12"/>
              <c:layout>
                <c:manualLayout>
                  <c:x val="0"/>
                  <c:y val="-4.169191919191919E-2"/>
                </c:manualLayout>
              </c:layout>
              <c:showLegendKey val="0"/>
              <c:showVal val="1"/>
              <c:showCatName val="0"/>
              <c:showSerName val="0"/>
              <c:showPercent val="0"/>
              <c:showBubbleSize val="0"/>
            </c:dLbl>
            <c:dLbl>
              <c:idx val="13"/>
              <c:layout>
                <c:manualLayout>
                  <c:x val="0"/>
                  <c:y val="-4.8106060606060604E-2"/>
                </c:manualLayout>
              </c:layout>
              <c:showLegendKey val="0"/>
              <c:showVal val="1"/>
              <c:showCatName val="0"/>
              <c:showSerName val="0"/>
              <c:showPercent val="0"/>
              <c:showBubbleSize val="0"/>
            </c:dLbl>
            <c:numFmt formatCode="&quot;$&quot;###0.0" sourceLinked="0"/>
            <c:showLegendKey val="0"/>
            <c:showVal val="1"/>
            <c:showCatName val="0"/>
            <c:showSerName val="0"/>
            <c:showPercent val="0"/>
            <c:showBubbleSize val="0"/>
            <c:showLeaderLines val="0"/>
          </c:dLbls>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'Output|Decomposition'!$E$97:$E$102</c:f>
              <c:numCache>
                <c:formatCode>General</c:formatCode>
                <c:ptCount val="6"/>
                <c:pt idx="2" formatCode="&quot;$&quot;#\ ##0;\–&quot;$&quot;#\ ##0">
                  <c:v>32.910393205842688</c:v>
                </c:pt>
                <c:pt idx="3" formatCode="&quot;$&quot;#\ ##0;\–&quot;$&quot;#\ ##0">
                  <c:v>24.976038933566194</c:v>
                </c:pt>
                <c:pt idx="4" formatCode="&quot;$&quot;#\ ##0;\–&quot;$&quot;#\ ##0">
                  <c:v>39.65184114508795</c:v>
                </c:pt>
              </c:numCache>
            </c:numRef>
          </c:val>
        </c:ser>
        <c:ser>
          <c:idx val="3"/>
          <c:order val="3"/>
          <c:spPr>
            <a:solidFill>
              <a:schemeClr val="accent3"/>
            </a:solidFill>
            <a:ln w="25400">
              <a:solidFill>
                <a:schemeClr val="accent3"/>
              </a:solidFill>
            </a:ln>
          </c:spPr>
          <c:invertIfNegative val="0"/>
          <c:dLbls>
            <c:dLbl>
              <c:idx val="1"/>
              <c:layout>
                <c:manualLayout>
                  <c:x val="2.4296787621470696E-3"/>
                  <c:y val="-0.10006060606060606"/>
                </c:manualLayout>
              </c:layout>
              <c:numFmt formatCode="\–&quot;$&quot;###0.0" sourceLinked="0"/>
              <c:spPr/>
              <c:txPr>
                <a:bodyPr/>
                <a:lstStyle/>
                <a:p>
                  <a:pPr>
                    <a:defRPr/>
                  </a:pPr>
                  <a:endParaRPr lang="en-US"/>
                </a:p>
              </c:txPr>
              <c:showLegendKey val="0"/>
              <c:showVal val="1"/>
              <c:showCatName val="0"/>
              <c:showSerName val="0"/>
              <c:showPercent val="0"/>
              <c:showBubbleSize val="0"/>
            </c:dLbl>
            <c:dLbl>
              <c:idx val="2"/>
              <c:layout>
                <c:manualLayout>
                  <c:x val="2.4170026046533579E-3"/>
                  <c:y val="-6.6707070707070701E-2"/>
                </c:manualLayout>
              </c:layout>
              <c:showLegendKey val="0"/>
              <c:showVal val="1"/>
              <c:showCatName val="0"/>
              <c:showSerName val="0"/>
              <c:showPercent val="0"/>
              <c:showBubbleSize val="0"/>
            </c:dLbl>
            <c:dLbl>
              <c:idx val="3"/>
              <c:layout>
                <c:manualLayout>
                  <c:x val="0"/>
                  <c:y val="-4.1692171717171718E-2"/>
                </c:manualLayout>
              </c:layout>
              <c:showLegendKey val="0"/>
              <c:showVal val="1"/>
              <c:showCatName val="0"/>
              <c:showSerName val="0"/>
              <c:showPercent val="0"/>
              <c:showBubbleSize val="0"/>
            </c:dLbl>
            <c:dLbl>
              <c:idx val="4"/>
              <c:layout>
                <c:manualLayout>
                  <c:x val="-2.4170026046533137E-3"/>
                  <c:y val="-6.6707323232323229E-2"/>
                </c:manualLayout>
              </c:layout>
              <c:showLegendKey val="0"/>
              <c:showVal val="1"/>
              <c:showCatName val="0"/>
              <c:showSerName val="0"/>
              <c:showPercent val="0"/>
              <c:showBubbleSize val="0"/>
            </c:dLbl>
            <c:dLbl>
              <c:idx val="5"/>
              <c:layout>
                <c:manualLayout>
                  <c:x val="0"/>
                  <c:y val="-9.6212121212121207E-2"/>
                </c:manualLayout>
              </c:layout>
              <c:showLegendKey val="0"/>
              <c:showVal val="1"/>
              <c:showCatName val="0"/>
              <c:showSerName val="0"/>
              <c:showPercent val="0"/>
              <c:showBubbleSize val="0"/>
            </c:dLbl>
            <c:dLbl>
              <c:idx val="6"/>
              <c:layout>
                <c:manualLayout>
                  <c:x val="0"/>
                  <c:y val="-2.8863636363636362E-2"/>
                </c:manualLayout>
              </c:layout>
              <c:showLegendKey val="0"/>
              <c:showVal val="1"/>
              <c:showCatName val="0"/>
              <c:showSerName val="0"/>
              <c:showPercent val="0"/>
              <c:showBubbleSize val="0"/>
            </c:dLbl>
            <c:dLbl>
              <c:idx val="7"/>
              <c:layout>
                <c:manualLayout>
                  <c:x val="8.953389040612566E-17"/>
                  <c:y val="-3.175E-2"/>
                </c:manualLayout>
              </c:layout>
              <c:showLegendKey val="0"/>
              <c:showVal val="1"/>
              <c:showCatName val="0"/>
              <c:showSerName val="0"/>
              <c:showPercent val="0"/>
              <c:showBubbleSize val="0"/>
            </c:dLbl>
            <c:dLbl>
              <c:idx val="8"/>
              <c:layout>
                <c:manualLayout>
                  <c:x val="0"/>
                  <c:y val="-3.175E-2"/>
                </c:manualLayout>
              </c:layout>
              <c:showLegendKey val="0"/>
              <c:showVal val="1"/>
              <c:showCatName val="0"/>
              <c:showSerName val="0"/>
              <c:showPercent val="0"/>
              <c:showBubbleSize val="0"/>
            </c:dLbl>
            <c:dLbl>
              <c:idx val="9"/>
              <c:layout>
                <c:manualLayout>
                  <c:x val="8.953389040612566E-17"/>
                  <c:y val="-3.175E-2"/>
                </c:manualLayout>
              </c:layout>
              <c:showLegendKey val="0"/>
              <c:showVal val="1"/>
              <c:showCatName val="0"/>
              <c:showSerName val="0"/>
              <c:showPercent val="0"/>
              <c:showBubbleSize val="0"/>
            </c:dLbl>
            <c:dLbl>
              <c:idx val="10"/>
              <c:layout>
                <c:manualLayout>
                  <c:x val="8.893383347722177E-17"/>
                  <c:y val="-3.8805555555555545E-2"/>
                </c:manualLayout>
              </c:layout>
              <c:showLegendKey val="0"/>
              <c:showVal val="1"/>
              <c:showCatName val="0"/>
              <c:showSerName val="0"/>
              <c:showPercent val="0"/>
              <c:showBubbleSize val="0"/>
            </c:dLbl>
            <c:numFmt formatCode="\–&quot;$&quot;###0" sourceLinked="0"/>
            <c:showLegendKey val="0"/>
            <c:showVal val="1"/>
            <c:showCatName val="0"/>
            <c:showSerName val="0"/>
            <c:showPercent val="0"/>
            <c:showBubbleSize val="0"/>
            <c:showLeaderLines val="0"/>
          </c:dLbls>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'Output|Decomposition'!$F$97:$F$102</c:f>
              <c:numCache>
                <c:formatCode>"$"#\ ##0;\–"$"#\ ##0</c:formatCode>
                <c:ptCount val="6"/>
                <c:pt idx="1">
                  <c:v>287.14585372356947</c:v>
                </c:pt>
              </c:numCache>
            </c:numRef>
          </c:val>
        </c:ser>
        <c:ser>
          <c:idx val="4"/>
          <c:order val="4"/>
          <c:spPr>
            <a:solidFill>
              <a:schemeClr val="accent6"/>
            </a:solidFill>
            <a:ln w="25400">
              <a:solidFill>
                <a:schemeClr val="accent6"/>
              </a:solidFill>
            </a:ln>
          </c:spPr>
          <c:invertIfNegative val="0"/>
          <c:dLbls>
            <c:dLbl>
              <c:idx val="11"/>
              <c:layout>
                <c:manualLayout>
                  <c:x val="0"/>
                  <c:y val="-4.2333333333333334E-2"/>
                </c:manualLayout>
              </c:layout>
              <c:showLegendKey val="0"/>
              <c:showVal val="1"/>
              <c:showCatName val="0"/>
              <c:showSerName val="0"/>
              <c:showPercent val="0"/>
              <c:showBubbleSize val="0"/>
            </c:dLbl>
            <c:dLbl>
              <c:idx val="12"/>
              <c:layout>
                <c:manualLayout>
                  <c:x val="0"/>
                  <c:y val="-3.8805555555555558E-2"/>
                </c:manualLayout>
              </c:layout>
              <c:showLegendKey val="0"/>
              <c:showVal val="1"/>
              <c:showCatName val="0"/>
              <c:showSerName val="0"/>
              <c:showPercent val="0"/>
              <c:showBubbleSize val="0"/>
            </c:dLbl>
            <c:numFmt formatCode="&quot;$&quot;###0" sourceLinked="0"/>
            <c:showLegendKey val="0"/>
            <c:showVal val="1"/>
            <c:showCatName val="0"/>
            <c:showSerName val="0"/>
            <c:showPercent val="0"/>
            <c:showBubbleSize val="0"/>
            <c:showLeaderLines val="0"/>
          </c:dLbls>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'Output|Decomposition'!$G$97:$G$102</c:f>
              <c:numCache>
                <c:formatCode>General</c:formatCode>
                <c:ptCount val="6"/>
              </c:numCache>
            </c:numRef>
          </c:val>
        </c:ser>
        <c:dLbls>
          <c:showLegendKey val="0"/>
          <c:showVal val="0"/>
          <c:showCatName val="0"/>
          <c:showSerName val="0"/>
          <c:showPercent val="0"/>
          <c:showBubbleSize val="0"/>
        </c:dLbls>
        <c:gapWidth val="25"/>
        <c:overlap val="100"/>
        <c:axId val="40415616"/>
        <c:axId val="40417152"/>
      </c:barChart>
      <c:lineChart>
        <c:grouping val="standard"/>
        <c:varyColors val="0"/>
        <c:ser>
          <c:idx val="6"/>
          <c:order val="5"/>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'Output|Decomposition'!$J$97:$J$102</c:f>
              <c:numCache>
                <c:formatCode>"$"#\ ##0;\–"$"#\ ##0</c:formatCode>
                <c:ptCount val="6"/>
                <c:pt idx="0">
                  <c:v>1407.9275660543549</c:v>
                </c:pt>
                <c:pt idx="1">
                  <c:v>1407.9275660543549</c:v>
                </c:pt>
              </c:numCache>
            </c:numRef>
          </c:val>
          <c:smooth val="0"/>
        </c:ser>
        <c:ser>
          <c:idx val="7"/>
          <c:order val="6"/>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'Output|Decomposition'!$K$97:$K$102</c:f>
              <c:numCache>
                <c:formatCode>"$"#\ ##0;\–"$"#\ ##0</c:formatCode>
                <c:ptCount val="6"/>
                <c:pt idx="1">
                  <c:v>1120.7817123307855</c:v>
                </c:pt>
                <c:pt idx="2">
                  <c:v>1120.7817123307855</c:v>
                </c:pt>
              </c:numCache>
            </c:numRef>
          </c:val>
          <c:smooth val="0"/>
        </c:ser>
        <c:ser>
          <c:idx val="8"/>
          <c:order val="7"/>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'Output|Decomposition'!$L$97:$L$102</c:f>
              <c:numCache>
                <c:formatCode>General</c:formatCode>
                <c:ptCount val="6"/>
                <c:pt idx="2" formatCode="&quot;$&quot;#\ ##0;\–&quot;$&quot;#\ ##0">
                  <c:v>1153.6921055366281</c:v>
                </c:pt>
                <c:pt idx="3" formatCode="&quot;$&quot;#\ ##0;\–&quot;$&quot;#\ ##0">
                  <c:v>1153.6921055366281</c:v>
                </c:pt>
              </c:numCache>
            </c:numRef>
          </c:val>
          <c:smooth val="0"/>
        </c:ser>
        <c:ser>
          <c:idx val="9"/>
          <c:order val="8"/>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'Output|Decomposition'!$M$97:$M$102</c:f>
              <c:numCache>
                <c:formatCode>General</c:formatCode>
                <c:ptCount val="6"/>
                <c:pt idx="3" formatCode="&quot;$&quot;#\ ##0;\–&quot;$&quot;#\ ##0">
                  <c:v>1178.6681444701942</c:v>
                </c:pt>
                <c:pt idx="4" formatCode="&quot;$&quot;#\ ##0;\–&quot;$&quot;#\ ##0">
                  <c:v>1178.6681444701942</c:v>
                </c:pt>
              </c:numCache>
            </c:numRef>
          </c:val>
          <c:smooth val="0"/>
        </c:ser>
        <c:ser>
          <c:idx val="10"/>
          <c:order val="9"/>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'Output|Decomposition'!$N$97:$N$102</c:f>
              <c:numCache>
                <c:formatCode>General</c:formatCode>
                <c:ptCount val="6"/>
                <c:pt idx="4" formatCode="&quot;$&quot;#\ ##0;\–&quot;$&quot;#\ ##0">
                  <c:v>1218.3199856152821</c:v>
                </c:pt>
                <c:pt idx="5" formatCode="&quot;$&quot;#\ ##0;\–&quot;$&quot;#\ ##0">
                  <c:v>1218.3199856152821</c:v>
                </c:pt>
              </c:numCache>
            </c:numRef>
          </c:val>
          <c:smooth val="0"/>
        </c:ser>
        <c:ser>
          <c:idx val="11"/>
          <c:order val="10"/>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'Output|Decomposition'!$O$97:$O$102</c:f>
              <c:numCache>
                <c:formatCode>General</c:formatCode>
                <c:ptCount val="6"/>
              </c:numCache>
            </c:numRef>
          </c:val>
          <c:smooth val="0"/>
        </c:ser>
        <c:ser>
          <c:idx val="12"/>
          <c:order val="11"/>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'Output|Decomposition'!$P$97:$P$102</c:f>
              <c:numCache>
                <c:formatCode>General</c:formatCode>
                <c:ptCount val="6"/>
              </c:numCache>
            </c:numRef>
          </c:val>
          <c:smooth val="0"/>
        </c:ser>
        <c:ser>
          <c:idx val="13"/>
          <c:order val="12"/>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'Output|Decomposition'!$Q$97:$Q$102</c:f>
              <c:numCache>
                <c:formatCode>General</c:formatCode>
                <c:ptCount val="6"/>
              </c:numCache>
            </c:numRef>
          </c:val>
          <c:smooth val="0"/>
        </c:ser>
        <c:ser>
          <c:idx val="14"/>
          <c:order val="13"/>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'Output|Decomposition'!$R$97:$R$102</c:f>
              <c:numCache>
                <c:formatCode>General</c:formatCode>
                <c:ptCount val="6"/>
              </c:numCache>
            </c:numRef>
          </c:val>
          <c:smooth val="0"/>
        </c:ser>
        <c:ser>
          <c:idx val="15"/>
          <c:order val="14"/>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'Output|Decomposition'!$S$97:$S$102</c:f>
              <c:numCache>
                <c:formatCode>General</c:formatCode>
                <c:ptCount val="6"/>
              </c:numCache>
            </c:numRef>
          </c:val>
          <c:smooth val="0"/>
        </c:ser>
        <c:ser>
          <c:idx val="5"/>
          <c:order val="15"/>
          <c:spPr>
            <a:ln w="25400">
              <a:solidFill>
                <a:schemeClr val="tx1"/>
              </a:solidFill>
              <a:prstDash val="sysDash"/>
            </a:ln>
          </c:spPr>
          <c:marker>
            <c:symbol val="none"/>
          </c:marker>
          <c:cat>
            <c:strRef>
              <c:f>'Output|Decomposition'!$B$97:$B$102</c:f>
              <c:strCache>
                <c:ptCount val="6"/>
                <c:pt idx="0">
                  <c:v>Reported expenditure</c:v>
                </c:pt>
                <c:pt idx="1">
                  <c:v>Service classification change</c:v>
                </c:pt>
                <c:pt idx="2">
                  <c:v>Provisions</c:v>
                </c:pt>
                <c:pt idx="3">
                  <c:v>Price growth</c:v>
                </c:pt>
                <c:pt idx="4">
                  <c:v>Output growth</c:v>
                </c:pt>
                <c:pt idx="5">
                  <c:v>Determined opex 2014–19</c:v>
                </c:pt>
              </c:strCache>
            </c:strRef>
          </c:cat>
          <c:val>
            <c:numRef>
              <c:f>'Output|Decomposition'!$T$97:$T$102</c:f>
              <c:numCache>
                <c:formatCode>General</c:formatCode>
                <c:ptCount val="6"/>
              </c:numCache>
            </c:numRef>
          </c:val>
          <c:smooth val="0"/>
        </c:ser>
        <c:dLbls>
          <c:showLegendKey val="0"/>
          <c:showVal val="0"/>
          <c:showCatName val="0"/>
          <c:showSerName val="0"/>
          <c:showPercent val="0"/>
          <c:showBubbleSize val="0"/>
        </c:dLbls>
        <c:marker val="1"/>
        <c:smooth val="0"/>
        <c:axId val="40415616"/>
        <c:axId val="40417152"/>
      </c:lineChart>
      <c:catAx>
        <c:axId val="40415616"/>
        <c:scaling>
          <c:orientation val="minMax"/>
        </c:scaling>
        <c:delete val="0"/>
        <c:axPos val="b"/>
        <c:majorTickMark val="out"/>
        <c:minorTickMark val="none"/>
        <c:tickLblPos val="nextTo"/>
        <c:crossAx val="40417152"/>
        <c:crosses val="autoZero"/>
        <c:auto val="1"/>
        <c:lblAlgn val="ctr"/>
        <c:lblOffset val="100"/>
        <c:noMultiLvlLbl val="0"/>
      </c:catAx>
      <c:valAx>
        <c:axId val="40417152"/>
        <c:scaling>
          <c:orientation val="minMax"/>
        </c:scaling>
        <c:delete val="0"/>
        <c:axPos val="l"/>
        <c:majorGridlines>
          <c:spPr>
            <a:ln>
              <a:noFill/>
            </a:ln>
          </c:spPr>
        </c:majorGridlines>
        <c:title>
          <c:tx>
            <c:rich>
              <a:bodyPr rot="-5400000" vert="horz"/>
              <a:lstStyle/>
              <a:p>
                <a:pPr>
                  <a:defRPr/>
                </a:pPr>
                <a:r>
                  <a:rPr lang="en-AU"/>
                  <a:t>$million, 2013–14</a:t>
                </a:r>
              </a:p>
            </c:rich>
          </c:tx>
          <c:overlay val="0"/>
        </c:title>
        <c:numFmt formatCode="0" sourceLinked="0"/>
        <c:majorTickMark val="out"/>
        <c:minorTickMark val="none"/>
        <c:tickLblPos val="nextTo"/>
        <c:crossAx val="4041561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53B36228.dotm</Template>
  <TotalTime>0</TotalTime>
  <Pages>59</Pages>
  <Words>16468</Words>
  <Characters>93871</Characters>
  <Application>Microsoft Office Word</Application>
  <DocSecurity>0</DocSecurity>
  <Lines>782</Lines>
  <Paragraphs>220</Paragraphs>
  <ScaleCrop>false</ScaleCrop>
  <Company/>
  <LinksUpToDate>false</LinksUpToDate>
  <CharactersWithSpaces>110119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2015-04-29T01:54:00Z</dcterms:created>
  <dcterms:modified xsi:type="dcterms:W3CDTF">2015-04-29T01:55:00Z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