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8BB11FB" wp14:editId="2BAD89A6">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4D0898" w:rsidP="008F07A3">
          <w:pPr>
            <w:pStyle w:val="ReportSubtitle"/>
          </w:pPr>
          <w:r>
            <w:t>FINAL</w:t>
          </w:r>
          <w:r w:rsidR="00DA4752">
            <w:t xml:space="preserve"> DECISION</w:t>
          </w:r>
        </w:p>
        <w:p w:rsidR="000A6C7B" w:rsidRDefault="001201F1" w:rsidP="008F07A3">
          <w:pPr>
            <w:pStyle w:val="ReportSubtitle"/>
          </w:pPr>
          <w:r>
            <w:t>Energex</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 xml:space="preserve">Attachment 1 </w:t>
          </w:r>
          <w:r>
            <w:rPr>
              <w:rFonts w:cs="Arial"/>
            </w:rPr>
            <w:t>−</w:t>
          </w:r>
          <w:r>
            <w:t xml:space="preserve"> </w:t>
          </w:r>
          <w:r w:rsidR="00971CD8">
            <w:t>Annual revenue requirement</w:t>
          </w:r>
        </w:p>
        <w:p w:rsidR="000A6C7B" w:rsidRPr="00327A1E" w:rsidRDefault="004D0898"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33022777"/>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w:t>
      </w:r>
      <w:r w:rsidR="004D0898">
        <w:t>final</w:t>
      </w:r>
      <w:r>
        <w:t xml:space="preserve"> decision on </w:t>
      </w:r>
      <w:r w:rsidR="001201F1">
        <w:t>Energex's</w:t>
      </w:r>
      <w:r>
        <w:t xml:space="preserve"> 2015–20 distribution determination. It should be read with </w:t>
      </w:r>
      <w:r w:rsidR="00CA0753">
        <w:t xml:space="preserve">all </w:t>
      </w:r>
      <w:r>
        <w:t xml:space="preserve">other parts of the </w:t>
      </w:r>
      <w:r w:rsidR="004D0898">
        <w:t xml:space="preserve">final </w:t>
      </w:r>
      <w:r>
        <w:t>decision.</w:t>
      </w:r>
    </w:p>
    <w:p w:rsidR="008F07A3" w:rsidRDefault="008F07A3" w:rsidP="008F07A3">
      <w:pPr>
        <w:numPr>
          <w:ilvl w:val="0"/>
          <w:numId w:val="25"/>
        </w:numPr>
      </w:pPr>
      <w:r>
        <w:t xml:space="preserve">The </w:t>
      </w:r>
      <w:r w:rsidR="004D0898">
        <w:t>final</w:t>
      </w:r>
      <w:r>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5441D3">
        <w:t>policy</w:t>
      </w:r>
    </w:p>
    <w:p w:rsidR="008F07A3" w:rsidRPr="008F07A3" w:rsidRDefault="008F07A3" w:rsidP="008F07A3">
      <w:pPr>
        <w:sectPr w:rsidR="008F07A3" w:rsidRPr="008F07A3" w:rsidSect="00C76C2C">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33022778"/>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B7373F"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33022777" w:history="1">
            <w:r w:rsidR="00B7373F" w:rsidRPr="00883E01">
              <w:rPr>
                <w:rStyle w:val="Hyperlink"/>
              </w:rPr>
              <w:t>Note</w:t>
            </w:r>
            <w:r w:rsidR="00B7373F">
              <w:rPr>
                <w:webHidden/>
              </w:rPr>
              <w:tab/>
            </w:r>
            <w:r w:rsidR="00B7373F">
              <w:rPr>
                <w:webHidden/>
              </w:rPr>
              <w:fldChar w:fldCharType="begin"/>
            </w:r>
            <w:r w:rsidR="00B7373F">
              <w:rPr>
                <w:webHidden/>
              </w:rPr>
              <w:instrText xml:space="preserve"> PAGEREF _Toc433022777 \h </w:instrText>
            </w:r>
            <w:r w:rsidR="00B7373F">
              <w:rPr>
                <w:webHidden/>
              </w:rPr>
            </w:r>
            <w:r w:rsidR="00B7373F">
              <w:rPr>
                <w:webHidden/>
              </w:rPr>
              <w:fldChar w:fldCharType="separate"/>
            </w:r>
            <w:r w:rsidR="00B7373F">
              <w:rPr>
                <w:webHidden/>
              </w:rPr>
              <w:t>1-2</w:t>
            </w:r>
            <w:r w:rsidR="00B7373F">
              <w:rPr>
                <w:webHidden/>
              </w:rPr>
              <w:fldChar w:fldCharType="end"/>
            </w:r>
          </w:hyperlink>
        </w:p>
        <w:p w:rsidR="00B7373F" w:rsidRDefault="005C4FFD">
          <w:pPr>
            <w:pStyle w:val="TOC1"/>
            <w:rPr>
              <w:rFonts w:asciiTheme="minorHAnsi" w:eastAsiaTheme="minorEastAsia" w:hAnsiTheme="minorHAnsi"/>
              <w:b w:val="0"/>
              <w:color w:val="auto"/>
              <w:sz w:val="22"/>
              <w:lang w:val="en-AU" w:eastAsia="en-AU"/>
            </w:rPr>
          </w:pPr>
          <w:hyperlink w:anchor="_Toc433022778" w:history="1">
            <w:r w:rsidR="00B7373F" w:rsidRPr="00883E01">
              <w:rPr>
                <w:rStyle w:val="Hyperlink"/>
              </w:rPr>
              <w:t>Contents</w:t>
            </w:r>
            <w:r w:rsidR="00B7373F">
              <w:rPr>
                <w:webHidden/>
              </w:rPr>
              <w:tab/>
            </w:r>
            <w:r w:rsidR="00B7373F">
              <w:rPr>
                <w:webHidden/>
              </w:rPr>
              <w:fldChar w:fldCharType="begin"/>
            </w:r>
            <w:r w:rsidR="00B7373F">
              <w:rPr>
                <w:webHidden/>
              </w:rPr>
              <w:instrText xml:space="preserve"> PAGEREF _Toc433022778 \h </w:instrText>
            </w:r>
            <w:r w:rsidR="00B7373F">
              <w:rPr>
                <w:webHidden/>
              </w:rPr>
            </w:r>
            <w:r w:rsidR="00B7373F">
              <w:rPr>
                <w:webHidden/>
              </w:rPr>
              <w:fldChar w:fldCharType="separate"/>
            </w:r>
            <w:r w:rsidR="00B7373F">
              <w:rPr>
                <w:webHidden/>
              </w:rPr>
              <w:t>1-3</w:t>
            </w:r>
            <w:r w:rsidR="00B7373F">
              <w:rPr>
                <w:webHidden/>
              </w:rPr>
              <w:fldChar w:fldCharType="end"/>
            </w:r>
          </w:hyperlink>
        </w:p>
        <w:p w:rsidR="00B7373F" w:rsidRDefault="005C4FFD">
          <w:pPr>
            <w:pStyle w:val="TOC1"/>
            <w:rPr>
              <w:rFonts w:asciiTheme="minorHAnsi" w:eastAsiaTheme="minorEastAsia" w:hAnsiTheme="minorHAnsi"/>
              <w:b w:val="0"/>
              <w:color w:val="auto"/>
              <w:sz w:val="22"/>
              <w:lang w:val="en-AU" w:eastAsia="en-AU"/>
            </w:rPr>
          </w:pPr>
          <w:hyperlink w:anchor="_Toc433022779" w:history="1">
            <w:r w:rsidR="00B7373F" w:rsidRPr="00883E01">
              <w:rPr>
                <w:rStyle w:val="Hyperlink"/>
              </w:rPr>
              <w:t>Shortened forms</w:t>
            </w:r>
            <w:r w:rsidR="00B7373F">
              <w:rPr>
                <w:webHidden/>
              </w:rPr>
              <w:tab/>
            </w:r>
            <w:r w:rsidR="00B7373F">
              <w:rPr>
                <w:webHidden/>
              </w:rPr>
              <w:fldChar w:fldCharType="begin"/>
            </w:r>
            <w:r w:rsidR="00B7373F">
              <w:rPr>
                <w:webHidden/>
              </w:rPr>
              <w:instrText xml:space="preserve"> PAGEREF _Toc433022779 \h </w:instrText>
            </w:r>
            <w:r w:rsidR="00B7373F">
              <w:rPr>
                <w:webHidden/>
              </w:rPr>
            </w:r>
            <w:r w:rsidR="00B7373F">
              <w:rPr>
                <w:webHidden/>
              </w:rPr>
              <w:fldChar w:fldCharType="separate"/>
            </w:r>
            <w:r w:rsidR="00B7373F">
              <w:rPr>
                <w:webHidden/>
              </w:rPr>
              <w:t>1-4</w:t>
            </w:r>
            <w:r w:rsidR="00B7373F">
              <w:rPr>
                <w:webHidden/>
              </w:rPr>
              <w:fldChar w:fldCharType="end"/>
            </w:r>
          </w:hyperlink>
        </w:p>
        <w:p w:rsidR="00B7373F" w:rsidRDefault="005C4FFD">
          <w:pPr>
            <w:pStyle w:val="TOC1"/>
            <w:rPr>
              <w:rFonts w:asciiTheme="minorHAnsi" w:eastAsiaTheme="minorEastAsia" w:hAnsiTheme="minorHAnsi"/>
              <w:b w:val="0"/>
              <w:color w:val="auto"/>
              <w:sz w:val="22"/>
              <w:lang w:val="en-AU" w:eastAsia="en-AU"/>
            </w:rPr>
          </w:pPr>
          <w:hyperlink w:anchor="_Toc433022780" w:history="1">
            <w:r w:rsidR="00B7373F" w:rsidRPr="00883E01">
              <w:rPr>
                <w:rStyle w:val="Hyperlink"/>
              </w:rPr>
              <w:t>1</w:t>
            </w:r>
            <w:r w:rsidR="00B7373F">
              <w:rPr>
                <w:rFonts w:asciiTheme="minorHAnsi" w:eastAsiaTheme="minorEastAsia" w:hAnsiTheme="minorHAnsi"/>
                <w:b w:val="0"/>
                <w:color w:val="auto"/>
                <w:sz w:val="22"/>
                <w:lang w:val="en-AU" w:eastAsia="en-AU"/>
              </w:rPr>
              <w:tab/>
            </w:r>
            <w:r w:rsidR="00B7373F" w:rsidRPr="00883E01">
              <w:rPr>
                <w:rStyle w:val="Hyperlink"/>
              </w:rPr>
              <w:t>Annual revenue requirement</w:t>
            </w:r>
            <w:r w:rsidR="00B7373F">
              <w:rPr>
                <w:webHidden/>
              </w:rPr>
              <w:tab/>
            </w:r>
            <w:r w:rsidR="00B7373F">
              <w:rPr>
                <w:webHidden/>
              </w:rPr>
              <w:fldChar w:fldCharType="begin"/>
            </w:r>
            <w:r w:rsidR="00B7373F">
              <w:rPr>
                <w:webHidden/>
              </w:rPr>
              <w:instrText xml:space="preserve"> PAGEREF _Toc433022780 \h </w:instrText>
            </w:r>
            <w:r w:rsidR="00B7373F">
              <w:rPr>
                <w:webHidden/>
              </w:rPr>
            </w:r>
            <w:r w:rsidR="00B7373F">
              <w:rPr>
                <w:webHidden/>
              </w:rPr>
              <w:fldChar w:fldCharType="separate"/>
            </w:r>
            <w:r w:rsidR="00B7373F">
              <w:rPr>
                <w:webHidden/>
              </w:rPr>
              <w:t>1-6</w:t>
            </w:r>
            <w:r w:rsidR="00B7373F">
              <w:rPr>
                <w:webHidden/>
              </w:rPr>
              <w:fldChar w:fldCharType="end"/>
            </w:r>
          </w:hyperlink>
        </w:p>
        <w:p w:rsidR="00B7373F" w:rsidRDefault="005C4FFD">
          <w:pPr>
            <w:pStyle w:val="TOC2"/>
            <w:rPr>
              <w:rFonts w:asciiTheme="minorHAnsi" w:eastAsiaTheme="minorEastAsia" w:hAnsiTheme="minorHAnsi"/>
              <w:b w:val="0"/>
              <w:color w:val="auto"/>
              <w:sz w:val="22"/>
              <w:lang w:eastAsia="en-AU"/>
            </w:rPr>
          </w:pPr>
          <w:hyperlink w:anchor="_Toc433022781" w:history="1">
            <w:r w:rsidR="00B7373F" w:rsidRPr="00883E01">
              <w:rPr>
                <w:rStyle w:val="Hyperlink"/>
              </w:rPr>
              <w:t>1.1</w:t>
            </w:r>
            <w:r w:rsidR="00B7373F">
              <w:rPr>
                <w:rFonts w:asciiTheme="minorHAnsi" w:eastAsiaTheme="minorEastAsia" w:hAnsiTheme="minorHAnsi"/>
                <w:b w:val="0"/>
                <w:color w:val="auto"/>
                <w:sz w:val="22"/>
                <w:lang w:eastAsia="en-AU"/>
              </w:rPr>
              <w:tab/>
            </w:r>
            <w:r w:rsidR="00B7373F" w:rsidRPr="00883E01">
              <w:rPr>
                <w:rStyle w:val="Hyperlink"/>
              </w:rPr>
              <w:t>Final decision</w:t>
            </w:r>
            <w:r w:rsidR="00B7373F">
              <w:rPr>
                <w:webHidden/>
              </w:rPr>
              <w:tab/>
            </w:r>
            <w:r w:rsidR="00B7373F">
              <w:rPr>
                <w:webHidden/>
              </w:rPr>
              <w:fldChar w:fldCharType="begin"/>
            </w:r>
            <w:r w:rsidR="00B7373F">
              <w:rPr>
                <w:webHidden/>
              </w:rPr>
              <w:instrText xml:space="preserve"> PAGEREF _Toc433022781 \h </w:instrText>
            </w:r>
            <w:r w:rsidR="00B7373F">
              <w:rPr>
                <w:webHidden/>
              </w:rPr>
            </w:r>
            <w:r w:rsidR="00B7373F">
              <w:rPr>
                <w:webHidden/>
              </w:rPr>
              <w:fldChar w:fldCharType="separate"/>
            </w:r>
            <w:r w:rsidR="00B7373F">
              <w:rPr>
                <w:webHidden/>
              </w:rPr>
              <w:t>1-6</w:t>
            </w:r>
            <w:r w:rsidR="00B7373F">
              <w:rPr>
                <w:webHidden/>
              </w:rPr>
              <w:fldChar w:fldCharType="end"/>
            </w:r>
          </w:hyperlink>
        </w:p>
        <w:p w:rsidR="00B7373F" w:rsidRDefault="005C4FFD">
          <w:pPr>
            <w:pStyle w:val="TOC2"/>
            <w:rPr>
              <w:rFonts w:asciiTheme="minorHAnsi" w:eastAsiaTheme="minorEastAsia" w:hAnsiTheme="minorHAnsi"/>
              <w:b w:val="0"/>
              <w:color w:val="auto"/>
              <w:sz w:val="22"/>
              <w:lang w:eastAsia="en-AU"/>
            </w:rPr>
          </w:pPr>
          <w:hyperlink w:anchor="_Toc433022782" w:history="1">
            <w:r w:rsidR="00B7373F" w:rsidRPr="00883E01">
              <w:rPr>
                <w:rStyle w:val="Hyperlink"/>
              </w:rPr>
              <w:t>1.2</w:t>
            </w:r>
            <w:r w:rsidR="00B7373F">
              <w:rPr>
                <w:rFonts w:asciiTheme="minorHAnsi" w:eastAsiaTheme="minorEastAsia" w:hAnsiTheme="minorHAnsi"/>
                <w:b w:val="0"/>
                <w:color w:val="auto"/>
                <w:sz w:val="22"/>
                <w:lang w:eastAsia="en-AU"/>
              </w:rPr>
              <w:tab/>
            </w:r>
            <w:r w:rsidR="00B7373F" w:rsidRPr="00883E01">
              <w:rPr>
                <w:rStyle w:val="Hyperlink"/>
              </w:rPr>
              <w:t>Energex's revised proposal</w:t>
            </w:r>
            <w:r w:rsidR="00B7373F">
              <w:rPr>
                <w:webHidden/>
              </w:rPr>
              <w:tab/>
            </w:r>
            <w:r w:rsidR="00B7373F">
              <w:rPr>
                <w:webHidden/>
              </w:rPr>
              <w:fldChar w:fldCharType="begin"/>
            </w:r>
            <w:r w:rsidR="00B7373F">
              <w:rPr>
                <w:webHidden/>
              </w:rPr>
              <w:instrText xml:space="preserve"> PAGEREF _Toc433022782 \h </w:instrText>
            </w:r>
            <w:r w:rsidR="00B7373F">
              <w:rPr>
                <w:webHidden/>
              </w:rPr>
            </w:r>
            <w:r w:rsidR="00B7373F">
              <w:rPr>
                <w:webHidden/>
              </w:rPr>
              <w:fldChar w:fldCharType="separate"/>
            </w:r>
            <w:r w:rsidR="00B7373F">
              <w:rPr>
                <w:webHidden/>
              </w:rPr>
              <w:t>1-8</w:t>
            </w:r>
            <w:r w:rsidR="00B7373F">
              <w:rPr>
                <w:webHidden/>
              </w:rPr>
              <w:fldChar w:fldCharType="end"/>
            </w:r>
          </w:hyperlink>
        </w:p>
        <w:p w:rsidR="00B7373F" w:rsidRDefault="005C4FFD">
          <w:pPr>
            <w:pStyle w:val="TOC2"/>
            <w:rPr>
              <w:rFonts w:asciiTheme="minorHAnsi" w:eastAsiaTheme="minorEastAsia" w:hAnsiTheme="minorHAnsi"/>
              <w:b w:val="0"/>
              <w:color w:val="auto"/>
              <w:sz w:val="22"/>
              <w:lang w:eastAsia="en-AU"/>
            </w:rPr>
          </w:pPr>
          <w:hyperlink w:anchor="_Toc433022783" w:history="1">
            <w:r w:rsidR="00B7373F" w:rsidRPr="00883E01">
              <w:rPr>
                <w:rStyle w:val="Hyperlink"/>
              </w:rPr>
              <w:t>1.3</w:t>
            </w:r>
            <w:r w:rsidR="00B7373F">
              <w:rPr>
                <w:rFonts w:asciiTheme="minorHAnsi" w:eastAsiaTheme="minorEastAsia" w:hAnsiTheme="minorHAnsi"/>
                <w:b w:val="0"/>
                <w:color w:val="auto"/>
                <w:sz w:val="22"/>
                <w:lang w:eastAsia="en-AU"/>
              </w:rPr>
              <w:tab/>
            </w:r>
            <w:r w:rsidR="00B7373F" w:rsidRPr="00883E01">
              <w:rPr>
                <w:rStyle w:val="Hyperlink"/>
              </w:rPr>
              <w:t>AER’s assessment approach</w:t>
            </w:r>
            <w:r w:rsidR="00B7373F">
              <w:rPr>
                <w:webHidden/>
              </w:rPr>
              <w:tab/>
            </w:r>
            <w:r w:rsidR="00B7373F">
              <w:rPr>
                <w:webHidden/>
              </w:rPr>
              <w:fldChar w:fldCharType="begin"/>
            </w:r>
            <w:r w:rsidR="00B7373F">
              <w:rPr>
                <w:webHidden/>
              </w:rPr>
              <w:instrText xml:space="preserve"> PAGEREF _Toc433022783 \h </w:instrText>
            </w:r>
            <w:r w:rsidR="00B7373F">
              <w:rPr>
                <w:webHidden/>
              </w:rPr>
            </w:r>
            <w:r w:rsidR="00B7373F">
              <w:rPr>
                <w:webHidden/>
              </w:rPr>
              <w:fldChar w:fldCharType="separate"/>
            </w:r>
            <w:r w:rsidR="00B7373F">
              <w:rPr>
                <w:webHidden/>
              </w:rPr>
              <w:t>1-9</w:t>
            </w:r>
            <w:r w:rsidR="00B7373F">
              <w:rPr>
                <w:webHidden/>
              </w:rPr>
              <w:fldChar w:fldCharType="end"/>
            </w:r>
          </w:hyperlink>
        </w:p>
        <w:p w:rsidR="00B7373F" w:rsidRDefault="005C4FFD">
          <w:pPr>
            <w:pStyle w:val="TOC2"/>
            <w:rPr>
              <w:rFonts w:asciiTheme="minorHAnsi" w:eastAsiaTheme="minorEastAsia" w:hAnsiTheme="minorHAnsi"/>
              <w:b w:val="0"/>
              <w:color w:val="auto"/>
              <w:sz w:val="22"/>
              <w:lang w:eastAsia="en-AU"/>
            </w:rPr>
          </w:pPr>
          <w:hyperlink w:anchor="_Toc433022784" w:history="1">
            <w:r w:rsidR="00B7373F" w:rsidRPr="00883E01">
              <w:rPr>
                <w:rStyle w:val="Hyperlink"/>
              </w:rPr>
              <w:t>1.4</w:t>
            </w:r>
            <w:r w:rsidR="00B7373F">
              <w:rPr>
                <w:rFonts w:asciiTheme="minorHAnsi" w:eastAsiaTheme="minorEastAsia" w:hAnsiTheme="minorHAnsi"/>
                <w:b w:val="0"/>
                <w:color w:val="auto"/>
                <w:sz w:val="22"/>
                <w:lang w:eastAsia="en-AU"/>
              </w:rPr>
              <w:tab/>
            </w:r>
            <w:r w:rsidR="00B7373F" w:rsidRPr="00883E01">
              <w:rPr>
                <w:rStyle w:val="Hyperlink"/>
              </w:rPr>
              <w:t>Reasons for final decision</w:t>
            </w:r>
            <w:r w:rsidR="00B7373F">
              <w:rPr>
                <w:webHidden/>
              </w:rPr>
              <w:tab/>
            </w:r>
            <w:r w:rsidR="00B7373F">
              <w:rPr>
                <w:webHidden/>
              </w:rPr>
              <w:fldChar w:fldCharType="begin"/>
            </w:r>
            <w:r w:rsidR="00B7373F">
              <w:rPr>
                <w:webHidden/>
              </w:rPr>
              <w:instrText xml:space="preserve"> PAGEREF _Toc433022784 \h </w:instrText>
            </w:r>
            <w:r w:rsidR="00B7373F">
              <w:rPr>
                <w:webHidden/>
              </w:rPr>
            </w:r>
            <w:r w:rsidR="00B7373F">
              <w:rPr>
                <w:webHidden/>
              </w:rPr>
              <w:fldChar w:fldCharType="separate"/>
            </w:r>
            <w:r w:rsidR="00B7373F">
              <w:rPr>
                <w:webHidden/>
              </w:rPr>
              <w:t>1-9</w:t>
            </w:r>
            <w:r w:rsidR="00B7373F">
              <w:rPr>
                <w:webHidden/>
              </w:rPr>
              <w:fldChar w:fldCharType="end"/>
            </w:r>
          </w:hyperlink>
        </w:p>
        <w:p w:rsidR="00B7373F" w:rsidRDefault="005C4FFD">
          <w:pPr>
            <w:pStyle w:val="TOC3"/>
            <w:rPr>
              <w:rFonts w:asciiTheme="minorHAnsi" w:eastAsiaTheme="minorEastAsia" w:hAnsiTheme="minorHAnsi"/>
              <w:lang w:eastAsia="en-AU"/>
            </w:rPr>
          </w:pPr>
          <w:hyperlink w:anchor="_Toc433022785" w:history="1">
            <w:r w:rsidR="00B7373F" w:rsidRPr="00883E01">
              <w:rPr>
                <w:rStyle w:val="Hyperlink"/>
              </w:rPr>
              <w:t>1.4.1</w:t>
            </w:r>
            <w:r w:rsidR="00B7373F">
              <w:rPr>
                <w:rFonts w:asciiTheme="minorHAnsi" w:eastAsiaTheme="minorEastAsia" w:hAnsiTheme="minorHAnsi"/>
                <w:lang w:eastAsia="en-AU"/>
              </w:rPr>
              <w:tab/>
            </w:r>
            <w:r w:rsidR="00B7373F" w:rsidRPr="00883E01">
              <w:rPr>
                <w:rStyle w:val="Hyperlink"/>
              </w:rPr>
              <w:t>Revenue true-up for 2015–16</w:t>
            </w:r>
            <w:r w:rsidR="00B7373F">
              <w:rPr>
                <w:webHidden/>
              </w:rPr>
              <w:tab/>
            </w:r>
            <w:r w:rsidR="00B7373F">
              <w:rPr>
                <w:webHidden/>
              </w:rPr>
              <w:fldChar w:fldCharType="begin"/>
            </w:r>
            <w:r w:rsidR="00B7373F">
              <w:rPr>
                <w:webHidden/>
              </w:rPr>
              <w:instrText xml:space="preserve"> PAGEREF _Toc433022785 \h </w:instrText>
            </w:r>
            <w:r w:rsidR="00B7373F">
              <w:rPr>
                <w:webHidden/>
              </w:rPr>
            </w:r>
            <w:r w:rsidR="00B7373F">
              <w:rPr>
                <w:webHidden/>
              </w:rPr>
              <w:fldChar w:fldCharType="separate"/>
            </w:r>
            <w:r w:rsidR="00B7373F">
              <w:rPr>
                <w:webHidden/>
              </w:rPr>
              <w:t>1-10</w:t>
            </w:r>
            <w:r w:rsidR="00B7373F">
              <w:rPr>
                <w:webHidden/>
              </w:rPr>
              <w:fldChar w:fldCharType="end"/>
            </w:r>
          </w:hyperlink>
        </w:p>
        <w:p w:rsidR="00B7373F" w:rsidRDefault="005C4FFD">
          <w:pPr>
            <w:pStyle w:val="TOC3"/>
            <w:rPr>
              <w:rFonts w:asciiTheme="minorHAnsi" w:eastAsiaTheme="minorEastAsia" w:hAnsiTheme="minorHAnsi"/>
              <w:lang w:eastAsia="en-AU"/>
            </w:rPr>
          </w:pPr>
          <w:hyperlink w:anchor="_Toc433022786" w:history="1">
            <w:r w:rsidR="00B7373F" w:rsidRPr="00883E01">
              <w:rPr>
                <w:rStyle w:val="Hyperlink"/>
              </w:rPr>
              <w:t>1.4.2</w:t>
            </w:r>
            <w:r w:rsidR="00B7373F">
              <w:rPr>
                <w:rFonts w:asciiTheme="minorHAnsi" w:eastAsiaTheme="minorEastAsia" w:hAnsiTheme="minorHAnsi"/>
                <w:lang w:eastAsia="en-AU"/>
              </w:rPr>
              <w:tab/>
            </w:r>
            <w:r w:rsidR="00B7373F" w:rsidRPr="00883E01">
              <w:rPr>
                <w:rStyle w:val="Hyperlink"/>
              </w:rPr>
              <w:t>Revenue smoothing</w:t>
            </w:r>
            <w:r w:rsidR="00B7373F">
              <w:rPr>
                <w:webHidden/>
              </w:rPr>
              <w:tab/>
            </w:r>
            <w:r w:rsidR="00B7373F">
              <w:rPr>
                <w:webHidden/>
              </w:rPr>
              <w:fldChar w:fldCharType="begin"/>
            </w:r>
            <w:r w:rsidR="00B7373F">
              <w:rPr>
                <w:webHidden/>
              </w:rPr>
              <w:instrText xml:space="preserve"> PAGEREF _Toc433022786 \h </w:instrText>
            </w:r>
            <w:r w:rsidR="00B7373F">
              <w:rPr>
                <w:webHidden/>
              </w:rPr>
            </w:r>
            <w:r w:rsidR="00B7373F">
              <w:rPr>
                <w:webHidden/>
              </w:rPr>
              <w:fldChar w:fldCharType="separate"/>
            </w:r>
            <w:r w:rsidR="00B7373F">
              <w:rPr>
                <w:webHidden/>
              </w:rPr>
              <w:t>1-11</w:t>
            </w:r>
            <w:r w:rsidR="00B7373F">
              <w:rPr>
                <w:webHidden/>
              </w:rPr>
              <w:fldChar w:fldCharType="end"/>
            </w:r>
          </w:hyperlink>
        </w:p>
        <w:p w:rsidR="00B7373F" w:rsidRDefault="005C4FFD">
          <w:pPr>
            <w:pStyle w:val="TOC3"/>
            <w:rPr>
              <w:rFonts w:asciiTheme="minorHAnsi" w:eastAsiaTheme="minorEastAsia" w:hAnsiTheme="minorHAnsi"/>
              <w:lang w:eastAsia="en-AU"/>
            </w:rPr>
          </w:pPr>
          <w:hyperlink w:anchor="_Toc433022787" w:history="1">
            <w:r w:rsidR="00B7373F" w:rsidRPr="00883E01">
              <w:rPr>
                <w:rStyle w:val="Hyperlink"/>
              </w:rPr>
              <w:t>1.4.3</w:t>
            </w:r>
            <w:r w:rsidR="00B7373F">
              <w:rPr>
                <w:rFonts w:asciiTheme="minorHAnsi" w:eastAsiaTheme="minorEastAsia" w:hAnsiTheme="minorHAnsi"/>
                <w:lang w:eastAsia="en-AU"/>
              </w:rPr>
              <w:tab/>
            </w:r>
            <w:r w:rsidR="00B7373F" w:rsidRPr="00883E01">
              <w:rPr>
                <w:rStyle w:val="Hyperlink"/>
              </w:rPr>
              <w:t>Revenue increments or decrements</w:t>
            </w:r>
            <w:r w:rsidR="00B7373F">
              <w:rPr>
                <w:webHidden/>
              </w:rPr>
              <w:tab/>
            </w:r>
            <w:r w:rsidR="00B7373F">
              <w:rPr>
                <w:webHidden/>
              </w:rPr>
              <w:fldChar w:fldCharType="begin"/>
            </w:r>
            <w:r w:rsidR="00B7373F">
              <w:rPr>
                <w:webHidden/>
              </w:rPr>
              <w:instrText xml:space="preserve"> PAGEREF _Toc433022787 \h </w:instrText>
            </w:r>
            <w:r w:rsidR="00B7373F">
              <w:rPr>
                <w:webHidden/>
              </w:rPr>
            </w:r>
            <w:r w:rsidR="00B7373F">
              <w:rPr>
                <w:webHidden/>
              </w:rPr>
              <w:fldChar w:fldCharType="separate"/>
            </w:r>
            <w:r w:rsidR="00B7373F">
              <w:rPr>
                <w:webHidden/>
              </w:rPr>
              <w:t>1-14</w:t>
            </w:r>
            <w:r w:rsidR="00B7373F">
              <w:rPr>
                <w:webHidden/>
              </w:rPr>
              <w:fldChar w:fldCharType="end"/>
            </w:r>
          </w:hyperlink>
        </w:p>
        <w:p w:rsidR="00B7373F" w:rsidRDefault="005C4FFD">
          <w:pPr>
            <w:pStyle w:val="TOC3"/>
            <w:rPr>
              <w:rFonts w:asciiTheme="minorHAnsi" w:eastAsiaTheme="minorEastAsia" w:hAnsiTheme="minorHAnsi"/>
              <w:lang w:eastAsia="en-AU"/>
            </w:rPr>
          </w:pPr>
          <w:hyperlink w:anchor="_Toc433022789" w:history="1">
            <w:r w:rsidR="00B7373F" w:rsidRPr="00883E01">
              <w:rPr>
                <w:rStyle w:val="Hyperlink"/>
              </w:rPr>
              <w:t>1.4.4</w:t>
            </w:r>
            <w:r w:rsidR="00B7373F">
              <w:rPr>
                <w:rFonts w:asciiTheme="minorHAnsi" w:eastAsiaTheme="minorEastAsia" w:hAnsiTheme="minorHAnsi"/>
                <w:lang w:eastAsia="en-AU"/>
              </w:rPr>
              <w:tab/>
            </w:r>
            <w:r w:rsidR="00B7373F" w:rsidRPr="00883E01">
              <w:rPr>
                <w:rStyle w:val="Hyperlink"/>
              </w:rPr>
              <w:t>Indicative average distribution price impact</w:t>
            </w:r>
            <w:r w:rsidR="00B7373F">
              <w:rPr>
                <w:webHidden/>
              </w:rPr>
              <w:tab/>
            </w:r>
            <w:r w:rsidR="00B7373F">
              <w:rPr>
                <w:webHidden/>
              </w:rPr>
              <w:fldChar w:fldCharType="begin"/>
            </w:r>
            <w:r w:rsidR="00B7373F">
              <w:rPr>
                <w:webHidden/>
              </w:rPr>
              <w:instrText xml:space="preserve"> PAGEREF _Toc433022789 \h </w:instrText>
            </w:r>
            <w:r w:rsidR="00B7373F">
              <w:rPr>
                <w:webHidden/>
              </w:rPr>
            </w:r>
            <w:r w:rsidR="00B7373F">
              <w:rPr>
                <w:webHidden/>
              </w:rPr>
              <w:fldChar w:fldCharType="separate"/>
            </w:r>
            <w:r w:rsidR="00B7373F">
              <w:rPr>
                <w:webHidden/>
              </w:rPr>
              <w:t>1-17</w:t>
            </w:r>
            <w:r w:rsidR="00B7373F">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7" w:name="_Toc404700925"/>
      <w:bookmarkStart w:id="8" w:name="_Toc433022779"/>
      <w:r>
        <w:lastRenderedPageBreak/>
        <w:t>Shortened forms</w:t>
      </w:r>
      <w:bookmarkEnd w:id="7"/>
      <w:bookmarkEnd w:id="8"/>
    </w:p>
    <w:tbl>
      <w:tblPr>
        <w:tblStyle w:val="AERtable-numbers"/>
        <w:tblW w:w="0" w:type="auto"/>
        <w:tblLook w:val="04A0" w:firstRow="1" w:lastRow="0" w:firstColumn="1" w:lastColumn="0" w:noHBand="0" w:noVBand="1"/>
      </w:tblPr>
      <w:tblGrid>
        <w:gridCol w:w="4346"/>
        <w:gridCol w:w="4347"/>
      </w:tblGrid>
      <w:tr w:rsidR="00DE563D" w:rsidTr="00140C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Shortened form</w:t>
            </w:r>
          </w:p>
        </w:tc>
        <w:tc>
          <w:tcPr>
            <w:tcW w:w="4347"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AEMC</w:t>
            </w:r>
          </w:p>
        </w:tc>
        <w:tc>
          <w:tcPr>
            <w:tcW w:w="4347" w:type="dxa"/>
          </w:tcPr>
          <w:p w:rsidR="00DE563D" w:rsidRPr="00DC5D7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DC5D79">
              <w:rPr>
                <w:rStyle w:val="AERtextsize10"/>
              </w:rPr>
              <w:t>Australian Energy Market Commission</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AEMO</w:t>
            </w:r>
          </w:p>
        </w:tc>
        <w:tc>
          <w:tcPr>
            <w:tcW w:w="4347" w:type="dxa"/>
          </w:tcPr>
          <w:p w:rsidR="00DE563D" w:rsidRPr="00DC5D7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DC5D79">
              <w:rPr>
                <w:rStyle w:val="AERtextsize10"/>
              </w:rPr>
              <w:t>Australian Energy Market Operator</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AER</w:t>
            </w:r>
          </w:p>
        </w:tc>
        <w:tc>
          <w:tcPr>
            <w:tcW w:w="4347" w:type="dxa"/>
          </w:tcPr>
          <w:p w:rsidR="00DE563D" w:rsidRPr="00DC5D7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DC5D79">
              <w:rPr>
                <w:rStyle w:val="AERtextsize10"/>
              </w:rPr>
              <w:t>Australian Energy Regulator</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proofErr w:type="spellStart"/>
            <w:r w:rsidRPr="00DC5D79">
              <w:rPr>
                <w:rStyle w:val="AERtextsize10"/>
              </w:rPr>
              <w:t>augex</w:t>
            </w:r>
            <w:proofErr w:type="spellEnd"/>
          </w:p>
        </w:tc>
        <w:tc>
          <w:tcPr>
            <w:tcW w:w="4347" w:type="dxa"/>
          </w:tcPr>
          <w:p w:rsidR="00DE563D" w:rsidRPr="00DC5D7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DC5D79">
              <w:rPr>
                <w:rStyle w:val="AERtextsize10"/>
              </w:rPr>
              <w:t>augmentation expenditure</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capex</w:t>
            </w:r>
          </w:p>
        </w:tc>
        <w:tc>
          <w:tcPr>
            <w:tcW w:w="4347" w:type="dxa"/>
          </w:tcPr>
          <w:p w:rsidR="00DE563D" w:rsidRPr="00DC5D7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DC5D79">
              <w:rPr>
                <w:rStyle w:val="AERtextsize10"/>
              </w:rPr>
              <w:t>capital expenditure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CCP</w:t>
            </w:r>
          </w:p>
        </w:tc>
        <w:tc>
          <w:tcPr>
            <w:tcW w:w="4347" w:type="dxa"/>
          </w:tcPr>
          <w:p w:rsidR="00DE563D" w:rsidRPr="00DC5D7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DC5D79">
              <w:rPr>
                <w:rStyle w:val="AERtextsize10"/>
              </w:rPr>
              <w:t>Consumer Challenge Panel</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CESS</w:t>
            </w:r>
          </w:p>
        </w:tc>
        <w:tc>
          <w:tcPr>
            <w:tcW w:w="4347" w:type="dxa"/>
          </w:tcPr>
          <w:p w:rsidR="00DE563D" w:rsidRPr="00DC5D7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DC5D79">
              <w:rPr>
                <w:rStyle w:val="AERtextsize10"/>
              </w:rPr>
              <w:t>capital expenditure sharing scheme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CPI</w:t>
            </w:r>
          </w:p>
        </w:tc>
        <w:tc>
          <w:tcPr>
            <w:tcW w:w="4347" w:type="dxa"/>
          </w:tcPr>
          <w:p w:rsidR="00DE563D" w:rsidRPr="00DC5D7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DC5D79">
              <w:rPr>
                <w:rStyle w:val="AERtextsize10"/>
              </w:rPr>
              <w:t>consumer price index</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DRP</w:t>
            </w:r>
          </w:p>
        </w:tc>
        <w:tc>
          <w:tcPr>
            <w:tcW w:w="4347" w:type="dxa"/>
          </w:tcPr>
          <w:p w:rsidR="00DE563D" w:rsidRPr="00DC5D7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DC5D79">
              <w:rPr>
                <w:rStyle w:val="AERtextsize10"/>
              </w:rPr>
              <w:t>debt risk premium</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DMIA</w:t>
            </w:r>
          </w:p>
        </w:tc>
        <w:tc>
          <w:tcPr>
            <w:tcW w:w="4347" w:type="dxa"/>
          </w:tcPr>
          <w:p w:rsidR="00DE563D" w:rsidRPr="00DC5D7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DC5D79">
              <w:rPr>
                <w:rStyle w:val="AERtextsize10"/>
              </w:rPr>
              <w:t>demand management innovation allowance</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DMIS</w:t>
            </w:r>
          </w:p>
        </w:tc>
        <w:tc>
          <w:tcPr>
            <w:tcW w:w="4347" w:type="dxa"/>
          </w:tcPr>
          <w:p w:rsidR="00DE563D" w:rsidRPr="00DC5D7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DC5D79">
              <w:rPr>
                <w:rStyle w:val="AERtextsize10"/>
              </w:rPr>
              <w:t>demand management incentive scheme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distributor</w:t>
            </w:r>
          </w:p>
        </w:tc>
        <w:tc>
          <w:tcPr>
            <w:tcW w:w="4347" w:type="dxa"/>
          </w:tcPr>
          <w:p w:rsidR="00DE563D" w:rsidRPr="00DC5D7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DC5D79">
              <w:rPr>
                <w:rStyle w:val="AERtextsize10"/>
              </w:rPr>
              <w:t>distribution network service provider</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proofErr w:type="spellStart"/>
            <w:r w:rsidRPr="00DC5D79">
              <w:rPr>
                <w:rStyle w:val="AERtextsize10"/>
              </w:rPr>
              <w:t>DUoS</w:t>
            </w:r>
            <w:proofErr w:type="spellEnd"/>
          </w:p>
        </w:tc>
        <w:tc>
          <w:tcPr>
            <w:tcW w:w="4347" w:type="dxa"/>
          </w:tcPr>
          <w:p w:rsidR="00DE563D" w:rsidRPr="00DC5D7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DC5D79">
              <w:rPr>
                <w:rStyle w:val="AERtextsize10"/>
              </w:rPr>
              <w:t>distribution use of system</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EBSS</w:t>
            </w:r>
          </w:p>
        </w:tc>
        <w:tc>
          <w:tcPr>
            <w:tcW w:w="4347" w:type="dxa"/>
          </w:tcPr>
          <w:p w:rsidR="00DE563D" w:rsidRPr="00DC5D7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DC5D79">
              <w:rPr>
                <w:rStyle w:val="AERtextsize10"/>
              </w:rPr>
              <w:t>efficiency benefit sharing scheme</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ERP</w:t>
            </w:r>
          </w:p>
        </w:tc>
        <w:tc>
          <w:tcPr>
            <w:tcW w:w="4347" w:type="dxa"/>
          </w:tcPr>
          <w:p w:rsidR="00DE563D" w:rsidRPr="00DC5D7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DC5D79">
              <w:rPr>
                <w:rStyle w:val="AERtextsize10"/>
              </w:rPr>
              <w:t>equity risk premium</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B95998" w:rsidP="00B95998">
            <w:pPr>
              <w:pStyle w:val="AERtabletextleft"/>
              <w:rPr>
                <w:rStyle w:val="AERtextsize10"/>
              </w:rPr>
            </w:pPr>
            <w:r w:rsidRPr="00DC5D79">
              <w:rPr>
                <w:rStyle w:val="AERtextsize10"/>
              </w:rPr>
              <w:t>E</w:t>
            </w:r>
            <w:r w:rsidR="00DE563D" w:rsidRPr="00DC5D79">
              <w:rPr>
                <w:rStyle w:val="AERtextsize10"/>
              </w:rPr>
              <w:t xml:space="preserve">xpenditure </w:t>
            </w:r>
            <w:r w:rsidRPr="00DC5D79">
              <w:rPr>
                <w:rStyle w:val="AERtextsize10"/>
              </w:rPr>
              <w:t>A</w:t>
            </w:r>
            <w:r w:rsidR="00DE563D" w:rsidRPr="00DC5D79">
              <w:rPr>
                <w:rStyle w:val="AERtextsize10"/>
              </w:rPr>
              <w:t xml:space="preserve">ssessment </w:t>
            </w:r>
            <w:r w:rsidRPr="00DC5D79">
              <w:rPr>
                <w:rStyle w:val="AERtextsize10"/>
              </w:rPr>
              <w:t>G</w:t>
            </w:r>
            <w:r w:rsidR="00DE563D" w:rsidRPr="00DC5D79">
              <w:rPr>
                <w:rStyle w:val="AERtextsize10"/>
              </w:rPr>
              <w:t>uideline</w:t>
            </w:r>
          </w:p>
        </w:tc>
        <w:tc>
          <w:tcPr>
            <w:tcW w:w="4347" w:type="dxa"/>
          </w:tcPr>
          <w:p w:rsidR="00DE563D" w:rsidRPr="00DC5D79" w:rsidRDefault="00CA0753" w:rsidP="00B95998">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DC5D79">
              <w:rPr>
                <w:rStyle w:val="AERtextsize10"/>
              </w:rPr>
              <w:t>Expenditure Forecast A</w:t>
            </w:r>
            <w:r w:rsidR="00DE563D" w:rsidRPr="00DC5D79">
              <w:rPr>
                <w:rStyle w:val="AERtextsize10"/>
              </w:rPr>
              <w:t xml:space="preserve">ssessment </w:t>
            </w:r>
            <w:r w:rsidR="00B95998" w:rsidRPr="00DC5D79">
              <w:rPr>
                <w:rStyle w:val="AERtextsize10"/>
              </w:rPr>
              <w:t>G</w:t>
            </w:r>
            <w:r w:rsidR="00DE563D" w:rsidRPr="00DC5D79">
              <w:rPr>
                <w:rStyle w:val="AERtextsize10"/>
              </w:rPr>
              <w:t>uideline for electricity distribution</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F&amp;A</w:t>
            </w:r>
          </w:p>
        </w:tc>
        <w:tc>
          <w:tcPr>
            <w:tcW w:w="4347" w:type="dxa"/>
          </w:tcPr>
          <w:p w:rsidR="00DE563D" w:rsidRPr="00DC5D7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DC5D79">
              <w:rPr>
                <w:rStyle w:val="AERtextsize10"/>
              </w:rPr>
              <w:t>framework and approach</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MRP</w:t>
            </w:r>
          </w:p>
        </w:tc>
        <w:tc>
          <w:tcPr>
            <w:tcW w:w="4347" w:type="dxa"/>
          </w:tcPr>
          <w:p w:rsidR="00DE563D" w:rsidRPr="00DC5D7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DC5D79">
              <w:rPr>
                <w:rStyle w:val="AERtextsize10"/>
              </w:rPr>
              <w:t>market risk premium</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NEL</w:t>
            </w:r>
          </w:p>
        </w:tc>
        <w:tc>
          <w:tcPr>
            <w:tcW w:w="4347" w:type="dxa"/>
          </w:tcPr>
          <w:p w:rsidR="00DE563D" w:rsidRPr="00DC5D7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DC5D79">
              <w:rPr>
                <w:rStyle w:val="AERtextsize10"/>
              </w:rPr>
              <w:t>national electricity law</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NEM</w:t>
            </w:r>
          </w:p>
        </w:tc>
        <w:tc>
          <w:tcPr>
            <w:tcW w:w="4347" w:type="dxa"/>
          </w:tcPr>
          <w:p w:rsidR="00DE563D" w:rsidRPr="00DC5D7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DC5D79">
              <w:rPr>
                <w:rStyle w:val="AERtextsize10"/>
              </w:rPr>
              <w:t>national electricity market</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NEO</w:t>
            </w:r>
          </w:p>
        </w:tc>
        <w:tc>
          <w:tcPr>
            <w:tcW w:w="4347" w:type="dxa"/>
          </w:tcPr>
          <w:p w:rsidR="00DE563D" w:rsidRPr="00DC5D7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DC5D79">
              <w:rPr>
                <w:rStyle w:val="AERtextsize10"/>
              </w:rPr>
              <w:t>national electricity objective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NER</w:t>
            </w:r>
          </w:p>
        </w:tc>
        <w:tc>
          <w:tcPr>
            <w:tcW w:w="4347" w:type="dxa"/>
          </w:tcPr>
          <w:p w:rsidR="00DE563D" w:rsidRPr="00DC5D7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DC5D79">
              <w:rPr>
                <w:rStyle w:val="AERtextsize10"/>
              </w:rPr>
              <w:t>national electricity rules</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NSP</w:t>
            </w:r>
          </w:p>
        </w:tc>
        <w:tc>
          <w:tcPr>
            <w:tcW w:w="4347" w:type="dxa"/>
          </w:tcPr>
          <w:p w:rsidR="00DE563D" w:rsidRPr="00DC5D7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DC5D79">
              <w:rPr>
                <w:rStyle w:val="AERtextsize10"/>
              </w:rPr>
              <w:t>network service provider</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proofErr w:type="spellStart"/>
            <w:r w:rsidRPr="00DC5D79">
              <w:rPr>
                <w:rStyle w:val="AERtextsize10"/>
              </w:rPr>
              <w:t>opex</w:t>
            </w:r>
            <w:proofErr w:type="spellEnd"/>
          </w:p>
        </w:tc>
        <w:tc>
          <w:tcPr>
            <w:tcW w:w="4347" w:type="dxa"/>
          </w:tcPr>
          <w:p w:rsidR="00DE563D" w:rsidRPr="00DC5D7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DC5D79">
              <w:rPr>
                <w:rStyle w:val="AERtextsize10"/>
              </w:rPr>
              <w:t>operating expenditure</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PPI</w:t>
            </w:r>
          </w:p>
        </w:tc>
        <w:tc>
          <w:tcPr>
            <w:tcW w:w="4347" w:type="dxa"/>
          </w:tcPr>
          <w:p w:rsidR="00DE563D" w:rsidRPr="00DC5D7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DC5D79">
              <w:rPr>
                <w:rStyle w:val="AERtextsize10"/>
              </w:rPr>
              <w:t>partial performance indicators</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lastRenderedPageBreak/>
              <w:t>PTRM</w:t>
            </w:r>
          </w:p>
        </w:tc>
        <w:tc>
          <w:tcPr>
            <w:tcW w:w="4347" w:type="dxa"/>
          </w:tcPr>
          <w:p w:rsidR="00DE563D" w:rsidRPr="00DC5D7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DC5D79">
              <w:rPr>
                <w:rStyle w:val="AERtextsize10"/>
              </w:rPr>
              <w:t>post-tax revenue model</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RAB</w:t>
            </w:r>
          </w:p>
        </w:tc>
        <w:tc>
          <w:tcPr>
            <w:tcW w:w="4347" w:type="dxa"/>
          </w:tcPr>
          <w:p w:rsidR="00DE563D" w:rsidRPr="00DC5D7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DC5D79">
              <w:rPr>
                <w:rStyle w:val="AERtextsize10"/>
              </w:rPr>
              <w:t>regulatory asset base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RBA</w:t>
            </w:r>
          </w:p>
        </w:tc>
        <w:tc>
          <w:tcPr>
            <w:tcW w:w="4347" w:type="dxa"/>
          </w:tcPr>
          <w:p w:rsidR="00DE563D" w:rsidRPr="00DC5D7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DC5D79">
              <w:rPr>
                <w:rStyle w:val="AERtextsize10"/>
              </w:rPr>
              <w:t>Reserve Bank of Australia</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proofErr w:type="spellStart"/>
            <w:r w:rsidRPr="00DC5D79">
              <w:rPr>
                <w:rStyle w:val="AERtextsize10"/>
              </w:rPr>
              <w:t>repex</w:t>
            </w:r>
            <w:proofErr w:type="spellEnd"/>
          </w:p>
        </w:tc>
        <w:tc>
          <w:tcPr>
            <w:tcW w:w="4347" w:type="dxa"/>
          </w:tcPr>
          <w:p w:rsidR="00DE563D" w:rsidRPr="00DC5D7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DC5D79">
              <w:rPr>
                <w:rStyle w:val="AERtextsize10"/>
              </w:rPr>
              <w:t>replacement expenditure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RFM</w:t>
            </w:r>
          </w:p>
        </w:tc>
        <w:tc>
          <w:tcPr>
            <w:tcW w:w="4347" w:type="dxa"/>
          </w:tcPr>
          <w:p w:rsidR="00DE563D" w:rsidRPr="00DC5D7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DC5D79">
              <w:rPr>
                <w:rStyle w:val="AERtextsize10"/>
              </w:rPr>
              <w:t>roll forward model</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RIN</w:t>
            </w:r>
          </w:p>
        </w:tc>
        <w:tc>
          <w:tcPr>
            <w:tcW w:w="4347" w:type="dxa"/>
          </w:tcPr>
          <w:p w:rsidR="00DE563D" w:rsidRPr="00DC5D7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DC5D79">
              <w:rPr>
                <w:rStyle w:val="AERtextsize10"/>
              </w:rPr>
              <w:t>regulatory information notice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RPP</w:t>
            </w:r>
          </w:p>
        </w:tc>
        <w:tc>
          <w:tcPr>
            <w:tcW w:w="4347" w:type="dxa"/>
          </w:tcPr>
          <w:p w:rsidR="00DE563D" w:rsidRPr="00DC5D79"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DC5D79">
              <w:rPr>
                <w:rStyle w:val="AERtextsize10"/>
              </w:rPr>
              <w:t xml:space="preserve">revenue </w:t>
            </w:r>
            <w:r w:rsidR="00B95998" w:rsidRPr="00DC5D79">
              <w:rPr>
                <w:rStyle w:val="AERtextsize10"/>
              </w:rPr>
              <w:t xml:space="preserve">and </w:t>
            </w:r>
            <w:r w:rsidRPr="00DC5D79">
              <w:rPr>
                <w:rStyle w:val="AERtextsize10"/>
              </w:rPr>
              <w:t>pricing principles</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SAIDI</w:t>
            </w:r>
          </w:p>
        </w:tc>
        <w:tc>
          <w:tcPr>
            <w:tcW w:w="4347" w:type="dxa"/>
          </w:tcPr>
          <w:p w:rsidR="00DE563D" w:rsidRPr="00DC5D7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DC5D79">
              <w:rPr>
                <w:rStyle w:val="AERtextsize10"/>
              </w:rPr>
              <w:t>system average interruption duration index</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SAIFI</w:t>
            </w:r>
          </w:p>
        </w:tc>
        <w:tc>
          <w:tcPr>
            <w:tcW w:w="4347" w:type="dxa"/>
          </w:tcPr>
          <w:p w:rsidR="00DE563D" w:rsidRPr="00DC5D79" w:rsidRDefault="00DE563D" w:rsidP="00DC5D79">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DC5D79">
              <w:rPr>
                <w:rStyle w:val="AERtextsize10"/>
              </w:rPr>
              <w:t>system average interruption frequency index</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SLCAPM</w:t>
            </w:r>
          </w:p>
        </w:tc>
        <w:tc>
          <w:tcPr>
            <w:tcW w:w="4347" w:type="dxa"/>
          </w:tcPr>
          <w:p w:rsidR="00DE563D" w:rsidRPr="00DC5D7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DC5D79">
              <w:rPr>
                <w:rStyle w:val="AERtextsize10"/>
              </w:rPr>
              <w:t>Sharpe-</w:t>
            </w:r>
            <w:proofErr w:type="spellStart"/>
            <w:r w:rsidRPr="00DC5D79">
              <w:rPr>
                <w:rStyle w:val="AERtextsize10"/>
              </w:rPr>
              <w:t>Lintner</w:t>
            </w:r>
            <w:proofErr w:type="spellEnd"/>
            <w:r w:rsidRPr="00DC5D79">
              <w:rPr>
                <w:rStyle w:val="AERtextsize10"/>
              </w:rPr>
              <w:t xml:space="preserve"> capital asset pricing model</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STPIS</w:t>
            </w:r>
          </w:p>
        </w:tc>
        <w:tc>
          <w:tcPr>
            <w:tcW w:w="4347" w:type="dxa"/>
          </w:tcPr>
          <w:p w:rsidR="00DE563D" w:rsidRPr="00DC5D79" w:rsidRDefault="00DE563D" w:rsidP="00DC5D79">
            <w:pPr>
              <w:pStyle w:val="AERtabletextleft"/>
              <w:jc w:val="left"/>
              <w:cnfStyle w:val="000000010000" w:firstRow="0" w:lastRow="0" w:firstColumn="0" w:lastColumn="0" w:oddVBand="0" w:evenVBand="0" w:oddHBand="0" w:evenHBand="1" w:firstRowFirstColumn="0" w:firstRowLastColumn="0" w:lastRowFirstColumn="0" w:lastRowLastColumn="0"/>
              <w:rPr>
                <w:rStyle w:val="AERtextsize10"/>
              </w:rPr>
            </w:pPr>
            <w:r w:rsidRPr="00DC5D79">
              <w:rPr>
                <w:rStyle w:val="AERtextsize10"/>
              </w:rPr>
              <w:t>service target performance incentive scheme</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Pr="00DC5D79" w:rsidRDefault="00DE563D" w:rsidP="00DE563D">
            <w:pPr>
              <w:pStyle w:val="AERtabletextleft"/>
              <w:rPr>
                <w:rStyle w:val="AERtextsize10"/>
              </w:rPr>
            </w:pPr>
            <w:r w:rsidRPr="00DC5D79">
              <w:rPr>
                <w:rStyle w:val="AERtextsize10"/>
              </w:rPr>
              <w:t>WACC</w:t>
            </w:r>
          </w:p>
        </w:tc>
        <w:tc>
          <w:tcPr>
            <w:tcW w:w="4347" w:type="dxa"/>
          </w:tcPr>
          <w:p w:rsidR="00DE563D" w:rsidRPr="00DC5D79"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rPr>
                <w:rStyle w:val="AERtextsize10"/>
              </w:rPr>
            </w:pPr>
            <w:r w:rsidRPr="00DC5D79">
              <w:rPr>
                <w:rStyle w:val="AERtextsize10"/>
              </w:rP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971CD8" w:rsidP="00961F06">
      <w:pPr>
        <w:pStyle w:val="Heading1"/>
      </w:pPr>
      <w:bookmarkStart w:id="9" w:name="_Toc433022780"/>
      <w:r w:rsidRPr="00961F06">
        <w:lastRenderedPageBreak/>
        <w:t>Annual revenue requirement</w:t>
      </w:r>
      <w:bookmarkEnd w:id="9"/>
    </w:p>
    <w:p w:rsidR="005908F0" w:rsidRPr="005908F0" w:rsidRDefault="004E5FB9" w:rsidP="005908F0">
      <w:r>
        <w:t xml:space="preserve">The </w:t>
      </w:r>
      <w:r w:rsidRPr="0094506C">
        <w:t>annual revenue requirement (ARR) is the sum of the various building block costs for each year of th</w:t>
      </w:r>
      <w:r>
        <w:t>e regulatory control</w:t>
      </w:r>
      <w:r w:rsidRPr="0094506C">
        <w:t xml:space="preserve"> period before smoothing. The ARRs are smoothed across the period to reduce fluctuations between years and to determine expected revenues for each year. The expected revenues are the amounts that </w:t>
      </w:r>
      <w:r>
        <w:t>Energex</w:t>
      </w:r>
      <w:r w:rsidRPr="0094506C">
        <w:t xml:space="preserve"> will target for annual pricing purposes</w:t>
      </w:r>
      <w:r w:rsidRPr="00D54787">
        <w:t xml:space="preserve"> </w:t>
      </w:r>
      <w:r>
        <w:t xml:space="preserve">and </w:t>
      </w:r>
      <w:r w:rsidRPr="00F95B9F">
        <w:t xml:space="preserve">recover from </w:t>
      </w:r>
      <w:r>
        <w:t xml:space="preserve">customers for </w:t>
      </w:r>
      <w:r w:rsidRPr="00F95B9F">
        <w:t>the provision of standard control services for each year of the regulatory control period</w:t>
      </w:r>
      <w:r w:rsidRPr="0094506C">
        <w:t xml:space="preserve">. This attachment sets out our </w:t>
      </w:r>
      <w:r>
        <w:t>final</w:t>
      </w:r>
      <w:r w:rsidRPr="0094506C">
        <w:t xml:space="preserve"> decision on </w:t>
      </w:r>
      <w:r>
        <w:t>Energex's</w:t>
      </w:r>
      <w:r w:rsidRPr="0094506C">
        <w:t xml:space="preserve"> ARRs and expected revenues for the 201</w:t>
      </w:r>
      <w:r>
        <w:t>5–20</w:t>
      </w:r>
      <w:r w:rsidRPr="0094506C">
        <w:t xml:space="preserve"> </w:t>
      </w:r>
      <w:r>
        <w:t xml:space="preserve">regulatory control </w:t>
      </w:r>
      <w:r w:rsidRPr="0094506C">
        <w:t>period.</w:t>
      </w:r>
    </w:p>
    <w:p w:rsidR="00DE563D" w:rsidRDefault="004D0898" w:rsidP="006F28A8">
      <w:pPr>
        <w:pStyle w:val="Heading2"/>
      </w:pPr>
      <w:bookmarkStart w:id="10" w:name="_Toc403144136"/>
      <w:bookmarkStart w:id="11" w:name="_Toc433022781"/>
      <w:r>
        <w:t>Final</w:t>
      </w:r>
      <w:r w:rsidR="00DE563D" w:rsidRPr="00CC783D">
        <w:t xml:space="preserve"> decision</w:t>
      </w:r>
      <w:bookmarkEnd w:id="10"/>
      <w:bookmarkEnd w:id="11"/>
    </w:p>
    <w:p w:rsidR="004E5FB9" w:rsidRPr="002B52F6" w:rsidRDefault="004E5FB9" w:rsidP="004E5FB9">
      <w:pPr>
        <w:numPr>
          <w:ilvl w:val="0"/>
          <w:numId w:val="25"/>
        </w:numPr>
      </w:pPr>
      <w:r>
        <w:t xml:space="preserve">We </w:t>
      </w:r>
      <w:r w:rsidRPr="0094506C">
        <w:t xml:space="preserve">do not accept </w:t>
      </w:r>
      <w:r>
        <w:t>Energex's</w:t>
      </w:r>
      <w:r w:rsidRPr="0094506C">
        <w:t xml:space="preserve"> </w:t>
      </w:r>
      <w:r>
        <w:t xml:space="preserve">revised </w:t>
      </w:r>
      <w:r w:rsidRPr="0094506C">
        <w:t>proposed total revenue requirement</w:t>
      </w:r>
      <w:r>
        <w:t xml:space="preserve"> </w:t>
      </w:r>
      <w:r w:rsidRPr="0094506C">
        <w:t>of $</w:t>
      </w:r>
      <w:r>
        <w:t>7739.3 </w:t>
      </w:r>
      <w:r w:rsidRPr="0094506C">
        <w:t>million over the 201</w:t>
      </w:r>
      <w:r>
        <w:t>5</w:t>
      </w:r>
      <w:r w:rsidRPr="0094506C">
        <w:t>–</w:t>
      </w:r>
      <w:r>
        <w:t>20</w:t>
      </w:r>
      <w:r w:rsidRPr="0094506C">
        <w:t xml:space="preserve"> </w:t>
      </w:r>
      <w:r>
        <w:t xml:space="preserve">regulatory control </w:t>
      </w:r>
      <w:r w:rsidRPr="0094506C">
        <w:t xml:space="preserve">period. </w:t>
      </w:r>
      <w:r>
        <w:t>This is because we have not accepted the building block costs in Energex's revised proposal.</w:t>
      </w:r>
      <w:r w:rsidRPr="0094506C">
        <w:t xml:space="preserve"> We determine a total revenue requirement </w:t>
      </w:r>
      <w:r w:rsidR="009B3810">
        <w:t xml:space="preserve">(excluding </w:t>
      </w:r>
      <w:proofErr w:type="spellStart"/>
      <w:r w:rsidR="009B3810">
        <w:t>additionals</w:t>
      </w:r>
      <w:proofErr w:type="spellEnd"/>
      <w:r w:rsidR="009B3810">
        <w:t>)</w:t>
      </w:r>
      <w:r w:rsidR="009B3810">
        <w:rPr>
          <w:rStyle w:val="FootnoteReference"/>
        </w:rPr>
        <w:footnoteReference w:id="1"/>
      </w:r>
      <w:r w:rsidR="009B3810">
        <w:t xml:space="preserve"> </w:t>
      </w:r>
      <w:r>
        <w:t xml:space="preserve">of </w:t>
      </w:r>
      <w:r w:rsidRPr="0094506C">
        <w:t>$</w:t>
      </w:r>
      <w:r w:rsidR="00BB1D89">
        <w:t>655</w:t>
      </w:r>
      <w:r w:rsidR="004A433F">
        <w:t>7</w:t>
      </w:r>
      <w:r w:rsidR="00BB1D89">
        <w:t>.</w:t>
      </w:r>
      <w:r w:rsidR="004A433F">
        <w:t>0</w:t>
      </w:r>
      <w:r w:rsidRPr="002B52F6">
        <w:t xml:space="preserve"> million ($ nominal) for </w:t>
      </w:r>
      <w:r>
        <w:t>Energex</w:t>
      </w:r>
      <w:r w:rsidRPr="0094506C">
        <w:t xml:space="preserve"> for </w:t>
      </w:r>
      <w:r>
        <w:t>the 2015–20 regulatory control period, reflecting our final decision on the various building block costs</w:t>
      </w:r>
      <w:r w:rsidRPr="002B52F6">
        <w:t>. This is a reduction of $</w:t>
      </w:r>
      <w:r w:rsidR="00BB1D89">
        <w:t>118</w:t>
      </w:r>
      <w:r w:rsidR="004A433F">
        <w:t>2</w:t>
      </w:r>
      <w:r w:rsidR="00BB1D89">
        <w:t>.</w:t>
      </w:r>
      <w:r w:rsidR="004A433F">
        <w:t>3</w:t>
      </w:r>
      <w:r w:rsidR="00BB1D89" w:rsidRPr="002B52F6">
        <w:t> </w:t>
      </w:r>
      <w:r w:rsidRPr="002B52F6">
        <w:t xml:space="preserve">million ($ nominal) or </w:t>
      </w:r>
      <w:r w:rsidR="00BB1D89">
        <w:t>15.3</w:t>
      </w:r>
      <w:r w:rsidR="0099652C">
        <w:t xml:space="preserve"> per cent to</w:t>
      </w:r>
      <w:r w:rsidRPr="002B52F6">
        <w:t xml:space="preserve"> </w:t>
      </w:r>
      <w:r>
        <w:t>Energex's</w:t>
      </w:r>
      <w:r w:rsidRPr="002B52F6">
        <w:t xml:space="preserve"> </w:t>
      </w:r>
      <w:r w:rsidR="0099652C">
        <w:t xml:space="preserve">revised </w:t>
      </w:r>
      <w:r w:rsidRPr="002B52F6">
        <w:t>proposal.</w:t>
      </w:r>
    </w:p>
    <w:p w:rsidR="0099652C" w:rsidRDefault="0099652C" w:rsidP="004E5FB9">
      <w:pPr>
        <w:numPr>
          <w:ilvl w:val="0"/>
          <w:numId w:val="25"/>
        </w:numPr>
      </w:pPr>
      <w:r>
        <w:t>We approved in our preliminary decision the expected revenue for 2015–16 of $1139.8 million for Energex.</w:t>
      </w:r>
      <w:r w:rsidR="00186C55">
        <w:rPr>
          <w:rStyle w:val="FootnoteReference"/>
        </w:rPr>
        <w:footnoteReference w:id="2"/>
      </w:r>
      <w:r>
        <w:t xml:space="preserve"> Under the transitional rules, we are required to determine the ARR for 2015–16 as part of this final </w:t>
      </w:r>
      <w:r w:rsidR="002C7169">
        <w:t xml:space="preserve">decision </w:t>
      </w:r>
      <w:r>
        <w:t xml:space="preserve">process and do </w:t>
      </w:r>
      <w:r w:rsidR="002C7169">
        <w:t>an adjustment</w:t>
      </w:r>
      <w:r>
        <w:t xml:space="preserve"> for the difference between the preliminary decision revenue and the ARR for 2015–16. We have now determined the ARR for 2015–16 of $</w:t>
      </w:r>
      <w:r w:rsidR="00BB1D89">
        <w:t>1415.8</w:t>
      </w:r>
      <w:r>
        <w:t xml:space="preserve"> million for Energex. The difference is therefore $</w:t>
      </w:r>
      <w:r w:rsidR="00BB1D89">
        <w:t>276.0</w:t>
      </w:r>
      <w:r>
        <w:t xml:space="preserve"> million. We have applied this difference as part of the smoothing process to establish the annual expected revenue for the remaining four years of the 2015–20 regulatory control period.</w:t>
      </w:r>
    </w:p>
    <w:p w:rsidR="004E5FB9" w:rsidRDefault="004E5FB9" w:rsidP="004E5FB9">
      <w:pPr>
        <w:numPr>
          <w:ilvl w:val="0"/>
          <w:numId w:val="25"/>
        </w:numPr>
      </w:pPr>
      <w:r w:rsidRPr="00AC0E54">
        <w:t xml:space="preserve">As a result of our smoothing of the ARRs, our </w:t>
      </w:r>
      <w:r w:rsidR="00186C55">
        <w:t xml:space="preserve">final </w:t>
      </w:r>
      <w:r w:rsidRPr="00AC0E54">
        <w:t xml:space="preserve">decision </w:t>
      </w:r>
      <w:r>
        <w:t xml:space="preserve">on the annual expected revenue and X factor for each regulatory year of the 2015–20 regulatory control </w:t>
      </w:r>
      <w:proofErr w:type="gramStart"/>
      <w:r>
        <w:t>period</w:t>
      </w:r>
      <w:proofErr w:type="gramEnd"/>
      <w:r>
        <w:t xml:space="preserve"> is set out in</w:t>
      </w:r>
      <w:r w:rsidR="002C7169">
        <w:t xml:space="preserve"> table 1.1</w:t>
      </w:r>
      <w:r>
        <w:fldChar w:fldCharType="begin"/>
      </w:r>
      <w:r>
        <w:instrText xml:space="preserve"> REF _Ref417546808 \h </w:instrText>
      </w:r>
      <w:r>
        <w:fldChar w:fldCharType="end"/>
      </w:r>
      <w:r>
        <w:t xml:space="preserve">. Our </w:t>
      </w:r>
      <w:r w:rsidR="00186C55">
        <w:t xml:space="preserve">final </w:t>
      </w:r>
      <w:r>
        <w:t xml:space="preserve">decision </w:t>
      </w:r>
      <w:r w:rsidRPr="00AC0E54">
        <w:t>is to approve total expected revenues (</w:t>
      </w:r>
      <w:r w:rsidR="009B3810">
        <w:t xml:space="preserve">excluding </w:t>
      </w:r>
      <w:proofErr w:type="spellStart"/>
      <w:r w:rsidR="009B3810">
        <w:t>additionals</w:t>
      </w:r>
      <w:proofErr w:type="spellEnd"/>
      <w:r w:rsidRPr="00AC0E54">
        <w:t>) of $</w:t>
      </w:r>
      <w:r w:rsidR="00BB1D89">
        <w:t>6</w:t>
      </w:r>
      <w:r w:rsidR="004A433F">
        <w:t>599.9</w:t>
      </w:r>
      <w:r w:rsidRPr="00AC0E54">
        <w:t xml:space="preserve"> million ($ nominal) for the 201</w:t>
      </w:r>
      <w:r>
        <w:t>5</w:t>
      </w:r>
      <w:r w:rsidRPr="00AC0E54">
        <w:t>–</w:t>
      </w:r>
      <w:r>
        <w:t>20</w:t>
      </w:r>
      <w:r w:rsidRPr="00AC0E54">
        <w:t xml:space="preserve"> </w:t>
      </w:r>
      <w:r>
        <w:t xml:space="preserve">regulatory control </w:t>
      </w:r>
      <w:r w:rsidRPr="00AC0E54">
        <w:t>period.</w:t>
      </w:r>
      <w:r w:rsidR="00186C55">
        <w:rPr>
          <w:rStyle w:val="FootnoteReference"/>
        </w:rPr>
        <w:footnoteReference w:id="3"/>
      </w:r>
    </w:p>
    <w:p w:rsidR="004E5FB9" w:rsidRDefault="004E5FB9" w:rsidP="004E5FB9">
      <w:pPr>
        <w:numPr>
          <w:ilvl w:val="0"/>
          <w:numId w:val="25"/>
        </w:numPr>
      </w:pPr>
      <w:r>
        <w:fldChar w:fldCharType="begin"/>
      </w:r>
      <w:r>
        <w:instrText xml:space="preserve"> REF _Ref417546816 \h </w:instrText>
      </w:r>
      <w:r>
        <w:fldChar w:fldCharType="separate"/>
      </w:r>
      <w:r>
        <w:t xml:space="preserve">Figure </w:t>
      </w:r>
      <w:r w:rsidRPr="004E5FB9">
        <w:t>1</w:t>
      </w:r>
      <w:r>
        <w:t>.</w:t>
      </w:r>
      <w:r w:rsidRPr="004E5FB9">
        <w:t>1</w:t>
      </w:r>
      <w:r>
        <w:fldChar w:fldCharType="end"/>
      </w:r>
      <w:r>
        <w:t xml:space="preserve"> </w:t>
      </w:r>
      <w:r w:rsidRPr="0094506C">
        <w:t>show</w:t>
      </w:r>
      <w:r>
        <w:t>s</w:t>
      </w:r>
      <w:r w:rsidRPr="0094506C">
        <w:t xml:space="preserve"> the difference between</w:t>
      </w:r>
      <w:r>
        <w:t xml:space="preserve"> Energex's</w:t>
      </w:r>
      <w:r w:rsidR="00186C55">
        <w:t xml:space="preserve"> revised</w:t>
      </w:r>
      <w:r w:rsidRPr="0094506C">
        <w:t xml:space="preserve"> proposal and our </w:t>
      </w:r>
      <w:r w:rsidR="00186C55">
        <w:t>d</w:t>
      </w:r>
      <w:r>
        <w:t>ecision</w:t>
      </w:r>
      <w:r w:rsidR="00186C55">
        <w:t xml:space="preserve"> (preliminary and final)</w:t>
      </w:r>
      <w:r w:rsidRPr="0094506C">
        <w:t>.</w:t>
      </w:r>
      <w:r w:rsidRPr="00F55E93">
        <w:t xml:space="preserve"> </w:t>
      </w:r>
    </w:p>
    <w:p w:rsidR="004E5FB9" w:rsidRDefault="004E5FB9" w:rsidP="004E5FB9">
      <w:pPr>
        <w:numPr>
          <w:ilvl w:val="0"/>
          <w:numId w:val="25"/>
        </w:numPr>
      </w:pPr>
      <w:r>
        <w:lastRenderedPageBreak/>
        <w:fldChar w:fldCharType="begin"/>
      </w:r>
      <w:r>
        <w:instrText xml:space="preserve"> REF _Ref417546808 \h </w:instrText>
      </w:r>
      <w:r>
        <w:fldChar w:fldCharType="separate"/>
      </w:r>
      <w:r>
        <w:t xml:space="preserve">Table </w:t>
      </w:r>
      <w:r w:rsidRPr="00F55E93">
        <w:t>1</w:t>
      </w:r>
      <w:r>
        <w:t>.</w:t>
      </w:r>
      <w:r w:rsidRPr="00F55E93">
        <w:t>1</w:t>
      </w:r>
      <w:r>
        <w:fldChar w:fldCharType="end"/>
      </w:r>
      <w:r>
        <w:t xml:space="preserve"> shows our </w:t>
      </w:r>
      <w:r w:rsidR="00186C55">
        <w:t>final</w:t>
      </w:r>
      <w:r>
        <w:t xml:space="preserve"> decision on the building block costs, the ARR, annual expected revenue and X factor for each year of the 2015–20 regulatory control </w:t>
      </w:r>
      <w:proofErr w:type="gramStart"/>
      <w:r>
        <w:t>period</w:t>
      </w:r>
      <w:proofErr w:type="gramEnd"/>
      <w:r>
        <w:t>.</w:t>
      </w:r>
    </w:p>
    <w:p w:rsidR="004E5FB9" w:rsidRDefault="004E5FB9" w:rsidP="004E5FB9">
      <w:pPr>
        <w:pStyle w:val="Caption"/>
      </w:pPr>
      <w:bookmarkStart w:id="12" w:name="_Ref417546816"/>
      <w:r>
        <w:t xml:space="preserve">Figure </w:t>
      </w:r>
      <w:fldSimple w:instr=" STYLEREF 1 \s ">
        <w:r w:rsidR="00765BCD">
          <w:rPr>
            <w:noProof/>
          </w:rPr>
          <w:t>1</w:t>
        </w:r>
      </w:fldSimple>
      <w:r w:rsidR="00765BCD">
        <w:t>.</w:t>
      </w:r>
      <w:fldSimple w:instr=" SEQ Figure \* ARABIC \s 1 ">
        <w:r w:rsidR="00765BCD">
          <w:rPr>
            <w:noProof/>
          </w:rPr>
          <w:t>1</w:t>
        </w:r>
      </w:fldSimple>
      <w:bookmarkEnd w:id="12"/>
      <w:r>
        <w:tab/>
      </w:r>
      <w:r w:rsidRPr="002B52F6">
        <w:t xml:space="preserve">AER's </w:t>
      </w:r>
      <w:r>
        <w:t>final</w:t>
      </w:r>
      <w:r w:rsidRPr="002B52F6">
        <w:t xml:space="preserve"> decision </w:t>
      </w:r>
      <w:r>
        <w:t>o</w:t>
      </w:r>
      <w:r w:rsidRPr="002B52F6">
        <w:t xml:space="preserve">n </w:t>
      </w:r>
      <w:r>
        <w:t>Energex's</w:t>
      </w:r>
      <w:r w:rsidRPr="002B52F6">
        <w:t xml:space="preserve"> revenues for the 201</w:t>
      </w:r>
      <w:r>
        <w:t>5</w:t>
      </w:r>
      <w:r w:rsidRPr="002B52F6">
        <w:t>–</w:t>
      </w:r>
      <w:r>
        <w:t>20</w:t>
      </w:r>
      <w:r w:rsidRPr="002B52F6">
        <w:t xml:space="preserve"> </w:t>
      </w:r>
      <w:r>
        <w:t xml:space="preserve">regulatory control </w:t>
      </w:r>
      <w:r w:rsidRPr="002B52F6">
        <w:t>period ($million, nominal)</w:t>
      </w:r>
    </w:p>
    <w:p w:rsidR="004E5FB9" w:rsidRDefault="004A433F" w:rsidP="004E5FB9">
      <w:r w:rsidRPr="004A433F">
        <w:rPr>
          <w:noProof/>
          <w:lang w:eastAsia="en-AU"/>
        </w:rPr>
        <w:drawing>
          <wp:inline distT="0" distB="0" distL="0" distR="0" wp14:anchorId="2F84C2F2" wp14:editId="13379A87">
            <wp:extent cx="5386647" cy="318377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181556"/>
                    </a:xfrm>
                    <a:prstGeom prst="rect">
                      <a:avLst/>
                    </a:prstGeom>
                    <a:noFill/>
                    <a:ln>
                      <a:noFill/>
                    </a:ln>
                  </pic:spPr>
                </pic:pic>
              </a:graphicData>
            </a:graphic>
          </wp:inline>
        </w:drawing>
      </w:r>
    </w:p>
    <w:p w:rsidR="004E5FB9" w:rsidRPr="00E3306E" w:rsidRDefault="004E5FB9" w:rsidP="005F230F">
      <w:pPr>
        <w:pStyle w:val="AERtablesource"/>
        <w:spacing w:before="0" w:after="120"/>
      </w:pPr>
      <w:r>
        <w:t>Source:</w:t>
      </w:r>
      <w:r>
        <w:tab/>
        <w:t>AER analysis.</w:t>
      </w:r>
      <w:r w:rsidR="00186C55">
        <w:t xml:space="preserve"> Energex, </w:t>
      </w:r>
      <w:r w:rsidR="00186C55" w:rsidRPr="00186C55">
        <w:rPr>
          <w:rStyle w:val="AERtextitalic"/>
        </w:rPr>
        <w:t>Revised regulatory proposal</w:t>
      </w:r>
      <w:r w:rsidR="00186C55">
        <w:t>, July 2015, Attachment 2.</w:t>
      </w:r>
    </w:p>
    <w:p w:rsidR="004E5FB9" w:rsidRDefault="004E5FB9" w:rsidP="004E5FB9">
      <w:pPr>
        <w:pStyle w:val="Caption"/>
      </w:pPr>
      <w:bookmarkStart w:id="13" w:name="_Ref417546808"/>
      <w:r>
        <w:t xml:space="preserve">Table </w:t>
      </w:r>
      <w:fldSimple w:instr=" STYLEREF 1 \s ">
        <w:r w:rsidR="00C6336B">
          <w:rPr>
            <w:noProof/>
          </w:rPr>
          <w:t>1</w:t>
        </w:r>
      </w:fldSimple>
      <w:r w:rsidR="00C6336B">
        <w:t>.</w:t>
      </w:r>
      <w:fldSimple w:instr=" SEQ Table \* ARABIC \s 1 ">
        <w:r w:rsidR="00C6336B">
          <w:rPr>
            <w:noProof/>
          </w:rPr>
          <w:t>1</w:t>
        </w:r>
      </w:fldSimple>
      <w:bookmarkEnd w:id="13"/>
      <w:r>
        <w:tab/>
        <w:t>AER's final decision on Energex's revenues for the 2015–20 regulatory control period ($million, nominal)</w:t>
      </w:r>
    </w:p>
    <w:tbl>
      <w:tblPr>
        <w:tblStyle w:val="AERtable-numbers"/>
        <w:tblW w:w="8755" w:type="dxa"/>
        <w:tblLayout w:type="fixed"/>
        <w:tblLook w:val="04A0" w:firstRow="1" w:lastRow="0" w:firstColumn="1" w:lastColumn="0" w:noHBand="0" w:noVBand="1"/>
      </w:tblPr>
      <w:tblGrid>
        <w:gridCol w:w="3085"/>
        <w:gridCol w:w="945"/>
        <w:gridCol w:w="945"/>
        <w:gridCol w:w="945"/>
        <w:gridCol w:w="945"/>
        <w:gridCol w:w="945"/>
        <w:gridCol w:w="945"/>
      </w:tblGrid>
      <w:tr w:rsidR="004E5FB9" w:rsidRPr="00A75D48" w:rsidTr="00906406">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hideMark/>
          </w:tcPr>
          <w:p w:rsidR="004E5FB9" w:rsidRPr="004E5FB9" w:rsidRDefault="004E5FB9" w:rsidP="004E5FB9">
            <w:r w:rsidRPr="00A75D48">
              <w:t> </w:t>
            </w:r>
          </w:p>
        </w:tc>
        <w:tc>
          <w:tcPr>
            <w:tcW w:w="945" w:type="dxa"/>
            <w:noWrap/>
            <w:hideMark/>
          </w:tcPr>
          <w:p w:rsidR="004E5FB9" w:rsidRPr="004E5FB9" w:rsidRDefault="004E5FB9" w:rsidP="004E5FB9">
            <w:pPr>
              <w:cnfStyle w:val="100000000000" w:firstRow="1" w:lastRow="0" w:firstColumn="0" w:lastColumn="0" w:oddVBand="0" w:evenVBand="0" w:oddHBand="0" w:evenHBand="0" w:firstRowFirstColumn="0" w:firstRowLastColumn="0" w:lastRowFirstColumn="0" w:lastRowLastColumn="0"/>
            </w:pPr>
            <w:r w:rsidRPr="00A75D48">
              <w:t>201</w:t>
            </w:r>
            <w:r w:rsidRPr="004E5FB9">
              <w:t>5–16</w:t>
            </w:r>
          </w:p>
        </w:tc>
        <w:tc>
          <w:tcPr>
            <w:tcW w:w="945" w:type="dxa"/>
            <w:noWrap/>
            <w:hideMark/>
          </w:tcPr>
          <w:p w:rsidR="004E5FB9" w:rsidRPr="004E5FB9" w:rsidRDefault="004E5FB9" w:rsidP="004E5FB9">
            <w:pPr>
              <w:cnfStyle w:val="100000000000" w:firstRow="1" w:lastRow="0" w:firstColumn="0" w:lastColumn="0" w:oddVBand="0" w:evenVBand="0" w:oddHBand="0" w:evenHBand="0" w:firstRowFirstColumn="0" w:firstRowLastColumn="0" w:lastRowFirstColumn="0" w:lastRowLastColumn="0"/>
            </w:pPr>
            <w:r w:rsidRPr="00A75D48">
              <w:t>201</w:t>
            </w:r>
            <w:r w:rsidRPr="004E5FB9">
              <w:t>6–17</w:t>
            </w:r>
          </w:p>
        </w:tc>
        <w:tc>
          <w:tcPr>
            <w:tcW w:w="945" w:type="dxa"/>
          </w:tcPr>
          <w:p w:rsidR="004E5FB9" w:rsidRPr="004E5FB9" w:rsidRDefault="004E5FB9" w:rsidP="004E5FB9">
            <w:pPr>
              <w:cnfStyle w:val="100000000000" w:firstRow="1" w:lastRow="0" w:firstColumn="0" w:lastColumn="0" w:oddVBand="0" w:evenVBand="0" w:oddHBand="0" w:evenHBand="0" w:firstRowFirstColumn="0" w:firstRowLastColumn="0" w:lastRowFirstColumn="0" w:lastRowLastColumn="0"/>
            </w:pPr>
            <w:r w:rsidRPr="00A75D48">
              <w:t>201</w:t>
            </w:r>
            <w:r w:rsidRPr="004E5FB9">
              <w:t>7–18</w:t>
            </w:r>
          </w:p>
        </w:tc>
        <w:tc>
          <w:tcPr>
            <w:tcW w:w="945" w:type="dxa"/>
          </w:tcPr>
          <w:p w:rsidR="004E5FB9" w:rsidRPr="004E5FB9" w:rsidRDefault="004E5FB9" w:rsidP="004E5FB9">
            <w:pPr>
              <w:cnfStyle w:val="100000000000" w:firstRow="1" w:lastRow="0" w:firstColumn="0" w:lastColumn="0" w:oddVBand="0" w:evenVBand="0" w:oddHBand="0" w:evenHBand="0" w:firstRowFirstColumn="0" w:firstRowLastColumn="0" w:lastRowFirstColumn="0" w:lastRowLastColumn="0"/>
            </w:pPr>
            <w:r w:rsidRPr="00A75D48">
              <w:t>201</w:t>
            </w:r>
            <w:r w:rsidRPr="004E5FB9">
              <w:t>8–19</w:t>
            </w:r>
          </w:p>
        </w:tc>
        <w:tc>
          <w:tcPr>
            <w:tcW w:w="945" w:type="dxa"/>
          </w:tcPr>
          <w:p w:rsidR="004E5FB9" w:rsidRPr="004E5FB9" w:rsidRDefault="004E5FB9" w:rsidP="004E5FB9">
            <w:pPr>
              <w:cnfStyle w:val="100000000000" w:firstRow="1" w:lastRow="0" w:firstColumn="0" w:lastColumn="0" w:oddVBand="0" w:evenVBand="0" w:oddHBand="0" w:evenHBand="0" w:firstRowFirstColumn="0" w:firstRowLastColumn="0" w:lastRowFirstColumn="0" w:lastRowLastColumn="0"/>
            </w:pPr>
            <w:r w:rsidRPr="00A75D48">
              <w:t>201</w:t>
            </w:r>
            <w:r w:rsidRPr="004E5FB9">
              <w:t>9–20</w:t>
            </w:r>
          </w:p>
        </w:tc>
        <w:tc>
          <w:tcPr>
            <w:tcW w:w="945" w:type="dxa"/>
          </w:tcPr>
          <w:p w:rsidR="004E5FB9" w:rsidRPr="004E5FB9" w:rsidRDefault="004E5FB9" w:rsidP="004E5FB9">
            <w:pPr>
              <w:cnfStyle w:val="100000000000" w:firstRow="1" w:lastRow="0" w:firstColumn="0" w:lastColumn="0" w:oddVBand="0" w:evenVBand="0" w:oddHBand="0" w:evenHBand="0" w:firstRowFirstColumn="0" w:firstRowLastColumn="0" w:lastRowFirstColumn="0" w:lastRowLastColumn="0"/>
            </w:pPr>
            <w:r w:rsidRPr="00A75D48">
              <w:t>Total</w:t>
            </w:r>
          </w:p>
        </w:tc>
      </w:tr>
      <w:tr w:rsidR="00BB1D89" w:rsidRPr="00A75D48" w:rsidTr="00BB1D89">
        <w:trPr>
          <w:trHeight w:val="190"/>
        </w:trPr>
        <w:tc>
          <w:tcPr>
            <w:cnfStyle w:val="001000000000" w:firstRow="0" w:lastRow="0" w:firstColumn="1" w:lastColumn="0" w:oddVBand="0" w:evenVBand="0" w:oddHBand="0" w:evenHBand="0" w:firstRowFirstColumn="0" w:firstRowLastColumn="0" w:lastRowFirstColumn="0" w:lastRowLastColumn="0"/>
            <w:tcW w:w="3085" w:type="dxa"/>
            <w:noWrap/>
            <w:hideMark/>
          </w:tcPr>
          <w:p w:rsidR="00BB1D89" w:rsidRPr="00BB1D89" w:rsidRDefault="00BB1D89" w:rsidP="00BB1D89">
            <w:r w:rsidRPr="00BB1D89">
              <w:t>Return on capital</w:t>
            </w:r>
          </w:p>
        </w:tc>
        <w:tc>
          <w:tcPr>
            <w:tcW w:w="945" w:type="dxa"/>
            <w:noWrap/>
            <w:vAlign w:val="bottom"/>
          </w:tcPr>
          <w:p w:rsidR="00BB1D89" w:rsidRPr="00BB1D89" w:rsidRDefault="00BB1D89" w:rsidP="00BB1D89">
            <w:pPr>
              <w:cnfStyle w:val="000000000000" w:firstRow="0" w:lastRow="0" w:firstColumn="0" w:lastColumn="0" w:oddVBand="0" w:evenVBand="0" w:oddHBand="0" w:evenHBand="0" w:firstRowFirstColumn="0" w:firstRowLastColumn="0" w:lastRowFirstColumn="0" w:lastRowLastColumn="0"/>
            </w:pPr>
            <w:r w:rsidRPr="00BB1D89">
              <w:t>671.2</w:t>
            </w:r>
          </w:p>
        </w:tc>
        <w:tc>
          <w:tcPr>
            <w:tcW w:w="945" w:type="dxa"/>
            <w:noWrap/>
            <w:vAlign w:val="bottom"/>
          </w:tcPr>
          <w:p w:rsidR="00BB1D89" w:rsidRPr="00BB1D89" w:rsidRDefault="00BB1D89" w:rsidP="004A433F">
            <w:pPr>
              <w:cnfStyle w:val="000000000000" w:firstRow="0" w:lastRow="0" w:firstColumn="0" w:lastColumn="0" w:oddVBand="0" w:evenVBand="0" w:oddHBand="0" w:evenHBand="0" w:firstRowFirstColumn="0" w:firstRowLastColumn="0" w:lastRowFirstColumn="0" w:lastRowLastColumn="0"/>
            </w:pPr>
            <w:r w:rsidRPr="00BB1D89">
              <w:t>701.</w:t>
            </w:r>
            <w:r w:rsidR="004A433F">
              <w:t>6</w:t>
            </w:r>
          </w:p>
        </w:tc>
        <w:tc>
          <w:tcPr>
            <w:tcW w:w="945" w:type="dxa"/>
            <w:vAlign w:val="bottom"/>
          </w:tcPr>
          <w:p w:rsidR="00BB1D89" w:rsidRPr="00BB1D89" w:rsidRDefault="00BB1D89" w:rsidP="004A433F">
            <w:pPr>
              <w:cnfStyle w:val="000000000000" w:firstRow="0" w:lastRow="0" w:firstColumn="0" w:lastColumn="0" w:oddVBand="0" w:evenVBand="0" w:oddHBand="0" w:evenHBand="0" w:firstRowFirstColumn="0" w:firstRowLastColumn="0" w:lastRowFirstColumn="0" w:lastRowLastColumn="0"/>
            </w:pPr>
            <w:r w:rsidRPr="00BB1D89">
              <w:t>73</w:t>
            </w:r>
            <w:r w:rsidR="004A433F">
              <w:t>2</w:t>
            </w:r>
            <w:r w:rsidRPr="00BB1D89">
              <w:t>.3</w:t>
            </w:r>
          </w:p>
        </w:tc>
        <w:tc>
          <w:tcPr>
            <w:tcW w:w="945" w:type="dxa"/>
            <w:vAlign w:val="bottom"/>
          </w:tcPr>
          <w:p w:rsidR="00BB1D89" w:rsidRPr="00BB1D89" w:rsidRDefault="00BB1D89" w:rsidP="004A433F">
            <w:pPr>
              <w:cnfStyle w:val="000000000000" w:firstRow="0" w:lastRow="0" w:firstColumn="0" w:lastColumn="0" w:oddVBand="0" w:evenVBand="0" w:oddHBand="0" w:evenHBand="0" w:firstRowFirstColumn="0" w:firstRowLastColumn="0" w:lastRowFirstColumn="0" w:lastRowLastColumn="0"/>
            </w:pPr>
            <w:r w:rsidRPr="00BB1D89">
              <w:t>760.</w:t>
            </w:r>
            <w:r w:rsidR="004A433F">
              <w:t>0</w:t>
            </w:r>
          </w:p>
        </w:tc>
        <w:tc>
          <w:tcPr>
            <w:tcW w:w="945" w:type="dxa"/>
            <w:vAlign w:val="bottom"/>
          </w:tcPr>
          <w:p w:rsidR="00BB1D89" w:rsidRPr="00BB1D89" w:rsidRDefault="00BB1D89" w:rsidP="004A433F">
            <w:pPr>
              <w:cnfStyle w:val="000000000000" w:firstRow="0" w:lastRow="0" w:firstColumn="0" w:lastColumn="0" w:oddVBand="0" w:evenVBand="0" w:oddHBand="0" w:evenHBand="0" w:firstRowFirstColumn="0" w:firstRowLastColumn="0" w:lastRowFirstColumn="0" w:lastRowLastColumn="0"/>
            </w:pPr>
            <w:r w:rsidRPr="00BB1D89">
              <w:t>788.</w:t>
            </w:r>
            <w:r w:rsidR="004A433F">
              <w:t>2</w:t>
            </w:r>
          </w:p>
        </w:tc>
        <w:tc>
          <w:tcPr>
            <w:tcW w:w="945" w:type="dxa"/>
            <w:vAlign w:val="bottom"/>
          </w:tcPr>
          <w:p w:rsidR="00BB1D89" w:rsidRPr="00BB1D89" w:rsidRDefault="00BB1D89" w:rsidP="004A433F">
            <w:pPr>
              <w:cnfStyle w:val="000000000000" w:firstRow="0" w:lastRow="0" w:firstColumn="0" w:lastColumn="0" w:oddVBand="0" w:evenVBand="0" w:oddHBand="0" w:evenHBand="0" w:firstRowFirstColumn="0" w:firstRowLastColumn="0" w:lastRowFirstColumn="0" w:lastRowLastColumn="0"/>
            </w:pPr>
            <w:r w:rsidRPr="00BB1D89">
              <w:t>365</w:t>
            </w:r>
            <w:r w:rsidR="004A433F">
              <w:t>3</w:t>
            </w:r>
            <w:r w:rsidRPr="00BB1D89">
              <w:t>.</w:t>
            </w:r>
            <w:r w:rsidR="004A433F">
              <w:t>4</w:t>
            </w:r>
          </w:p>
        </w:tc>
      </w:tr>
      <w:tr w:rsidR="00BB1D89" w:rsidRPr="00A75D48" w:rsidTr="00BB1D89">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tcPr>
          <w:p w:rsidR="00BB1D89" w:rsidRPr="00BB1D89" w:rsidRDefault="00BB1D89" w:rsidP="00BB1D89">
            <w:r w:rsidRPr="00BB1D89">
              <w:t>Regulatory depreciation</w:t>
            </w:r>
          </w:p>
        </w:tc>
        <w:tc>
          <w:tcPr>
            <w:tcW w:w="945" w:type="dxa"/>
            <w:noWrap/>
            <w:vAlign w:val="bottom"/>
          </w:tcPr>
          <w:p w:rsidR="00BB1D89" w:rsidRPr="00BB1D89" w:rsidRDefault="00BB1D89" w:rsidP="00BB1D89">
            <w:pPr>
              <w:cnfStyle w:val="000000010000" w:firstRow="0" w:lastRow="0" w:firstColumn="0" w:lastColumn="0" w:oddVBand="0" w:evenVBand="0" w:oddHBand="0" w:evenHBand="1" w:firstRowFirstColumn="0" w:firstRowLastColumn="0" w:lastRowFirstColumn="0" w:lastRowLastColumn="0"/>
            </w:pPr>
            <w:r w:rsidRPr="00BB1D89">
              <w:t>71.9</w:t>
            </w:r>
          </w:p>
        </w:tc>
        <w:tc>
          <w:tcPr>
            <w:tcW w:w="945" w:type="dxa"/>
            <w:noWrap/>
            <w:vAlign w:val="bottom"/>
          </w:tcPr>
          <w:p w:rsidR="00BB1D89" w:rsidRPr="00BB1D89" w:rsidRDefault="00BB1D89" w:rsidP="00BB1D89">
            <w:pPr>
              <w:cnfStyle w:val="000000010000" w:firstRow="0" w:lastRow="0" w:firstColumn="0" w:lastColumn="0" w:oddVBand="0" w:evenVBand="0" w:oddHBand="0" w:evenHBand="1" w:firstRowFirstColumn="0" w:firstRowLastColumn="0" w:lastRowFirstColumn="0" w:lastRowLastColumn="0"/>
            </w:pPr>
            <w:r w:rsidRPr="00BB1D89">
              <w:t>84.6</w:t>
            </w:r>
          </w:p>
        </w:tc>
        <w:tc>
          <w:tcPr>
            <w:tcW w:w="945" w:type="dxa"/>
            <w:vAlign w:val="bottom"/>
          </w:tcPr>
          <w:p w:rsidR="00BB1D89" w:rsidRPr="00BB1D89" w:rsidRDefault="00BB1D89" w:rsidP="00BB1D89">
            <w:pPr>
              <w:cnfStyle w:val="000000010000" w:firstRow="0" w:lastRow="0" w:firstColumn="0" w:lastColumn="0" w:oddVBand="0" w:evenVBand="0" w:oddHBand="0" w:evenHBand="1" w:firstRowFirstColumn="0" w:firstRowLastColumn="0" w:lastRowFirstColumn="0" w:lastRowLastColumn="0"/>
            </w:pPr>
            <w:r w:rsidRPr="00BB1D89">
              <w:t>97.3</w:t>
            </w:r>
          </w:p>
        </w:tc>
        <w:tc>
          <w:tcPr>
            <w:tcW w:w="945" w:type="dxa"/>
            <w:vAlign w:val="bottom"/>
          </w:tcPr>
          <w:p w:rsidR="00BB1D89" w:rsidRPr="00BB1D89" w:rsidRDefault="00BB1D89" w:rsidP="00BB1D89">
            <w:pPr>
              <w:cnfStyle w:val="000000010000" w:firstRow="0" w:lastRow="0" w:firstColumn="0" w:lastColumn="0" w:oddVBand="0" w:evenVBand="0" w:oddHBand="0" w:evenHBand="1" w:firstRowFirstColumn="0" w:firstRowLastColumn="0" w:lastRowFirstColumn="0" w:lastRowLastColumn="0"/>
            </w:pPr>
            <w:r w:rsidRPr="00BB1D89">
              <w:t>104.1</w:t>
            </w:r>
          </w:p>
        </w:tc>
        <w:tc>
          <w:tcPr>
            <w:tcW w:w="945" w:type="dxa"/>
            <w:vAlign w:val="bottom"/>
          </w:tcPr>
          <w:p w:rsidR="00BB1D89" w:rsidRPr="00BB1D89" w:rsidRDefault="00BB1D89" w:rsidP="00BB1D89">
            <w:pPr>
              <w:cnfStyle w:val="000000010000" w:firstRow="0" w:lastRow="0" w:firstColumn="0" w:lastColumn="0" w:oddVBand="0" w:evenVBand="0" w:oddHBand="0" w:evenHBand="1" w:firstRowFirstColumn="0" w:firstRowLastColumn="0" w:lastRowFirstColumn="0" w:lastRowLastColumn="0"/>
            </w:pPr>
            <w:r w:rsidRPr="00BB1D89">
              <w:t>118.2</w:t>
            </w:r>
          </w:p>
        </w:tc>
        <w:tc>
          <w:tcPr>
            <w:tcW w:w="945" w:type="dxa"/>
            <w:vAlign w:val="bottom"/>
          </w:tcPr>
          <w:p w:rsidR="00BB1D89" w:rsidRPr="00BB1D89" w:rsidRDefault="00BB1D89" w:rsidP="00BB1D89">
            <w:pPr>
              <w:cnfStyle w:val="000000010000" w:firstRow="0" w:lastRow="0" w:firstColumn="0" w:lastColumn="0" w:oddVBand="0" w:evenVBand="0" w:oddHBand="0" w:evenHBand="1" w:firstRowFirstColumn="0" w:firstRowLastColumn="0" w:lastRowFirstColumn="0" w:lastRowLastColumn="0"/>
            </w:pPr>
            <w:r w:rsidRPr="00BB1D89">
              <w:t>476.1</w:t>
            </w:r>
          </w:p>
        </w:tc>
      </w:tr>
      <w:tr w:rsidR="00BB1D89" w:rsidRPr="00A75D48" w:rsidTr="00BB1D89">
        <w:trPr>
          <w:trHeight w:val="190"/>
        </w:trPr>
        <w:tc>
          <w:tcPr>
            <w:cnfStyle w:val="001000000000" w:firstRow="0" w:lastRow="0" w:firstColumn="1" w:lastColumn="0" w:oddVBand="0" w:evenVBand="0" w:oddHBand="0" w:evenHBand="0" w:firstRowFirstColumn="0" w:firstRowLastColumn="0" w:lastRowFirstColumn="0" w:lastRowLastColumn="0"/>
            <w:tcW w:w="3085" w:type="dxa"/>
            <w:noWrap/>
          </w:tcPr>
          <w:p w:rsidR="00BB1D89" w:rsidRPr="00BB1D89" w:rsidRDefault="00BB1D89" w:rsidP="00BB1D89">
            <w:r w:rsidRPr="00BB1D89">
              <w:t>Operating expenditure</w:t>
            </w:r>
          </w:p>
        </w:tc>
        <w:tc>
          <w:tcPr>
            <w:tcW w:w="945" w:type="dxa"/>
            <w:noWrap/>
            <w:vAlign w:val="bottom"/>
          </w:tcPr>
          <w:p w:rsidR="00BB1D89" w:rsidRPr="00BB1D89" w:rsidRDefault="00BB1D89" w:rsidP="00BB1D89">
            <w:pPr>
              <w:cnfStyle w:val="000000000000" w:firstRow="0" w:lastRow="0" w:firstColumn="0" w:lastColumn="0" w:oddVBand="0" w:evenVBand="0" w:oddHBand="0" w:evenHBand="0" w:firstRowFirstColumn="0" w:firstRowLastColumn="0" w:lastRowFirstColumn="0" w:lastRowLastColumn="0"/>
            </w:pPr>
            <w:r w:rsidRPr="00BB1D89">
              <w:t>351.1</w:t>
            </w:r>
          </w:p>
        </w:tc>
        <w:tc>
          <w:tcPr>
            <w:tcW w:w="945" w:type="dxa"/>
            <w:noWrap/>
            <w:vAlign w:val="bottom"/>
          </w:tcPr>
          <w:p w:rsidR="00BB1D89" w:rsidRPr="00BB1D89" w:rsidRDefault="00BB1D89" w:rsidP="00BB1D89">
            <w:pPr>
              <w:cnfStyle w:val="000000000000" w:firstRow="0" w:lastRow="0" w:firstColumn="0" w:lastColumn="0" w:oddVBand="0" w:evenVBand="0" w:oddHBand="0" w:evenHBand="0" w:firstRowFirstColumn="0" w:firstRowLastColumn="0" w:lastRowFirstColumn="0" w:lastRowLastColumn="0"/>
            </w:pPr>
            <w:r w:rsidRPr="00BB1D89">
              <w:t>356.5</w:t>
            </w:r>
          </w:p>
        </w:tc>
        <w:tc>
          <w:tcPr>
            <w:tcW w:w="945" w:type="dxa"/>
            <w:vAlign w:val="bottom"/>
          </w:tcPr>
          <w:p w:rsidR="00BB1D89" w:rsidRPr="00BB1D89" w:rsidRDefault="00BB1D89" w:rsidP="00BB1D89">
            <w:pPr>
              <w:cnfStyle w:val="000000000000" w:firstRow="0" w:lastRow="0" w:firstColumn="0" w:lastColumn="0" w:oddVBand="0" w:evenVBand="0" w:oddHBand="0" w:evenHBand="0" w:firstRowFirstColumn="0" w:firstRowLastColumn="0" w:lastRowFirstColumn="0" w:lastRowLastColumn="0"/>
            </w:pPr>
            <w:r w:rsidRPr="00BB1D89">
              <w:t>370.6</w:t>
            </w:r>
          </w:p>
        </w:tc>
        <w:tc>
          <w:tcPr>
            <w:tcW w:w="945" w:type="dxa"/>
            <w:vAlign w:val="bottom"/>
          </w:tcPr>
          <w:p w:rsidR="00BB1D89" w:rsidRPr="00BB1D89" w:rsidRDefault="00BB1D89" w:rsidP="00BB1D89">
            <w:pPr>
              <w:cnfStyle w:val="000000000000" w:firstRow="0" w:lastRow="0" w:firstColumn="0" w:lastColumn="0" w:oddVBand="0" w:evenVBand="0" w:oddHBand="0" w:evenHBand="0" w:firstRowFirstColumn="0" w:firstRowLastColumn="0" w:lastRowFirstColumn="0" w:lastRowLastColumn="0"/>
            </w:pPr>
            <w:r w:rsidRPr="00BB1D89">
              <w:t>391.9</w:t>
            </w:r>
          </w:p>
        </w:tc>
        <w:tc>
          <w:tcPr>
            <w:tcW w:w="945" w:type="dxa"/>
            <w:vAlign w:val="bottom"/>
          </w:tcPr>
          <w:p w:rsidR="00BB1D89" w:rsidRPr="00BB1D89" w:rsidRDefault="00BB1D89" w:rsidP="00BB1D89">
            <w:pPr>
              <w:cnfStyle w:val="000000000000" w:firstRow="0" w:lastRow="0" w:firstColumn="0" w:lastColumn="0" w:oddVBand="0" w:evenVBand="0" w:oddHBand="0" w:evenHBand="0" w:firstRowFirstColumn="0" w:firstRowLastColumn="0" w:lastRowFirstColumn="0" w:lastRowLastColumn="0"/>
            </w:pPr>
            <w:r w:rsidRPr="00BB1D89">
              <w:t>404.1</w:t>
            </w:r>
          </w:p>
        </w:tc>
        <w:tc>
          <w:tcPr>
            <w:tcW w:w="945" w:type="dxa"/>
            <w:vAlign w:val="bottom"/>
          </w:tcPr>
          <w:p w:rsidR="00BB1D89" w:rsidRPr="00BB1D89" w:rsidRDefault="00BB1D89" w:rsidP="00BB1D89">
            <w:pPr>
              <w:cnfStyle w:val="000000000000" w:firstRow="0" w:lastRow="0" w:firstColumn="0" w:lastColumn="0" w:oddVBand="0" w:evenVBand="0" w:oddHBand="0" w:evenHBand="0" w:firstRowFirstColumn="0" w:firstRowLastColumn="0" w:lastRowFirstColumn="0" w:lastRowLastColumn="0"/>
            </w:pPr>
            <w:r w:rsidRPr="00BB1D89">
              <w:t>1874.1</w:t>
            </w:r>
          </w:p>
        </w:tc>
      </w:tr>
      <w:tr w:rsidR="00BB1D89" w:rsidRPr="00A75D48" w:rsidTr="00BB1D89">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tcPr>
          <w:p w:rsidR="00BB1D89" w:rsidRPr="00BB1D89" w:rsidRDefault="00BB1D89" w:rsidP="00BB1D89">
            <w:r w:rsidRPr="00BB1D89">
              <w:t>Revenue adjustments</w:t>
            </w:r>
            <w:r w:rsidRPr="00BB1D89">
              <w:rPr>
                <w:rStyle w:val="AERsuperscript"/>
              </w:rPr>
              <w:t>a</w:t>
            </w:r>
          </w:p>
        </w:tc>
        <w:tc>
          <w:tcPr>
            <w:tcW w:w="945" w:type="dxa"/>
            <w:noWrap/>
            <w:vAlign w:val="bottom"/>
          </w:tcPr>
          <w:p w:rsidR="00BB1D89" w:rsidRPr="00BB1D89" w:rsidRDefault="00BB1D89" w:rsidP="00BB1D89">
            <w:pPr>
              <w:cnfStyle w:val="000000010000" w:firstRow="0" w:lastRow="0" w:firstColumn="0" w:lastColumn="0" w:oddVBand="0" w:evenVBand="0" w:oddHBand="0" w:evenHBand="1" w:firstRowFirstColumn="0" w:firstRowLastColumn="0" w:lastRowFirstColumn="0" w:lastRowLastColumn="0"/>
            </w:pPr>
            <w:r w:rsidRPr="00BB1D89">
              <w:t>273.6</w:t>
            </w:r>
          </w:p>
        </w:tc>
        <w:tc>
          <w:tcPr>
            <w:tcW w:w="945" w:type="dxa"/>
            <w:noWrap/>
            <w:vAlign w:val="bottom"/>
          </w:tcPr>
          <w:p w:rsidR="00BB1D89" w:rsidRPr="00BB1D89" w:rsidRDefault="00BB1D89" w:rsidP="00BB1D89">
            <w:pPr>
              <w:cnfStyle w:val="000000010000" w:firstRow="0" w:lastRow="0" w:firstColumn="0" w:lastColumn="0" w:oddVBand="0" w:evenVBand="0" w:oddHBand="0" w:evenHBand="1" w:firstRowFirstColumn="0" w:firstRowLastColumn="0" w:lastRowFirstColumn="0" w:lastRowLastColumn="0"/>
            </w:pPr>
            <w:r w:rsidRPr="00BB1D89">
              <w:t>1.1</w:t>
            </w:r>
          </w:p>
        </w:tc>
        <w:tc>
          <w:tcPr>
            <w:tcW w:w="945" w:type="dxa"/>
            <w:vAlign w:val="bottom"/>
          </w:tcPr>
          <w:p w:rsidR="00BB1D89" w:rsidRPr="00BB1D89" w:rsidRDefault="00BB1D89" w:rsidP="00BB1D89">
            <w:pPr>
              <w:cnfStyle w:val="000000010000" w:firstRow="0" w:lastRow="0" w:firstColumn="0" w:lastColumn="0" w:oddVBand="0" w:evenVBand="0" w:oddHBand="0" w:evenHBand="1" w:firstRowFirstColumn="0" w:firstRowLastColumn="0" w:lastRowFirstColumn="0" w:lastRowLastColumn="0"/>
            </w:pPr>
            <w:r w:rsidRPr="00BB1D89">
              <w:t>1.1</w:t>
            </w:r>
          </w:p>
        </w:tc>
        <w:tc>
          <w:tcPr>
            <w:tcW w:w="945" w:type="dxa"/>
            <w:vAlign w:val="bottom"/>
          </w:tcPr>
          <w:p w:rsidR="00BB1D89" w:rsidRPr="00BB1D89" w:rsidRDefault="00BB1D89" w:rsidP="00BB1D89">
            <w:pPr>
              <w:cnfStyle w:val="000000010000" w:firstRow="0" w:lastRow="0" w:firstColumn="0" w:lastColumn="0" w:oddVBand="0" w:evenVBand="0" w:oddHBand="0" w:evenHBand="1" w:firstRowFirstColumn="0" w:firstRowLastColumn="0" w:lastRowFirstColumn="0" w:lastRowLastColumn="0"/>
            </w:pPr>
            <w:r w:rsidRPr="00BB1D89">
              <w:t>1.1</w:t>
            </w:r>
          </w:p>
        </w:tc>
        <w:tc>
          <w:tcPr>
            <w:tcW w:w="945" w:type="dxa"/>
            <w:vAlign w:val="bottom"/>
          </w:tcPr>
          <w:p w:rsidR="00BB1D89" w:rsidRPr="00BB1D89" w:rsidRDefault="00BB1D89" w:rsidP="00BB1D89">
            <w:pPr>
              <w:cnfStyle w:val="000000010000" w:firstRow="0" w:lastRow="0" w:firstColumn="0" w:lastColumn="0" w:oddVBand="0" w:evenVBand="0" w:oddHBand="0" w:evenHBand="1" w:firstRowFirstColumn="0" w:firstRowLastColumn="0" w:lastRowFirstColumn="0" w:lastRowLastColumn="0"/>
            </w:pPr>
            <w:r w:rsidRPr="00BB1D89">
              <w:t>1.1</w:t>
            </w:r>
          </w:p>
        </w:tc>
        <w:tc>
          <w:tcPr>
            <w:tcW w:w="945" w:type="dxa"/>
            <w:vAlign w:val="bottom"/>
          </w:tcPr>
          <w:p w:rsidR="00BB1D89" w:rsidRPr="00BB1D89" w:rsidRDefault="00BB1D89" w:rsidP="00BB1D89">
            <w:pPr>
              <w:cnfStyle w:val="000000010000" w:firstRow="0" w:lastRow="0" w:firstColumn="0" w:lastColumn="0" w:oddVBand="0" w:evenVBand="0" w:oddHBand="0" w:evenHBand="1" w:firstRowFirstColumn="0" w:firstRowLastColumn="0" w:lastRowFirstColumn="0" w:lastRowLastColumn="0"/>
            </w:pPr>
            <w:r w:rsidRPr="00BB1D89">
              <w:t>278.0</w:t>
            </w:r>
          </w:p>
        </w:tc>
      </w:tr>
      <w:tr w:rsidR="00BB1D89" w:rsidRPr="00A75D48" w:rsidTr="00BB1D89">
        <w:trPr>
          <w:trHeight w:val="190"/>
        </w:trPr>
        <w:tc>
          <w:tcPr>
            <w:cnfStyle w:val="001000000000" w:firstRow="0" w:lastRow="0" w:firstColumn="1" w:lastColumn="0" w:oddVBand="0" w:evenVBand="0" w:oddHBand="0" w:evenHBand="0" w:firstRowFirstColumn="0" w:firstRowLastColumn="0" w:lastRowFirstColumn="0" w:lastRowLastColumn="0"/>
            <w:tcW w:w="3085" w:type="dxa"/>
            <w:noWrap/>
          </w:tcPr>
          <w:p w:rsidR="00BB1D89" w:rsidRPr="00BB1D89" w:rsidRDefault="00BB1D89" w:rsidP="00BB1D89">
            <w:r w:rsidRPr="00BB1D89">
              <w:t>Net tax allowance</w:t>
            </w:r>
          </w:p>
        </w:tc>
        <w:tc>
          <w:tcPr>
            <w:tcW w:w="945" w:type="dxa"/>
            <w:noWrap/>
            <w:vAlign w:val="bottom"/>
          </w:tcPr>
          <w:p w:rsidR="00BB1D89" w:rsidRPr="00BB1D89" w:rsidRDefault="00BB1D89" w:rsidP="00BB1D89">
            <w:pPr>
              <w:cnfStyle w:val="000000000000" w:firstRow="0" w:lastRow="0" w:firstColumn="0" w:lastColumn="0" w:oddVBand="0" w:evenVBand="0" w:oddHBand="0" w:evenHBand="0" w:firstRowFirstColumn="0" w:firstRowLastColumn="0" w:lastRowFirstColumn="0" w:lastRowLastColumn="0"/>
            </w:pPr>
            <w:r w:rsidRPr="00BB1D89">
              <w:t>48.0</w:t>
            </w:r>
          </w:p>
        </w:tc>
        <w:tc>
          <w:tcPr>
            <w:tcW w:w="945" w:type="dxa"/>
            <w:noWrap/>
            <w:vAlign w:val="bottom"/>
          </w:tcPr>
          <w:p w:rsidR="00BB1D89" w:rsidRPr="00BB1D89" w:rsidRDefault="00BB1D89" w:rsidP="00BB1D89">
            <w:pPr>
              <w:cnfStyle w:val="000000000000" w:firstRow="0" w:lastRow="0" w:firstColumn="0" w:lastColumn="0" w:oddVBand="0" w:evenVBand="0" w:oddHBand="0" w:evenHBand="0" w:firstRowFirstColumn="0" w:firstRowLastColumn="0" w:lastRowFirstColumn="0" w:lastRowLastColumn="0"/>
            </w:pPr>
            <w:r w:rsidRPr="00BB1D89">
              <w:t>52.2</w:t>
            </w:r>
          </w:p>
        </w:tc>
        <w:tc>
          <w:tcPr>
            <w:tcW w:w="945" w:type="dxa"/>
            <w:vAlign w:val="bottom"/>
          </w:tcPr>
          <w:p w:rsidR="00BB1D89" w:rsidRPr="00BB1D89" w:rsidRDefault="00BB1D89" w:rsidP="00BB1D89">
            <w:pPr>
              <w:cnfStyle w:val="000000000000" w:firstRow="0" w:lastRow="0" w:firstColumn="0" w:lastColumn="0" w:oddVBand="0" w:evenVBand="0" w:oddHBand="0" w:evenHBand="0" w:firstRowFirstColumn="0" w:firstRowLastColumn="0" w:lastRowFirstColumn="0" w:lastRowLastColumn="0"/>
            </w:pPr>
            <w:r w:rsidRPr="00BB1D89">
              <w:t>55.5</w:t>
            </w:r>
          </w:p>
        </w:tc>
        <w:tc>
          <w:tcPr>
            <w:tcW w:w="945" w:type="dxa"/>
            <w:vAlign w:val="bottom"/>
          </w:tcPr>
          <w:p w:rsidR="00BB1D89" w:rsidRPr="00BB1D89" w:rsidRDefault="00BB1D89" w:rsidP="004A433F">
            <w:pPr>
              <w:cnfStyle w:val="000000000000" w:firstRow="0" w:lastRow="0" w:firstColumn="0" w:lastColumn="0" w:oddVBand="0" w:evenVBand="0" w:oddHBand="0" w:evenHBand="0" w:firstRowFirstColumn="0" w:firstRowLastColumn="0" w:lastRowFirstColumn="0" w:lastRowLastColumn="0"/>
            </w:pPr>
            <w:r w:rsidRPr="00BB1D89">
              <w:t>57.</w:t>
            </w:r>
            <w:r w:rsidR="004A433F">
              <w:t>8</w:t>
            </w:r>
          </w:p>
        </w:tc>
        <w:tc>
          <w:tcPr>
            <w:tcW w:w="945" w:type="dxa"/>
            <w:vAlign w:val="bottom"/>
          </w:tcPr>
          <w:p w:rsidR="00BB1D89" w:rsidRPr="00BB1D89" w:rsidRDefault="00BB1D89" w:rsidP="00BB1D89">
            <w:pPr>
              <w:cnfStyle w:val="000000000000" w:firstRow="0" w:lastRow="0" w:firstColumn="0" w:lastColumn="0" w:oddVBand="0" w:evenVBand="0" w:oddHBand="0" w:evenHBand="0" w:firstRowFirstColumn="0" w:firstRowLastColumn="0" w:lastRowFirstColumn="0" w:lastRowLastColumn="0"/>
            </w:pPr>
            <w:r w:rsidRPr="00BB1D89">
              <w:t>61.8</w:t>
            </w:r>
          </w:p>
        </w:tc>
        <w:tc>
          <w:tcPr>
            <w:tcW w:w="945" w:type="dxa"/>
            <w:vAlign w:val="bottom"/>
          </w:tcPr>
          <w:p w:rsidR="00BB1D89" w:rsidRPr="00BB1D89" w:rsidRDefault="004A433F" w:rsidP="00BB1D89">
            <w:pPr>
              <w:cnfStyle w:val="000000000000" w:firstRow="0" w:lastRow="0" w:firstColumn="0" w:lastColumn="0" w:oddVBand="0" w:evenVBand="0" w:oddHBand="0" w:evenHBand="0" w:firstRowFirstColumn="0" w:firstRowLastColumn="0" w:lastRowFirstColumn="0" w:lastRowLastColumn="0"/>
            </w:pPr>
            <w:r>
              <w:t>275.3</w:t>
            </w:r>
          </w:p>
        </w:tc>
      </w:tr>
      <w:tr w:rsidR="00BB1D89" w:rsidRPr="00A75D48" w:rsidTr="00BB1D89">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hideMark/>
          </w:tcPr>
          <w:p w:rsidR="00BB1D89" w:rsidRPr="00BB1D89" w:rsidRDefault="00BB1D89" w:rsidP="00BB1D89">
            <w:r w:rsidRPr="00BB1D89">
              <w:t>Annual revenue requirement (unsmoothed)</w:t>
            </w:r>
          </w:p>
        </w:tc>
        <w:tc>
          <w:tcPr>
            <w:tcW w:w="945" w:type="dxa"/>
            <w:noWrap/>
            <w:vAlign w:val="bottom"/>
          </w:tcPr>
          <w:p w:rsidR="00BB1D89" w:rsidRPr="00BB1D89" w:rsidRDefault="00BB1D89" w:rsidP="00BB1D89">
            <w:pPr>
              <w:cnfStyle w:val="000000010000" w:firstRow="0" w:lastRow="0" w:firstColumn="0" w:lastColumn="0" w:oddVBand="0" w:evenVBand="0" w:oddHBand="0" w:evenHBand="1" w:firstRowFirstColumn="0" w:firstRowLastColumn="0" w:lastRowFirstColumn="0" w:lastRowLastColumn="0"/>
            </w:pPr>
            <w:r w:rsidRPr="00BB1D89">
              <w:t>1415.8</w:t>
            </w:r>
          </w:p>
        </w:tc>
        <w:tc>
          <w:tcPr>
            <w:tcW w:w="945" w:type="dxa"/>
            <w:noWrap/>
            <w:vAlign w:val="bottom"/>
          </w:tcPr>
          <w:p w:rsidR="00BB1D89" w:rsidRPr="00BB1D89" w:rsidRDefault="00BB1D89" w:rsidP="002C535B">
            <w:pPr>
              <w:cnfStyle w:val="000000010000" w:firstRow="0" w:lastRow="0" w:firstColumn="0" w:lastColumn="0" w:oddVBand="0" w:evenVBand="0" w:oddHBand="0" w:evenHBand="1" w:firstRowFirstColumn="0" w:firstRowLastColumn="0" w:lastRowFirstColumn="0" w:lastRowLastColumn="0"/>
            </w:pPr>
            <w:r w:rsidRPr="00BB1D89">
              <w:t>119</w:t>
            </w:r>
            <w:r w:rsidR="002C535B">
              <w:t>6</w:t>
            </w:r>
            <w:r w:rsidRPr="00BB1D89">
              <w:t>.</w:t>
            </w:r>
            <w:r w:rsidR="002C535B">
              <w:t>1</w:t>
            </w:r>
          </w:p>
        </w:tc>
        <w:tc>
          <w:tcPr>
            <w:tcW w:w="945" w:type="dxa"/>
            <w:vAlign w:val="bottom"/>
          </w:tcPr>
          <w:p w:rsidR="00BB1D89" w:rsidRPr="00BB1D89" w:rsidRDefault="00BB1D89" w:rsidP="002C535B">
            <w:pPr>
              <w:cnfStyle w:val="000000010000" w:firstRow="0" w:lastRow="0" w:firstColumn="0" w:lastColumn="0" w:oddVBand="0" w:evenVBand="0" w:oddHBand="0" w:evenHBand="1" w:firstRowFirstColumn="0" w:firstRowLastColumn="0" w:lastRowFirstColumn="0" w:lastRowLastColumn="0"/>
            </w:pPr>
            <w:r w:rsidRPr="00BB1D89">
              <w:t>125</w:t>
            </w:r>
            <w:r w:rsidR="002C535B">
              <w:t>6</w:t>
            </w:r>
            <w:r w:rsidRPr="00BB1D89">
              <w:t>.7</w:t>
            </w:r>
          </w:p>
        </w:tc>
        <w:tc>
          <w:tcPr>
            <w:tcW w:w="945" w:type="dxa"/>
            <w:vAlign w:val="bottom"/>
          </w:tcPr>
          <w:p w:rsidR="00BB1D89" w:rsidRPr="00BB1D89" w:rsidRDefault="00BB1D89" w:rsidP="002C535B">
            <w:pPr>
              <w:cnfStyle w:val="000000010000" w:firstRow="0" w:lastRow="0" w:firstColumn="0" w:lastColumn="0" w:oddVBand="0" w:evenVBand="0" w:oddHBand="0" w:evenHBand="1" w:firstRowFirstColumn="0" w:firstRowLastColumn="0" w:lastRowFirstColumn="0" w:lastRowLastColumn="0"/>
            </w:pPr>
            <w:r w:rsidRPr="00BB1D89">
              <w:t>1315.</w:t>
            </w:r>
            <w:r w:rsidR="002C535B">
              <w:t>0</w:t>
            </w:r>
          </w:p>
        </w:tc>
        <w:tc>
          <w:tcPr>
            <w:tcW w:w="945" w:type="dxa"/>
            <w:vAlign w:val="bottom"/>
          </w:tcPr>
          <w:p w:rsidR="00BB1D89" w:rsidRPr="00BB1D89" w:rsidRDefault="00BB1D89" w:rsidP="002C535B">
            <w:pPr>
              <w:cnfStyle w:val="000000010000" w:firstRow="0" w:lastRow="0" w:firstColumn="0" w:lastColumn="0" w:oddVBand="0" w:evenVBand="0" w:oddHBand="0" w:evenHBand="1" w:firstRowFirstColumn="0" w:firstRowLastColumn="0" w:lastRowFirstColumn="0" w:lastRowLastColumn="0"/>
            </w:pPr>
            <w:r w:rsidRPr="00BB1D89">
              <w:t>1373.</w:t>
            </w:r>
            <w:r w:rsidR="002C535B">
              <w:t>4</w:t>
            </w:r>
          </w:p>
        </w:tc>
        <w:tc>
          <w:tcPr>
            <w:tcW w:w="945" w:type="dxa"/>
            <w:vAlign w:val="bottom"/>
          </w:tcPr>
          <w:p w:rsidR="00BB1D89" w:rsidRPr="00BB1D89" w:rsidRDefault="00BB1D89" w:rsidP="002C535B">
            <w:pPr>
              <w:cnfStyle w:val="000000010000" w:firstRow="0" w:lastRow="0" w:firstColumn="0" w:lastColumn="0" w:oddVBand="0" w:evenVBand="0" w:oddHBand="0" w:evenHBand="1" w:firstRowFirstColumn="0" w:firstRowLastColumn="0" w:lastRowFirstColumn="0" w:lastRowLastColumn="0"/>
            </w:pPr>
            <w:r w:rsidRPr="00BB1D89">
              <w:t>655</w:t>
            </w:r>
            <w:r w:rsidR="002C535B">
              <w:t>7</w:t>
            </w:r>
            <w:r w:rsidRPr="00BB1D89">
              <w:t>.</w:t>
            </w:r>
            <w:r w:rsidR="002C535B">
              <w:t>0</w:t>
            </w:r>
          </w:p>
        </w:tc>
      </w:tr>
      <w:tr w:rsidR="00BB1D89" w:rsidRPr="000A53DB" w:rsidTr="00BB1D89">
        <w:trPr>
          <w:trHeight w:val="190"/>
        </w:trPr>
        <w:tc>
          <w:tcPr>
            <w:cnfStyle w:val="001000000000" w:firstRow="0" w:lastRow="0" w:firstColumn="1" w:lastColumn="0" w:oddVBand="0" w:evenVBand="0" w:oddHBand="0" w:evenHBand="0" w:firstRowFirstColumn="0" w:firstRowLastColumn="0" w:lastRowFirstColumn="0" w:lastRowLastColumn="0"/>
            <w:tcW w:w="3085" w:type="dxa"/>
            <w:noWrap/>
            <w:hideMark/>
          </w:tcPr>
          <w:p w:rsidR="00BB1D89" w:rsidRPr="00BB1D89" w:rsidRDefault="00BB1D89" w:rsidP="00BB1D89">
            <w:pPr>
              <w:rPr>
                <w:rStyle w:val="Strong"/>
              </w:rPr>
            </w:pPr>
            <w:r w:rsidRPr="00BB1D89">
              <w:rPr>
                <w:rStyle w:val="Strong"/>
              </w:rPr>
              <w:t xml:space="preserve">Annual expected revenue </w:t>
            </w:r>
            <w:r w:rsidRPr="00BB1D89">
              <w:rPr>
                <w:rStyle w:val="Strong"/>
              </w:rPr>
              <w:br/>
              <w:t>(exc. additionals)</w:t>
            </w:r>
          </w:p>
        </w:tc>
        <w:tc>
          <w:tcPr>
            <w:tcW w:w="945" w:type="dxa"/>
            <w:noWrap/>
            <w:vAlign w:val="bottom"/>
          </w:tcPr>
          <w:p w:rsidR="00BB1D89" w:rsidRPr="00D27AC2" w:rsidRDefault="00BB1D89" w:rsidP="00BB1D89">
            <w:pPr>
              <w:cnfStyle w:val="000000000000" w:firstRow="0" w:lastRow="0" w:firstColumn="0" w:lastColumn="0" w:oddVBand="0" w:evenVBand="0" w:oddHBand="0" w:evenHBand="0" w:firstRowFirstColumn="0" w:firstRowLastColumn="0" w:lastRowFirstColumn="0" w:lastRowLastColumn="0"/>
              <w:rPr>
                <w:rStyle w:val="Strong"/>
              </w:rPr>
            </w:pPr>
            <w:r w:rsidRPr="00D27AC2">
              <w:rPr>
                <w:rStyle w:val="Strong"/>
              </w:rPr>
              <w:t>1139.8</w:t>
            </w:r>
          </w:p>
        </w:tc>
        <w:tc>
          <w:tcPr>
            <w:tcW w:w="945" w:type="dxa"/>
            <w:noWrap/>
            <w:vAlign w:val="bottom"/>
          </w:tcPr>
          <w:p w:rsidR="00BB1D89" w:rsidRPr="00D27AC2" w:rsidRDefault="00BB1D89" w:rsidP="002C535B">
            <w:pPr>
              <w:cnfStyle w:val="000000000000" w:firstRow="0" w:lastRow="0" w:firstColumn="0" w:lastColumn="0" w:oddVBand="0" w:evenVBand="0" w:oddHBand="0" w:evenHBand="0" w:firstRowFirstColumn="0" w:firstRowLastColumn="0" w:lastRowFirstColumn="0" w:lastRowLastColumn="0"/>
              <w:rPr>
                <w:rStyle w:val="Strong"/>
              </w:rPr>
            </w:pPr>
            <w:r w:rsidRPr="00D27AC2">
              <w:rPr>
                <w:rStyle w:val="Strong"/>
              </w:rPr>
              <w:t>1189.</w:t>
            </w:r>
            <w:r w:rsidR="002C535B">
              <w:rPr>
                <w:rStyle w:val="Strong"/>
              </w:rPr>
              <w:t>2</w:t>
            </w:r>
          </w:p>
        </w:tc>
        <w:tc>
          <w:tcPr>
            <w:tcW w:w="945" w:type="dxa"/>
            <w:vAlign w:val="bottom"/>
          </w:tcPr>
          <w:p w:rsidR="00BB1D89" w:rsidRPr="00D27AC2" w:rsidRDefault="00BB1D89" w:rsidP="002C535B">
            <w:pPr>
              <w:cnfStyle w:val="000000000000" w:firstRow="0" w:lastRow="0" w:firstColumn="0" w:lastColumn="0" w:oddVBand="0" w:evenVBand="0" w:oddHBand="0" w:evenHBand="0" w:firstRowFirstColumn="0" w:firstRowLastColumn="0" w:lastRowFirstColumn="0" w:lastRowLastColumn="0"/>
              <w:rPr>
                <w:rStyle w:val="Strong"/>
              </w:rPr>
            </w:pPr>
            <w:r w:rsidRPr="00D27AC2">
              <w:rPr>
                <w:rStyle w:val="Strong"/>
              </w:rPr>
              <w:t>145</w:t>
            </w:r>
            <w:r w:rsidR="002C535B">
              <w:rPr>
                <w:rStyle w:val="Strong"/>
              </w:rPr>
              <w:t>6</w:t>
            </w:r>
            <w:r w:rsidRPr="00D27AC2">
              <w:rPr>
                <w:rStyle w:val="Strong"/>
              </w:rPr>
              <w:t>.</w:t>
            </w:r>
            <w:r w:rsidR="002C535B">
              <w:rPr>
                <w:rStyle w:val="Strong"/>
              </w:rPr>
              <w:t>7</w:t>
            </w:r>
          </w:p>
        </w:tc>
        <w:tc>
          <w:tcPr>
            <w:tcW w:w="945" w:type="dxa"/>
            <w:vAlign w:val="bottom"/>
          </w:tcPr>
          <w:p w:rsidR="00BB1D89" w:rsidRPr="00D27AC2" w:rsidRDefault="00BB1D89" w:rsidP="002C535B">
            <w:pPr>
              <w:cnfStyle w:val="000000000000" w:firstRow="0" w:lastRow="0" w:firstColumn="0" w:lastColumn="0" w:oddVBand="0" w:evenVBand="0" w:oddHBand="0" w:evenHBand="0" w:firstRowFirstColumn="0" w:firstRowLastColumn="0" w:lastRowFirstColumn="0" w:lastRowLastColumn="0"/>
              <w:rPr>
                <w:rStyle w:val="Strong"/>
              </w:rPr>
            </w:pPr>
            <w:r w:rsidRPr="00D27AC2">
              <w:rPr>
                <w:rStyle w:val="Strong"/>
              </w:rPr>
              <w:t>1418.</w:t>
            </w:r>
            <w:r w:rsidR="002C535B">
              <w:rPr>
                <w:rStyle w:val="Strong"/>
              </w:rPr>
              <w:t>4</w:t>
            </w:r>
          </w:p>
        </w:tc>
        <w:tc>
          <w:tcPr>
            <w:tcW w:w="945" w:type="dxa"/>
            <w:vAlign w:val="bottom"/>
          </w:tcPr>
          <w:p w:rsidR="00BB1D89" w:rsidRPr="00D27AC2" w:rsidRDefault="00BB1D89" w:rsidP="002C535B">
            <w:pPr>
              <w:cnfStyle w:val="000000000000" w:firstRow="0" w:lastRow="0" w:firstColumn="0" w:lastColumn="0" w:oddVBand="0" w:evenVBand="0" w:oddHBand="0" w:evenHBand="0" w:firstRowFirstColumn="0" w:firstRowLastColumn="0" w:lastRowFirstColumn="0" w:lastRowLastColumn="0"/>
              <w:rPr>
                <w:rStyle w:val="Strong"/>
              </w:rPr>
            </w:pPr>
            <w:r w:rsidRPr="00D27AC2">
              <w:rPr>
                <w:rStyle w:val="Strong"/>
              </w:rPr>
              <w:t>139</w:t>
            </w:r>
            <w:r w:rsidR="002C535B">
              <w:rPr>
                <w:rStyle w:val="Strong"/>
              </w:rPr>
              <w:t>5</w:t>
            </w:r>
            <w:r w:rsidRPr="00D27AC2">
              <w:rPr>
                <w:rStyle w:val="Strong"/>
              </w:rPr>
              <w:t>.</w:t>
            </w:r>
            <w:r w:rsidR="002C535B">
              <w:rPr>
                <w:rStyle w:val="Strong"/>
              </w:rPr>
              <w:t>7</w:t>
            </w:r>
          </w:p>
        </w:tc>
        <w:tc>
          <w:tcPr>
            <w:tcW w:w="945" w:type="dxa"/>
            <w:vAlign w:val="bottom"/>
          </w:tcPr>
          <w:p w:rsidR="00BB1D89" w:rsidRPr="00D27AC2" w:rsidRDefault="00BB1D89" w:rsidP="002C535B">
            <w:pPr>
              <w:cnfStyle w:val="000000000000" w:firstRow="0" w:lastRow="0" w:firstColumn="0" w:lastColumn="0" w:oddVBand="0" w:evenVBand="0" w:oddHBand="0" w:evenHBand="0" w:firstRowFirstColumn="0" w:firstRowLastColumn="0" w:lastRowFirstColumn="0" w:lastRowLastColumn="0"/>
              <w:rPr>
                <w:rStyle w:val="Strong"/>
              </w:rPr>
            </w:pPr>
            <w:r w:rsidRPr="00D27AC2">
              <w:rPr>
                <w:rStyle w:val="Strong"/>
              </w:rPr>
              <w:t>6</w:t>
            </w:r>
            <w:r w:rsidR="002C535B">
              <w:rPr>
                <w:rStyle w:val="Strong"/>
              </w:rPr>
              <w:t>559.9</w:t>
            </w:r>
          </w:p>
        </w:tc>
      </w:tr>
      <w:tr w:rsidR="00BB1D89" w:rsidRPr="00A75D48" w:rsidTr="00906406">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hideMark/>
          </w:tcPr>
          <w:p w:rsidR="00BB1D89" w:rsidRPr="00BB1D89" w:rsidRDefault="00BB1D89" w:rsidP="00BB1D89">
            <w:r w:rsidRPr="00BB1D89">
              <w:t>X factor</w:t>
            </w:r>
            <w:r w:rsidRPr="00BB1D89">
              <w:rPr>
                <w:rStyle w:val="AERsuperscript"/>
              </w:rPr>
              <w:t>b</w:t>
            </w:r>
          </w:p>
        </w:tc>
        <w:tc>
          <w:tcPr>
            <w:tcW w:w="945" w:type="dxa"/>
            <w:noWrap/>
          </w:tcPr>
          <w:p w:rsidR="00BB1D89" w:rsidRPr="00BB1D89" w:rsidRDefault="00BB1D89" w:rsidP="00BB1D89">
            <w:pPr>
              <w:cnfStyle w:val="000000010000" w:firstRow="0" w:lastRow="0" w:firstColumn="0" w:lastColumn="0" w:oddVBand="0" w:evenVBand="0" w:oddHBand="0" w:evenHBand="1" w:firstRowFirstColumn="0" w:firstRowLastColumn="0" w:lastRowFirstColumn="0" w:lastRowLastColumn="0"/>
              <w:rPr>
                <w:rStyle w:val="AERsuperscript"/>
              </w:rPr>
            </w:pPr>
            <w:r w:rsidRPr="00BB1D89">
              <w:t>n/a</w:t>
            </w:r>
            <w:r w:rsidRPr="00BB1D89">
              <w:rPr>
                <w:rStyle w:val="AERsuperscript"/>
              </w:rPr>
              <w:t>d</w:t>
            </w:r>
          </w:p>
        </w:tc>
        <w:tc>
          <w:tcPr>
            <w:tcW w:w="945" w:type="dxa"/>
            <w:noWrap/>
          </w:tcPr>
          <w:p w:rsidR="00BB1D89" w:rsidRPr="00BB1D89" w:rsidRDefault="00BB1D89" w:rsidP="002C535B">
            <w:pPr>
              <w:cnfStyle w:val="000000010000" w:firstRow="0" w:lastRow="0" w:firstColumn="0" w:lastColumn="0" w:oddVBand="0" w:evenVBand="0" w:oddHBand="0" w:evenHBand="1" w:firstRowFirstColumn="0" w:firstRowLastColumn="0" w:lastRowFirstColumn="0" w:lastRowLastColumn="0"/>
            </w:pPr>
            <w:r w:rsidRPr="00BB1D89">
              <w:t>–</w:t>
            </w:r>
            <w:r>
              <w:t>1</w:t>
            </w:r>
            <w:r w:rsidRPr="00BB1D89">
              <w:t>.</w:t>
            </w:r>
            <w:r w:rsidR="002C535B">
              <w:t>79</w:t>
            </w:r>
            <w:r w:rsidRPr="00BB1D89">
              <w:t>%</w:t>
            </w:r>
          </w:p>
        </w:tc>
        <w:tc>
          <w:tcPr>
            <w:tcW w:w="945" w:type="dxa"/>
          </w:tcPr>
          <w:p w:rsidR="00BB1D89" w:rsidRPr="00BB1D89" w:rsidRDefault="00BB1D89" w:rsidP="00BB1D89">
            <w:pPr>
              <w:cnfStyle w:val="000000010000" w:firstRow="0" w:lastRow="0" w:firstColumn="0" w:lastColumn="0" w:oddVBand="0" w:evenVBand="0" w:oddHBand="0" w:evenHBand="1" w:firstRowFirstColumn="0" w:firstRowLastColumn="0" w:lastRowFirstColumn="0" w:lastRowLastColumn="0"/>
            </w:pPr>
            <w:r w:rsidRPr="00BB1D89">
              <w:t>–1</w:t>
            </w:r>
            <w:r>
              <w:t>9</w:t>
            </w:r>
            <w:r w:rsidRPr="00BB1D89">
              <w:t>.</w:t>
            </w:r>
            <w:r>
              <w:t>5</w:t>
            </w:r>
            <w:r w:rsidRPr="00BB1D89">
              <w:t>0%</w:t>
            </w:r>
          </w:p>
        </w:tc>
        <w:tc>
          <w:tcPr>
            <w:tcW w:w="945" w:type="dxa"/>
          </w:tcPr>
          <w:p w:rsidR="00BB1D89" w:rsidRPr="00BB1D89" w:rsidRDefault="00BB1D89" w:rsidP="00BB1D89">
            <w:pPr>
              <w:cnfStyle w:val="000000010000" w:firstRow="0" w:lastRow="0" w:firstColumn="0" w:lastColumn="0" w:oddVBand="0" w:evenVBand="0" w:oddHBand="0" w:evenHBand="1" w:firstRowFirstColumn="0" w:firstRowLastColumn="0" w:lastRowFirstColumn="0" w:lastRowLastColumn="0"/>
            </w:pPr>
            <w:r w:rsidRPr="00BB1D89">
              <w:t>5.00%</w:t>
            </w:r>
          </w:p>
        </w:tc>
        <w:tc>
          <w:tcPr>
            <w:tcW w:w="945" w:type="dxa"/>
          </w:tcPr>
          <w:p w:rsidR="00BB1D89" w:rsidRPr="00BB1D89" w:rsidRDefault="00BB1D89" w:rsidP="00BB1D89">
            <w:pPr>
              <w:cnfStyle w:val="000000010000" w:firstRow="0" w:lastRow="0" w:firstColumn="0" w:lastColumn="0" w:oddVBand="0" w:evenVBand="0" w:oddHBand="0" w:evenHBand="1" w:firstRowFirstColumn="0" w:firstRowLastColumn="0" w:lastRowFirstColumn="0" w:lastRowLastColumn="0"/>
            </w:pPr>
            <w:r w:rsidRPr="00BB1D89">
              <w:t>4.00%</w:t>
            </w:r>
          </w:p>
        </w:tc>
        <w:tc>
          <w:tcPr>
            <w:tcW w:w="945" w:type="dxa"/>
          </w:tcPr>
          <w:p w:rsidR="00BB1D89" w:rsidRPr="00BB1D89" w:rsidRDefault="00BB1D89" w:rsidP="00BB1D89">
            <w:pPr>
              <w:cnfStyle w:val="000000010000" w:firstRow="0" w:lastRow="0" w:firstColumn="0" w:lastColumn="0" w:oddVBand="0" w:evenVBand="0" w:oddHBand="0" w:evenHBand="1" w:firstRowFirstColumn="0" w:firstRowLastColumn="0" w:lastRowFirstColumn="0" w:lastRowLastColumn="0"/>
            </w:pPr>
            <w:r w:rsidRPr="00BB1D89">
              <w:t>n/a</w:t>
            </w:r>
          </w:p>
        </w:tc>
      </w:tr>
      <w:tr w:rsidR="00BB1D89" w:rsidRPr="00E3306E" w:rsidTr="00BB1D89">
        <w:trPr>
          <w:trHeight w:val="190"/>
        </w:trPr>
        <w:tc>
          <w:tcPr>
            <w:cnfStyle w:val="001000000000" w:firstRow="0" w:lastRow="0" w:firstColumn="1" w:lastColumn="0" w:oddVBand="0" w:evenVBand="0" w:oddHBand="0" w:evenHBand="0" w:firstRowFirstColumn="0" w:firstRowLastColumn="0" w:lastRowFirstColumn="0" w:lastRowLastColumn="0"/>
            <w:tcW w:w="3085" w:type="dxa"/>
            <w:noWrap/>
          </w:tcPr>
          <w:p w:rsidR="00BB1D89" w:rsidRPr="00BB1D89" w:rsidRDefault="00BB1D89" w:rsidP="00BB1D89">
            <w:r w:rsidRPr="00BB1D89">
              <w:t>Additional amounts in DUoS</w:t>
            </w:r>
            <w:r w:rsidRPr="00BB1D89">
              <w:rPr>
                <w:rStyle w:val="AERsuperscript"/>
              </w:rPr>
              <w:t>c</w:t>
            </w:r>
          </w:p>
        </w:tc>
        <w:tc>
          <w:tcPr>
            <w:tcW w:w="945" w:type="dxa"/>
            <w:noWrap/>
            <w:vAlign w:val="bottom"/>
          </w:tcPr>
          <w:p w:rsidR="00BB1D89" w:rsidRPr="00BB1D89" w:rsidRDefault="00BB1D89" w:rsidP="00BB1D89">
            <w:pPr>
              <w:cnfStyle w:val="000000000000" w:firstRow="0" w:lastRow="0" w:firstColumn="0" w:lastColumn="0" w:oddVBand="0" w:evenVBand="0" w:oddHBand="0" w:evenHBand="0" w:firstRowFirstColumn="0" w:firstRowLastColumn="0" w:lastRowFirstColumn="0" w:lastRowLastColumn="0"/>
            </w:pPr>
            <w:r w:rsidRPr="00BB1D89">
              <w:t>628.6</w:t>
            </w:r>
          </w:p>
        </w:tc>
        <w:tc>
          <w:tcPr>
            <w:tcW w:w="945" w:type="dxa"/>
            <w:noWrap/>
            <w:vAlign w:val="bottom"/>
          </w:tcPr>
          <w:p w:rsidR="00BB1D89" w:rsidRPr="00BB1D89" w:rsidRDefault="00BB1D89" w:rsidP="00BB1D89">
            <w:pPr>
              <w:cnfStyle w:val="000000000000" w:firstRow="0" w:lastRow="0" w:firstColumn="0" w:lastColumn="0" w:oddVBand="0" w:evenVBand="0" w:oddHBand="0" w:evenHBand="0" w:firstRowFirstColumn="0" w:firstRowLastColumn="0" w:lastRowFirstColumn="0" w:lastRowLastColumn="0"/>
            </w:pPr>
            <w:r w:rsidRPr="00BB1D89">
              <w:t>512.4</w:t>
            </w:r>
          </w:p>
        </w:tc>
        <w:tc>
          <w:tcPr>
            <w:tcW w:w="945" w:type="dxa"/>
            <w:vAlign w:val="bottom"/>
          </w:tcPr>
          <w:p w:rsidR="00BB1D89" w:rsidRPr="00BB1D89" w:rsidRDefault="00BB1D89" w:rsidP="00BB1D89">
            <w:pPr>
              <w:cnfStyle w:val="000000000000" w:firstRow="0" w:lastRow="0" w:firstColumn="0" w:lastColumn="0" w:oddVBand="0" w:evenVBand="0" w:oddHBand="0" w:evenHBand="0" w:firstRowFirstColumn="0" w:firstRowLastColumn="0" w:lastRowFirstColumn="0" w:lastRowLastColumn="0"/>
            </w:pPr>
            <w:r w:rsidRPr="00BB1D89">
              <w:t>182.1</w:t>
            </w:r>
          </w:p>
        </w:tc>
        <w:tc>
          <w:tcPr>
            <w:tcW w:w="945" w:type="dxa"/>
            <w:vAlign w:val="bottom"/>
          </w:tcPr>
          <w:p w:rsidR="00BB1D89" w:rsidRPr="00BB1D89" w:rsidRDefault="00BB1D89" w:rsidP="00BB1D89">
            <w:pPr>
              <w:cnfStyle w:val="000000000000" w:firstRow="0" w:lastRow="0" w:firstColumn="0" w:lastColumn="0" w:oddVBand="0" w:evenVBand="0" w:oddHBand="0" w:evenHBand="0" w:firstRowFirstColumn="0" w:firstRowLastColumn="0" w:lastRowFirstColumn="0" w:lastRowLastColumn="0"/>
            </w:pPr>
            <w:r w:rsidRPr="00BB1D89">
              <w:t>172.0</w:t>
            </w:r>
          </w:p>
        </w:tc>
        <w:tc>
          <w:tcPr>
            <w:tcW w:w="945" w:type="dxa"/>
            <w:vAlign w:val="bottom"/>
          </w:tcPr>
          <w:p w:rsidR="00BB1D89" w:rsidRPr="00BB1D89" w:rsidRDefault="00BB1D89" w:rsidP="00BB1D89">
            <w:pPr>
              <w:cnfStyle w:val="000000000000" w:firstRow="0" w:lastRow="0" w:firstColumn="0" w:lastColumn="0" w:oddVBand="0" w:evenVBand="0" w:oddHBand="0" w:evenHBand="0" w:firstRowFirstColumn="0" w:firstRowLastColumn="0" w:lastRowFirstColumn="0" w:lastRowLastColumn="0"/>
            </w:pPr>
            <w:r w:rsidRPr="00BB1D89">
              <w:t>162.0</w:t>
            </w:r>
          </w:p>
        </w:tc>
        <w:tc>
          <w:tcPr>
            <w:tcW w:w="945" w:type="dxa"/>
            <w:vAlign w:val="bottom"/>
          </w:tcPr>
          <w:p w:rsidR="00BB1D89" w:rsidRPr="00BB1D89" w:rsidRDefault="00BB1D89" w:rsidP="00BB1D89">
            <w:pPr>
              <w:cnfStyle w:val="000000000000" w:firstRow="0" w:lastRow="0" w:firstColumn="0" w:lastColumn="0" w:oddVBand="0" w:evenVBand="0" w:oddHBand="0" w:evenHBand="0" w:firstRowFirstColumn="0" w:firstRowLastColumn="0" w:lastRowFirstColumn="0" w:lastRowLastColumn="0"/>
            </w:pPr>
            <w:r w:rsidRPr="00BB1D89">
              <w:t>1657.1</w:t>
            </w:r>
          </w:p>
        </w:tc>
      </w:tr>
      <w:tr w:rsidR="00BB1D89" w:rsidRPr="000A53DB" w:rsidTr="00BB1D89">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tcPr>
          <w:p w:rsidR="00BB1D89" w:rsidRPr="00BB1D89" w:rsidRDefault="00BB1D89" w:rsidP="00BB1D89">
            <w:pPr>
              <w:rPr>
                <w:rStyle w:val="Strong"/>
              </w:rPr>
            </w:pPr>
            <w:r w:rsidRPr="00BB1D89">
              <w:rPr>
                <w:rStyle w:val="Strong"/>
              </w:rPr>
              <w:t xml:space="preserve">Annual expected revenue </w:t>
            </w:r>
            <w:r w:rsidRPr="00BB1D89">
              <w:rPr>
                <w:rStyle w:val="Strong"/>
              </w:rPr>
              <w:br/>
              <w:t>(smoothed – inc. additionals)</w:t>
            </w:r>
          </w:p>
        </w:tc>
        <w:tc>
          <w:tcPr>
            <w:tcW w:w="945" w:type="dxa"/>
            <w:noWrap/>
            <w:vAlign w:val="bottom"/>
          </w:tcPr>
          <w:p w:rsidR="00BB1D89" w:rsidRPr="00BB1D89" w:rsidRDefault="00BB1D89" w:rsidP="00BB1D89">
            <w:pPr>
              <w:cnfStyle w:val="000000010000" w:firstRow="0" w:lastRow="0" w:firstColumn="0" w:lastColumn="0" w:oddVBand="0" w:evenVBand="0" w:oddHBand="0" w:evenHBand="1" w:firstRowFirstColumn="0" w:firstRowLastColumn="0" w:lastRowFirstColumn="0" w:lastRowLastColumn="0"/>
              <w:rPr>
                <w:rStyle w:val="Strong"/>
              </w:rPr>
            </w:pPr>
            <w:r w:rsidRPr="00BB1D89">
              <w:rPr>
                <w:rStyle w:val="Strong"/>
              </w:rPr>
              <w:t>1768.4</w:t>
            </w:r>
          </w:p>
        </w:tc>
        <w:tc>
          <w:tcPr>
            <w:tcW w:w="945" w:type="dxa"/>
            <w:noWrap/>
            <w:vAlign w:val="bottom"/>
          </w:tcPr>
          <w:p w:rsidR="00BB1D89" w:rsidRPr="00BB1D89" w:rsidRDefault="00BB1D89" w:rsidP="002C535B">
            <w:pPr>
              <w:cnfStyle w:val="000000010000" w:firstRow="0" w:lastRow="0" w:firstColumn="0" w:lastColumn="0" w:oddVBand="0" w:evenVBand="0" w:oddHBand="0" w:evenHBand="1" w:firstRowFirstColumn="0" w:firstRowLastColumn="0" w:lastRowFirstColumn="0" w:lastRowLastColumn="0"/>
              <w:rPr>
                <w:rStyle w:val="Strong"/>
              </w:rPr>
            </w:pPr>
            <w:r w:rsidRPr="00BB1D89">
              <w:rPr>
                <w:rStyle w:val="Strong"/>
              </w:rPr>
              <w:t>170</w:t>
            </w:r>
            <w:r w:rsidR="002C535B">
              <w:rPr>
                <w:rStyle w:val="Strong"/>
              </w:rPr>
              <w:t>1</w:t>
            </w:r>
            <w:r w:rsidRPr="00BB1D89">
              <w:rPr>
                <w:rStyle w:val="Strong"/>
              </w:rPr>
              <w:t>.</w:t>
            </w:r>
            <w:r w:rsidR="002C535B">
              <w:rPr>
                <w:rStyle w:val="Strong"/>
              </w:rPr>
              <w:t>6</w:t>
            </w:r>
          </w:p>
        </w:tc>
        <w:tc>
          <w:tcPr>
            <w:tcW w:w="945" w:type="dxa"/>
            <w:vAlign w:val="bottom"/>
          </w:tcPr>
          <w:p w:rsidR="00BB1D89" w:rsidRPr="00BB1D89" w:rsidRDefault="00BB1D89" w:rsidP="002C535B">
            <w:pPr>
              <w:cnfStyle w:val="000000010000" w:firstRow="0" w:lastRow="0" w:firstColumn="0" w:lastColumn="0" w:oddVBand="0" w:evenVBand="0" w:oddHBand="0" w:evenHBand="1" w:firstRowFirstColumn="0" w:firstRowLastColumn="0" w:lastRowFirstColumn="0" w:lastRowLastColumn="0"/>
              <w:rPr>
                <w:rStyle w:val="Strong"/>
              </w:rPr>
            </w:pPr>
            <w:r w:rsidRPr="00BB1D89">
              <w:rPr>
                <w:rStyle w:val="Strong"/>
              </w:rPr>
              <w:t>163</w:t>
            </w:r>
            <w:r w:rsidR="002C535B">
              <w:rPr>
                <w:rStyle w:val="Strong"/>
              </w:rPr>
              <w:t>8</w:t>
            </w:r>
            <w:r w:rsidRPr="00BB1D89">
              <w:rPr>
                <w:rStyle w:val="Strong"/>
              </w:rPr>
              <w:t>.</w:t>
            </w:r>
            <w:r w:rsidR="002C535B">
              <w:rPr>
                <w:rStyle w:val="Strong"/>
              </w:rPr>
              <w:t>8</w:t>
            </w:r>
          </w:p>
        </w:tc>
        <w:tc>
          <w:tcPr>
            <w:tcW w:w="945" w:type="dxa"/>
            <w:vAlign w:val="bottom"/>
          </w:tcPr>
          <w:p w:rsidR="00BB1D89" w:rsidRPr="00BB1D89" w:rsidRDefault="00BB1D89" w:rsidP="002C535B">
            <w:pPr>
              <w:cnfStyle w:val="000000010000" w:firstRow="0" w:lastRow="0" w:firstColumn="0" w:lastColumn="0" w:oddVBand="0" w:evenVBand="0" w:oddHBand="0" w:evenHBand="1" w:firstRowFirstColumn="0" w:firstRowLastColumn="0" w:lastRowFirstColumn="0" w:lastRowLastColumn="0"/>
              <w:rPr>
                <w:rStyle w:val="Strong"/>
              </w:rPr>
            </w:pPr>
            <w:r w:rsidRPr="00BB1D89">
              <w:rPr>
                <w:rStyle w:val="Strong"/>
              </w:rPr>
              <w:t>1590.</w:t>
            </w:r>
            <w:r w:rsidR="002C535B">
              <w:rPr>
                <w:rStyle w:val="Strong"/>
              </w:rPr>
              <w:t>4</w:t>
            </w:r>
          </w:p>
        </w:tc>
        <w:tc>
          <w:tcPr>
            <w:tcW w:w="945" w:type="dxa"/>
            <w:vAlign w:val="bottom"/>
          </w:tcPr>
          <w:p w:rsidR="00BB1D89" w:rsidRPr="00BB1D89" w:rsidRDefault="00BB1D89" w:rsidP="002C535B">
            <w:pPr>
              <w:cnfStyle w:val="000000010000" w:firstRow="0" w:lastRow="0" w:firstColumn="0" w:lastColumn="0" w:oddVBand="0" w:evenVBand="0" w:oddHBand="0" w:evenHBand="1" w:firstRowFirstColumn="0" w:firstRowLastColumn="0" w:lastRowFirstColumn="0" w:lastRowLastColumn="0"/>
              <w:rPr>
                <w:rStyle w:val="Strong"/>
              </w:rPr>
            </w:pPr>
            <w:r w:rsidRPr="00BB1D89">
              <w:rPr>
                <w:rStyle w:val="Strong"/>
              </w:rPr>
              <w:t>155</w:t>
            </w:r>
            <w:r w:rsidR="002C535B">
              <w:rPr>
                <w:rStyle w:val="Strong"/>
              </w:rPr>
              <w:t>7</w:t>
            </w:r>
            <w:r w:rsidRPr="00BB1D89">
              <w:rPr>
                <w:rStyle w:val="Strong"/>
              </w:rPr>
              <w:t>.</w:t>
            </w:r>
            <w:r w:rsidR="002C535B">
              <w:rPr>
                <w:rStyle w:val="Strong"/>
              </w:rPr>
              <w:t>7</w:t>
            </w:r>
          </w:p>
        </w:tc>
        <w:tc>
          <w:tcPr>
            <w:tcW w:w="945" w:type="dxa"/>
            <w:vAlign w:val="bottom"/>
          </w:tcPr>
          <w:p w:rsidR="00BB1D89" w:rsidRPr="00BB1D89" w:rsidRDefault="00BB1D89" w:rsidP="002C535B">
            <w:pPr>
              <w:cnfStyle w:val="000000010000" w:firstRow="0" w:lastRow="0" w:firstColumn="0" w:lastColumn="0" w:oddVBand="0" w:evenVBand="0" w:oddHBand="0" w:evenHBand="1" w:firstRowFirstColumn="0" w:firstRowLastColumn="0" w:lastRowFirstColumn="0" w:lastRowLastColumn="0"/>
              <w:rPr>
                <w:rStyle w:val="Strong"/>
              </w:rPr>
            </w:pPr>
            <w:r w:rsidRPr="00BB1D89">
              <w:rPr>
                <w:rStyle w:val="Strong"/>
              </w:rPr>
              <w:t>825</w:t>
            </w:r>
            <w:r w:rsidR="002C535B">
              <w:rPr>
                <w:rStyle w:val="Strong"/>
              </w:rPr>
              <w:t>7</w:t>
            </w:r>
            <w:r w:rsidRPr="00BB1D89">
              <w:rPr>
                <w:rStyle w:val="Strong"/>
              </w:rPr>
              <w:t>.</w:t>
            </w:r>
            <w:r w:rsidR="002C535B">
              <w:rPr>
                <w:rStyle w:val="Strong"/>
              </w:rPr>
              <w:t>0</w:t>
            </w:r>
          </w:p>
        </w:tc>
      </w:tr>
      <w:tr w:rsidR="00BB1D89" w:rsidRPr="00A75D48" w:rsidTr="00906406">
        <w:trPr>
          <w:trHeight w:val="190"/>
        </w:trPr>
        <w:tc>
          <w:tcPr>
            <w:cnfStyle w:val="001000000000" w:firstRow="0" w:lastRow="0" w:firstColumn="1" w:lastColumn="0" w:oddVBand="0" w:evenVBand="0" w:oddHBand="0" w:evenHBand="0" w:firstRowFirstColumn="0" w:firstRowLastColumn="0" w:lastRowFirstColumn="0" w:lastRowLastColumn="0"/>
            <w:tcW w:w="3085" w:type="dxa"/>
            <w:noWrap/>
          </w:tcPr>
          <w:p w:rsidR="00BB1D89" w:rsidRPr="00BB1D89" w:rsidRDefault="00BB1D89" w:rsidP="00BB1D89">
            <w:r w:rsidRPr="00BB1D89">
              <w:t xml:space="preserve">Annual change in revenue </w:t>
            </w:r>
            <w:r w:rsidRPr="00BB1D89">
              <w:br/>
              <w:t>(inc. additionals)</w:t>
            </w:r>
          </w:p>
        </w:tc>
        <w:tc>
          <w:tcPr>
            <w:tcW w:w="945" w:type="dxa"/>
            <w:noWrap/>
          </w:tcPr>
          <w:p w:rsidR="00BB1D89" w:rsidRPr="00BB1D89" w:rsidRDefault="00BB1D89" w:rsidP="00BB1D89">
            <w:pPr>
              <w:cnfStyle w:val="000000000000" w:firstRow="0" w:lastRow="0" w:firstColumn="0" w:lastColumn="0" w:oddVBand="0" w:evenVBand="0" w:oddHBand="0" w:evenHBand="0" w:firstRowFirstColumn="0" w:firstRowLastColumn="0" w:lastRowFirstColumn="0" w:lastRowLastColumn="0"/>
            </w:pPr>
            <w:r w:rsidRPr="00BB1D89">
              <w:t>n/a</w:t>
            </w:r>
          </w:p>
        </w:tc>
        <w:tc>
          <w:tcPr>
            <w:tcW w:w="945" w:type="dxa"/>
            <w:noWrap/>
          </w:tcPr>
          <w:p w:rsidR="00BB1D89" w:rsidRPr="00BB1D89" w:rsidRDefault="00BB1D89" w:rsidP="00BB1D89">
            <w:pPr>
              <w:cnfStyle w:val="000000000000" w:firstRow="0" w:lastRow="0" w:firstColumn="0" w:lastColumn="0" w:oddVBand="0" w:evenVBand="0" w:oddHBand="0" w:evenHBand="0" w:firstRowFirstColumn="0" w:firstRowLastColumn="0" w:lastRowFirstColumn="0" w:lastRowLastColumn="0"/>
            </w:pPr>
            <w:r w:rsidRPr="00BB1D89">
              <w:t>–</w:t>
            </w:r>
            <w:r>
              <w:t>3</w:t>
            </w:r>
            <w:r w:rsidRPr="00BB1D89">
              <w:t>.</w:t>
            </w:r>
            <w:r>
              <w:t>8</w:t>
            </w:r>
            <w:r w:rsidRPr="00BB1D89">
              <w:t>%</w:t>
            </w:r>
          </w:p>
        </w:tc>
        <w:tc>
          <w:tcPr>
            <w:tcW w:w="945" w:type="dxa"/>
          </w:tcPr>
          <w:p w:rsidR="00BB1D89" w:rsidRPr="00BB1D89" w:rsidRDefault="00BB1D89" w:rsidP="00BB1D89">
            <w:pPr>
              <w:cnfStyle w:val="000000000000" w:firstRow="0" w:lastRow="0" w:firstColumn="0" w:lastColumn="0" w:oddVBand="0" w:evenVBand="0" w:oddHBand="0" w:evenHBand="0" w:firstRowFirstColumn="0" w:firstRowLastColumn="0" w:lastRowFirstColumn="0" w:lastRowLastColumn="0"/>
            </w:pPr>
            <w:r w:rsidRPr="00BB1D89">
              <w:t>–</w:t>
            </w:r>
            <w:r>
              <w:t>3</w:t>
            </w:r>
            <w:r w:rsidRPr="00BB1D89">
              <w:t>.</w:t>
            </w:r>
            <w:r>
              <w:t>7</w:t>
            </w:r>
            <w:r w:rsidRPr="00BB1D89">
              <w:t>%</w:t>
            </w:r>
          </w:p>
        </w:tc>
        <w:tc>
          <w:tcPr>
            <w:tcW w:w="945" w:type="dxa"/>
          </w:tcPr>
          <w:p w:rsidR="00BB1D89" w:rsidRPr="00BB1D89" w:rsidRDefault="00BB1D89" w:rsidP="00BB1D89">
            <w:pPr>
              <w:cnfStyle w:val="000000000000" w:firstRow="0" w:lastRow="0" w:firstColumn="0" w:lastColumn="0" w:oddVBand="0" w:evenVBand="0" w:oddHBand="0" w:evenHBand="0" w:firstRowFirstColumn="0" w:firstRowLastColumn="0" w:lastRowFirstColumn="0" w:lastRowLastColumn="0"/>
            </w:pPr>
            <w:r w:rsidRPr="00BB1D89">
              <w:t>–2.</w:t>
            </w:r>
            <w:r>
              <w:t>9</w:t>
            </w:r>
            <w:r w:rsidRPr="00BB1D89">
              <w:t>%</w:t>
            </w:r>
          </w:p>
        </w:tc>
        <w:tc>
          <w:tcPr>
            <w:tcW w:w="945" w:type="dxa"/>
          </w:tcPr>
          <w:p w:rsidR="00BB1D89" w:rsidRPr="00BB1D89" w:rsidRDefault="00BB1D89" w:rsidP="00BB1D89">
            <w:pPr>
              <w:cnfStyle w:val="000000000000" w:firstRow="0" w:lastRow="0" w:firstColumn="0" w:lastColumn="0" w:oddVBand="0" w:evenVBand="0" w:oddHBand="0" w:evenHBand="0" w:firstRowFirstColumn="0" w:firstRowLastColumn="0" w:lastRowFirstColumn="0" w:lastRowLastColumn="0"/>
            </w:pPr>
            <w:r w:rsidRPr="00BB1D89">
              <w:t>–</w:t>
            </w:r>
            <w:r>
              <w:t>2</w:t>
            </w:r>
            <w:r w:rsidRPr="00BB1D89">
              <w:t>.</w:t>
            </w:r>
            <w:r>
              <w:t>1</w:t>
            </w:r>
            <w:r w:rsidRPr="00BB1D89">
              <w:t>%</w:t>
            </w:r>
          </w:p>
        </w:tc>
        <w:tc>
          <w:tcPr>
            <w:tcW w:w="945" w:type="dxa"/>
          </w:tcPr>
          <w:p w:rsidR="00BB1D89" w:rsidRPr="00BB1D89" w:rsidRDefault="00BB1D89" w:rsidP="00BB1D89">
            <w:pPr>
              <w:cnfStyle w:val="000000000000" w:firstRow="0" w:lastRow="0" w:firstColumn="0" w:lastColumn="0" w:oddVBand="0" w:evenVBand="0" w:oddHBand="0" w:evenHBand="0" w:firstRowFirstColumn="0" w:firstRowLastColumn="0" w:lastRowFirstColumn="0" w:lastRowLastColumn="0"/>
            </w:pPr>
            <w:r w:rsidRPr="00BB1D89">
              <w:t>n/a</w:t>
            </w:r>
          </w:p>
        </w:tc>
      </w:tr>
    </w:tbl>
    <w:p w:rsidR="004E5FB9" w:rsidRPr="00A75D48" w:rsidRDefault="004E5FB9" w:rsidP="004E5FB9">
      <w:pPr>
        <w:pStyle w:val="AERtablesource"/>
      </w:pPr>
      <w:r w:rsidRPr="00A75D48">
        <w:lastRenderedPageBreak/>
        <w:t xml:space="preserve">Source: </w:t>
      </w:r>
      <w:r w:rsidRPr="00A75D48">
        <w:tab/>
        <w:t xml:space="preserve">AER analysis. </w:t>
      </w:r>
    </w:p>
    <w:p w:rsidR="004E5FB9" w:rsidRDefault="004E5FB9" w:rsidP="004E5FB9">
      <w:pPr>
        <w:pStyle w:val="AERtablesource"/>
      </w:pPr>
      <w:r>
        <w:t>(a</w:t>
      </w:r>
      <w:r w:rsidRPr="00A75D48">
        <w:t>)</w:t>
      </w:r>
      <w:r w:rsidRPr="00A75D48">
        <w:tab/>
      </w:r>
      <w:r>
        <w:t>Revenue adjustments include forecast DMIA and DUoS under</w:t>
      </w:r>
      <w:r w:rsidR="00AF402D">
        <w:t>-</w:t>
      </w:r>
      <w:r>
        <w:t>recoveries.</w:t>
      </w:r>
      <w:r w:rsidRPr="00012781">
        <w:t xml:space="preserve"> </w:t>
      </w:r>
    </w:p>
    <w:p w:rsidR="004E5FB9" w:rsidRDefault="004E5FB9" w:rsidP="004E5FB9">
      <w:pPr>
        <w:pStyle w:val="AERtablesource"/>
      </w:pPr>
      <w:r>
        <w:t>(b)</w:t>
      </w:r>
      <w:r>
        <w:tab/>
      </w:r>
      <w:r w:rsidRPr="00A75D48">
        <w:t>The X factor</w:t>
      </w:r>
      <w:r>
        <w:t>s</w:t>
      </w:r>
      <w:r w:rsidRPr="00A75D48">
        <w:t xml:space="preserve"> </w:t>
      </w:r>
      <w:r>
        <w:t xml:space="preserve">from 2016–17 to 2019–20 </w:t>
      </w:r>
      <w:r w:rsidRPr="00A75D48">
        <w:t>will be revised to reflect the annual return on debt update.</w:t>
      </w:r>
      <w:r w:rsidRPr="00A351D6">
        <w:t xml:space="preserve"> </w:t>
      </w:r>
      <w:r>
        <w:t xml:space="preserve">Under the CPI–X framework, the X factor measures the real rate of change in annual expected revenue from one year to the next. A negative X factor represents a real increase in revenue. Conversely, a positive X factor represents a real decrease in revenue. </w:t>
      </w:r>
    </w:p>
    <w:p w:rsidR="004E5FB9" w:rsidRDefault="004E5FB9" w:rsidP="004E5FB9">
      <w:pPr>
        <w:pStyle w:val="AERtablesource"/>
      </w:pPr>
      <w:r>
        <w:t>(c)</w:t>
      </w:r>
      <w:r>
        <w:tab/>
        <w:t>Additional amounts in DUoS include s</w:t>
      </w:r>
      <w:r w:rsidRPr="00355EBC">
        <w:t>olar bonus scheme forecasts (jurisdictional scheme</w:t>
      </w:r>
      <w:r>
        <w:t xml:space="preserve"> obligation for FiT) for 2015–20, e</w:t>
      </w:r>
      <w:r w:rsidRPr="00355EBC">
        <w:t>stimated solar bonus scheme pass throughs for 2015–16 and 2016–</w:t>
      </w:r>
      <w:r>
        <w:t>1</w:t>
      </w:r>
      <w:r w:rsidRPr="00355EBC">
        <w:t>7 relating to under-recoveries in 2013–14 and 2014–15</w:t>
      </w:r>
      <w:r w:rsidR="00186C55">
        <w:t>, expected DUoS under-</w:t>
      </w:r>
      <w:r>
        <w:t>recovery in 2013–14</w:t>
      </w:r>
      <w:r w:rsidR="00C73E40">
        <w:t xml:space="preserve"> to be recovered in 2015–16</w:t>
      </w:r>
      <w:r>
        <w:t xml:space="preserve">, estimated transitional capital contribution </w:t>
      </w:r>
      <w:r w:rsidRPr="00AC50A4">
        <w:t>pass throughs for 2015–16 and 2016–7 relating to under</w:t>
      </w:r>
      <w:r w:rsidR="00906406">
        <w:t>-</w:t>
      </w:r>
      <w:r w:rsidRPr="00AC50A4">
        <w:t>recoveries in 2013–14 and 2014–15,</w:t>
      </w:r>
      <w:r>
        <w:t xml:space="preserve"> </w:t>
      </w:r>
      <w:r w:rsidRPr="00355EBC">
        <w:t xml:space="preserve">STPIS </w:t>
      </w:r>
      <w:r w:rsidR="00C73E40">
        <w:t>rewards for 2015</w:t>
      </w:r>
      <w:r w:rsidR="00AD2A68">
        <w:t>–</w:t>
      </w:r>
      <w:r w:rsidR="00C73E40">
        <w:t>16 and 2016–17</w:t>
      </w:r>
      <w:r w:rsidR="006160EA">
        <w:t>, and DMIS allowance to be returned in 2016–17</w:t>
      </w:r>
      <w:r>
        <w:t>.</w:t>
      </w:r>
    </w:p>
    <w:p w:rsidR="00906406" w:rsidRPr="00906406" w:rsidRDefault="00906406" w:rsidP="00906406">
      <w:pPr>
        <w:pStyle w:val="AERtablesource"/>
      </w:pPr>
      <w:r>
        <w:t>(d)</w:t>
      </w:r>
      <w:r>
        <w:tab/>
        <w:t xml:space="preserve">In our preliminary decision, we determined the expected revenue </w:t>
      </w:r>
      <w:r w:rsidR="00C969CC">
        <w:t xml:space="preserve">and associated X factor </w:t>
      </w:r>
      <w:r>
        <w:t>for 2015–16. In this final decision to update the 2015–16 revenue for our assessment of efficient costs</w:t>
      </w:r>
      <w:r w:rsidR="00C969CC">
        <w:t>,</w:t>
      </w:r>
      <w:r>
        <w:t xml:space="preserve"> we </w:t>
      </w:r>
      <w:r w:rsidR="00C969CC">
        <w:t xml:space="preserve">maintained the preliminary decision expected revenue and </w:t>
      </w:r>
      <w:r>
        <w:t>determined X factors for the final four years of the 2015–20 regulatory control period. This is to adjust Energex's total</w:t>
      </w:r>
      <w:r w:rsidR="00AF402D">
        <w:t xml:space="preserve"> expected revenue requirement </w:t>
      </w:r>
      <w:r>
        <w:t>for the</w:t>
      </w:r>
      <w:r w:rsidR="00AF402D">
        <w:t xml:space="preserve"> remaining four years in the </w:t>
      </w:r>
      <w:r>
        <w:t>2015–</w:t>
      </w:r>
      <w:r w:rsidR="00AF402D">
        <w:t>20</w:t>
      </w:r>
      <w:r>
        <w:t xml:space="preserve"> regulatory control period f</w:t>
      </w:r>
      <w:r w:rsidR="00AF402D">
        <w:t>or the difference between the preliminary decision</w:t>
      </w:r>
      <w:r>
        <w:t xml:space="preserve"> revenue and our</w:t>
      </w:r>
      <w:r w:rsidR="00AF402D">
        <w:t xml:space="preserve"> final</w:t>
      </w:r>
      <w:r>
        <w:t xml:space="preserve"> decision on Energ</w:t>
      </w:r>
      <w:r w:rsidR="00AF402D">
        <w:t>ex</w:t>
      </w:r>
      <w:r>
        <w:t>'s efficient costs for 201</w:t>
      </w:r>
      <w:r w:rsidR="00AF402D">
        <w:t>5</w:t>
      </w:r>
      <w:r>
        <w:t>–1</w:t>
      </w:r>
      <w:r w:rsidR="00AF402D">
        <w:t>6</w:t>
      </w:r>
      <w:r>
        <w:t>.</w:t>
      </w:r>
    </w:p>
    <w:p w:rsidR="00DE563D" w:rsidRDefault="001201F1" w:rsidP="00961F06">
      <w:pPr>
        <w:pStyle w:val="Heading2"/>
      </w:pPr>
      <w:bookmarkStart w:id="14" w:name="_Toc403144137"/>
      <w:bookmarkStart w:id="15" w:name="_Toc433022782"/>
      <w:r>
        <w:t>Energex's</w:t>
      </w:r>
      <w:r w:rsidR="00DE563D">
        <w:t xml:space="preserve"> </w:t>
      </w:r>
      <w:r w:rsidR="004D0898">
        <w:t xml:space="preserve">revised </w:t>
      </w:r>
      <w:r w:rsidR="00DE563D">
        <w:t>proposal</w:t>
      </w:r>
      <w:bookmarkEnd w:id="14"/>
      <w:bookmarkEnd w:id="15"/>
    </w:p>
    <w:p w:rsidR="002C3DAC" w:rsidRDefault="00906406" w:rsidP="00906406">
      <w:r>
        <w:t>Energex</w:t>
      </w:r>
      <w:r w:rsidR="00AF402D">
        <w:t>'s revised p</w:t>
      </w:r>
      <w:r>
        <w:t>ropos</w:t>
      </w:r>
      <w:r w:rsidR="00AF402D">
        <w:t>al included a</w:t>
      </w:r>
      <w:r>
        <w:t xml:space="preserve"> total expected revenue </w:t>
      </w:r>
      <w:r w:rsidR="00AF402D">
        <w:t xml:space="preserve">requirement </w:t>
      </w:r>
      <w:r w:rsidR="00534A9B">
        <w:t xml:space="preserve">(excluding addtionals) </w:t>
      </w:r>
      <w:r w:rsidR="00AF402D">
        <w:t>of $7873.5 </w:t>
      </w:r>
      <w:r>
        <w:t xml:space="preserve">million ($ nominal) for the 2015–20 regulatory control period. </w:t>
      </w:r>
    </w:p>
    <w:p w:rsidR="00906406" w:rsidRDefault="00906406" w:rsidP="00906406">
      <w:r>
        <w:fldChar w:fldCharType="begin"/>
      </w:r>
      <w:r>
        <w:instrText xml:space="preserve"> REF _Ref401571489 \h </w:instrText>
      </w:r>
      <w:r>
        <w:fldChar w:fldCharType="separate"/>
      </w:r>
      <w:r>
        <w:t xml:space="preserve">Table </w:t>
      </w:r>
      <w:r w:rsidRPr="00906406">
        <w:t>1</w:t>
      </w:r>
      <w:r>
        <w:t>.</w:t>
      </w:r>
      <w:r w:rsidRPr="00906406">
        <w:t>2</w:t>
      </w:r>
      <w:r>
        <w:fldChar w:fldCharType="end"/>
      </w:r>
      <w:r>
        <w:t xml:space="preserve"> shows Energex's </w:t>
      </w:r>
      <w:r w:rsidR="00AF402D">
        <w:t xml:space="preserve">revised </w:t>
      </w:r>
      <w:r>
        <w:t>proposed building block costs, the ARR, expected revenue and X</w:t>
      </w:r>
      <w:r w:rsidR="00AF402D">
        <w:t> </w:t>
      </w:r>
      <w:r>
        <w:t>factor for each year of the 2015–20 regulatory control period.</w:t>
      </w:r>
    </w:p>
    <w:p w:rsidR="00906406" w:rsidRDefault="00906406" w:rsidP="00906406">
      <w:pPr>
        <w:pStyle w:val="Caption"/>
      </w:pPr>
      <w:bookmarkStart w:id="16" w:name="_Ref401571489"/>
      <w:r>
        <w:t xml:space="preserve">Table </w:t>
      </w:r>
      <w:fldSimple w:instr=" STYLEREF 1 \s ">
        <w:r w:rsidR="00C6336B">
          <w:rPr>
            <w:noProof/>
          </w:rPr>
          <w:t>1</w:t>
        </w:r>
      </w:fldSimple>
      <w:r w:rsidR="00C6336B">
        <w:t>.</w:t>
      </w:r>
      <w:fldSimple w:instr=" SEQ Table \* ARABIC \s 1 ">
        <w:r w:rsidR="00C6336B">
          <w:rPr>
            <w:noProof/>
          </w:rPr>
          <w:t>2</w:t>
        </w:r>
      </w:fldSimple>
      <w:bookmarkEnd w:id="16"/>
      <w:r>
        <w:tab/>
        <w:t xml:space="preserve">Energex's </w:t>
      </w:r>
      <w:r w:rsidR="00AF402D">
        <w:t xml:space="preserve">revised </w:t>
      </w:r>
      <w:r>
        <w:t xml:space="preserve">proposed revenues for the 2015–20 regulatory control period ($million, nominal) </w:t>
      </w:r>
    </w:p>
    <w:tbl>
      <w:tblPr>
        <w:tblStyle w:val="AERtable-numbers"/>
        <w:tblW w:w="8755" w:type="dxa"/>
        <w:tblLayout w:type="fixed"/>
        <w:tblLook w:val="04A0" w:firstRow="1" w:lastRow="0" w:firstColumn="1" w:lastColumn="0" w:noHBand="0" w:noVBand="1"/>
      </w:tblPr>
      <w:tblGrid>
        <w:gridCol w:w="3350"/>
        <w:gridCol w:w="900"/>
        <w:gridCol w:w="901"/>
        <w:gridCol w:w="901"/>
        <w:gridCol w:w="901"/>
        <w:gridCol w:w="901"/>
        <w:gridCol w:w="901"/>
      </w:tblGrid>
      <w:tr w:rsidR="00906406" w:rsidRPr="00356B64" w:rsidTr="00906406">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50" w:type="dxa"/>
            <w:noWrap/>
            <w:hideMark/>
          </w:tcPr>
          <w:p w:rsidR="00906406" w:rsidRPr="00906406" w:rsidRDefault="00906406" w:rsidP="00906406">
            <w:r w:rsidRPr="00EB10DA">
              <w:t> </w:t>
            </w:r>
          </w:p>
        </w:tc>
        <w:tc>
          <w:tcPr>
            <w:tcW w:w="900" w:type="dxa"/>
            <w:noWrap/>
            <w:hideMark/>
          </w:tcPr>
          <w:p w:rsidR="00906406" w:rsidRPr="00906406" w:rsidRDefault="00906406" w:rsidP="00906406">
            <w:pPr>
              <w:cnfStyle w:val="100000000000" w:firstRow="1" w:lastRow="0" w:firstColumn="0" w:lastColumn="0" w:oddVBand="0" w:evenVBand="0" w:oddHBand="0" w:evenHBand="0" w:firstRowFirstColumn="0" w:firstRowLastColumn="0" w:lastRowFirstColumn="0" w:lastRowLastColumn="0"/>
            </w:pPr>
            <w:r w:rsidRPr="00EB10DA">
              <w:t>201</w:t>
            </w:r>
            <w:r w:rsidRPr="00906406">
              <w:t>5–16</w:t>
            </w:r>
          </w:p>
        </w:tc>
        <w:tc>
          <w:tcPr>
            <w:tcW w:w="901" w:type="dxa"/>
            <w:noWrap/>
            <w:hideMark/>
          </w:tcPr>
          <w:p w:rsidR="00906406" w:rsidRPr="00906406" w:rsidRDefault="00906406" w:rsidP="00906406">
            <w:pPr>
              <w:cnfStyle w:val="100000000000" w:firstRow="1" w:lastRow="0" w:firstColumn="0" w:lastColumn="0" w:oddVBand="0" w:evenVBand="0" w:oddHBand="0" w:evenHBand="0" w:firstRowFirstColumn="0" w:firstRowLastColumn="0" w:lastRowFirstColumn="0" w:lastRowLastColumn="0"/>
            </w:pPr>
            <w:r w:rsidRPr="00EB10DA">
              <w:t>201</w:t>
            </w:r>
            <w:r w:rsidRPr="00906406">
              <w:t>6–17</w:t>
            </w:r>
          </w:p>
        </w:tc>
        <w:tc>
          <w:tcPr>
            <w:tcW w:w="901" w:type="dxa"/>
          </w:tcPr>
          <w:p w:rsidR="00906406" w:rsidRPr="00906406" w:rsidRDefault="00906406" w:rsidP="00906406">
            <w:pPr>
              <w:cnfStyle w:val="100000000000" w:firstRow="1" w:lastRow="0" w:firstColumn="0" w:lastColumn="0" w:oddVBand="0" w:evenVBand="0" w:oddHBand="0" w:evenHBand="0" w:firstRowFirstColumn="0" w:firstRowLastColumn="0" w:lastRowFirstColumn="0" w:lastRowLastColumn="0"/>
            </w:pPr>
            <w:r w:rsidRPr="00EB10DA">
              <w:t>201</w:t>
            </w:r>
            <w:r w:rsidRPr="00906406">
              <w:t>7–18</w:t>
            </w:r>
          </w:p>
        </w:tc>
        <w:tc>
          <w:tcPr>
            <w:tcW w:w="901" w:type="dxa"/>
          </w:tcPr>
          <w:p w:rsidR="00906406" w:rsidRPr="00906406" w:rsidRDefault="00906406" w:rsidP="00906406">
            <w:pPr>
              <w:cnfStyle w:val="100000000000" w:firstRow="1" w:lastRow="0" w:firstColumn="0" w:lastColumn="0" w:oddVBand="0" w:evenVBand="0" w:oddHBand="0" w:evenHBand="0" w:firstRowFirstColumn="0" w:firstRowLastColumn="0" w:lastRowFirstColumn="0" w:lastRowLastColumn="0"/>
            </w:pPr>
            <w:r w:rsidRPr="00EB10DA">
              <w:t>201</w:t>
            </w:r>
            <w:r w:rsidRPr="00906406">
              <w:t>8–19</w:t>
            </w:r>
          </w:p>
        </w:tc>
        <w:tc>
          <w:tcPr>
            <w:tcW w:w="901" w:type="dxa"/>
          </w:tcPr>
          <w:p w:rsidR="00906406" w:rsidRPr="00906406" w:rsidRDefault="00906406" w:rsidP="00906406">
            <w:pPr>
              <w:cnfStyle w:val="100000000000" w:firstRow="1" w:lastRow="0" w:firstColumn="0" w:lastColumn="0" w:oddVBand="0" w:evenVBand="0" w:oddHBand="0" w:evenHBand="0" w:firstRowFirstColumn="0" w:firstRowLastColumn="0" w:lastRowFirstColumn="0" w:lastRowLastColumn="0"/>
            </w:pPr>
            <w:r w:rsidRPr="00EB10DA">
              <w:t>201</w:t>
            </w:r>
            <w:r w:rsidRPr="00906406">
              <w:t>9–20</w:t>
            </w:r>
          </w:p>
        </w:tc>
        <w:tc>
          <w:tcPr>
            <w:tcW w:w="901" w:type="dxa"/>
          </w:tcPr>
          <w:p w:rsidR="00906406" w:rsidRPr="00906406" w:rsidRDefault="00906406" w:rsidP="00906406">
            <w:pPr>
              <w:cnfStyle w:val="100000000000" w:firstRow="1" w:lastRow="0" w:firstColumn="0" w:lastColumn="0" w:oddVBand="0" w:evenVBand="0" w:oddHBand="0" w:evenHBand="0" w:firstRowFirstColumn="0" w:firstRowLastColumn="0" w:lastRowFirstColumn="0" w:lastRowLastColumn="0"/>
            </w:pPr>
            <w:r w:rsidRPr="00EB10DA">
              <w:t>Total</w:t>
            </w:r>
          </w:p>
        </w:tc>
      </w:tr>
      <w:tr w:rsidR="00906406" w:rsidRPr="00356B64" w:rsidTr="00906406">
        <w:trPr>
          <w:trHeight w:val="190"/>
        </w:trPr>
        <w:tc>
          <w:tcPr>
            <w:cnfStyle w:val="001000000000" w:firstRow="0" w:lastRow="0" w:firstColumn="1" w:lastColumn="0" w:oddVBand="0" w:evenVBand="0" w:oddHBand="0" w:evenHBand="0" w:firstRowFirstColumn="0" w:firstRowLastColumn="0" w:lastRowFirstColumn="0" w:lastRowLastColumn="0"/>
            <w:tcW w:w="3350" w:type="dxa"/>
            <w:noWrap/>
            <w:hideMark/>
          </w:tcPr>
          <w:p w:rsidR="00906406" w:rsidRPr="00906406" w:rsidRDefault="00906406" w:rsidP="00906406">
            <w:r w:rsidRPr="00E3306E">
              <w:t>Return on capital</w:t>
            </w:r>
          </w:p>
        </w:tc>
        <w:tc>
          <w:tcPr>
            <w:tcW w:w="900" w:type="dxa"/>
            <w:noWrap/>
            <w:vAlign w:val="bottom"/>
          </w:tcPr>
          <w:p w:rsidR="00906406" w:rsidRPr="00906406" w:rsidRDefault="00906406" w:rsidP="00AF402D">
            <w:pPr>
              <w:cnfStyle w:val="000000000000" w:firstRow="0" w:lastRow="0" w:firstColumn="0" w:lastColumn="0" w:oddVBand="0" w:evenVBand="0" w:oddHBand="0" w:evenHBand="0" w:firstRowFirstColumn="0" w:firstRowLastColumn="0" w:lastRowFirstColumn="0" w:lastRowLastColumn="0"/>
            </w:pPr>
            <w:r w:rsidRPr="00E3306E">
              <w:t>8</w:t>
            </w:r>
            <w:r w:rsidR="00AF402D">
              <w:t>41.0</w:t>
            </w:r>
          </w:p>
        </w:tc>
        <w:tc>
          <w:tcPr>
            <w:tcW w:w="901" w:type="dxa"/>
            <w:noWrap/>
            <w:vAlign w:val="bottom"/>
          </w:tcPr>
          <w:p w:rsidR="00906406" w:rsidRPr="00906406" w:rsidRDefault="00AF402D" w:rsidP="00AF402D">
            <w:pPr>
              <w:cnfStyle w:val="000000000000" w:firstRow="0" w:lastRow="0" w:firstColumn="0" w:lastColumn="0" w:oddVBand="0" w:evenVBand="0" w:oddHBand="0" w:evenHBand="0" w:firstRowFirstColumn="0" w:firstRowLastColumn="0" w:lastRowFirstColumn="0" w:lastRowLastColumn="0"/>
            </w:pPr>
            <w:r>
              <w:t>879.0</w:t>
            </w:r>
          </w:p>
        </w:tc>
        <w:tc>
          <w:tcPr>
            <w:tcW w:w="901" w:type="dxa"/>
            <w:vAlign w:val="bottom"/>
          </w:tcPr>
          <w:p w:rsidR="00906406" w:rsidRPr="00906406" w:rsidRDefault="00906406" w:rsidP="00AF402D">
            <w:pPr>
              <w:cnfStyle w:val="000000000000" w:firstRow="0" w:lastRow="0" w:firstColumn="0" w:lastColumn="0" w:oddVBand="0" w:evenVBand="0" w:oddHBand="0" w:evenHBand="0" w:firstRowFirstColumn="0" w:firstRowLastColumn="0" w:lastRowFirstColumn="0" w:lastRowLastColumn="0"/>
            </w:pPr>
            <w:r w:rsidRPr="00E3306E">
              <w:t>9</w:t>
            </w:r>
            <w:r w:rsidR="00AF402D">
              <w:t>1</w:t>
            </w:r>
            <w:r w:rsidRPr="00E3306E">
              <w:t>7.</w:t>
            </w:r>
            <w:r w:rsidR="00AF402D">
              <w:t>2</w:t>
            </w:r>
          </w:p>
        </w:tc>
        <w:tc>
          <w:tcPr>
            <w:tcW w:w="901" w:type="dxa"/>
            <w:vAlign w:val="bottom"/>
          </w:tcPr>
          <w:p w:rsidR="00906406" w:rsidRPr="00906406" w:rsidRDefault="00AF402D" w:rsidP="00AF402D">
            <w:pPr>
              <w:cnfStyle w:val="000000000000" w:firstRow="0" w:lastRow="0" w:firstColumn="0" w:lastColumn="0" w:oddVBand="0" w:evenVBand="0" w:oddHBand="0" w:evenHBand="0" w:firstRowFirstColumn="0" w:firstRowLastColumn="0" w:lastRowFirstColumn="0" w:lastRowLastColumn="0"/>
            </w:pPr>
            <w:r>
              <w:t>951.6</w:t>
            </w:r>
          </w:p>
        </w:tc>
        <w:tc>
          <w:tcPr>
            <w:tcW w:w="901" w:type="dxa"/>
            <w:vAlign w:val="bottom"/>
          </w:tcPr>
          <w:p w:rsidR="00906406" w:rsidRPr="00906406" w:rsidRDefault="00AF402D" w:rsidP="00AF402D">
            <w:pPr>
              <w:cnfStyle w:val="000000000000" w:firstRow="0" w:lastRow="0" w:firstColumn="0" w:lastColumn="0" w:oddVBand="0" w:evenVBand="0" w:oddHBand="0" w:evenHBand="0" w:firstRowFirstColumn="0" w:firstRowLastColumn="0" w:lastRowFirstColumn="0" w:lastRowLastColumn="0"/>
            </w:pPr>
            <w:r>
              <w:t>984.4</w:t>
            </w:r>
          </w:p>
        </w:tc>
        <w:tc>
          <w:tcPr>
            <w:tcW w:w="901" w:type="dxa"/>
            <w:vAlign w:val="bottom"/>
          </w:tcPr>
          <w:p w:rsidR="00906406" w:rsidRPr="00906406" w:rsidRDefault="00906406" w:rsidP="00E4246F">
            <w:pPr>
              <w:cnfStyle w:val="000000000000" w:firstRow="0" w:lastRow="0" w:firstColumn="0" w:lastColumn="0" w:oddVBand="0" w:evenVBand="0" w:oddHBand="0" w:evenHBand="0" w:firstRowFirstColumn="0" w:firstRowLastColumn="0" w:lastRowFirstColumn="0" w:lastRowLastColumn="0"/>
            </w:pPr>
            <w:r w:rsidRPr="00E3306E">
              <w:t>4</w:t>
            </w:r>
            <w:r w:rsidR="00E4246F">
              <w:t>573.1</w:t>
            </w:r>
          </w:p>
        </w:tc>
      </w:tr>
      <w:tr w:rsidR="00906406" w:rsidRPr="00356B64" w:rsidTr="00906406">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50" w:type="dxa"/>
            <w:noWrap/>
          </w:tcPr>
          <w:p w:rsidR="00906406" w:rsidRPr="00AF402D" w:rsidRDefault="00906406" w:rsidP="00906406">
            <w:pPr>
              <w:rPr>
                <w:rStyle w:val="AERsuperscript"/>
              </w:rPr>
            </w:pPr>
            <w:r w:rsidRPr="00E3306E">
              <w:t>Regulatory depreciation</w:t>
            </w:r>
            <w:r w:rsidR="00AF402D">
              <w:rPr>
                <w:rStyle w:val="AERsuperscript"/>
              </w:rPr>
              <w:t>a</w:t>
            </w:r>
          </w:p>
        </w:tc>
        <w:tc>
          <w:tcPr>
            <w:tcW w:w="900" w:type="dxa"/>
            <w:noWrap/>
            <w:vAlign w:val="bottom"/>
          </w:tcPr>
          <w:p w:rsidR="00906406" w:rsidRPr="00906406" w:rsidRDefault="00906406" w:rsidP="00E4246F">
            <w:pPr>
              <w:cnfStyle w:val="000000010000" w:firstRow="0" w:lastRow="0" w:firstColumn="0" w:lastColumn="0" w:oddVBand="0" w:evenVBand="0" w:oddHBand="0" w:evenHBand="1" w:firstRowFirstColumn="0" w:firstRowLastColumn="0" w:lastRowFirstColumn="0" w:lastRowLastColumn="0"/>
            </w:pPr>
            <w:r w:rsidRPr="00E3306E">
              <w:t>7</w:t>
            </w:r>
            <w:r w:rsidR="00E4246F">
              <w:t>1</w:t>
            </w:r>
            <w:r w:rsidRPr="00E3306E">
              <w:t>.</w:t>
            </w:r>
            <w:r w:rsidR="00E4246F">
              <w:t>1</w:t>
            </w:r>
          </w:p>
        </w:tc>
        <w:tc>
          <w:tcPr>
            <w:tcW w:w="901" w:type="dxa"/>
            <w:noWrap/>
            <w:vAlign w:val="bottom"/>
          </w:tcPr>
          <w:p w:rsidR="00906406" w:rsidRPr="00906406" w:rsidRDefault="00906406" w:rsidP="00E4246F">
            <w:pPr>
              <w:cnfStyle w:val="000000010000" w:firstRow="0" w:lastRow="0" w:firstColumn="0" w:lastColumn="0" w:oddVBand="0" w:evenVBand="0" w:oddHBand="0" w:evenHBand="1" w:firstRowFirstColumn="0" w:firstRowLastColumn="0" w:lastRowFirstColumn="0" w:lastRowLastColumn="0"/>
            </w:pPr>
            <w:r w:rsidRPr="00E3306E">
              <w:t>8</w:t>
            </w:r>
            <w:r w:rsidR="00E4246F">
              <w:t>3</w:t>
            </w:r>
            <w:r w:rsidRPr="00E3306E">
              <w:t>.</w:t>
            </w:r>
            <w:r w:rsidR="00E4246F">
              <w:t>9</w:t>
            </w:r>
          </w:p>
        </w:tc>
        <w:tc>
          <w:tcPr>
            <w:tcW w:w="901" w:type="dxa"/>
            <w:vAlign w:val="bottom"/>
          </w:tcPr>
          <w:p w:rsidR="00906406" w:rsidRPr="00906406" w:rsidRDefault="00E4246F" w:rsidP="00E4246F">
            <w:pPr>
              <w:cnfStyle w:val="000000010000" w:firstRow="0" w:lastRow="0" w:firstColumn="0" w:lastColumn="0" w:oddVBand="0" w:evenVBand="0" w:oddHBand="0" w:evenHBand="1" w:firstRowFirstColumn="0" w:firstRowLastColumn="0" w:lastRowFirstColumn="0" w:lastRowLastColumn="0"/>
            </w:pPr>
            <w:r>
              <w:t>94.4</w:t>
            </w:r>
          </w:p>
        </w:tc>
        <w:tc>
          <w:tcPr>
            <w:tcW w:w="901" w:type="dxa"/>
            <w:vAlign w:val="bottom"/>
          </w:tcPr>
          <w:p w:rsidR="00906406" w:rsidRPr="00906406" w:rsidRDefault="00906406" w:rsidP="00E4246F">
            <w:pPr>
              <w:cnfStyle w:val="000000010000" w:firstRow="0" w:lastRow="0" w:firstColumn="0" w:lastColumn="0" w:oddVBand="0" w:evenVBand="0" w:oddHBand="0" w:evenHBand="1" w:firstRowFirstColumn="0" w:firstRowLastColumn="0" w:lastRowFirstColumn="0" w:lastRowLastColumn="0"/>
            </w:pPr>
            <w:r w:rsidRPr="00E3306E">
              <w:t>1</w:t>
            </w:r>
            <w:r w:rsidR="00E4246F">
              <w:t>07.1</w:t>
            </w:r>
          </w:p>
        </w:tc>
        <w:tc>
          <w:tcPr>
            <w:tcW w:w="901" w:type="dxa"/>
            <w:vAlign w:val="bottom"/>
          </w:tcPr>
          <w:p w:rsidR="00906406" w:rsidRPr="00906406" w:rsidRDefault="00906406" w:rsidP="00E4246F">
            <w:pPr>
              <w:cnfStyle w:val="000000010000" w:firstRow="0" w:lastRow="0" w:firstColumn="0" w:lastColumn="0" w:oddVBand="0" w:evenVBand="0" w:oddHBand="0" w:evenHBand="1" w:firstRowFirstColumn="0" w:firstRowLastColumn="0" w:lastRowFirstColumn="0" w:lastRowLastColumn="0"/>
            </w:pPr>
            <w:r w:rsidRPr="00E3306E">
              <w:t>1</w:t>
            </w:r>
            <w:r w:rsidR="00E4246F">
              <w:t>19</w:t>
            </w:r>
            <w:r w:rsidRPr="00E3306E">
              <w:t>.</w:t>
            </w:r>
            <w:r w:rsidR="00E4246F">
              <w:t>4</w:t>
            </w:r>
          </w:p>
        </w:tc>
        <w:tc>
          <w:tcPr>
            <w:tcW w:w="901" w:type="dxa"/>
            <w:vAlign w:val="bottom"/>
          </w:tcPr>
          <w:p w:rsidR="00906406" w:rsidRPr="00906406" w:rsidRDefault="00E4246F" w:rsidP="00E4246F">
            <w:pPr>
              <w:cnfStyle w:val="000000010000" w:firstRow="0" w:lastRow="0" w:firstColumn="0" w:lastColumn="0" w:oddVBand="0" w:evenVBand="0" w:oddHBand="0" w:evenHBand="1" w:firstRowFirstColumn="0" w:firstRowLastColumn="0" w:lastRowFirstColumn="0" w:lastRowLastColumn="0"/>
            </w:pPr>
            <w:r>
              <w:t>479.9</w:t>
            </w:r>
          </w:p>
        </w:tc>
      </w:tr>
      <w:tr w:rsidR="00906406" w:rsidRPr="00356B64" w:rsidTr="00906406">
        <w:trPr>
          <w:trHeight w:val="190"/>
        </w:trPr>
        <w:tc>
          <w:tcPr>
            <w:cnfStyle w:val="001000000000" w:firstRow="0" w:lastRow="0" w:firstColumn="1" w:lastColumn="0" w:oddVBand="0" w:evenVBand="0" w:oddHBand="0" w:evenHBand="0" w:firstRowFirstColumn="0" w:firstRowLastColumn="0" w:lastRowFirstColumn="0" w:lastRowLastColumn="0"/>
            <w:tcW w:w="3350" w:type="dxa"/>
            <w:noWrap/>
          </w:tcPr>
          <w:p w:rsidR="00906406" w:rsidRPr="00906406" w:rsidRDefault="00906406" w:rsidP="00906406">
            <w:r w:rsidRPr="00E3306E">
              <w:t>Operating expenditure</w:t>
            </w:r>
          </w:p>
        </w:tc>
        <w:tc>
          <w:tcPr>
            <w:tcW w:w="900" w:type="dxa"/>
            <w:noWrap/>
            <w:vAlign w:val="bottom"/>
          </w:tcPr>
          <w:p w:rsidR="00906406" w:rsidRPr="00906406" w:rsidRDefault="00906406" w:rsidP="00E4246F">
            <w:pPr>
              <w:cnfStyle w:val="000000000000" w:firstRow="0" w:lastRow="0" w:firstColumn="0" w:lastColumn="0" w:oddVBand="0" w:evenVBand="0" w:oddHBand="0" w:evenHBand="0" w:firstRowFirstColumn="0" w:firstRowLastColumn="0" w:lastRowFirstColumn="0" w:lastRowLastColumn="0"/>
            </w:pPr>
            <w:r w:rsidRPr="00E3306E">
              <w:t>35</w:t>
            </w:r>
            <w:r w:rsidR="00E4246F">
              <w:t>1</w:t>
            </w:r>
            <w:r w:rsidRPr="00E3306E">
              <w:t>.</w:t>
            </w:r>
            <w:r w:rsidR="00E4246F">
              <w:t>1</w:t>
            </w:r>
          </w:p>
        </w:tc>
        <w:tc>
          <w:tcPr>
            <w:tcW w:w="901" w:type="dxa"/>
            <w:noWrap/>
            <w:vAlign w:val="bottom"/>
          </w:tcPr>
          <w:p w:rsidR="00906406" w:rsidRPr="00906406" w:rsidRDefault="00906406" w:rsidP="00E4246F">
            <w:pPr>
              <w:cnfStyle w:val="000000000000" w:firstRow="0" w:lastRow="0" w:firstColumn="0" w:lastColumn="0" w:oddVBand="0" w:evenVBand="0" w:oddHBand="0" w:evenHBand="0" w:firstRowFirstColumn="0" w:firstRowLastColumn="0" w:lastRowFirstColumn="0" w:lastRowLastColumn="0"/>
            </w:pPr>
            <w:r w:rsidRPr="00E3306E">
              <w:t>35</w:t>
            </w:r>
            <w:r w:rsidR="00E4246F">
              <w:t>6</w:t>
            </w:r>
            <w:r w:rsidRPr="00E3306E">
              <w:t>.</w:t>
            </w:r>
            <w:r w:rsidR="00E4246F">
              <w:t>5</w:t>
            </w:r>
          </w:p>
        </w:tc>
        <w:tc>
          <w:tcPr>
            <w:tcW w:w="901" w:type="dxa"/>
            <w:vAlign w:val="bottom"/>
          </w:tcPr>
          <w:p w:rsidR="00906406" w:rsidRPr="00906406" w:rsidRDefault="00906406" w:rsidP="00E4246F">
            <w:pPr>
              <w:cnfStyle w:val="000000000000" w:firstRow="0" w:lastRow="0" w:firstColumn="0" w:lastColumn="0" w:oddVBand="0" w:evenVBand="0" w:oddHBand="0" w:evenHBand="0" w:firstRowFirstColumn="0" w:firstRowLastColumn="0" w:lastRowFirstColumn="0" w:lastRowLastColumn="0"/>
            </w:pPr>
            <w:r w:rsidRPr="00E3306E">
              <w:t>37</w:t>
            </w:r>
            <w:r w:rsidR="00E4246F">
              <w:t>0</w:t>
            </w:r>
            <w:r w:rsidRPr="00E3306E">
              <w:t>.</w:t>
            </w:r>
            <w:r w:rsidR="00E4246F">
              <w:t>6</w:t>
            </w:r>
          </w:p>
        </w:tc>
        <w:tc>
          <w:tcPr>
            <w:tcW w:w="901" w:type="dxa"/>
            <w:vAlign w:val="bottom"/>
          </w:tcPr>
          <w:p w:rsidR="00906406" w:rsidRPr="00906406" w:rsidRDefault="00906406" w:rsidP="00E4246F">
            <w:pPr>
              <w:cnfStyle w:val="000000000000" w:firstRow="0" w:lastRow="0" w:firstColumn="0" w:lastColumn="0" w:oddVBand="0" w:evenVBand="0" w:oddHBand="0" w:evenHBand="0" w:firstRowFirstColumn="0" w:firstRowLastColumn="0" w:lastRowFirstColumn="0" w:lastRowLastColumn="0"/>
            </w:pPr>
            <w:r w:rsidRPr="00E3306E">
              <w:t>39</w:t>
            </w:r>
            <w:r w:rsidR="00E4246F">
              <w:t>1</w:t>
            </w:r>
            <w:r w:rsidRPr="00E3306E">
              <w:t>.</w:t>
            </w:r>
            <w:r w:rsidR="00E4246F">
              <w:t>9</w:t>
            </w:r>
          </w:p>
        </w:tc>
        <w:tc>
          <w:tcPr>
            <w:tcW w:w="901" w:type="dxa"/>
            <w:vAlign w:val="bottom"/>
          </w:tcPr>
          <w:p w:rsidR="00906406" w:rsidRPr="00906406" w:rsidRDefault="00906406" w:rsidP="00E4246F">
            <w:pPr>
              <w:cnfStyle w:val="000000000000" w:firstRow="0" w:lastRow="0" w:firstColumn="0" w:lastColumn="0" w:oddVBand="0" w:evenVBand="0" w:oddHBand="0" w:evenHBand="0" w:firstRowFirstColumn="0" w:firstRowLastColumn="0" w:lastRowFirstColumn="0" w:lastRowLastColumn="0"/>
            </w:pPr>
            <w:r w:rsidRPr="00E3306E">
              <w:t>40</w:t>
            </w:r>
            <w:r w:rsidR="00E4246F">
              <w:t>4</w:t>
            </w:r>
            <w:r w:rsidRPr="00E3306E">
              <w:t>.</w:t>
            </w:r>
            <w:r w:rsidR="00E4246F">
              <w:t>1</w:t>
            </w:r>
          </w:p>
        </w:tc>
        <w:tc>
          <w:tcPr>
            <w:tcW w:w="901" w:type="dxa"/>
            <w:vAlign w:val="bottom"/>
          </w:tcPr>
          <w:p w:rsidR="00906406" w:rsidRPr="00906406" w:rsidRDefault="00906406" w:rsidP="00E4246F">
            <w:pPr>
              <w:cnfStyle w:val="000000000000" w:firstRow="0" w:lastRow="0" w:firstColumn="0" w:lastColumn="0" w:oddVBand="0" w:evenVBand="0" w:oddHBand="0" w:evenHBand="0" w:firstRowFirstColumn="0" w:firstRowLastColumn="0" w:lastRowFirstColumn="0" w:lastRowLastColumn="0"/>
            </w:pPr>
            <w:r w:rsidRPr="00E3306E">
              <w:t>187</w:t>
            </w:r>
            <w:r w:rsidR="00E4246F">
              <w:t>4</w:t>
            </w:r>
            <w:r w:rsidRPr="00E3306E">
              <w:t>.</w:t>
            </w:r>
            <w:r w:rsidR="00E4246F">
              <w:t>1</w:t>
            </w:r>
          </w:p>
        </w:tc>
      </w:tr>
      <w:tr w:rsidR="00906406" w:rsidRPr="00356B64" w:rsidTr="00906406">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50" w:type="dxa"/>
            <w:noWrap/>
          </w:tcPr>
          <w:p w:rsidR="00906406" w:rsidRPr="00AF402D" w:rsidRDefault="00AF402D" w:rsidP="00906406">
            <w:pPr>
              <w:rPr>
                <w:rStyle w:val="AERsuperscript"/>
              </w:rPr>
            </w:pPr>
            <w:r>
              <w:t>Revenue adjustments</w:t>
            </w:r>
            <w:r>
              <w:rPr>
                <w:rStyle w:val="AERsuperscript"/>
              </w:rPr>
              <w:t>b</w:t>
            </w:r>
          </w:p>
        </w:tc>
        <w:tc>
          <w:tcPr>
            <w:tcW w:w="900" w:type="dxa"/>
            <w:noWrap/>
            <w:vAlign w:val="bottom"/>
          </w:tcPr>
          <w:p w:rsidR="00906406" w:rsidRPr="00906406" w:rsidRDefault="00E4246F" w:rsidP="00E4246F">
            <w:pPr>
              <w:cnfStyle w:val="000000010000" w:firstRow="0" w:lastRow="0" w:firstColumn="0" w:lastColumn="0" w:oddVBand="0" w:evenVBand="0" w:oddHBand="0" w:evenHBand="1" w:firstRowFirstColumn="0" w:firstRowLastColumn="0" w:lastRowFirstColumn="0" w:lastRowLastColumn="0"/>
            </w:pPr>
            <w:r>
              <w:t>273.6</w:t>
            </w:r>
          </w:p>
        </w:tc>
        <w:tc>
          <w:tcPr>
            <w:tcW w:w="901" w:type="dxa"/>
            <w:noWrap/>
            <w:vAlign w:val="bottom"/>
          </w:tcPr>
          <w:p w:rsidR="00906406" w:rsidRPr="00906406" w:rsidRDefault="00906406" w:rsidP="00E4246F">
            <w:pPr>
              <w:cnfStyle w:val="000000010000" w:firstRow="0" w:lastRow="0" w:firstColumn="0" w:lastColumn="0" w:oddVBand="0" w:evenVBand="0" w:oddHBand="0" w:evenHBand="1" w:firstRowFirstColumn="0" w:firstRowLastColumn="0" w:lastRowFirstColumn="0" w:lastRowLastColumn="0"/>
            </w:pPr>
            <w:r>
              <w:t>–</w:t>
            </w:r>
            <w:r w:rsidR="00E4246F">
              <w:t>2</w:t>
            </w:r>
            <w:r w:rsidRPr="00906406">
              <w:t>.</w:t>
            </w:r>
            <w:r w:rsidR="00E4246F">
              <w:t>9</w:t>
            </w:r>
          </w:p>
        </w:tc>
        <w:tc>
          <w:tcPr>
            <w:tcW w:w="901" w:type="dxa"/>
            <w:vAlign w:val="bottom"/>
          </w:tcPr>
          <w:p w:rsidR="00906406" w:rsidRPr="00906406" w:rsidRDefault="00906406" w:rsidP="00E4246F">
            <w:pPr>
              <w:cnfStyle w:val="000000010000" w:firstRow="0" w:lastRow="0" w:firstColumn="0" w:lastColumn="0" w:oddVBand="0" w:evenVBand="0" w:oddHBand="0" w:evenHBand="1" w:firstRowFirstColumn="0" w:firstRowLastColumn="0" w:lastRowFirstColumn="0" w:lastRowLastColumn="0"/>
            </w:pPr>
            <w:r w:rsidRPr="00E3306E">
              <w:t>1.</w:t>
            </w:r>
            <w:r w:rsidR="00E4246F">
              <w:t>1</w:t>
            </w:r>
          </w:p>
        </w:tc>
        <w:tc>
          <w:tcPr>
            <w:tcW w:w="901" w:type="dxa"/>
            <w:vAlign w:val="bottom"/>
          </w:tcPr>
          <w:p w:rsidR="00906406" w:rsidRPr="00906406" w:rsidRDefault="00E4246F" w:rsidP="00E4246F">
            <w:pPr>
              <w:cnfStyle w:val="000000010000" w:firstRow="0" w:lastRow="0" w:firstColumn="0" w:lastColumn="0" w:oddVBand="0" w:evenVBand="0" w:oddHBand="0" w:evenHBand="1" w:firstRowFirstColumn="0" w:firstRowLastColumn="0" w:lastRowFirstColumn="0" w:lastRowLastColumn="0"/>
            </w:pPr>
            <w:r>
              <w:t>1</w:t>
            </w:r>
            <w:r w:rsidR="00906406" w:rsidRPr="00E3306E">
              <w:t>.</w:t>
            </w:r>
            <w:r>
              <w:t>1</w:t>
            </w:r>
          </w:p>
        </w:tc>
        <w:tc>
          <w:tcPr>
            <w:tcW w:w="901" w:type="dxa"/>
            <w:vAlign w:val="bottom"/>
          </w:tcPr>
          <w:p w:rsidR="00906406" w:rsidRPr="00906406" w:rsidRDefault="00E4246F" w:rsidP="00E4246F">
            <w:pPr>
              <w:cnfStyle w:val="000000010000" w:firstRow="0" w:lastRow="0" w:firstColumn="0" w:lastColumn="0" w:oddVBand="0" w:evenVBand="0" w:oddHBand="0" w:evenHBand="1" w:firstRowFirstColumn="0" w:firstRowLastColumn="0" w:lastRowFirstColumn="0" w:lastRowLastColumn="0"/>
            </w:pPr>
            <w:r>
              <w:t>1</w:t>
            </w:r>
            <w:r w:rsidR="00906406" w:rsidRPr="00E3306E">
              <w:t>.</w:t>
            </w:r>
            <w:r>
              <w:t>1</w:t>
            </w:r>
          </w:p>
        </w:tc>
        <w:tc>
          <w:tcPr>
            <w:tcW w:w="901" w:type="dxa"/>
            <w:vAlign w:val="bottom"/>
          </w:tcPr>
          <w:p w:rsidR="00906406" w:rsidRPr="00906406" w:rsidRDefault="00E4246F" w:rsidP="00E4246F">
            <w:pPr>
              <w:cnfStyle w:val="000000010000" w:firstRow="0" w:lastRow="0" w:firstColumn="0" w:lastColumn="0" w:oddVBand="0" w:evenVBand="0" w:oddHBand="0" w:evenHBand="1" w:firstRowFirstColumn="0" w:firstRowLastColumn="0" w:lastRowFirstColumn="0" w:lastRowLastColumn="0"/>
            </w:pPr>
            <w:r>
              <w:t>274.0</w:t>
            </w:r>
          </w:p>
        </w:tc>
      </w:tr>
      <w:tr w:rsidR="00906406" w:rsidRPr="00356B64" w:rsidTr="00906406">
        <w:trPr>
          <w:trHeight w:val="190"/>
        </w:trPr>
        <w:tc>
          <w:tcPr>
            <w:cnfStyle w:val="001000000000" w:firstRow="0" w:lastRow="0" w:firstColumn="1" w:lastColumn="0" w:oddVBand="0" w:evenVBand="0" w:oddHBand="0" w:evenHBand="0" w:firstRowFirstColumn="0" w:firstRowLastColumn="0" w:lastRowFirstColumn="0" w:lastRowLastColumn="0"/>
            <w:tcW w:w="3350" w:type="dxa"/>
            <w:noWrap/>
          </w:tcPr>
          <w:p w:rsidR="00906406" w:rsidRPr="00906406" w:rsidRDefault="00906406" w:rsidP="00906406">
            <w:r w:rsidRPr="00E3306E">
              <w:t>Net tax allowance</w:t>
            </w:r>
          </w:p>
        </w:tc>
        <w:tc>
          <w:tcPr>
            <w:tcW w:w="900" w:type="dxa"/>
            <w:noWrap/>
            <w:vAlign w:val="bottom"/>
          </w:tcPr>
          <w:p w:rsidR="00906406" w:rsidRPr="00906406" w:rsidRDefault="00E4246F" w:rsidP="00E4246F">
            <w:pPr>
              <w:cnfStyle w:val="000000000000" w:firstRow="0" w:lastRow="0" w:firstColumn="0" w:lastColumn="0" w:oddVBand="0" w:evenVBand="0" w:oddHBand="0" w:evenHBand="0" w:firstRowFirstColumn="0" w:firstRowLastColumn="0" w:lastRowFirstColumn="0" w:lastRowLastColumn="0"/>
            </w:pPr>
            <w:r>
              <w:t>94</w:t>
            </w:r>
            <w:r w:rsidR="00906406" w:rsidRPr="00E3306E">
              <w:t>.</w:t>
            </w:r>
            <w:r>
              <w:t>8</w:t>
            </w:r>
          </w:p>
        </w:tc>
        <w:tc>
          <w:tcPr>
            <w:tcW w:w="901" w:type="dxa"/>
            <w:noWrap/>
            <w:vAlign w:val="bottom"/>
          </w:tcPr>
          <w:p w:rsidR="00906406" w:rsidRPr="00906406" w:rsidRDefault="00906406" w:rsidP="00E4246F">
            <w:pPr>
              <w:cnfStyle w:val="000000000000" w:firstRow="0" w:lastRow="0" w:firstColumn="0" w:lastColumn="0" w:oddVBand="0" w:evenVBand="0" w:oddHBand="0" w:evenHBand="0" w:firstRowFirstColumn="0" w:firstRowLastColumn="0" w:lastRowFirstColumn="0" w:lastRowLastColumn="0"/>
            </w:pPr>
            <w:r w:rsidRPr="00E3306E">
              <w:t>1</w:t>
            </w:r>
            <w:r w:rsidR="00E4246F">
              <w:t>02</w:t>
            </w:r>
            <w:r w:rsidRPr="00E3306E">
              <w:t>.</w:t>
            </w:r>
            <w:r w:rsidR="00E4246F">
              <w:t>0</w:t>
            </w:r>
          </w:p>
        </w:tc>
        <w:tc>
          <w:tcPr>
            <w:tcW w:w="901" w:type="dxa"/>
            <w:vAlign w:val="bottom"/>
          </w:tcPr>
          <w:p w:rsidR="00906406" w:rsidRPr="00906406" w:rsidRDefault="00906406" w:rsidP="00E4246F">
            <w:pPr>
              <w:cnfStyle w:val="000000000000" w:firstRow="0" w:lastRow="0" w:firstColumn="0" w:lastColumn="0" w:oddVBand="0" w:evenVBand="0" w:oddHBand="0" w:evenHBand="0" w:firstRowFirstColumn="0" w:firstRowLastColumn="0" w:lastRowFirstColumn="0" w:lastRowLastColumn="0"/>
            </w:pPr>
            <w:r w:rsidRPr="00E3306E">
              <w:t>1</w:t>
            </w:r>
            <w:r w:rsidR="00E4246F">
              <w:t>07</w:t>
            </w:r>
            <w:r w:rsidRPr="00E3306E">
              <w:t>.</w:t>
            </w:r>
            <w:r w:rsidR="00E4246F">
              <w:t>9</w:t>
            </w:r>
          </w:p>
        </w:tc>
        <w:tc>
          <w:tcPr>
            <w:tcW w:w="901" w:type="dxa"/>
            <w:vAlign w:val="bottom"/>
          </w:tcPr>
          <w:p w:rsidR="00906406" w:rsidRPr="00906406" w:rsidRDefault="00906406" w:rsidP="00E4246F">
            <w:pPr>
              <w:cnfStyle w:val="000000000000" w:firstRow="0" w:lastRow="0" w:firstColumn="0" w:lastColumn="0" w:oddVBand="0" w:evenVBand="0" w:oddHBand="0" w:evenHBand="0" w:firstRowFirstColumn="0" w:firstRowLastColumn="0" w:lastRowFirstColumn="0" w:lastRowLastColumn="0"/>
            </w:pPr>
            <w:r w:rsidRPr="00E3306E">
              <w:t>1</w:t>
            </w:r>
            <w:r w:rsidR="00E4246F">
              <w:t>13</w:t>
            </w:r>
            <w:r w:rsidRPr="00E3306E">
              <w:t>.</w:t>
            </w:r>
            <w:r w:rsidR="00E4246F">
              <w:t>4</w:t>
            </w:r>
          </w:p>
        </w:tc>
        <w:tc>
          <w:tcPr>
            <w:tcW w:w="901" w:type="dxa"/>
            <w:vAlign w:val="bottom"/>
          </w:tcPr>
          <w:p w:rsidR="00906406" w:rsidRPr="00906406" w:rsidRDefault="00906406" w:rsidP="00E4246F">
            <w:pPr>
              <w:cnfStyle w:val="000000000000" w:firstRow="0" w:lastRow="0" w:firstColumn="0" w:lastColumn="0" w:oddVBand="0" w:evenVBand="0" w:oddHBand="0" w:evenHBand="0" w:firstRowFirstColumn="0" w:firstRowLastColumn="0" w:lastRowFirstColumn="0" w:lastRowLastColumn="0"/>
            </w:pPr>
            <w:r w:rsidRPr="00E3306E">
              <w:t>1</w:t>
            </w:r>
            <w:r w:rsidR="00E4246F">
              <w:t>20</w:t>
            </w:r>
            <w:r w:rsidRPr="00E3306E">
              <w:t>.</w:t>
            </w:r>
            <w:r w:rsidR="00E4246F">
              <w:t>1</w:t>
            </w:r>
          </w:p>
        </w:tc>
        <w:tc>
          <w:tcPr>
            <w:tcW w:w="901" w:type="dxa"/>
            <w:vAlign w:val="bottom"/>
          </w:tcPr>
          <w:p w:rsidR="00906406" w:rsidRPr="00906406" w:rsidRDefault="00E4246F" w:rsidP="00E4246F">
            <w:pPr>
              <w:cnfStyle w:val="000000000000" w:firstRow="0" w:lastRow="0" w:firstColumn="0" w:lastColumn="0" w:oddVBand="0" w:evenVBand="0" w:oddHBand="0" w:evenHBand="0" w:firstRowFirstColumn="0" w:firstRowLastColumn="0" w:lastRowFirstColumn="0" w:lastRowLastColumn="0"/>
            </w:pPr>
            <w:r>
              <w:t>538</w:t>
            </w:r>
            <w:r w:rsidR="00906406" w:rsidRPr="00E3306E">
              <w:t>.</w:t>
            </w:r>
            <w:r>
              <w:t>1</w:t>
            </w:r>
          </w:p>
        </w:tc>
      </w:tr>
      <w:tr w:rsidR="00906406" w:rsidRPr="00356B64" w:rsidTr="00906406">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50" w:type="dxa"/>
            <w:noWrap/>
            <w:hideMark/>
          </w:tcPr>
          <w:p w:rsidR="00906406" w:rsidRPr="00906406" w:rsidRDefault="00906406" w:rsidP="00906406">
            <w:r w:rsidRPr="00E3306E">
              <w:t>Annual revenue requirement (unsmoothed)</w:t>
            </w:r>
          </w:p>
        </w:tc>
        <w:tc>
          <w:tcPr>
            <w:tcW w:w="900" w:type="dxa"/>
            <w:noWrap/>
            <w:vAlign w:val="bottom"/>
          </w:tcPr>
          <w:p w:rsidR="00906406" w:rsidRPr="00906406" w:rsidRDefault="00906406" w:rsidP="00E4246F">
            <w:pPr>
              <w:cnfStyle w:val="000000010000" w:firstRow="0" w:lastRow="0" w:firstColumn="0" w:lastColumn="0" w:oddVBand="0" w:evenVBand="0" w:oddHBand="0" w:evenHBand="1" w:firstRowFirstColumn="0" w:firstRowLastColumn="0" w:lastRowFirstColumn="0" w:lastRowLastColumn="0"/>
            </w:pPr>
            <w:r w:rsidRPr="00E3306E">
              <w:t>1</w:t>
            </w:r>
            <w:r w:rsidR="00E4246F">
              <w:t>631</w:t>
            </w:r>
            <w:r w:rsidRPr="00E3306E">
              <w:t>.</w:t>
            </w:r>
            <w:r w:rsidR="00E4246F">
              <w:t>5</w:t>
            </w:r>
          </w:p>
        </w:tc>
        <w:tc>
          <w:tcPr>
            <w:tcW w:w="901" w:type="dxa"/>
            <w:noWrap/>
            <w:vAlign w:val="bottom"/>
          </w:tcPr>
          <w:p w:rsidR="00906406" w:rsidRPr="00906406" w:rsidRDefault="00906406" w:rsidP="00E4246F">
            <w:pPr>
              <w:cnfStyle w:val="000000010000" w:firstRow="0" w:lastRow="0" w:firstColumn="0" w:lastColumn="0" w:oddVBand="0" w:evenVBand="0" w:oddHBand="0" w:evenHBand="1" w:firstRowFirstColumn="0" w:firstRowLastColumn="0" w:lastRowFirstColumn="0" w:lastRowLastColumn="0"/>
            </w:pPr>
            <w:r w:rsidRPr="00E3306E">
              <w:t>14</w:t>
            </w:r>
            <w:r w:rsidR="00E4246F">
              <w:t>18</w:t>
            </w:r>
            <w:r w:rsidRPr="00E3306E">
              <w:t>.</w:t>
            </w:r>
            <w:r w:rsidR="00E4246F">
              <w:t>4</w:t>
            </w:r>
          </w:p>
        </w:tc>
        <w:tc>
          <w:tcPr>
            <w:tcW w:w="901" w:type="dxa"/>
            <w:vAlign w:val="bottom"/>
          </w:tcPr>
          <w:p w:rsidR="00906406" w:rsidRPr="00906406" w:rsidRDefault="00906406" w:rsidP="00E4246F">
            <w:pPr>
              <w:cnfStyle w:val="000000010000" w:firstRow="0" w:lastRow="0" w:firstColumn="0" w:lastColumn="0" w:oddVBand="0" w:evenVBand="0" w:oddHBand="0" w:evenHBand="1" w:firstRowFirstColumn="0" w:firstRowLastColumn="0" w:lastRowFirstColumn="0" w:lastRowLastColumn="0"/>
            </w:pPr>
            <w:r w:rsidRPr="00E3306E">
              <w:t>1</w:t>
            </w:r>
            <w:r w:rsidR="00E4246F">
              <w:t>495.2</w:t>
            </w:r>
          </w:p>
        </w:tc>
        <w:tc>
          <w:tcPr>
            <w:tcW w:w="901" w:type="dxa"/>
            <w:vAlign w:val="bottom"/>
          </w:tcPr>
          <w:p w:rsidR="00906406" w:rsidRPr="00906406" w:rsidRDefault="00906406" w:rsidP="00E4246F">
            <w:pPr>
              <w:cnfStyle w:val="000000010000" w:firstRow="0" w:lastRow="0" w:firstColumn="0" w:lastColumn="0" w:oddVBand="0" w:evenVBand="0" w:oddHBand="0" w:evenHBand="1" w:firstRowFirstColumn="0" w:firstRowLastColumn="0" w:lastRowFirstColumn="0" w:lastRowLastColumn="0"/>
            </w:pPr>
            <w:r w:rsidRPr="00E3306E">
              <w:t>1</w:t>
            </w:r>
            <w:r w:rsidR="00E4246F">
              <w:t>565</w:t>
            </w:r>
            <w:r w:rsidRPr="00E3306E">
              <w:t>.</w:t>
            </w:r>
            <w:r w:rsidR="00E4246F">
              <w:t>1</w:t>
            </w:r>
          </w:p>
        </w:tc>
        <w:tc>
          <w:tcPr>
            <w:tcW w:w="901" w:type="dxa"/>
            <w:vAlign w:val="bottom"/>
          </w:tcPr>
          <w:p w:rsidR="00906406" w:rsidRPr="00906406" w:rsidRDefault="00906406" w:rsidP="00E4246F">
            <w:pPr>
              <w:cnfStyle w:val="000000010000" w:firstRow="0" w:lastRow="0" w:firstColumn="0" w:lastColumn="0" w:oddVBand="0" w:evenVBand="0" w:oddHBand="0" w:evenHBand="1" w:firstRowFirstColumn="0" w:firstRowLastColumn="0" w:lastRowFirstColumn="0" w:lastRowLastColumn="0"/>
            </w:pPr>
            <w:r w:rsidRPr="00E3306E">
              <w:t>1</w:t>
            </w:r>
            <w:r w:rsidR="00E4246F">
              <w:t>629</w:t>
            </w:r>
            <w:r w:rsidRPr="00E3306E">
              <w:t>.1</w:t>
            </w:r>
          </w:p>
        </w:tc>
        <w:tc>
          <w:tcPr>
            <w:tcW w:w="901" w:type="dxa"/>
            <w:vAlign w:val="bottom"/>
          </w:tcPr>
          <w:p w:rsidR="00906406" w:rsidRPr="00906406" w:rsidRDefault="00E4246F" w:rsidP="00E4246F">
            <w:pPr>
              <w:cnfStyle w:val="000000010000" w:firstRow="0" w:lastRow="0" w:firstColumn="0" w:lastColumn="0" w:oddVBand="0" w:evenVBand="0" w:oddHBand="0" w:evenHBand="1" w:firstRowFirstColumn="0" w:firstRowLastColumn="0" w:lastRowFirstColumn="0" w:lastRowLastColumn="0"/>
            </w:pPr>
            <w:r>
              <w:t>7739</w:t>
            </w:r>
            <w:r w:rsidR="00906406" w:rsidRPr="00E3306E">
              <w:t>.</w:t>
            </w:r>
            <w:r>
              <w:t>3</w:t>
            </w:r>
          </w:p>
        </w:tc>
      </w:tr>
      <w:tr w:rsidR="00906406" w:rsidRPr="00CB428A" w:rsidTr="00906406">
        <w:trPr>
          <w:trHeight w:val="190"/>
        </w:trPr>
        <w:tc>
          <w:tcPr>
            <w:cnfStyle w:val="001000000000" w:firstRow="0" w:lastRow="0" w:firstColumn="1" w:lastColumn="0" w:oddVBand="0" w:evenVBand="0" w:oddHBand="0" w:evenHBand="0" w:firstRowFirstColumn="0" w:firstRowLastColumn="0" w:lastRowFirstColumn="0" w:lastRowLastColumn="0"/>
            <w:tcW w:w="3350" w:type="dxa"/>
            <w:noWrap/>
            <w:hideMark/>
          </w:tcPr>
          <w:p w:rsidR="00906406" w:rsidRPr="00906406" w:rsidRDefault="00906406" w:rsidP="00906406">
            <w:pPr>
              <w:rPr>
                <w:rStyle w:val="Strong"/>
              </w:rPr>
            </w:pPr>
            <w:r w:rsidRPr="00CB428A">
              <w:rPr>
                <w:rStyle w:val="Strong"/>
              </w:rPr>
              <w:t xml:space="preserve">Annual expected revenue </w:t>
            </w:r>
            <w:r w:rsidRPr="00906406">
              <w:rPr>
                <w:rStyle w:val="Strong"/>
              </w:rPr>
              <w:br/>
              <w:t>(exc. additionals)</w:t>
            </w:r>
          </w:p>
        </w:tc>
        <w:tc>
          <w:tcPr>
            <w:tcW w:w="900" w:type="dxa"/>
            <w:noWrap/>
            <w:vAlign w:val="bottom"/>
          </w:tcPr>
          <w:p w:rsidR="00906406" w:rsidRPr="00906406" w:rsidRDefault="00906406" w:rsidP="003F1C04">
            <w:pPr>
              <w:cnfStyle w:val="000000000000" w:firstRow="0" w:lastRow="0" w:firstColumn="0" w:lastColumn="0" w:oddVBand="0" w:evenVBand="0" w:oddHBand="0" w:evenHBand="0" w:firstRowFirstColumn="0" w:firstRowLastColumn="0" w:lastRowFirstColumn="0" w:lastRowLastColumn="0"/>
              <w:rPr>
                <w:rStyle w:val="Strong"/>
              </w:rPr>
            </w:pPr>
            <w:r w:rsidRPr="00CB428A">
              <w:rPr>
                <w:rStyle w:val="Strong"/>
              </w:rPr>
              <w:t>1</w:t>
            </w:r>
            <w:r w:rsidR="00E4246F">
              <w:rPr>
                <w:rStyle w:val="Strong"/>
              </w:rPr>
              <w:t>139</w:t>
            </w:r>
            <w:r w:rsidRPr="00CB428A">
              <w:rPr>
                <w:rStyle w:val="Strong"/>
              </w:rPr>
              <w:t>.</w:t>
            </w:r>
            <w:r w:rsidR="00E4246F">
              <w:rPr>
                <w:rStyle w:val="Strong"/>
              </w:rPr>
              <w:t>8</w:t>
            </w:r>
            <w:r w:rsidR="003F1C04">
              <w:rPr>
                <w:rStyle w:val="AERsuperscript"/>
              </w:rPr>
              <w:t>c</w:t>
            </w:r>
          </w:p>
        </w:tc>
        <w:tc>
          <w:tcPr>
            <w:tcW w:w="901" w:type="dxa"/>
            <w:noWrap/>
            <w:vAlign w:val="bottom"/>
          </w:tcPr>
          <w:p w:rsidR="00906406" w:rsidRPr="00906406" w:rsidRDefault="00906406" w:rsidP="00E4246F">
            <w:pPr>
              <w:cnfStyle w:val="000000000000" w:firstRow="0" w:lastRow="0" w:firstColumn="0" w:lastColumn="0" w:oddVBand="0" w:evenVBand="0" w:oddHBand="0" w:evenHBand="0" w:firstRowFirstColumn="0" w:firstRowLastColumn="0" w:lastRowFirstColumn="0" w:lastRowLastColumn="0"/>
              <w:rPr>
                <w:rStyle w:val="Strong"/>
              </w:rPr>
            </w:pPr>
            <w:r w:rsidRPr="00CB428A">
              <w:rPr>
                <w:rStyle w:val="Strong"/>
              </w:rPr>
              <w:t>1</w:t>
            </w:r>
            <w:r w:rsidR="00E4246F">
              <w:rPr>
                <w:rStyle w:val="Strong"/>
              </w:rPr>
              <w:t>318</w:t>
            </w:r>
            <w:r w:rsidRPr="00CB428A">
              <w:rPr>
                <w:rStyle w:val="Strong"/>
              </w:rPr>
              <w:t>.</w:t>
            </w:r>
            <w:r w:rsidR="00E4246F">
              <w:rPr>
                <w:rStyle w:val="Strong"/>
              </w:rPr>
              <w:t>7</w:t>
            </w:r>
          </w:p>
        </w:tc>
        <w:tc>
          <w:tcPr>
            <w:tcW w:w="901" w:type="dxa"/>
            <w:vAlign w:val="bottom"/>
          </w:tcPr>
          <w:p w:rsidR="00906406" w:rsidRPr="00906406" w:rsidRDefault="00906406" w:rsidP="00E4246F">
            <w:pPr>
              <w:cnfStyle w:val="000000000000" w:firstRow="0" w:lastRow="0" w:firstColumn="0" w:lastColumn="0" w:oddVBand="0" w:evenVBand="0" w:oddHBand="0" w:evenHBand="0" w:firstRowFirstColumn="0" w:firstRowLastColumn="0" w:lastRowFirstColumn="0" w:lastRowLastColumn="0"/>
              <w:rPr>
                <w:rStyle w:val="Strong"/>
              </w:rPr>
            </w:pPr>
            <w:r w:rsidRPr="00CB428A">
              <w:rPr>
                <w:rStyle w:val="Strong"/>
              </w:rPr>
              <w:t>17</w:t>
            </w:r>
            <w:r w:rsidR="00E4246F">
              <w:rPr>
                <w:rStyle w:val="Strong"/>
              </w:rPr>
              <w:t>22</w:t>
            </w:r>
            <w:r w:rsidRPr="00CB428A">
              <w:rPr>
                <w:rStyle w:val="Strong"/>
              </w:rPr>
              <w:t>.</w:t>
            </w:r>
            <w:r w:rsidR="00E4246F">
              <w:rPr>
                <w:rStyle w:val="Strong"/>
              </w:rPr>
              <w:t>2</w:t>
            </w:r>
          </w:p>
        </w:tc>
        <w:tc>
          <w:tcPr>
            <w:tcW w:w="901" w:type="dxa"/>
            <w:vAlign w:val="bottom"/>
          </w:tcPr>
          <w:p w:rsidR="00906406" w:rsidRPr="00906406" w:rsidRDefault="00906406" w:rsidP="00E4246F">
            <w:pPr>
              <w:cnfStyle w:val="000000000000" w:firstRow="0" w:lastRow="0" w:firstColumn="0" w:lastColumn="0" w:oddVBand="0" w:evenVBand="0" w:oddHBand="0" w:evenHBand="0" w:firstRowFirstColumn="0" w:firstRowLastColumn="0" w:lastRowFirstColumn="0" w:lastRowLastColumn="0"/>
              <w:rPr>
                <w:rStyle w:val="Strong"/>
              </w:rPr>
            </w:pPr>
            <w:r w:rsidRPr="00CB428A">
              <w:rPr>
                <w:rStyle w:val="Strong"/>
              </w:rPr>
              <w:t>180</w:t>
            </w:r>
            <w:r w:rsidR="00E4246F">
              <w:rPr>
                <w:rStyle w:val="Strong"/>
              </w:rPr>
              <w:t>4</w:t>
            </w:r>
            <w:r w:rsidRPr="00CB428A">
              <w:rPr>
                <w:rStyle w:val="Strong"/>
              </w:rPr>
              <w:t>.</w:t>
            </w:r>
            <w:r w:rsidR="00E4246F">
              <w:rPr>
                <w:rStyle w:val="Strong"/>
              </w:rPr>
              <w:t>1</w:t>
            </w:r>
          </w:p>
        </w:tc>
        <w:tc>
          <w:tcPr>
            <w:tcW w:w="901" w:type="dxa"/>
            <w:vAlign w:val="bottom"/>
          </w:tcPr>
          <w:p w:rsidR="00906406" w:rsidRPr="00906406" w:rsidRDefault="00906406" w:rsidP="00E4246F">
            <w:pPr>
              <w:cnfStyle w:val="000000000000" w:firstRow="0" w:lastRow="0" w:firstColumn="0" w:lastColumn="0" w:oddVBand="0" w:evenVBand="0" w:oddHBand="0" w:evenHBand="0" w:firstRowFirstColumn="0" w:firstRowLastColumn="0" w:lastRowFirstColumn="0" w:lastRowLastColumn="0"/>
              <w:rPr>
                <w:rStyle w:val="Strong"/>
              </w:rPr>
            </w:pPr>
            <w:r w:rsidRPr="00CB428A">
              <w:rPr>
                <w:rStyle w:val="Strong"/>
              </w:rPr>
              <w:t>18</w:t>
            </w:r>
            <w:r w:rsidR="00E4246F">
              <w:rPr>
                <w:rStyle w:val="Strong"/>
              </w:rPr>
              <w:t>88</w:t>
            </w:r>
            <w:r w:rsidRPr="00CB428A">
              <w:rPr>
                <w:rStyle w:val="Strong"/>
              </w:rPr>
              <w:t>.7</w:t>
            </w:r>
          </w:p>
        </w:tc>
        <w:tc>
          <w:tcPr>
            <w:tcW w:w="901" w:type="dxa"/>
            <w:vAlign w:val="bottom"/>
          </w:tcPr>
          <w:p w:rsidR="00906406" w:rsidRPr="00906406" w:rsidRDefault="00E4246F" w:rsidP="00E4246F">
            <w:pPr>
              <w:cnfStyle w:val="000000000000" w:firstRow="0" w:lastRow="0" w:firstColumn="0" w:lastColumn="0" w:oddVBand="0" w:evenVBand="0" w:oddHBand="0" w:evenHBand="0" w:firstRowFirstColumn="0" w:firstRowLastColumn="0" w:lastRowFirstColumn="0" w:lastRowLastColumn="0"/>
              <w:rPr>
                <w:rStyle w:val="Strong"/>
              </w:rPr>
            </w:pPr>
            <w:r>
              <w:rPr>
                <w:rStyle w:val="Strong"/>
              </w:rPr>
              <w:t>7873</w:t>
            </w:r>
            <w:r w:rsidR="00906406" w:rsidRPr="00CB428A">
              <w:rPr>
                <w:rStyle w:val="Strong"/>
              </w:rPr>
              <w:t>.</w:t>
            </w:r>
            <w:r>
              <w:rPr>
                <w:rStyle w:val="Strong"/>
              </w:rPr>
              <w:t>5</w:t>
            </w:r>
          </w:p>
        </w:tc>
      </w:tr>
      <w:tr w:rsidR="00906406" w:rsidRPr="00356B64" w:rsidTr="00906406">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50" w:type="dxa"/>
            <w:noWrap/>
            <w:hideMark/>
          </w:tcPr>
          <w:p w:rsidR="00906406" w:rsidRPr="00906406" w:rsidRDefault="00906406" w:rsidP="00906406">
            <w:r w:rsidRPr="00E3306E">
              <w:t>X factor</w:t>
            </w:r>
          </w:p>
        </w:tc>
        <w:tc>
          <w:tcPr>
            <w:tcW w:w="900" w:type="dxa"/>
            <w:noWrap/>
            <w:vAlign w:val="bottom"/>
          </w:tcPr>
          <w:p w:rsidR="00906406" w:rsidRPr="009C6E94" w:rsidRDefault="00207672" w:rsidP="003F1C04">
            <w:pPr>
              <w:cnfStyle w:val="000000010000" w:firstRow="0" w:lastRow="0" w:firstColumn="0" w:lastColumn="0" w:oddVBand="0" w:evenVBand="0" w:oddHBand="0" w:evenHBand="1" w:firstRowFirstColumn="0" w:firstRowLastColumn="0" w:lastRowFirstColumn="0" w:lastRowLastColumn="0"/>
              <w:rPr>
                <w:rStyle w:val="AERsuperscript"/>
              </w:rPr>
            </w:pPr>
            <w:r>
              <w:t>n/a</w:t>
            </w:r>
          </w:p>
        </w:tc>
        <w:tc>
          <w:tcPr>
            <w:tcW w:w="901" w:type="dxa"/>
            <w:noWrap/>
            <w:vAlign w:val="bottom"/>
          </w:tcPr>
          <w:p w:rsidR="00906406" w:rsidRPr="00906406" w:rsidRDefault="00906406" w:rsidP="009C6E94">
            <w:pPr>
              <w:cnfStyle w:val="000000010000" w:firstRow="0" w:lastRow="0" w:firstColumn="0" w:lastColumn="0" w:oddVBand="0" w:evenVBand="0" w:oddHBand="0" w:evenHBand="1" w:firstRowFirstColumn="0" w:firstRowLastColumn="0" w:lastRowFirstColumn="0" w:lastRowLastColumn="0"/>
            </w:pPr>
            <w:r>
              <w:t>–</w:t>
            </w:r>
            <w:r w:rsidR="009C6E94">
              <w:t>12</w:t>
            </w:r>
            <w:r w:rsidRPr="00906406">
              <w:t>.</w:t>
            </w:r>
            <w:r w:rsidR="009C6E94">
              <w:t>88</w:t>
            </w:r>
            <w:r w:rsidRPr="00906406">
              <w:t>%</w:t>
            </w:r>
          </w:p>
        </w:tc>
        <w:tc>
          <w:tcPr>
            <w:tcW w:w="901" w:type="dxa"/>
            <w:vAlign w:val="bottom"/>
          </w:tcPr>
          <w:p w:rsidR="00906406" w:rsidRPr="00906406" w:rsidRDefault="00906406" w:rsidP="009C6E94">
            <w:pPr>
              <w:cnfStyle w:val="000000010000" w:firstRow="0" w:lastRow="0" w:firstColumn="0" w:lastColumn="0" w:oddVBand="0" w:evenVBand="0" w:oddHBand="0" w:evenHBand="1" w:firstRowFirstColumn="0" w:firstRowLastColumn="0" w:lastRowFirstColumn="0" w:lastRowLastColumn="0"/>
            </w:pPr>
            <w:r>
              <w:t>–</w:t>
            </w:r>
            <w:r w:rsidR="009C6E94">
              <w:t>27</w:t>
            </w:r>
            <w:r w:rsidRPr="00906406">
              <w:t>.</w:t>
            </w:r>
            <w:r w:rsidR="009C6E94">
              <w:t>41</w:t>
            </w:r>
            <w:r w:rsidRPr="00906406">
              <w:t>%</w:t>
            </w:r>
          </w:p>
        </w:tc>
        <w:tc>
          <w:tcPr>
            <w:tcW w:w="901" w:type="dxa"/>
            <w:vAlign w:val="bottom"/>
          </w:tcPr>
          <w:p w:rsidR="00906406" w:rsidRPr="00906406" w:rsidRDefault="00906406" w:rsidP="009C6E94">
            <w:pPr>
              <w:cnfStyle w:val="000000010000" w:firstRow="0" w:lastRow="0" w:firstColumn="0" w:lastColumn="0" w:oddVBand="0" w:evenVBand="0" w:oddHBand="0" w:evenHBand="1" w:firstRowFirstColumn="0" w:firstRowLastColumn="0" w:lastRowFirstColumn="0" w:lastRowLastColumn="0"/>
            </w:pPr>
            <w:r>
              <w:t>–</w:t>
            </w:r>
            <w:r w:rsidR="009C6E94">
              <w:t>2</w:t>
            </w:r>
            <w:r w:rsidRPr="00906406">
              <w:t>.</w:t>
            </w:r>
            <w:r w:rsidR="009C6E94">
              <w:t>2</w:t>
            </w:r>
            <w:r w:rsidRPr="00906406">
              <w:t>0%</w:t>
            </w:r>
          </w:p>
        </w:tc>
        <w:tc>
          <w:tcPr>
            <w:tcW w:w="901" w:type="dxa"/>
            <w:vAlign w:val="bottom"/>
          </w:tcPr>
          <w:p w:rsidR="00906406" w:rsidRPr="00906406" w:rsidRDefault="00906406" w:rsidP="009C6E94">
            <w:pPr>
              <w:cnfStyle w:val="000000010000" w:firstRow="0" w:lastRow="0" w:firstColumn="0" w:lastColumn="0" w:oddVBand="0" w:evenVBand="0" w:oddHBand="0" w:evenHBand="1" w:firstRowFirstColumn="0" w:firstRowLastColumn="0" w:lastRowFirstColumn="0" w:lastRowLastColumn="0"/>
            </w:pPr>
            <w:r>
              <w:t>–</w:t>
            </w:r>
            <w:r w:rsidR="009C6E94">
              <w:t>2</w:t>
            </w:r>
            <w:r w:rsidRPr="00906406">
              <w:t>.</w:t>
            </w:r>
            <w:r w:rsidR="009C6E94">
              <w:t>13</w:t>
            </w:r>
            <w:r w:rsidRPr="00906406">
              <w:t>%</w:t>
            </w:r>
          </w:p>
        </w:tc>
        <w:tc>
          <w:tcPr>
            <w:tcW w:w="901" w:type="dxa"/>
            <w:vAlign w:val="bottom"/>
          </w:tcPr>
          <w:p w:rsidR="00906406" w:rsidRPr="00906406" w:rsidRDefault="00906406" w:rsidP="00906406">
            <w:pPr>
              <w:cnfStyle w:val="000000010000" w:firstRow="0" w:lastRow="0" w:firstColumn="0" w:lastColumn="0" w:oddVBand="0" w:evenVBand="0" w:oddHBand="0" w:evenHBand="1" w:firstRowFirstColumn="0" w:firstRowLastColumn="0" w:lastRowFirstColumn="0" w:lastRowLastColumn="0"/>
            </w:pPr>
            <w:r w:rsidRPr="00E3306E">
              <w:t>n/a</w:t>
            </w:r>
          </w:p>
        </w:tc>
      </w:tr>
      <w:tr w:rsidR="00906406" w:rsidRPr="00356B64" w:rsidTr="00906406">
        <w:trPr>
          <w:trHeight w:val="190"/>
        </w:trPr>
        <w:tc>
          <w:tcPr>
            <w:cnfStyle w:val="001000000000" w:firstRow="0" w:lastRow="0" w:firstColumn="1" w:lastColumn="0" w:oddVBand="0" w:evenVBand="0" w:oddHBand="0" w:evenHBand="0" w:firstRowFirstColumn="0" w:firstRowLastColumn="0" w:lastRowFirstColumn="0" w:lastRowLastColumn="0"/>
            <w:tcW w:w="3350" w:type="dxa"/>
            <w:noWrap/>
          </w:tcPr>
          <w:p w:rsidR="00906406" w:rsidRPr="00906406" w:rsidRDefault="00906406" w:rsidP="00906406">
            <w:r>
              <w:t xml:space="preserve">Additional </w:t>
            </w:r>
            <w:r w:rsidRPr="00906406">
              <w:t>amounts in DUoS</w:t>
            </w:r>
          </w:p>
        </w:tc>
        <w:tc>
          <w:tcPr>
            <w:tcW w:w="900" w:type="dxa"/>
            <w:noWrap/>
            <w:vAlign w:val="top"/>
          </w:tcPr>
          <w:p w:rsidR="00906406" w:rsidRPr="00906406" w:rsidRDefault="009C6E94" w:rsidP="009C6E94">
            <w:pPr>
              <w:cnfStyle w:val="000000000000" w:firstRow="0" w:lastRow="0" w:firstColumn="0" w:lastColumn="0" w:oddVBand="0" w:evenVBand="0" w:oddHBand="0" w:evenHBand="0" w:firstRowFirstColumn="0" w:firstRowLastColumn="0" w:lastRowFirstColumn="0" w:lastRowLastColumn="0"/>
            </w:pPr>
            <w:r>
              <w:t>628.6</w:t>
            </w:r>
          </w:p>
        </w:tc>
        <w:tc>
          <w:tcPr>
            <w:tcW w:w="901" w:type="dxa"/>
            <w:noWrap/>
            <w:vAlign w:val="top"/>
          </w:tcPr>
          <w:p w:rsidR="00906406" w:rsidRPr="00906406" w:rsidDel="00BC5D56" w:rsidRDefault="009C6E94" w:rsidP="009C6E94">
            <w:pPr>
              <w:cnfStyle w:val="000000000000" w:firstRow="0" w:lastRow="0" w:firstColumn="0" w:lastColumn="0" w:oddVBand="0" w:evenVBand="0" w:oddHBand="0" w:evenHBand="0" w:firstRowFirstColumn="0" w:firstRowLastColumn="0" w:lastRowFirstColumn="0" w:lastRowLastColumn="0"/>
            </w:pPr>
            <w:r>
              <w:t>516.4</w:t>
            </w:r>
          </w:p>
        </w:tc>
        <w:tc>
          <w:tcPr>
            <w:tcW w:w="901" w:type="dxa"/>
            <w:vAlign w:val="top"/>
          </w:tcPr>
          <w:p w:rsidR="00906406" w:rsidRPr="00906406" w:rsidRDefault="00906406" w:rsidP="009C6E94">
            <w:pPr>
              <w:cnfStyle w:val="000000000000" w:firstRow="0" w:lastRow="0" w:firstColumn="0" w:lastColumn="0" w:oddVBand="0" w:evenVBand="0" w:oddHBand="0" w:evenHBand="0" w:firstRowFirstColumn="0" w:firstRowLastColumn="0" w:lastRowFirstColumn="0" w:lastRowLastColumn="0"/>
            </w:pPr>
            <w:r>
              <w:t>18</w:t>
            </w:r>
            <w:r w:rsidR="009C6E94">
              <w:t>2</w:t>
            </w:r>
            <w:r>
              <w:t>.</w:t>
            </w:r>
            <w:r w:rsidR="009C6E94">
              <w:t>1</w:t>
            </w:r>
          </w:p>
        </w:tc>
        <w:tc>
          <w:tcPr>
            <w:tcW w:w="901" w:type="dxa"/>
            <w:vAlign w:val="top"/>
          </w:tcPr>
          <w:p w:rsidR="00906406" w:rsidRPr="00906406" w:rsidRDefault="00906406" w:rsidP="009C6E94">
            <w:pPr>
              <w:cnfStyle w:val="000000000000" w:firstRow="0" w:lastRow="0" w:firstColumn="0" w:lastColumn="0" w:oddVBand="0" w:evenVBand="0" w:oddHBand="0" w:evenHBand="0" w:firstRowFirstColumn="0" w:firstRowLastColumn="0" w:lastRowFirstColumn="0" w:lastRowLastColumn="0"/>
            </w:pPr>
            <w:r>
              <w:t>17</w:t>
            </w:r>
            <w:r w:rsidR="009C6E94">
              <w:t>2</w:t>
            </w:r>
            <w:r>
              <w:t>.</w:t>
            </w:r>
            <w:r w:rsidR="009C6E94">
              <w:t>0</w:t>
            </w:r>
          </w:p>
        </w:tc>
        <w:tc>
          <w:tcPr>
            <w:tcW w:w="901" w:type="dxa"/>
            <w:vAlign w:val="top"/>
          </w:tcPr>
          <w:p w:rsidR="00906406" w:rsidRPr="00906406" w:rsidRDefault="00906406" w:rsidP="009C6E94">
            <w:pPr>
              <w:cnfStyle w:val="000000000000" w:firstRow="0" w:lastRow="0" w:firstColumn="0" w:lastColumn="0" w:oddVBand="0" w:evenVBand="0" w:oddHBand="0" w:evenHBand="0" w:firstRowFirstColumn="0" w:firstRowLastColumn="0" w:lastRowFirstColumn="0" w:lastRowLastColumn="0"/>
            </w:pPr>
            <w:r>
              <w:t>16</w:t>
            </w:r>
            <w:r w:rsidR="009C6E94">
              <w:t>2</w:t>
            </w:r>
            <w:r>
              <w:t>.</w:t>
            </w:r>
            <w:r w:rsidR="009C6E94">
              <w:t>0</w:t>
            </w:r>
          </w:p>
        </w:tc>
        <w:tc>
          <w:tcPr>
            <w:tcW w:w="901" w:type="dxa"/>
          </w:tcPr>
          <w:p w:rsidR="00906406" w:rsidRPr="00906406" w:rsidRDefault="00906406" w:rsidP="009C6E94">
            <w:pPr>
              <w:cnfStyle w:val="000000000000" w:firstRow="0" w:lastRow="0" w:firstColumn="0" w:lastColumn="0" w:oddVBand="0" w:evenVBand="0" w:oddHBand="0" w:evenHBand="0" w:firstRowFirstColumn="0" w:firstRowLastColumn="0" w:lastRowFirstColumn="0" w:lastRowLastColumn="0"/>
            </w:pPr>
            <w:r>
              <w:t>1</w:t>
            </w:r>
            <w:r w:rsidR="009C6E94">
              <w:t>661</w:t>
            </w:r>
            <w:r>
              <w:t>.</w:t>
            </w:r>
            <w:r w:rsidR="009C6E94">
              <w:t>1</w:t>
            </w:r>
          </w:p>
        </w:tc>
      </w:tr>
      <w:tr w:rsidR="00906406" w:rsidRPr="00BC4D54" w:rsidTr="00906406">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50" w:type="dxa"/>
            <w:noWrap/>
          </w:tcPr>
          <w:p w:rsidR="00906406" w:rsidRPr="00906406" w:rsidRDefault="00906406" w:rsidP="00906406">
            <w:pPr>
              <w:rPr>
                <w:rStyle w:val="Strong"/>
              </w:rPr>
            </w:pPr>
            <w:r w:rsidRPr="00BC4D54">
              <w:rPr>
                <w:rStyle w:val="Strong"/>
              </w:rPr>
              <w:t xml:space="preserve">Annual expected revenue </w:t>
            </w:r>
            <w:r w:rsidRPr="00906406">
              <w:rPr>
                <w:rStyle w:val="Strong"/>
              </w:rPr>
              <w:br/>
              <w:t>(smoothed –inc. additionals)</w:t>
            </w:r>
          </w:p>
        </w:tc>
        <w:tc>
          <w:tcPr>
            <w:tcW w:w="900" w:type="dxa"/>
            <w:noWrap/>
            <w:vAlign w:val="bottom"/>
          </w:tcPr>
          <w:p w:rsidR="00906406" w:rsidRPr="00906406" w:rsidRDefault="00906406" w:rsidP="009C6E94">
            <w:pPr>
              <w:cnfStyle w:val="000000010000" w:firstRow="0" w:lastRow="0" w:firstColumn="0" w:lastColumn="0" w:oddVBand="0" w:evenVBand="0" w:oddHBand="0" w:evenHBand="1" w:firstRowFirstColumn="0" w:firstRowLastColumn="0" w:lastRowFirstColumn="0" w:lastRowLastColumn="0"/>
              <w:rPr>
                <w:rStyle w:val="Strong"/>
              </w:rPr>
            </w:pPr>
            <w:r w:rsidRPr="00BC4D54">
              <w:rPr>
                <w:rStyle w:val="Strong"/>
              </w:rPr>
              <w:t>1</w:t>
            </w:r>
            <w:r w:rsidR="009C6E94">
              <w:rPr>
                <w:rStyle w:val="Strong"/>
              </w:rPr>
              <w:t>768</w:t>
            </w:r>
            <w:r w:rsidRPr="00BC4D54">
              <w:rPr>
                <w:rStyle w:val="Strong"/>
              </w:rPr>
              <w:t>.</w:t>
            </w:r>
            <w:r w:rsidR="009C6E94">
              <w:rPr>
                <w:rStyle w:val="Strong"/>
              </w:rPr>
              <w:t>4</w:t>
            </w:r>
          </w:p>
        </w:tc>
        <w:tc>
          <w:tcPr>
            <w:tcW w:w="901" w:type="dxa"/>
            <w:noWrap/>
            <w:vAlign w:val="bottom"/>
          </w:tcPr>
          <w:p w:rsidR="00906406" w:rsidRPr="00906406" w:rsidRDefault="00906406" w:rsidP="009C6E94">
            <w:pPr>
              <w:cnfStyle w:val="000000010000" w:firstRow="0" w:lastRow="0" w:firstColumn="0" w:lastColumn="0" w:oddVBand="0" w:evenVBand="0" w:oddHBand="0" w:evenHBand="1" w:firstRowFirstColumn="0" w:firstRowLastColumn="0" w:lastRowFirstColumn="0" w:lastRowLastColumn="0"/>
              <w:rPr>
                <w:rStyle w:val="Strong"/>
              </w:rPr>
            </w:pPr>
            <w:r w:rsidRPr="00BC4D54">
              <w:rPr>
                <w:rStyle w:val="Strong"/>
              </w:rPr>
              <w:t>1</w:t>
            </w:r>
            <w:r w:rsidR="009C6E94">
              <w:rPr>
                <w:rStyle w:val="Strong"/>
              </w:rPr>
              <w:t>835</w:t>
            </w:r>
            <w:r w:rsidRPr="00BC4D54">
              <w:rPr>
                <w:rStyle w:val="Strong"/>
              </w:rPr>
              <w:t>.</w:t>
            </w:r>
            <w:r w:rsidR="009C6E94">
              <w:rPr>
                <w:rStyle w:val="Strong"/>
              </w:rPr>
              <w:t>1</w:t>
            </w:r>
          </w:p>
        </w:tc>
        <w:tc>
          <w:tcPr>
            <w:tcW w:w="901" w:type="dxa"/>
            <w:vAlign w:val="bottom"/>
          </w:tcPr>
          <w:p w:rsidR="00906406" w:rsidRPr="00906406" w:rsidRDefault="00906406" w:rsidP="009C6E94">
            <w:pPr>
              <w:cnfStyle w:val="000000010000" w:firstRow="0" w:lastRow="0" w:firstColumn="0" w:lastColumn="0" w:oddVBand="0" w:evenVBand="0" w:oddHBand="0" w:evenHBand="1" w:firstRowFirstColumn="0" w:firstRowLastColumn="0" w:lastRowFirstColumn="0" w:lastRowLastColumn="0"/>
              <w:rPr>
                <w:rStyle w:val="Strong"/>
              </w:rPr>
            </w:pPr>
            <w:r w:rsidRPr="00BC4D54">
              <w:rPr>
                <w:rStyle w:val="Strong"/>
              </w:rPr>
              <w:t>19</w:t>
            </w:r>
            <w:r w:rsidR="009C6E94">
              <w:rPr>
                <w:rStyle w:val="Strong"/>
              </w:rPr>
              <w:t>04</w:t>
            </w:r>
            <w:r w:rsidRPr="00BC4D54">
              <w:rPr>
                <w:rStyle w:val="Strong"/>
              </w:rPr>
              <w:t>.</w:t>
            </w:r>
            <w:r w:rsidR="009C6E94">
              <w:rPr>
                <w:rStyle w:val="Strong"/>
              </w:rPr>
              <w:t>3</w:t>
            </w:r>
          </w:p>
        </w:tc>
        <w:tc>
          <w:tcPr>
            <w:tcW w:w="901" w:type="dxa"/>
            <w:vAlign w:val="bottom"/>
          </w:tcPr>
          <w:p w:rsidR="00906406" w:rsidRPr="00906406" w:rsidRDefault="009C6E94" w:rsidP="009C6E94">
            <w:pPr>
              <w:cnfStyle w:val="000000010000" w:firstRow="0" w:lastRow="0" w:firstColumn="0" w:lastColumn="0" w:oddVBand="0" w:evenVBand="0" w:oddHBand="0" w:evenHBand="1" w:firstRowFirstColumn="0" w:firstRowLastColumn="0" w:lastRowFirstColumn="0" w:lastRowLastColumn="0"/>
              <w:rPr>
                <w:rStyle w:val="Strong"/>
              </w:rPr>
            </w:pPr>
            <w:r>
              <w:rPr>
                <w:rStyle w:val="Strong"/>
              </w:rPr>
              <w:t>1976</w:t>
            </w:r>
            <w:r w:rsidR="00906406" w:rsidRPr="00BC4D54">
              <w:rPr>
                <w:rStyle w:val="Strong"/>
              </w:rPr>
              <w:t>.</w:t>
            </w:r>
            <w:r>
              <w:rPr>
                <w:rStyle w:val="Strong"/>
              </w:rPr>
              <w:t>1</w:t>
            </w:r>
          </w:p>
        </w:tc>
        <w:tc>
          <w:tcPr>
            <w:tcW w:w="901" w:type="dxa"/>
            <w:vAlign w:val="bottom"/>
          </w:tcPr>
          <w:p w:rsidR="00906406" w:rsidRPr="00906406" w:rsidRDefault="00906406" w:rsidP="009C6E94">
            <w:pPr>
              <w:cnfStyle w:val="000000010000" w:firstRow="0" w:lastRow="0" w:firstColumn="0" w:lastColumn="0" w:oddVBand="0" w:evenVBand="0" w:oddHBand="0" w:evenHBand="1" w:firstRowFirstColumn="0" w:firstRowLastColumn="0" w:lastRowFirstColumn="0" w:lastRowLastColumn="0"/>
              <w:rPr>
                <w:rStyle w:val="Strong"/>
              </w:rPr>
            </w:pPr>
            <w:r w:rsidRPr="00BC4D54">
              <w:rPr>
                <w:rStyle w:val="Strong"/>
              </w:rPr>
              <w:t>20</w:t>
            </w:r>
            <w:r w:rsidR="009C6E94">
              <w:rPr>
                <w:rStyle w:val="Strong"/>
              </w:rPr>
              <w:t>50</w:t>
            </w:r>
            <w:r w:rsidRPr="00BC4D54">
              <w:rPr>
                <w:rStyle w:val="Strong"/>
              </w:rPr>
              <w:t>.</w:t>
            </w:r>
            <w:r w:rsidR="009C6E94">
              <w:rPr>
                <w:rStyle w:val="Strong"/>
              </w:rPr>
              <w:t>6</w:t>
            </w:r>
          </w:p>
        </w:tc>
        <w:tc>
          <w:tcPr>
            <w:tcW w:w="901" w:type="dxa"/>
            <w:vAlign w:val="bottom"/>
          </w:tcPr>
          <w:p w:rsidR="00906406" w:rsidRPr="00906406" w:rsidRDefault="009C6E94" w:rsidP="009C6E94">
            <w:pPr>
              <w:cnfStyle w:val="000000010000" w:firstRow="0" w:lastRow="0" w:firstColumn="0" w:lastColumn="0" w:oddVBand="0" w:evenVBand="0" w:oddHBand="0" w:evenHBand="1" w:firstRowFirstColumn="0" w:firstRowLastColumn="0" w:lastRowFirstColumn="0" w:lastRowLastColumn="0"/>
              <w:rPr>
                <w:rStyle w:val="Strong"/>
              </w:rPr>
            </w:pPr>
            <w:r>
              <w:rPr>
                <w:rStyle w:val="Strong"/>
              </w:rPr>
              <w:t>9534</w:t>
            </w:r>
            <w:r w:rsidR="00906406" w:rsidRPr="00BC4D54">
              <w:rPr>
                <w:rStyle w:val="Strong"/>
              </w:rPr>
              <w:t>.</w:t>
            </w:r>
            <w:r>
              <w:rPr>
                <w:rStyle w:val="Strong"/>
              </w:rPr>
              <w:t>7</w:t>
            </w:r>
          </w:p>
        </w:tc>
      </w:tr>
      <w:tr w:rsidR="009C6E94" w:rsidRPr="009C6E94" w:rsidTr="00906406">
        <w:trPr>
          <w:trHeight w:val="190"/>
        </w:trPr>
        <w:tc>
          <w:tcPr>
            <w:cnfStyle w:val="001000000000" w:firstRow="0" w:lastRow="0" w:firstColumn="1" w:lastColumn="0" w:oddVBand="0" w:evenVBand="0" w:oddHBand="0" w:evenHBand="0" w:firstRowFirstColumn="0" w:firstRowLastColumn="0" w:lastRowFirstColumn="0" w:lastRowLastColumn="0"/>
            <w:tcW w:w="3350" w:type="dxa"/>
            <w:noWrap/>
          </w:tcPr>
          <w:p w:rsidR="009C6E94" w:rsidRPr="009C6E94" w:rsidRDefault="009C6E94" w:rsidP="002115DC">
            <w:r w:rsidRPr="009C6E94">
              <w:t>Annual change in revenue</w:t>
            </w:r>
            <w:r>
              <w:t xml:space="preserve"> (inc. additionals)</w:t>
            </w:r>
          </w:p>
        </w:tc>
        <w:tc>
          <w:tcPr>
            <w:tcW w:w="900" w:type="dxa"/>
            <w:noWrap/>
            <w:vAlign w:val="bottom"/>
          </w:tcPr>
          <w:p w:rsidR="009C6E94" w:rsidRPr="009C6E94" w:rsidRDefault="00207672" w:rsidP="009C6E94">
            <w:pPr>
              <w:cnfStyle w:val="000000000000" w:firstRow="0" w:lastRow="0" w:firstColumn="0" w:lastColumn="0" w:oddVBand="0" w:evenVBand="0" w:oddHBand="0" w:evenHBand="0" w:firstRowFirstColumn="0" w:firstRowLastColumn="0" w:lastRowFirstColumn="0" w:lastRowLastColumn="0"/>
            </w:pPr>
            <w:r>
              <w:t>n/a</w:t>
            </w:r>
          </w:p>
        </w:tc>
        <w:tc>
          <w:tcPr>
            <w:tcW w:w="901" w:type="dxa"/>
            <w:noWrap/>
            <w:vAlign w:val="bottom"/>
          </w:tcPr>
          <w:p w:rsidR="009C6E94" w:rsidRPr="009C6E94" w:rsidRDefault="009C6E94" w:rsidP="009C6E94">
            <w:pPr>
              <w:cnfStyle w:val="000000000000" w:firstRow="0" w:lastRow="0" w:firstColumn="0" w:lastColumn="0" w:oddVBand="0" w:evenVBand="0" w:oddHBand="0" w:evenHBand="0" w:firstRowFirstColumn="0" w:firstRowLastColumn="0" w:lastRowFirstColumn="0" w:lastRowLastColumn="0"/>
            </w:pPr>
            <w:r>
              <w:t>3.8%</w:t>
            </w:r>
          </w:p>
        </w:tc>
        <w:tc>
          <w:tcPr>
            <w:tcW w:w="901" w:type="dxa"/>
            <w:vAlign w:val="bottom"/>
          </w:tcPr>
          <w:p w:rsidR="009C6E94" w:rsidRPr="009C6E94" w:rsidRDefault="009C6E94" w:rsidP="009C6E94">
            <w:pPr>
              <w:cnfStyle w:val="000000000000" w:firstRow="0" w:lastRow="0" w:firstColumn="0" w:lastColumn="0" w:oddVBand="0" w:evenVBand="0" w:oddHBand="0" w:evenHBand="0" w:firstRowFirstColumn="0" w:firstRowLastColumn="0" w:lastRowFirstColumn="0" w:lastRowLastColumn="0"/>
            </w:pPr>
            <w:r>
              <w:t>3.8%</w:t>
            </w:r>
          </w:p>
        </w:tc>
        <w:tc>
          <w:tcPr>
            <w:tcW w:w="901" w:type="dxa"/>
            <w:vAlign w:val="bottom"/>
          </w:tcPr>
          <w:p w:rsidR="009C6E94" w:rsidRPr="009C6E94" w:rsidRDefault="009C6E94" w:rsidP="009C6E94">
            <w:pPr>
              <w:cnfStyle w:val="000000000000" w:firstRow="0" w:lastRow="0" w:firstColumn="0" w:lastColumn="0" w:oddVBand="0" w:evenVBand="0" w:oddHBand="0" w:evenHBand="0" w:firstRowFirstColumn="0" w:firstRowLastColumn="0" w:lastRowFirstColumn="0" w:lastRowLastColumn="0"/>
            </w:pPr>
            <w:r>
              <w:t>3.8%</w:t>
            </w:r>
          </w:p>
        </w:tc>
        <w:tc>
          <w:tcPr>
            <w:tcW w:w="901" w:type="dxa"/>
            <w:vAlign w:val="bottom"/>
          </w:tcPr>
          <w:p w:rsidR="009C6E94" w:rsidRPr="009C6E94" w:rsidRDefault="009C6E94" w:rsidP="009C6E94">
            <w:pPr>
              <w:cnfStyle w:val="000000000000" w:firstRow="0" w:lastRow="0" w:firstColumn="0" w:lastColumn="0" w:oddVBand="0" w:evenVBand="0" w:oddHBand="0" w:evenHBand="0" w:firstRowFirstColumn="0" w:firstRowLastColumn="0" w:lastRowFirstColumn="0" w:lastRowLastColumn="0"/>
            </w:pPr>
            <w:r>
              <w:t>3.8%</w:t>
            </w:r>
          </w:p>
        </w:tc>
        <w:tc>
          <w:tcPr>
            <w:tcW w:w="901" w:type="dxa"/>
            <w:vAlign w:val="bottom"/>
          </w:tcPr>
          <w:p w:rsidR="009C6E94" w:rsidRPr="009C6E94" w:rsidRDefault="009C6E94" w:rsidP="009C6E94">
            <w:pPr>
              <w:cnfStyle w:val="000000000000" w:firstRow="0" w:lastRow="0" w:firstColumn="0" w:lastColumn="0" w:oddVBand="0" w:evenVBand="0" w:oddHBand="0" w:evenHBand="0" w:firstRowFirstColumn="0" w:firstRowLastColumn="0" w:lastRowFirstColumn="0" w:lastRowLastColumn="0"/>
            </w:pPr>
            <w:r>
              <w:t>n/a</w:t>
            </w:r>
          </w:p>
        </w:tc>
      </w:tr>
    </w:tbl>
    <w:p w:rsidR="00906406" w:rsidRDefault="00906406" w:rsidP="00906406">
      <w:pPr>
        <w:pStyle w:val="AERtablesource"/>
      </w:pPr>
      <w:r>
        <w:lastRenderedPageBreak/>
        <w:t>Source:</w:t>
      </w:r>
      <w:r>
        <w:tab/>
        <w:t xml:space="preserve">Energex, </w:t>
      </w:r>
      <w:r>
        <w:rPr>
          <w:rStyle w:val="AERtextitalic"/>
        </w:rPr>
        <w:t xml:space="preserve">Revised regulatory proposal, </w:t>
      </w:r>
      <w:r>
        <w:t xml:space="preserve">July 2015, </w:t>
      </w:r>
      <w:r w:rsidR="009C6E94">
        <w:t xml:space="preserve">p. 3; and </w:t>
      </w:r>
      <w:r>
        <w:t>Attachment 2.</w:t>
      </w:r>
    </w:p>
    <w:p w:rsidR="00AF402D" w:rsidRDefault="00AF402D" w:rsidP="00AF402D">
      <w:pPr>
        <w:pStyle w:val="AERtablesource"/>
      </w:pPr>
      <w:r>
        <w:t>(a)</w:t>
      </w:r>
      <w:r>
        <w:tab/>
        <w:t>Regulatory depreciation is straight-line depreciation net of the inflation indexation on the opening RAB.</w:t>
      </w:r>
    </w:p>
    <w:p w:rsidR="00AF402D" w:rsidRDefault="00AF402D" w:rsidP="00AF402D">
      <w:pPr>
        <w:pStyle w:val="AERtablesource"/>
      </w:pPr>
      <w:r>
        <w:t>(b)</w:t>
      </w:r>
      <w:r>
        <w:tab/>
        <w:t>Revenue adjustments include proposed forecast DMIA, DMIA carry-over and DUoS under-recoveries.</w:t>
      </w:r>
    </w:p>
    <w:p w:rsidR="00AF402D" w:rsidRPr="00AF402D" w:rsidRDefault="00AF402D" w:rsidP="00AF402D">
      <w:pPr>
        <w:pStyle w:val="AERtablesource"/>
      </w:pPr>
      <w:r>
        <w:t>(c)</w:t>
      </w:r>
      <w:r>
        <w:tab/>
      </w:r>
      <w:r w:rsidR="009C6E94">
        <w:t xml:space="preserve">Energex's revised proposal conducted a true-up for the difference between the preliminary decision revenue and its revised proposal revenue for 2015–16 by holding the 2015–16 preliminary decision revenue constant. </w:t>
      </w:r>
      <w:r w:rsidR="003F1C04">
        <w:t>This results in the difference being adjusted for in the expected revenue (via the X factor) for the remaining four years of the 2015–20 regulatory control period.</w:t>
      </w:r>
    </w:p>
    <w:p w:rsidR="00DE563D" w:rsidRDefault="00DE563D" w:rsidP="00961F06">
      <w:pPr>
        <w:pStyle w:val="Heading2"/>
      </w:pPr>
      <w:bookmarkStart w:id="17" w:name="_Toc403144138"/>
      <w:bookmarkStart w:id="18" w:name="_Toc433022783"/>
      <w:r>
        <w:t>AER’s assessment approach</w:t>
      </w:r>
      <w:bookmarkEnd w:id="17"/>
      <w:bookmarkEnd w:id="18"/>
    </w:p>
    <w:p w:rsidR="001C2C88" w:rsidRPr="001C2C88" w:rsidRDefault="0078004F" w:rsidP="001C2C88">
      <w:r>
        <w:t>We have</w:t>
      </w:r>
      <w:r w:rsidR="00E90F33" w:rsidRPr="00547F1A">
        <w:t xml:space="preserve"> not change</w:t>
      </w:r>
      <w:r>
        <w:t>d</w:t>
      </w:r>
      <w:r w:rsidR="00E90F33" w:rsidRPr="00547F1A">
        <w:t xml:space="preserve"> our assessment approach for the ARR from our </w:t>
      </w:r>
      <w:r w:rsidR="00E90F33">
        <w:t>preliminary</w:t>
      </w:r>
      <w:r w:rsidR="00E90F33" w:rsidRPr="00547F1A">
        <w:t xml:space="preserve"> decision. Section 1.3 of our </w:t>
      </w:r>
      <w:r w:rsidR="00E90F33">
        <w:t>preliminary</w:t>
      </w:r>
      <w:r w:rsidR="00E90F33" w:rsidRPr="00547F1A">
        <w:t xml:space="preserve"> decision detail</w:t>
      </w:r>
      <w:r w:rsidR="002C7169">
        <w:t>ed</w:t>
      </w:r>
      <w:r w:rsidR="00E90F33" w:rsidRPr="00547F1A">
        <w:t xml:space="preserve"> that approach.</w:t>
      </w:r>
      <w:r w:rsidR="00E90F33">
        <w:rPr>
          <w:rStyle w:val="FootnoteReference"/>
        </w:rPr>
        <w:footnoteReference w:id="4"/>
      </w:r>
      <w:r w:rsidR="00E90F33">
        <w:t xml:space="preserve"> We have reviewed our revenue </w:t>
      </w:r>
      <w:r w:rsidR="00682033">
        <w:t>path</w:t>
      </w:r>
      <w:r w:rsidR="00E90F33">
        <w:t xml:space="preserve"> for the final decision </w:t>
      </w:r>
      <w:r w:rsidR="00682033">
        <w:t xml:space="preserve">in light of the requirement to do </w:t>
      </w:r>
      <w:r w:rsidR="002C7169">
        <w:t>an adjustment</w:t>
      </w:r>
      <w:r w:rsidR="00682033">
        <w:t xml:space="preserve"> for 2015–16 </w:t>
      </w:r>
      <w:r w:rsidR="00E90F33">
        <w:t xml:space="preserve">and this is discussed further in </w:t>
      </w:r>
      <w:r w:rsidR="00E90F33" w:rsidRPr="00967DBE">
        <w:rPr>
          <w:rStyle w:val="AERbody"/>
        </w:rPr>
        <w:t xml:space="preserve">section </w:t>
      </w:r>
      <w:r w:rsidR="00682033">
        <w:rPr>
          <w:rStyle w:val="AERbody"/>
        </w:rPr>
        <w:t>1.4.1.</w:t>
      </w:r>
    </w:p>
    <w:p w:rsidR="00E90F33" w:rsidRDefault="00DE563D" w:rsidP="00961F06">
      <w:pPr>
        <w:pStyle w:val="Heading2"/>
      </w:pPr>
      <w:bookmarkStart w:id="19" w:name="_Toc403144140"/>
      <w:bookmarkStart w:id="20" w:name="_Toc433022784"/>
      <w:r w:rsidRPr="00961F06">
        <w:t xml:space="preserve">Reasons for </w:t>
      </w:r>
      <w:r w:rsidR="004D0898">
        <w:t>final</w:t>
      </w:r>
      <w:r w:rsidRPr="00961F06">
        <w:t xml:space="preserve"> decision</w:t>
      </w:r>
      <w:bookmarkEnd w:id="19"/>
      <w:bookmarkEnd w:id="20"/>
    </w:p>
    <w:p w:rsidR="002C3DAC" w:rsidRDefault="002C3DAC" w:rsidP="002C3DAC">
      <w:r>
        <w:t xml:space="preserve">For this final decision, we </w:t>
      </w:r>
      <w:r w:rsidRPr="009F3302">
        <w:t>determine a total revenue requirement of $</w:t>
      </w:r>
      <w:r w:rsidR="00BB1D89">
        <w:t>655</w:t>
      </w:r>
      <w:r w:rsidR="002C535B">
        <w:t>7</w:t>
      </w:r>
      <w:r w:rsidR="00BB1D89">
        <w:t>.</w:t>
      </w:r>
      <w:r w:rsidR="002C535B">
        <w:t>0</w:t>
      </w:r>
      <w:r w:rsidR="00BB1D89">
        <w:t xml:space="preserve"> </w:t>
      </w:r>
      <w:r w:rsidRPr="009F3302">
        <w:t>million ($</w:t>
      </w:r>
      <w:r>
        <w:t> </w:t>
      </w:r>
      <w:r w:rsidRPr="009F3302">
        <w:t xml:space="preserve">nominal) </w:t>
      </w:r>
      <w:r>
        <w:t xml:space="preserve">over the 2015–20 regulatory control period </w:t>
      </w:r>
      <w:r w:rsidRPr="009F3302">
        <w:t xml:space="preserve">for </w:t>
      </w:r>
      <w:r>
        <w:t xml:space="preserve">Energex. This is </w:t>
      </w:r>
      <w:r w:rsidRPr="009F3302">
        <w:t>$</w:t>
      </w:r>
      <w:r w:rsidR="00BB1D89">
        <w:t>118</w:t>
      </w:r>
      <w:r w:rsidR="002C535B">
        <w:t>2</w:t>
      </w:r>
      <w:r w:rsidR="00BB1D89">
        <w:t>.</w:t>
      </w:r>
      <w:r w:rsidR="002C535B">
        <w:t>3</w:t>
      </w:r>
      <w:r>
        <w:t> </w:t>
      </w:r>
      <w:r w:rsidRPr="009F3302">
        <w:t>million ($</w:t>
      </w:r>
      <w:r>
        <w:t> </w:t>
      </w:r>
      <w:r w:rsidRPr="009F3302">
        <w:t xml:space="preserve">nominal) or </w:t>
      </w:r>
      <w:r w:rsidR="00BB1D89">
        <w:t>15.3</w:t>
      </w:r>
      <w:r>
        <w:t xml:space="preserve"> </w:t>
      </w:r>
      <w:r w:rsidRPr="009F3302">
        <w:t xml:space="preserve">per cent below </w:t>
      </w:r>
      <w:r>
        <w:t xml:space="preserve">Energex's revised </w:t>
      </w:r>
      <w:r w:rsidRPr="009F3302">
        <w:t>proposal</w:t>
      </w:r>
      <w:r>
        <w:t>. This</w:t>
      </w:r>
      <w:r w:rsidRPr="009F3302">
        <w:t xml:space="preserve"> reflect</w:t>
      </w:r>
      <w:r>
        <w:t>s</w:t>
      </w:r>
      <w:r w:rsidRPr="009F3302">
        <w:t xml:space="preserve"> the impact of our </w:t>
      </w:r>
      <w:r>
        <w:t>final</w:t>
      </w:r>
      <w:r w:rsidRPr="009F3302">
        <w:t xml:space="preserve"> decision on the various building block costs. </w:t>
      </w:r>
    </w:p>
    <w:p w:rsidR="002C3DAC" w:rsidRDefault="002C3DAC" w:rsidP="002C3DAC">
      <w:r>
        <w:fldChar w:fldCharType="begin"/>
      </w:r>
      <w:r>
        <w:instrText xml:space="preserve"> REF _Ref403482882 \h </w:instrText>
      </w:r>
      <w:r>
        <w:fldChar w:fldCharType="separate"/>
      </w:r>
      <w:r>
        <w:t xml:space="preserve">Figure </w:t>
      </w:r>
      <w:r w:rsidRPr="002C3DAC">
        <w:t>1</w:t>
      </w:r>
      <w:r>
        <w:t>.</w:t>
      </w:r>
      <w:r w:rsidRPr="002C3DAC">
        <w:t>2</w:t>
      </w:r>
      <w:r>
        <w:fldChar w:fldCharType="end"/>
      </w:r>
      <w:r w:rsidRPr="009F3302">
        <w:t xml:space="preserve"> show</w:t>
      </w:r>
      <w:r>
        <w:t>s</w:t>
      </w:r>
      <w:r w:rsidRPr="009F3302">
        <w:t xml:space="preserve"> </w:t>
      </w:r>
      <w:r w:rsidR="00F53E13">
        <w:t xml:space="preserve">our preliminary decision and </w:t>
      </w:r>
      <w:r w:rsidRPr="009F3302">
        <w:t xml:space="preserve">the difference between </w:t>
      </w:r>
      <w:r>
        <w:t>Energex's revised proposed ARRs</w:t>
      </w:r>
      <w:r w:rsidRPr="009F3302">
        <w:t xml:space="preserve"> and our </w:t>
      </w:r>
      <w:r>
        <w:t>final</w:t>
      </w:r>
      <w:r w:rsidRPr="009F3302">
        <w:t xml:space="preserve"> decision.</w:t>
      </w:r>
      <w:r w:rsidRPr="002C3DAC">
        <w:t xml:space="preserve"> </w:t>
      </w:r>
    </w:p>
    <w:p w:rsidR="002C3DAC" w:rsidRDefault="002C3DAC" w:rsidP="002C3DAC">
      <w:r w:rsidRPr="00C467BF">
        <w:t xml:space="preserve">The most significant changes to </w:t>
      </w:r>
      <w:r>
        <w:t>Energex's</w:t>
      </w:r>
      <w:r w:rsidRPr="00C467BF">
        <w:t xml:space="preserve"> </w:t>
      </w:r>
      <w:r>
        <w:t xml:space="preserve">revised </w:t>
      </w:r>
      <w:r w:rsidRPr="00C467BF">
        <w:t xml:space="preserve">proposal include a </w:t>
      </w:r>
      <w:r>
        <w:t xml:space="preserve">reduction </w:t>
      </w:r>
      <w:r w:rsidR="005A378A">
        <w:t>in</w:t>
      </w:r>
      <w:r>
        <w:t xml:space="preserve"> the</w:t>
      </w:r>
      <w:r w:rsidRPr="00C467BF">
        <w:t xml:space="preserve"> return o</w:t>
      </w:r>
      <w:r w:rsidR="005A378A">
        <w:t>n capital allowance o</w:t>
      </w:r>
      <w:r w:rsidRPr="00C467BF">
        <w:t xml:space="preserve">f </w:t>
      </w:r>
      <w:r w:rsidR="005A378A">
        <w:t>20.</w:t>
      </w:r>
      <w:r w:rsidR="00BB1D89">
        <w:t>1</w:t>
      </w:r>
      <w:r w:rsidRPr="00C467BF">
        <w:t xml:space="preserve"> per cent (attachment</w:t>
      </w:r>
      <w:r w:rsidR="005A378A">
        <w:t>s</w:t>
      </w:r>
      <w:r w:rsidRPr="00C467BF">
        <w:t xml:space="preserve"> </w:t>
      </w:r>
      <w:r w:rsidR="005A378A">
        <w:t xml:space="preserve">2 and </w:t>
      </w:r>
      <w:r>
        <w:t>3</w:t>
      </w:r>
      <w:r w:rsidRPr="00C467BF">
        <w:t>)</w:t>
      </w:r>
      <w:r w:rsidR="0093715B">
        <w:t xml:space="preserve"> and</w:t>
      </w:r>
      <w:r w:rsidRPr="00C467BF">
        <w:t xml:space="preserve"> a reduction in the capex allowance of </w:t>
      </w:r>
      <w:r w:rsidR="0093715B">
        <w:t>4.</w:t>
      </w:r>
      <w:r w:rsidR="001F13BD">
        <w:t>6</w:t>
      </w:r>
      <w:r>
        <w:t> </w:t>
      </w:r>
      <w:r w:rsidRPr="00C467BF">
        <w:t xml:space="preserve">per cent (attachment </w:t>
      </w:r>
      <w:r>
        <w:t>6</w:t>
      </w:r>
      <w:r w:rsidRPr="00C467BF">
        <w:t>)</w:t>
      </w:r>
      <w:r w:rsidR="0093715B">
        <w:t>.</w:t>
      </w:r>
    </w:p>
    <w:p w:rsidR="002C3DAC" w:rsidRDefault="002C3DAC" w:rsidP="002C3DAC">
      <w:pPr>
        <w:pStyle w:val="Caption"/>
      </w:pPr>
      <w:bookmarkStart w:id="21" w:name="_Ref403482882"/>
      <w:proofErr w:type="gramStart"/>
      <w:r>
        <w:lastRenderedPageBreak/>
        <w:t xml:space="preserve">Figure </w:t>
      </w:r>
      <w:proofErr w:type="gramEnd"/>
      <w:r w:rsidR="00D53D9B">
        <w:fldChar w:fldCharType="begin"/>
      </w:r>
      <w:r w:rsidR="00D53D9B">
        <w:instrText xml:space="preserve"> STYLEREF 1 \s </w:instrText>
      </w:r>
      <w:r w:rsidR="00D53D9B">
        <w:fldChar w:fldCharType="separate"/>
      </w:r>
      <w:r w:rsidR="00765BCD">
        <w:rPr>
          <w:noProof/>
        </w:rPr>
        <w:t>1</w:t>
      </w:r>
      <w:r w:rsidR="00D53D9B">
        <w:rPr>
          <w:noProof/>
        </w:rPr>
        <w:fldChar w:fldCharType="end"/>
      </w:r>
      <w:proofErr w:type="gramStart"/>
      <w:r w:rsidR="00765BCD">
        <w:t>.</w:t>
      </w:r>
      <w:proofErr w:type="gramEnd"/>
      <w:r w:rsidR="005A378A">
        <w:fldChar w:fldCharType="begin"/>
      </w:r>
      <w:r w:rsidR="005A378A">
        <w:instrText xml:space="preserve"> SEQ Figure \* ARABIC \s 1 </w:instrText>
      </w:r>
      <w:r w:rsidR="005A378A">
        <w:fldChar w:fldCharType="separate"/>
      </w:r>
      <w:r w:rsidR="00765BCD">
        <w:rPr>
          <w:noProof/>
        </w:rPr>
        <w:t>2</w:t>
      </w:r>
      <w:r w:rsidR="005A378A">
        <w:rPr>
          <w:noProof/>
        </w:rPr>
        <w:fldChar w:fldCharType="end"/>
      </w:r>
      <w:bookmarkEnd w:id="21"/>
      <w:r>
        <w:tab/>
        <w:t xml:space="preserve">AER's </w:t>
      </w:r>
      <w:r w:rsidR="00F53E13">
        <w:t xml:space="preserve">preliminary and </w:t>
      </w:r>
      <w:r>
        <w:t>final decision</w:t>
      </w:r>
      <w:r w:rsidR="00F53E13">
        <w:t>s</w:t>
      </w:r>
      <w:r>
        <w:t xml:space="preserve"> and Energex's revised proposed annual revenue requirements ($million, nominal) </w:t>
      </w:r>
    </w:p>
    <w:p w:rsidR="002C3DAC" w:rsidRDefault="002C535B" w:rsidP="002C535B">
      <w:pPr>
        <w:numPr>
          <w:ilvl w:val="0"/>
          <w:numId w:val="25"/>
        </w:numPr>
      </w:pPr>
      <w:r w:rsidRPr="002C535B">
        <w:rPr>
          <w:noProof/>
          <w:lang w:eastAsia="en-AU"/>
        </w:rPr>
        <w:drawing>
          <wp:inline distT="0" distB="0" distL="0" distR="0" wp14:anchorId="572FF400" wp14:editId="65B07E5D">
            <wp:extent cx="5456583" cy="39852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2494" cy="3989606"/>
                    </a:xfrm>
                    <a:prstGeom prst="rect">
                      <a:avLst/>
                    </a:prstGeom>
                    <a:noFill/>
                    <a:ln>
                      <a:noFill/>
                    </a:ln>
                  </pic:spPr>
                </pic:pic>
              </a:graphicData>
            </a:graphic>
          </wp:inline>
        </w:drawing>
      </w:r>
    </w:p>
    <w:p w:rsidR="002C3DAC" w:rsidRPr="002370BB" w:rsidRDefault="002C3DAC" w:rsidP="002C3DAC">
      <w:pPr>
        <w:pStyle w:val="AERtablesource"/>
      </w:pPr>
      <w:r>
        <w:t>Source:</w:t>
      </w:r>
      <w:r>
        <w:tab/>
      </w:r>
      <w:r w:rsidRPr="002370BB">
        <w:t>AER analysis</w:t>
      </w:r>
      <w:r>
        <w:t>; Energex</w:t>
      </w:r>
      <w:r w:rsidRPr="002370BB">
        <w:t xml:space="preserve">, </w:t>
      </w:r>
      <w:r w:rsidRPr="008624BE">
        <w:rPr>
          <w:rStyle w:val="AERtextitalic"/>
        </w:rPr>
        <w:t>R</w:t>
      </w:r>
      <w:r>
        <w:rPr>
          <w:rStyle w:val="AERtextitalic"/>
        </w:rPr>
        <w:t>evised r</w:t>
      </w:r>
      <w:r w:rsidRPr="008624BE">
        <w:rPr>
          <w:rStyle w:val="AERtextitalic"/>
        </w:rPr>
        <w:t>egulatory proposal</w:t>
      </w:r>
      <w:r w:rsidRPr="002370BB">
        <w:t xml:space="preserve">, </w:t>
      </w:r>
      <w:r>
        <w:t xml:space="preserve">July </w:t>
      </w:r>
      <w:r w:rsidRPr="002370BB">
        <w:t>201</w:t>
      </w:r>
      <w:r>
        <w:t>5, Attachment 2</w:t>
      </w:r>
      <w:r w:rsidRPr="002370BB">
        <w:t xml:space="preserve">. </w:t>
      </w:r>
    </w:p>
    <w:p w:rsidR="004374B2" w:rsidRDefault="004374B2" w:rsidP="002C3DAC">
      <w:pPr>
        <w:pStyle w:val="Heading3"/>
      </w:pPr>
      <w:bookmarkStart w:id="22" w:name="_Toc433022785"/>
      <w:bookmarkStart w:id="23" w:name="_Toc417564280"/>
      <w:r>
        <w:t xml:space="preserve">Revenue </w:t>
      </w:r>
      <w:r w:rsidR="00B7373F">
        <w:t>true-up</w:t>
      </w:r>
      <w:r>
        <w:t xml:space="preserve"> for 2015–16</w:t>
      </w:r>
      <w:bookmarkEnd w:id="22"/>
    </w:p>
    <w:p w:rsidR="00974941" w:rsidRDefault="00974941" w:rsidP="00974941">
      <w:pPr>
        <w:numPr>
          <w:ilvl w:val="0"/>
          <w:numId w:val="25"/>
        </w:numPr>
      </w:pPr>
      <w:r>
        <w:t>In April 2015, as required under the transitional rules, we made our preliminary decision on Energex's proposed revenue requirement for the 2015–20 regulatory control period.</w:t>
      </w:r>
      <w:r w:rsidR="00EE1AF4">
        <w:rPr>
          <w:rStyle w:val="FootnoteReference"/>
        </w:rPr>
        <w:footnoteReference w:id="5"/>
      </w:r>
      <w:r>
        <w:t xml:space="preserve"> We determined </w:t>
      </w:r>
      <w:r w:rsidR="00EE1AF4">
        <w:t>the</w:t>
      </w:r>
      <w:r>
        <w:t xml:space="preserve"> expected revenue for 2015–16 of $1139.8 million for Energex in the preliminary decision.</w:t>
      </w:r>
      <w:r>
        <w:rPr>
          <w:rStyle w:val="FootnoteReference"/>
        </w:rPr>
        <w:footnoteReference w:id="6"/>
      </w:r>
      <w:r>
        <w:t xml:space="preserve"> </w:t>
      </w:r>
    </w:p>
    <w:p w:rsidR="00974941" w:rsidRDefault="00974941" w:rsidP="00974941">
      <w:pPr>
        <w:numPr>
          <w:ilvl w:val="0"/>
          <w:numId w:val="25"/>
        </w:numPr>
      </w:pPr>
      <w:r>
        <w:t xml:space="preserve">For this final decision, </w:t>
      </w:r>
      <w:r w:rsidR="00EE1AF4">
        <w:t xml:space="preserve">we are required to revoke and substitute the preliminary decision for the ARRs over the 2015–20 regulatory control period. As part of this, we are to determine ARRs for each year of the 2015–20 regulatory control period and use a net present value (NPV) neutral </w:t>
      </w:r>
      <w:r w:rsidR="002C7169">
        <w:t>adjustment</w:t>
      </w:r>
      <w:r w:rsidR="00EE1AF4">
        <w:t xml:space="preserve"> mechanism to account for any difference between:</w:t>
      </w:r>
      <w:r w:rsidR="00EE1AF4">
        <w:rPr>
          <w:rStyle w:val="FootnoteReference"/>
        </w:rPr>
        <w:footnoteReference w:id="7"/>
      </w:r>
    </w:p>
    <w:p w:rsidR="00EE1AF4" w:rsidRPr="00EE1AF4" w:rsidRDefault="00EE1AF4" w:rsidP="00EE1AF4">
      <w:pPr>
        <w:pStyle w:val="AERbulletlistfirststyle"/>
      </w:pPr>
      <w:r w:rsidRPr="00EE1AF4">
        <w:t xml:space="preserve">the </w:t>
      </w:r>
      <w:r>
        <w:t>expected revenue for</w:t>
      </w:r>
      <w:r w:rsidRPr="00EE1AF4">
        <w:t xml:space="preserve"> </w:t>
      </w:r>
      <w:r>
        <w:t>2015–16 approved in the preliminary decision</w:t>
      </w:r>
      <w:r w:rsidRPr="00EE1AF4">
        <w:t>, and</w:t>
      </w:r>
    </w:p>
    <w:p w:rsidR="00EE1AF4" w:rsidRPr="00EE1AF4" w:rsidRDefault="00EE1AF4" w:rsidP="00EE1AF4">
      <w:pPr>
        <w:pStyle w:val="AERbulletlistfirststyle"/>
      </w:pPr>
      <w:r w:rsidRPr="00EE1AF4">
        <w:lastRenderedPageBreak/>
        <w:t>the ARR for 201</w:t>
      </w:r>
      <w:r>
        <w:t>5</w:t>
      </w:r>
      <w:r w:rsidRPr="00EE1AF4">
        <w:t>–1</w:t>
      </w:r>
      <w:r>
        <w:t>6</w:t>
      </w:r>
      <w:r w:rsidRPr="00EE1AF4">
        <w:t xml:space="preserve"> that is established through th</w:t>
      </w:r>
      <w:r>
        <w:t xml:space="preserve">is final </w:t>
      </w:r>
      <w:r w:rsidRPr="00EE1AF4">
        <w:t>determination process.</w:t>
      </w:r>
    </w:p>
    <w:p w:rsidR="00DF39AA" w:rsidRDefault="00971E3C" w:rsidP="00DF39AA">
      <w:pPr>
        <w:numPr>
          <w:ilvl w:val="0"/>
          <w:numId w:val="25"/>
        </w:numPr>
      </w:pPr>
      <w:r>
        <w:t>Our final decision approves the 2015–16 ARR of $</w:t>
      </w:r>
      <w:r w:rsidR="00765BCD">
        <w:t>1415.8</w:t>
      </w:r>
      <w:r>
        <w:t xml:space="preserve"> million for Energex. </w:t>
      </w:r>
      <w:r w:rsidR="00DF39AA">
        <w:t>To give effect to the true-up, we have set Energ</w:t>
      </w:r>
      <w:r w:rsidR="009434EC">
        <w:t>ex</w:t>
      </w:r>
      <w:r w:rsidR="00DF39AA">
        <w:t xml:space="preserve">'s first year expected revenue in the </w:t>
      </w:r>
      <w:r w:rsidR="005C5AD4">
        <w:t>post-tax revenue model (</w:t>
      </w:r>
      <w:r w:rsidR="00DF39AA">
        <w:t>PTRM</w:t>
      </w:r>
      <w:r w:rsidR="005C5AD4">
        <w:t>)</w:t>
      </w:r>
      <w:r w:rsidR="00DF39AA">
        <w:t xml:space="preserve"> equal to </w:t>
      </w:r>
      <w:r w:rsidR="005C5AD4">
        <w:t>our</w:t>
      </w:r>
      <w:r w:rsidR="00DF39AA">
        <w:t xml:space="preserve"> preliminary decision revenue for 2015–16 of $1139.8 million. This is the only practical option as prices were set for 2015–16 based on this approved preliminary decision amount. This approach means that the difference in the revenues for 2015–16 between the preliminary and final decisions is accounted for in the remaining four years of the 2015–20 regulatory control period. That is, the expected revenue for 2015–16 established from the preliminary decision provides a base from which the expected revenues (</w:t>
      </w:r>
      <w:r w:rsidR="00682033">
        <w:t>excluding additionals</w:t>
      </w:r>
      <w:r w:rsidR="00DF39AA">
        <w:t xml:space="preserve">) for the remaining four years of the 2015–20 </w:t>
      </w:r>
      <w:r w:rsidR="005C5AD4">
        <w:t xml:space="preserve">regulatory control </w:t>
      </w:r>
      <w:proofErr w:type="gramStart"/>
      <w:r w:rsidR="00DF39AA">
        <w:t>period</w:t>
      </w:r>
      <w:proofErr w:type="gramEnd"/>
      <w:r w:rsidR="00DF39AA">
        <w:t xml:space="preserve"> are calculated. This is done through the determination of the X factors for each of the remaining years in that period.</w:t>
      </w:r>
      <w:r w:rsidR="00DF39AA">
        <w:rPr>
          <w:rStyle w:val="FootnoteReference"/>
        </w:rPr>
        <w:footnoteReference w:id="8"/>
      </w:r>
      <w:r w:rsidR="00DF39AA">
        <w:t xml:space="preserve"> This gives effect to the true-up </w:t>
      </w:r>
      <w:r w:rsidR="00DF39AA" w:rsidRPr="00E3757D">
        <w:t>requirements under the NER and ensures that the difference of</w:t>
      </w:r>
      <w:r w:rsidR="00DF39AA">
        <w:t xml:space="preserve"> </w:t>
      </w:r>
      <w:r>
        <w:t>$</w:t>
      </w:r>
      <w:r w:rsidR="00765BCD">
        <w:t>276.0</w:t>
      </w:r>
      <w:r w:rsidR="00DF39AA">
        <w:t xml:space="preserve"> million </w:t>
      </w:r>
      <w:r w:rsidR="00DF39AA" w:rsidRPr="00E3757D">
        <w:t>is returned to</w:t>
      </w:r>
      <w:r w:rsidR="00DF39AA">
        <w:t xml:space="preserve"> </w:t>
      </w:r>
      <w:r w:rsidR="00765BCD">
        <w:t>Energex</w:t>
      </w:r>
      <w:r w:rsidR="00DF39AA">
        <w:t xml:space="preserve"> over the </w:t>
      </w:r>
      <w:r>
        <w:t xml:space="preserve">remaining four years of the </w:t>
      </w:r>
      <w:r w:rsidR="00DF39AA">
        <w:t>2015–</w:t>
      </w:r>
      <w:r>
        <w:t>20</w:t>
      </w:r>
      <w:r w:rsidR="00DF39AA">
        <w:t xml:space="preserve"> regulatory control </w:t>
      </w:r>
      <w:proofErr w:type="gramStart"/>
      <w:r w:rsidR="00DF39AA">
        <w:t>period</w:t>
      </w:r>
      <w:proofErr w:type="gramEnd"/>
      <w:r w:rsidR="00DF39AA">
        <w:t xml:space="preserve"> (adjusted for the time value of money). </w:t>
      </w:r>
    </w:p>
    <w:p w:rsidR="00EE1AF4" w:rsidRDefault="00EE1AF4" w:rsidP="00EE1AF4">
      <w:pPr>
        <w:numPr>
          <w:ilvl w:val="0"/>
          <w:numId w:val="25"/>
        </w:numPr>
      </w:pPr>
      <w:r>
        <w:t>Energ</w:t>
      </w:r>
      <w:r w:rsidR="00DF39AA">
        <w:t>ex'</w:t>
      </w:r>
      <w:r>
        <w:t xml:space="preserve">s revised proposal adopted </w:t>
      </w:r>
      <w:r w:rsidR="00DF39AA">
        <w:t>this</w:t>
      </w:r>
      <w:r>
        <w:t xml:space="preserve"> approach for the true-up.</w:t>
      </w:r>
    </w:p>
    <w:p w:rsidR="002C3DAC" w:rsidRDefault="002C3DAC" w:rsidP="002C3DAC">
      <w:pPr>
        <w:pStyle w:val="Heading3"/>
      </w:pPr>
      <w:bookmarkStart w:id="24" w:name="_Toc433022786"/>
      <w:r>
        <w:t>Revenue smoothing</w:t>
      </w:r>
      <w:bookmarkEnd w:id="23"/>
      <w:bookmarkEnd w:id="24"/>
    </w:p>
    <w:p w:rsidR="002C3DAC" w:rsidRDefault="002C3DAC" w:rsidP="002C3DAC">
      <w:r>
        <w:t xml:space="preserve">We have determined </w:t>
      </w:r>
      <w:r w:rsidR="00EC77A3">
        <w:t>the</w:t>
      </w:r>
      <w:r>
        <w:t xml:space="preserve"> smoothed revenue path having regard to major drivers of total network revenues (distribution use of system—DUoS—charges), which are elements that do not fit in the building blocks.</w:t>
      </w:r>
      <w:r w:rsidR="00EC77A3">
        <w:rPr>
          <w:rStyle w:val="FootnoteReference"/>
        </w:rPr>
        <w:footnoteReference w:id="9"/>
      </w:r>
      <w:r>
        <w:t xml:space="preserve"> In particular, Energex has forecast large revenue recovery associated with the under-recovery of the solar bonus scheme (feed-in tariffs) in 2013–15. It has also forecast solar bonus scheme payments throughout the </w:t>
      </w:r>
      <w:r w:rsidR="00EC77A3">
        <w:br/>
      </w:r>
      <w:r>
        <w:t xml:space="preserve">2015–20 regulatory control period. In the determination for the 2010–15 regulatory control period, we included the forecast solar bonus scheme payments in the opex allowance. We included a pass-through mechanism for any difference to be applied two years later during the annual pricing proposal processes. As a result of this mechanism, the expected under-recoveries from 2013–14 and 2014–15 will be recovered in 2015–16 and 2016–17. Based on Energex's </w:t>
      </w:r>
      <w:r w:rsidR="00EC77A3">
        <w:t xml:space="preserve">revised </w:t>
      </w:r>
      <w:r>
        <w:t>proposal, these amount to $</w:t>
      </w:r>
      <w:r w:rsidR="00BC1179">
        <w:t>254.6</w:t>
      </w:r>
      <w:r>
        <w:t xml:space="preserve"> million and $</w:t>
      </w:r>
      <w:r w:rsidR="00BC1179">
        <w:t>222.</w:t>
      </w:r>
      <w:r w:rsidR="00A45E7E">
        <w:t>5</w:t>
      </w:r>
      <w:r>
        <w:t xml:space="preserve"> million ($ nominal) respectively. Then, in the 2015–20 regulatory control period, there is no solar bonus scheme forecasts included in the opex allowance. Instead, these amounts will be recovered through a jurisdictional scheme obligation, which will feed into DUoS as part of the annual pricing approval process. </w:t>
      </w:r>
    </w:p>
    <w:p w:rsidR="002C3DAC" w:rsidRDefault="002C3DAC" w:rsidP="002C3DAC">
      <w:r>
        <w:t>Other annual revenue adjustments are also significant. In parti</w:t>
      </w:r>
      <w:r w:rsidR="00EC77A3">
        <w:t>cular, Energex expects to under-</w:t>
      </w:r>
      <w:r>
        <w:t>recover its 2013–1</w:t>
      </w:r>
      <w:r w:rsidR="00EC77A3">
        <w:t>4 DUoS target by $</w:t>
      </w:r>
      <w:r w:rsidR="00A45E7E">
        <w:t>111</w:t>
      </w:r>
      <w:r w:rsidR="00EC77A3">
        <w:t>.</w:t>
      </w:r>
      <w:r w:rsidR="00A45E7E">
        <w:t>0</w:t>
      </w:r>
      <w:r w:rsidR="00EC77A3">
        <w:t xml:space="preserve"> million</w:t>
      </w:r>
      <w:r>
        <w:t>, which will be recovered in 2015–16. It also expects to seek pass</w:t>
      </w:r>
      <w:r w:rsidR="004374B2">
        <w:t xml:space="preserve"> </w:t>
      </w:r>
      <w:r w:rsidR="00EC77A3">
        <w:t>throughs for under-</w:t>
      </w:r>
      <w:r>
        <w:t xml:space="preserve">recovered capital </w:t>
      </w:r>
      <w:r>
        <w:lastRenderedPageBreak/>
        <w:t xml:space="preserve">contributions in 2013–14 </w:t>
      </w:r>
      <w:r w:rsidR="00FA5FC1">
        <w:t xml:space="preserve">($47.3 million) </w:t>
      </w:r>
      <w:r>
        <w:t>and 2014–15</w:t>
      </w:r>
      <w:r w:rsidR="00FA5FC1">
        <w:t xml:space="preserve"> (</w:t>
      </w:r>
      <w:r w:rsidR="00A45E7E">
        <w:t>$37</w:t>
      </w:r>
      <w:r w:rsidR="00FA5FC1">
        <w:t>.</w:t>
      </w:r>
      <w:r w:rsidR="00A45E7E">
        <w:t>2</w:t>
      </w:r>
      <w:r w:rsidR="00FA5FC1">
        <w:t xml:space="preserve"> million)</w:t>
      </w:r>
      <w:r w:rsidR="00C73E40">
        <w:t xml:space="preserve">, </w:t>
      </w:r>
      <w:r w:rsidR="00C73E40" w:rsidRPr="00C73E40">
        <w:t>which will be recovered in 2015–16 and 2016</w:t>
      </w:r>
      <w:r w:rsidR="00AD2A68">
        <w:t>–</w:t>
      </w:r>
      <w:r w:rsidR="00C73E40" w:rsidRPr="00C73E40">
        <w:t>17 respectively</w:t>
      </w:r>
      <w:r>
        <w:t>.</w:t>
      </w:r>
    </w:p>
    <w:p w:rsidR="002C3DAC" w:rsidRDefault="002C3DAC" w:rsidP="002C3DAC">
      <w:r>
        <w:t xml:space="preserve">Accordingly, we have smoothed the building block revenue for standard control services over the 2015–20 regulatory control period by </w:t>
      </w:r>
      <w:r w:rsidR="00EC77A3">
        <w:t>taking account of</w:t>
      </w:r>
      <w:r>
        <w:t xml:space="preserve"> these additional forecast revenue impacts. This is consistent with the approach proposed by Energex and </w:t>
      </w:r>
      <w:r w:rsidR="00EC77A3">
        <w:t xml:space="preserve">which </w:t>
      </w:r>
      <w:r>
        <w:t>we adopted in th</w:t>
      </w:r>
      <w:r w:rsidR="00EC77A3">
        <w:t>e</w:t>
      </w:r>
      <w:r>
        <w:t xml:space="preserve"> preliminary decision. Overall, we are satisfied this will contribute to a smoother final revenue path for customers a</w:t>
      </w:r>
      <w:r w:rsidR="00EC77A3">
        <w:t>nd the service provider</w:t>
      </w:r>
      <w:r>
        <w:t xml:space="preserve">. </w:t>
      </w:r>
    </w:p>
    <w:p w:rsidR="002C3DAC" w:rsidRDefault="002C3DAC" w:rsidP="002C3DAC">
      <w:r>
        <w:t xml:space="preserve">In practice, we would normally set the path of X factors to result in a smooth </w:t>
      </w:r>
      <w:r w:rsidR="00662754">
        <w:t>expected</w:t>
      </w:r>
      <w:r>
        <w:t xml:space="preserve"> revenue path. That is, these X factors would result in the desired smoothed path of the annual expected revenues through the regulatory control period. However, due to the sizeable factors outside of the building blocks that will affect total DU</w:t>
      </w:r>
      <w:r w:rsidR="00ED7CAB">
        <w:t>o</w:t>
      </w:r>
      <w:r>
        <w:t>S revenue, we have adopted a different approach</w:t>
      </w:r>
      <w:r w:rsidR="00C6336B">
        <w:t xml:space="preserve"> outlined above</w:t>
      </w:r>
      <w:r>
        <w:t xml:space="preserve">. Specifically, when determining the X factors that set the path for smoothed </w:t>
      </w:r>
      <w:r w:rsidR="00662754">
        <w:t>expected</w:t>
      </w:r>
      <w:r>
        <w:t xml:space="preserve"> revenue, we have considered the additional impact of these additional factors. As a result, the smoothed </w:t>
      </w:r>
      <w:r w:rsidR="00662754">
        <w:t>expected</w:t>
      </w:r>
      <w:r>
        <w:t xml:space="preserve"> revenue does not produce a desirable path for revenue in isolation. However, the total DU</w:t>
      </w:r>
      <w:r w:rsidR="00ED7CAB">
        <w:t>o</w:t>
      </w:r>
      <w:r>
        <w:t>S revenue to be faced by customers including the additional factors will be smoothed overall.</w:t>
      </w:r>
      <w:r w:rsidRPr="000F1CCC">
        <w:t xml:space="preserve"> </w:t>
      </w:r>
      <w:r>
        <w:t>Further, we note</w:t>
      </w:r>
      <w:r w:rsidRPr="00C729DC">
        <w:t xml:space="preserve"> that </w:t>
      </w:r>
      <w:r>
        <w:t xml:space="preserve">our </w:t>
      </w:r>
      <w:r w:rsidRPr="00C729DC">
        <w:t>profile of X factors</w:t>
      </w:r>
      <w:r>
        <w:t xml:space="preserve"> </w:t>
      </w:r>
      <w:r w:rsidRPr="00C729DC">
        <w:t>result</w:t>
      </w:r>
      <w:r>
        <w:t>s</w:t>
      </w:r>
      <w:r w:rsidRPr="00C729DC">
        <w:t xml:space="preserve"> in an expected </w:t>
      </w:r>
      <w:r>
        <w:t>revenue</w:t>
      </w:r>
      <w:r w:rsidRPr="00C729DC">
        <w:t xml:space="preserve"> in the last year of the regulatory control period that is as close as reasonably possible to the </w:t>
      </w:r>
      <w:r>
        <w:t>ARR</w:t>
      </w:r>
      <w:r w:rsidRPr="00C729DC">
        <w:t xml:space="preserve"> for that year.</w:t>
      </w:r>
      <w:r>
        <w:rPr>
          <w:rStyle w:val="FootnoteReference"/>
        </w:rPr>
        <w:footnoteReference w:id="10"/>
      </w:r>
      <w:r>
        <w:t xml:space="preserve"> </w:t>
      </w:r>
    </w:p>
    <w:p w:rsidR="002C3DAC" w:rsidRDefault="002C3DAC" w:rsidP="002C3DAC">
      <w:r>
        <w:fldChar w:fldCharType="begin"/>
      </w:r>
      <w:r>
        <w:instrText xml:space="preserve"> REF _Ref414977453 \h </w:instrText>
      </w:r>
      <w:r>
        <w:fldChar w:fldCharType="separate"/>
      </w:r>
      <w:r>
        <w:t xml:space="preserve">Figure </w:t>
      </w:r>
      <w:r w:rsidRPr="002C3DAC">
        <w:t>1</w:t>
      </w:r>
      <w:r>
        <w:t>.</w:t>
      </w:r>
      <w:r w:rsidRPr="002C3DAC">
        <w:t>3</w:t>
      </w:r>
      <w:r>
        <w:fldChar w:fldCharType="end"/>
      </w:r>
      <w:r>
        <w:t xml:space="preserve"> s</w:t>
      </w:r>
      <w:r w:rsidR="00765BCD">
        <w:t>hows</w:t>
      </w:r>
      <w:r>
        <w:t xml:space="preserve"> the revenue path of our </w:t>
      </w:r>
      <w:r w:rsidR="00ED7CAB">
        <w:t>final</w:t>
      </w:r>
      <w:r>
        <w:t xml:space="preserve"> decision smoothed revenues including additional revenue </w:t>
      </w:r>
      <w:r w:rsidR="00662754">
        <w:t>amounts</w:t>
      </w:r>
      <w:r>
        <w:t>.</w:t>
      </w:r>
      <w:r w:rsidR="00662754">
        <w:t xml:space="preserve"> </w:t>
      </w:r>
      <w:r w:rsidR="00662754" w:rsidRPr="00662754">
        <w:t xml:space="preserve">This is the expected revenue path that </w:t>
      </w:r>
      <w:r w:rsidR="00765BCD">
        <w:t xml:space="preserve">includes additional amounts that Energex is able to recover from network </w:t>
      </w:r>
      <w:r w:rsidR="00662754" w:rsidRPr="00662754">
        <w:t xml:space="preserve">customers. </w:t>
      </w:r>
      <w:r w:rsidR="00F53E13">
        <w:fldChar w:fldCharType="begin"/>
      </w:r>
      <w:r w:rsidR="00F53E13">
        <w:instrText xml:space="preserve"> REF _Ref432166244 \h </w:instrText>
      </w:r>
      <w:r w:rsidR="00F53E13">
        <w:fldChar w:fldCharType="separate"/>
      </w:r>
      <w:r w:rsidR="00F53E13">
        <w:t xml:space="preserve">Figure </w:t>
      </w:r>
      <w:r w:rsidR="00F53E13">
        <w:rPr>
          <w:noProof/>
        </w:rPr>
        <w:t>1</w:t>
      </w:r>
      <w:r w:rsidR="00F53E13">
        <w:t>.</w:t>
      </w:r>
      <w:r w:rsidR="00F53E13">
        <w:rPr>
          <w:noProof/>
        </w:rPr>
        <w:t>4</w:t>
      </w:r>
      <w:r w:rsidR="00F53E13">
        <w:fldChar w:fldCharType="end"/>
      </w:r>
      <w:r w:rsidR="00662754" w:rsidRPr="00662754">
        <w:t xml:space="preserve"> shows the expected revenues excluding the additional </w:t>
      </w:r>
      <w:r w:rsidR="00765BCD">
        <w:t>amount</w:t>
      </w:r>
      <w:r w:rsidR="00662754" w:rsidRPr="00662754">
        <w:t xml:space="preserve">s. Neither </w:t>
      </w:r>
      <w:r w:rsidR="00662754">
        <w:t>Energex</w:t>
      </w:r>
      <w:r w:rsidR="00662754" w:rsidRPr="00662754">
        <w:t xml:space="preserve"> nor the AER are able to influence these additional revenues going forward as they emerge from either separate Government schemes or in truing up outcomes from previous years.</w:t>
      </w:r>
    </w:p>
    <w:p w:rsidR="002C3DAC" w:rsidRDefault="002C3DAC" w:rsidP="002C3DAC">
      <w:pPr>
        <w:pStyle w:val="Caption"/>
      </w:pPr>
      <w:bookmarkStart w:id="25" w:name="_Ref414977453"/>
      <w:r>
        <w:lastRenderedPageBreak/>
        <w:t xml:space="preserve">Figure </w:t>
      </w:r>
      <w:fldSimple w:instr=" STYLEREF 1 \s ">
        <w:r w:rsidR="00765BCD">
          <w:rPr>
            <w:noProof/>
          </w:rPr>
          <w:t>1</w:t>
        </w:r>
      </w:fldSimple>
      <w:r w:rsidR="00765BCD">
        <w:t>.</w:t>
      </w:r>
      <w:fldSimple w:instr=" SEQ Figure \* ARABIC \s 1 ">
        <w:r w:rsidR="00765BCD">
          <w:rPr>
            <w:noProof/>
          </w:rPr>
          <w:t>3</w:t>
        </w:r>
      </w:fldSimple>
      <w:bookmarkEnd w:id="25"/>
      <w:r>
        <w:tab/>
        <w:t xml:space="preserve">Smoothed revenue path including </w:t>
      </w:r>
      <w:r w:rsidR="00ED7CAB">
        <w:t>additional</w:t>
      </w:r>
      <w:r>
        <w:t xml:space="preserve"> amounts</w:t>
      </w:r>
      <w:r w:rsidR="00765BCD">
        <w:t xml:space="preserve"> </w:t>
      </w:r>
      <w:r w:rsidR="00765BCD" w:rsidRPr="00765BCD">
        <w:t>($ million, 2014–15)</w:t>
      </w:r>
    </w:p>
    <w:p w:rsidR="002C3DAC" w:rsidRDefault="00F53E13" w:rsidP="002C3DAC">
      <w:r w:rsidRPr="00F53E13">
        <w:rPr>
          <w:noProof/>
          <w:lang w:eastAsia="en-AU"/>
        </w:rPr>
        <w:drawing>
          <wp:inline distT="0" distB="0" distL="0" distR="0" wp14:anchorId="1CC515F7" wp14:editId="4FE878A6">
            <wp:extent cx="5382895" cy="3221883"/>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221883"/>
                    </a:xfrm>
                    <a:prstGeom prst="rect">
                      <a:avLst/>
                    </a:prstGeom>
                    <a:noFill/>
                    <a:ln>
                      <a:noFill/>
                    </a:ln>
                  </pic:spPr>
                </pic:pic>
              </a:graphicData>
            </a:graphic>
          </wp:inline>
        </w:drawing>
      </w:r>
    </w:p>
    <w:p w:rsidR="00ED7CAB" w:rsidRDefault="002C3DAC" w:rsidP="002C3DAC">
      <w:pPr>
        <w:pStyle w:val="AERtablesource"/>
      </w:pPr>
      <w:r>
        <w:t xml:space="preserve">Source: </w:t>
      </w:r>
      <w:r>
        <w:tab/>
        <w:t xml:space="preserve">AER analysis. </w:t>
      </w:r>
    </w:p>
    <w:p w:rsidR="002C3DAC" w:rsidRDefault="00ED7CAB" w:rsidP="002C3DAC">
      <w:pPr>
        <w:pStyle w:val="AERtablesource"/>
      </w:pPr>
      <w:r>
        <w:t>Note</w:t>
      </w:r>
      <w:r w:rsidR="002C3DAC" w:rsidRPr="009E0473">
        <w:t>:</w:t>
      </w:r>
      <w:r w:rsidR="002C3DAC" w:rsidRPr="009E0473">
        <w:tab/>
      </w:r>
      <w:r w:rsidR="00F53E13">
        <w:t>'</w:t>
      </w:r>
      <w:r w:rsidR="00F53E13" w:rsidRPr="00B1069F">
        <w:t>Additionals</w:t>
      </w:r>
      <w:r w:rsidR="00F53E13">
        <w:t>'</w:t>
      </w:r>
      <w:r w:rsidR="00F53E13" w:rsidRPr="00B1069F">
        <w:t xml:space="preserve"> in DUoS include solar bonus scheme forecasts (jurisdictional scheme obligation for FiT) for 2015–20, estimated solar bonus scheme pass throughs for 2015–16 and 2016–17 relating to under-recoveries in 2013–14 and 2014–15, </w:t>
      </w:r>
      <w:r w:rsidR="00F53E13">
        <w:t xml:space="preserve">expected DUoS under recovery in 2013–14 to be recovered in 2015–16, estimated transitional capital contributions </w:t>
      </w:r>
      <w:r w:rsidR="00F53E13" w:rsidRPr="00AC50A4">
        <w:t>pass throughs for 2015–16 and 2016–</w:t>
      </w:r>
      <w:r w:rsidR="00F53E13">
        <w:t>1</w:t>
      </w:r>
      <w:r w:rsidR="00F53E13" w:rsidRPr="00AC50A4">
        <w:t>7 relating to under</w:t>
      </w:r>
      <w:r w:rsidR="00F53E13">
        <w:t xml:space="preserve">- </w:t>
      </w:r>
      <w:r w:rsidR="00F53E13" w:rsidRPr="00AC50A4">
        <w:t>recoveries in 2013–14 and 2014–15,</w:t>
      </w:r>
      <w:r w:rsidR="00F53E13">
        <w:t xml:space="preserve"> S</w:t>
      </w:r>
      <w:r w:rsidR="00F53E13" w:rsidRPr="00B1069F">
        <w:t xml:space="preserve">TPIS </w:t>
      </w:r>
      <w:r w:rsidR="00F53E13">
        <w:t>rewards to be recovered in 2015–16 and 2016–17, and DMIS allowance to be returned in 2016–17</w:t>
      </w:r>
      <w:r w:rsidR="00F53E13" w:rsidRPr="00B1069F">
        <w:t>.</w:t>
      </w:r>
      <w:r w:rsidR="00F53E13">
        <w:t xml:space="preserve"> </w:t>
      </w:r>
      <w:r w:rsidR="002C3DAC" w:rsidRPr="009E0473">
        <w:t xml:space="preserve">The ‘Allowed’ 2014–15 data point is the amount allowed in the AER final decision excluding additionals. The ‘Actual’ 2014–15 data point is an updated forecast of the amount </w:t>
      </w:r>
      <w:r w:rsidR="002C3DAC">
        <w:t>Energex</w:t>
      </w:r>
      <w:r w:rsidR="002C3DAC" w:rsidRPr="009E0473">
        <w:t xml:space="preserve"> actually expects to recover, including additionals, as submitted in its reset RIN. </w:t>
      </w:r>
    </w:p>
    <w:p w:rsidR="00662754" w:rsidRDefault="00765BCD" w:rsidP="00765BCD">
      <w:pPr>
        <w:pStyle w:val="Caption"/>
      </w:pPr>
      <w:bookmarkStart w:id="26" w:name="_Ref432166244"/>
      <w:r>
        <w:lastRenderedPageBreak/>
        <w:t xml:space="preserve">Figure </w:t>
      </w:r>
      <w:fldSimple w:instr=" STYLEREF 1 \s ">
        <w:r>
          <w:rPr>
            <w:noProof/>
          </w:rPr>
          <w:t>1</w:t>
        </w:r>
      </w:fldSimple>
      <w:r>
        <w:t>.</w:t>
      </w:r>
      <w:fldSimple w:instr=" SEQ Figure \* ARABIC \s 1 ">
        <w:r>
          <w:rPr>
            <w:noProof/>
          </w:rPr>
          <w:t>4</w:t>
        </w:r>
      </w:fldSimple>
      <w:bookmarkEnd w:id="26"/>
      <w:r>
        <w:tab/>
      </w:r>
      <w:r w:rsidR="00662754">
        <w:t>Smoothed revenue path excluding additional amounts</w:t>
      </w:r>
      <w:r>
        <w:t xml:space="preserve"> </w:t>
      </w:r>
      <w:r w:rsidRPr="00765BCD">
        <w:t>($ million, 2014–15)</w:t>
      </w:r>
    </w:p>
    <w:p w:rsidR="00662754" w:rsidRDefault="00F53E13" w:rsidP="00F53E13">
      <w:r w:rsidRPr="00F53E13">
        <w:rPr>
          <w:noProof/>
          <w:lang w:eastAsia="en-AU"/>
        </w:rPr>
        <w:drawing>
          <wp:inline distT="0" distB="0" distL="0" distR="0" wp14:anchorId="246962EE" wp14:editId="7A050A24">
            <wp:extent cx="5382895" cy="3221883"/>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3221883"/>
                    </a:xfrm>
                    <a:prstGeom prst="rect">
                      <a:avLst/>
                    </a:prstGeom>
                    <a:noFill/>
                    <a:ln>
                      <a:noFill/>
                    </a:ln>
                  </pic:spPr>
                </pic:pic>
              </a:graphicData>
            </a:graphic>
          </wp:inline>
        </w:drawing>
      </w:r>
    </w:p>
    <w:p w:rsidR="00662754" w:rsidRDefault="00F53E13" w:rsidP="00F53E13">
      <w:pPr>
        <w:pStyle w:val="AERtablesource"/>
      </w:pPr>
      <w:r w:rsidRPr="00F53E13">
        <w:t xml:space="preserve">Source: </w:t>
      </w:r>
      <w:r w:rsidRPr="00F53E13">
        <w:tab/>
        <w:t xml:space="preserve">AER analysis. </w:t>
      </w:r>
    </w:p>
    <w:p w:rsidR="00CE06B4" w:rsidRPr="00CE06B4" w:rsidRDefault="00CE06B4" w:rsidP="00CE06B4">
      <w:r w:rsidRPr="00CE06B4">
        <w:t xml:space="preserve">In </w:t>
      </w:r>
      <w:r w:rsidR="00245383">
        <w:t>its submission</w:t>
      </w:r>
      <w:r w:rsidRPr="00CE06B4">
        <w:t xml:space="preserve"> to the preliminary decision, the Alliance of Energy Consumers stated that we should identify the additional revenues </w:t>
      </w:r>
      <w:r>
        <w:t>Energex</w:t>
      </w:r>
      <w:r w:rsidRPr="00CE06B4">
        <w:t xml:space="preserve"> is expected to receive over the</w:t>
      </w:r>
      <w:r>
        <w:t xml:space="preserve"> remaining years of the</w:t>
      </w:r>
      <w:r w:rsidRPr="00CE06B4">
        <w:t xml:space="preserve"> regulatory control period.</w:t>
      </w:r>
      <w:r>
        <w:rPr>
          <w:rStyle w:val="FootnoteReference"/>
        </w:rPr>
        <w:footnoteReference w:id="11"/>
      </w:r>
      <w:r w:rsidRPr="00CE06B4">
        <w:t xml:space="preserve"> We have done so above</w:t>
      </w:r>
      <w:r w:rsidR="00245383">
        <w:t xml:space="preserve"> and in the final decision PTRM</w:t>
      </w:r>
      <w:r w:rsidRPr="00CE06B4">
        <w:t xml:space="preserve">, although we note that these </w:t>
      </w:r>
      <w:r w:rsidR="00245383">
        <w:t>amounts</w:t>
      </w:r>
      <w:r w:rsidRPr="00CE06B4">
        <w:t xml:space="preserve"> are in some cases estimates and the actual</w:t>
      </w:r>
      <w:r>
        <w:t xml:space="preserve"> outcome</w:t>
      </w:r>
      <w:r w:rsidRPr="00CE06B4">
        <w:t>s may differ somewhat. The annual pricing proposals of the distributors</w:t>
      </w:r>
      <w:r w:rsidR="00245383">
        <w:t>—</w:t>
      </w:r>
      <w:r w:rsidRPr="00CE06B4">
        <w:t>that are approved</w:t>
      </w:r>
      <w:r>
        <w:t xml:space="preserve"> by us</w:t>
      </w:r>
      <w:r w:rsidRPr="00CE06B4">
        <w:t xml:space="preserve"> and then released on our website</w:t>
      </w:r>
      <w:r w:rsidRPr="00CE06B4">
        <w:softHyphen/>
      </w:r>
      <w:r w:rsidR="00245383">
        <w:t>—</w:t>
      </w:r>
      <w:r w:rsidRPr="00CE06B4">
        <w:t xml:space="preserve">explain in detail the actual outcomes in relation to these annual </w:t>
      </w:r>
      <w:r>
        <w:t>adjustments</w:t>
      </w:r>
      <w:r w:rsidR="005F230F" w:rsidRPr="005F230F">
        <w:t xml:space="preserve"> </w:t>
      </w:r>
      <w:r w:rsidR="005F230F">
        <w:t xml:space="preserve">to </w:t>
      </w:r>
      <w:r w:rsidR="005F230F" w:rsidRPr="00CE06B4">
        <w:t>revenue</w:t>
      </w:r>
      <w:r w:rsidR="005F230F">
        <w:t>s</w:t>
      </w:r>
      <w:r w:rsidRPr="00CE06B4">
        <w:t>. These pricing proposals also show the evolution of</w:t>
      </w:r>
      <w:r w:rsidR="00245383">
        <w:t xml:space="preserve"> the</w:t>
      </w:r>
      <w:r w:rsidRPr="00CE06B4">
        <w:t xml:space="preserve"> distributor's unders and overs account. That is, whether price</w:t>
      </w:r>
      <w:r>
        <w:t>s and demand were such that the distributor</w:t>
      </w:r>
      <w:r w:rsidRPr="00CE06B4">
        <w:t xml:space="preserve"> achieved </w:t>
      </w:r>
      <w:r>
        <w:t>its</w:t>
      </w:r>
      <w:r w:rsidRPr="00CE06B4">
        <w:t xml:space="preserve"> revenue targets in previous years and what further true</w:t>
      </w:r>
      <w:r w:rsidR="00245383">
        <w:t>-</w:t>
      </w:r>
      <w:r w:rsidRPr="00CE06B4">
        <w:t xml:space="preserve">ups </w:t>
      </w:r>
      <w:r w:rsidR="006E38D8" w:rsidRPr="006E38D8">
        <w:t xml:space="preserve">for </w:t>
      </w:r>
      <w:r w:rsidR="006E38D8">
        <w:t xml:space="preserve">past </w:t>
      </w:r>
      <w:r w:rsidR="006E38D8" w:rsidRPr="006E38D8">
        <w:t xml:space="preserve">under or over recoveries </w:t>
      </w:r>
      <w:r w:rsidRPr="00CE06B4">
        <w:t xml:space="preserve">may be necessary. </w:t>
      </w:r>
    </w:p>
    <w:p w:rsidR="004374B2" w:rsidRDefault="004374B2" w:rsidP="004374B2">
      <w:pPr>
        <w:pStyle w:val="Heading3"/>
      </w:pPr>
      <w:bookmarkStart w:id="27" w:name="_Toc417564281"/>
      <w:bookmarkStart w:id="28" w:name="_Toc433022787"/>
      <w:r>
        <w:t>Revenue increments or decrements</w:t>
      </w:r>
      <w:bookmarkEnd w:id="27"/>
      <w:bookmarkEnd w:id="28"/>
    </w:p>
    <w:p w:rsidR="004374B2" w:rsidRDefault="004374B2" w:rsidP="004374B2">
      <w:r>
        <w:t xml:space="preserve">Revenue increments or decrements arising from the operation of a control mechanism or scheme, also known as 'carry-overs', may have a sizeable impact in addition to our approved </w:t>
      </w:r>
      <w:r w:rsidR="00ED7CAB">
        <w:t>ARRs</w:t>
      </w:r>
      <w:r>
        <w:t xml:space="preserve"> for the 2015–20 regulatory control </w:t>
      </w:r>
      <w:proofErr w:type="gramStart"/>
      <w:r>
        <w:t>period</w:t>
      </w:r>
      <w:proofErr w:type="gramEnd"/>
      <w:r>
        <w:t>.</w:t>
      </w:r>
      <w:r>
        <w:rPr>
          <w:rStyle w:val="FootnoteReference"/>
        </w:rPr>
        <w:footnoteReference w:id="12"/>
      </w:r>
      <w:r>
        <w:t xml:space="preserve"> The revenue increment and decrement amounts are shown </w:t>
      </w:r>
      <w:r w:rsidR="00C6336B">
        <w:t xml:space="preserve">in </w:t>
      </w:r>
      <w:r w:rsidR="005C5AD4">
        <w:t>table 1.3</w:t>
      </w:r>
      <w:r>
        <w:t>.</w:t>
      </w:r>
    </w:p>
    <w:p w:rsidR="004374B2" w:rsidRDefault="00C6336B" w:rsidP="00C6336B">
      <w:pPr>
        <w:pStyle w:val="Caption"/>
      </w:pPr>
      <w:bookmarkStart w:id="29" w:name="_Ref430168547"/>
      <w:r>
        <w:lastRenderedPageBreak/>
        <w:t xml:space="preserve">Table </w:t>
      </w:r>
      <w:fldSimple w:instr=" STYLEREF 1 \s ">
        <w:r>
          <w:rPr>
            <w:noProof/>
          </w:rPr>
          <w:t>1</w:t>
        </w:r>
      </w:fldSimple>
      <w:r>
        <w:t>.</w:t>
      </w:r>
      <w:fldSimple w:instr=" SEQ Table \* ARABIC \s 1 ">
        <w:r>
          <w:rPr>
            <w:noProof/>
          </w:rPr>
          <w:t>3</w:t>
        </w:r>
      </w:fldSimple>
      <w:bookmarkEnd w:id="29"/>
      <w:r w:rsidR="004374B2">
        <w:tab/>
        <w:t>Revenue increments or decrements ($million, nominal)</w:t>
      </w:r>
    </w:p>
    <w:tbl>
      <w:tblPr>
        <w:tblStyle w:val="AERtable-numbers"/>
        <w:tblW w:w="0" w:type="auto"/>
        <w:tblLook w:val="04A0" w:firstRow="1" w:lastRow="0" w:firstColumn="1" w:lastColumn="0" w:noHBand="0" w:noVBand="1"/>
      </w:tblPr>
      <w:tblGrid>
        <w:gridCol w:w="2945"/>
        <w:gridCol w:w="1177"/>
        <w:gridCol w:w="915"/>
        <w:gridCol w:w="915"/>
        <w:gridCol w:w="914"/>
        <w:gridCol w:w="915"/>
        <w:gridCol w:w="912"/>
      </w:tblGrid>
      <w:tr w:rsidR="004374B2" w:rsidTr="004374B2">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945" w:type="dxa"/>
          </w:tcPr>
          <w:p w:rsidR="004374B2" w:rsidRDefault="004374B2" w:rsidP="004374B2"/>
        </w:tc>
        <w:tc>
          <w:tcPr>
            <w:tcW w:w="1177" w:type="dxa"/>
          </w:tcPr>
          <w:p w:rsidR="004374B2" w:rsidRPr="004374B2" w:rsidRDefault="004374B2" w:rsidP="004374B2">
            <w:pPr>
              <w:cnfStyle w:val="100000000000" w:firstRow="1" w:lastRow="0" w:firstColumn="0" w:lastColumn="0" w:oddVBand="0" w:evenVBand="0" w:oddHBand="0" w:evenHBand="0" w:firstRowFirstColumn="0" w:firstRowLastColumn="0" w:lastRowFirstColumn="0" w:lastRowLastColumn="0"/>
            </w:pPr>
            <w:r>
              <w:t>2015–16</w:t>
            </w:r>
          </w:p>
        </w:tc>
        <w:tc>
          <w:tcPr>
            <w:tcW w:w="915" w:type="dxa"/>
          </w:tcPr>
          <w:p w:rsidR="004374B2" w:rsidRPr="004374B2" w:rsidRDefault="004374B2" w:rsidP="004374B2">
            <w:pPr>
              <w:cnfStyle w:val="100000000000" w:firstRow="1" w:lastRow="0" w:firstColumn="0" w:lastColumn="0" w:oddVBand="0" w:evenVBand="0" w:oddHBand="0" w:evenHBand="0" w:firstRowFirstColumn="0" w:firstRowLastColumn="0" w:lastRowFirstColumn="0" w:lastRowLastColumn="0"/>
            </w:pPr>
            <w:r>
              <w:t>2016–17</w:t>
            </w:r>
          </w:p>
        </w:tc>
        <w:tc>
          <w:tcPr>
            <w:tcW w:w="915" w:type="dxa"/>
          </w:tcPr>
          <w:p w:rsidR="004374B2" w:rsidRPr="004374B2" w:rsidRDefault="004374B2" w:rsidP="004374B2">
            <w:pPr>
              <w:cnfStyle w:val="100000000000" w:firstRow="1" w:lastRow="0" w:firstColumn="0" w:lastColumn="0" w:oddVBand="0" w:evenVBand="0" w:oddHBand="0" w:evenHBand="0" w:firstRowFirstColumn="0" w:firstRowLastColumn="0" w:lastRowFirstColumn="0" w:lastRowLastColumn="0"/>
            </w:pPr>
            <w:r>
              <w:t>2017–18</w:t>
            </w:r>
          </w:p>
        </w:tc>
        <w:tc>
          <w:tcPr>
            <w:tcW w:w="914" w:type="dxa"/>
          </w:tcPr>
          <w:p w:rsidR="004374B2" w:rsidRPr="004374B2" w:rsidRDefault="004374B2" w:rsidP="004374B2">
            <w:pPr>
              <w:cnfStyle w:val="100000000000" w:firstRow="1" w:lastRow="0" w:firstColumn="0" w:lastColumn="0" w:oddVBand="0" w:evenVBand="0" w:oddHBand="0" w:evenHBand="0" w:firstRowFirstColumn="0" w:firstRowLastColumn="0" w:lastRowFirstColumn="0" w:lastRowLastColumn="0"/>
            </w:pPr>
            <w:r>
              <w:t>2018–19</w:t>
            </w:r>
          </w:p>
        </w:tc>
        <w:tc>
          <w:tcPr>
            <w:tcW w:w="915" w:type="dxa"/>
          </w:tcPr>
          <w:p w:rsidR="004374B2" w:rsidRPr="004374B2" w:rsidRDefault="004374B2" w:rsidP="004374B2">
            <w:pPr>
              <w:cnfStyle w:val="100000000000" w:firstRow="1" w:lastRow="0" w:firstColumn="0" w:lastColumn="0" w:oddVBand="0" w:evenVBand="0" w:oddHBand="0" w:evenHBand="0" w:firstRowFirstColumn="0" w:firstRowLastColumn="0" w:lastRowFirstColumn="0" w:lastRowLastColumn="0"/>
            </w:pPr>
            <w:r>
              <w:t>2019–20</w:t>
            </w:r>
          </w:p>
        </w:tc>
        <w:tc>
          <w:tcPr>
            <w:tcW w:w="912" w:type="dxa"/>
          </w:tcPr>
          <w:p w:rsidR="004374B2" w:rsidRPr="004374B2" w:rsidRDefault="004374B2" w:rsidP="004374B2">
            <w:pPr>
              <w:cnfStyle w:val="100000000000" w:firstRow="1" w:lastRow="0" w:firstColumn="0" w:lastColumn="0" w:oddVBand="0" w:evenVBand="0" w:oddHBand="0" w:evenHBand="0" w:firstRowFirstColumn="0" w:firstRowLastColumn="0" w:lastRowFirstColumn="0" w:lastRowLastColumn="0"/>
            </w:pPr>
            <w:r>
              <w:t>Total</w:t>
            </w:r>
          </w:p>
        </w:tc>
      </w:tr>
      <w:tr w:rsidR="004374B2" w:rsidTr="004374B2">
        <w:trPr>
          <w:trHeight w:val="414"/>
        </w:trPr>
        <w:tc>
          <w:tcPr>
            <w:cnfStyle w:val="001000000000" w:firstRow="0" w:lastRow="0" w:firstColumn="1" w:lastColumn="0" w:oddVBand="0" w:evenVBand="0" w:oddHBand="0" w:evenHBand="0" w:firstRowFirstColumn="0" w:firstRowLastColumn="0" w:lastRowFirstColumn="0" w:lastRowLastColumn="0"/>
            <w:tcW w:w="2945" w:type="dxa"/>
          </w:tcPr>
          <w:p w:rsidR="004374B2" w:rsidRPr="004374B2" w:rsidRDefault="004374B2" w:rsidP="004374B2">
            <w:r w:rsidRPr="000A53DB">
              <w:t>Closing balance of DUoS unders</w:t>
            </w:r>
            <w:r w:rsidRPr="004374B2">
              <w:t xml:space="preserve"> and overs account as at 30 June 2015.</w:t>
            </w:r>
          </w:p>
        </w:tc>
        <w:tc>
          <w:tcPr>
            <w:tcW w:w="1177" w:type="dxa"/>
          </w:tcPr>
          <w:p w:rsidR="004374B2" w:rsidRPr="004374B2" w:rsidRDefault="00E1554F" w:rsidP="00E1554F">
            <w:pPr>
              <w:cnfStyle w:val="000000000000" w:firstRow="0" w:lastRow="0" w:firstColumn="0" w:lastColumn="0" w:oddVBand="0" w:evenVBand="0" w:oddHBand="0" w:evenHBand="0" w:firstRowFirstColumn="0" w:firstRowLastColumn="0" w:lastRowFirstColumn="0" w:lastRowLastColumn="0"/>
            </w:pPr>
            <w:r>
              <w:t>272.6</w:t>
            </w:r>
          </w:p>
        </w:tc>
        <w:tc>
          <w:tcPr>
            <w:tcW w:w="915" w:type="dxa"/>
          </w:tcPr>
          <w:p w:rsidR="004374B2" w:rsidRPr="004374B2" w:rsidRDefault="004374B2" w:rsidP="004374B2">
            <w:pPr>
              <w:cnfStyle w:val="000000000000" w:firstRow="0" w:lastRow="0" w:firstColumn="0" w:lastColumn="0" w:oddVBand="0" w:evenVBand="0" w:oddHBand="0" w:evenHBand="0" w:firstRowFirstColumn="0" w:firstRowLastColumn="0" w:lastRowFirstColumn="0" w:lastRowLastColumn="0"/>
            </w:pPr>
            <w:r w:rsidRPr="000A53DB">
              <w:t>0.0</w:t>
            </w:r>
          </w:p>
        </w:tc>
        <w:tc>
          <w:tcPr>
            <w:tcW w:w="915" w:type="dxa"/>
          </w:tcPr>
          <w:p w:rsidR="004374B2" w:rsidRPr="004374B2" w:rsidRDefault="004374B2" w:rsidP="004374B2">
            <w:pPr>
              <w:cnfStyle w:val="000000000000" w:firstRow="0" w:lastRow="0" w:firstColumn="0" w:lastColumn="0" w:oddVBand="0" w:evenVBand="0" w:oddHBand="0" w:evenHBand="0" w:firstRowFirstColumn="0" w:firstRowLastColumn="0" w:lastRowFirstColumn="0" w:lastRowLastColumn="0"/>
            </w:pPr>
            <w:r w:rsidRPr="000A53DB">
              <w:t>0.0</w:t>
            </w:r>
          </w:p>
        </w:tc>
        <w:tc>
          <w:tcPr>
            <w:tcW w:w="914" w:type="dxa"/>
          </w:tcPr>
          <w:p w:rsidR="004374B2" w:rsidRPr="004374B2" w:rsidRDefault="004374B2" w:rsidP="004374B2">
            <w:pPr>
              <w:cnfStyle w:val="000000000000" w:firstRow="0" w:lastRow="0" w:firstColumn="0" w:lastColumn="0" w:oddVBand="0" w:evenVBand="0" w:oddHBand="0" w:evenHBand="0" w:firstRowFirstColumn="0" w:firstRowLastColumn="0" w:lastRowFirstColumn="0" w:lastRowLastColumn="0"/>
            </w:pPr>
            <w:r w:rsidRPr="000A53DB">
              <w:t>0.0</w:t>
            </w:r>
          </w:p>
        </w:tc>
        <w:tc>
          <w:tcPr>
            <w:tcW w:w="915" w:type="dxa"/>
          </w:tcPr>
          <w:p w:rsidR="004374B2" w:rsidRPr="004374B2" w:rsidRDefault="004374B2" w:rsidP="004374B2">
            <w:pPr>
              <w:cnfStyle w:val="000000000000" w:firstRow="0" w:lastRow="0" w:firstColumn="0" w:lastColumn="0" w:oddVBand="0" w:evenVBand="0" w:oddHBand="0" w:evenHBand="0" w:firstRowFirstColumn="0" w:firstRowLastColumn="0" w:lastRowFirstColumn="0" w:lastRowLastColumn="0"/>
            </w:pPr>
            <w:r w:rsidRPr="000A53DB">
              <w:t>0.0</w:t>
            </w:r>
          </w:p>
        </w:tc>
        <w:tc>
          <w:tcPr>
            <w:tcW w:w="912" w:type="dxa"/>
          </w:tcPr>
          <w:p w:rsidR="004374B2" w:rsidRPr="004374B2" w:rsidRDefault="00E1554F" w:rsidP="004374B2">
            <w:pPr>
              <w:cnfStyle w:val="000000000000" w:firstRow="0" w:lastRow="0" w:firstColumn="0" w:lastColumn="0" w:oddVBand="0" w:evenVBand="0" w:oddHBand="0" w:evenHBand="0" w:firstRowFirstColumn="0" w:firstRowLastColumn="0" w:lastRowFirstColumn="0" w:lastRowLastColumn="0"/>
            </w:pPr>
            <w:r>
              <w:t>272.6</w:t>
            </w:r>
          </w:p>
        </w:tc>
      </w:tr>
      <w:tr w:rsidR="004374B2" w:rsidTr="004374B2">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945" w:type="dxa"/>
          </w:tcPr>
          <w:p w:rsidR="004374B2" w:rsidRPr="004374B2" w:rsidRDefault="004374B2" w:rsidP="004374B2">
            <w:r w:rsidRPr="000A53DB">
              <w:t>DMIA</w:t>
            </w:r>
          </w:p>
        </w:tc>
        <w:tc>
          <w:tcPr>
            <w:tcW w:w="1177" w:type="dxa"/>
          </w:tcPr>
          <w:p w:rsidR="004374B2" w:rsidRPr="004374B2" w:rsidRDefault="004374B2" w:rsidP="004374B2">
            <w:pPr>
              <w:cnfStyle w:val="000000010000" w:firstRow="0" w:lastRow="0" w:firstColumn="0" w:lastColumn="0" w:oddVBand="0" w:evenVBand="0" w:oddHBand="0" w:evenHBand="1" w:firstRowFirstColumn="0" w:firstRowLastColumn="0" w:lastRowFirstColumn="0" w:lastRowLastColumn="0"/>
            </w:pPr>
            <w:r w:rsidRPr="000A53DB">
              <w:t>1.0</w:t>
            </w:r>
          </w:p>
        </w:tc>
        <w:tc>
          <w:tcPr>
            <w:tcW w:w="915" w:type="dxa"/>
          </w:tcPr>
          <w:p w:rsidR="004374B2" w:rsidRPr="004374B2" w:rsidRDefault="004374B2" w:rsidP="004374B2">
            <w:pPr>
              <w:cnfStyle w:val="000000010000" w:firstRow="0" w:lastRow="0" w:firstColumn="0" w:lastColumn="0" w:oddVBand="0" w:evenVBand="0" w:oddHBand="0" w:evenHBand="1" w:firstRowFirstColumn="0" w:firstRowLastColumn="0" w:lastRowFirstColumn="0" w:lastRowLastColumn="0"/>
            </w:pPr>
            <w:r w:rsidRPr="000A53DB">
              <w:t>1.1</w:t>
            </w:r>
            <w:r w:rsidR="00ED7CAB" w:rsidRPr="00ED7CAB">
              <w:rPr>
                <w:rStyle w:val="AERsuperscript"/>
              </w:rPr>
              <w:t>a</w:t>
            </w:r>
          </w:p>
        </w:tc>
        <w:tc>
          <w:tcPr>
            <w:tcW w:w="915" w:type="dxa"/>
          </w:tcPr>
          <w:p w:rsidR="004374B2" w:rsidRPr="004374B2" w:rsidRDefault="004374B2" w:rsidP="004374B2">
            <w:pPr>
              <w:cnfStyle w:val="000000010000" w:firstRow="0" w:lastRow="0" w:firstColumn="0" w:lastColumn="0" w:oddVBand="0" w:evenVBand="0" w:oddHBand="0" w:evenHBand="1" w:firstRowFirstColumn="0" w:firstRowLastColumn="0" w:lastRowFirstColumn="0" w:lastRowLastColumn="0"/>
            </w:pPr>
            <w:r w:rsidRPr="000A53DB">
              <w:t>1.1</w:t>
            </w:r>
          </w:p>
        </w:tc>
        <w:tc>
          <w:tcPr>
            <w:tcW w:w="914" w:type="dxa"/>
          </w:tcPr>
          <w:p w:rsidR="004374B2" w:rsidRPr="004374B2" w:rsidRDefault="004374B2" w:rsidP="004374B2">
            <w:pPr>
              <w:cnfStyle w:val="000000010000" w:firstRow="0" w:lastRow="0" w:firstColumn="0" w:lastColumn="0" w:oddVBand="0" w:evenVBand="0" w:oddHBand="0" w:evenHBand="1" w:firstRowFirstColumn="0" w:firstRowLastColumn="0" w:lastRowFirstColumn="0" w:lastRowLastColumn="0"/>
            </w:pPr>
            <w:r w:rsidRPr="000A53DB">
              <w:t>1.1</w:t>
            </w:r>
          </w:p>
        </w:tc>
        <w:tc>
          <w:tcPr>
            <w:tcW w:w="915" w:type="dxa"/>
          </w:tcPr>
          <w:p w:rsidR="004374B2" w:rsidRPr="004374B2" w:rsidRDefault="004374B2" w:rsidP="004374B2">
            <w:pPr>
              <w:cnfStyle w:val="000000010000" w:firstRow="0" w:lastRow="0" w:firstColumn="0" w:lastColumn="0" w:oddVBand="0" w:evenVBand="0" w:oddHBand="0" w:evenHBand="1" w:firstRowFirstColumn="0" w:firstRowLastColumn="0" w:lastRowFirstColumn="0" w:lastRowLastColumn="0"/>
            </w:pPr>
            <w:r w:rsidRPr="000A53DB">
              <w:t>1.1</w:t>
            </w:r>
          </w:p>
        </w:tc>
        <w:tc>
          <w:tcPr>
            <w:tcW w:w="912" w:type="dxa"/>
          </w:tcPr>
          <w:p w:rsidR="004374B2" w:rsidRPr="004374B2" w:rsidRDefault="004374B2" w:rsidP="004374B2">
            <w:pPr>
              <w:cnfStyle w:val="000000010000" w:firstRow="0" w:lastRow="0" w:firstColumn="0" w:lastColumn="0" w:oddVBand="0" w:evenVBand="0" w:oddHBand="0" w:evenHBand="1" w:firstRowFirstColumn="0" w:firstRowLastColumn="0" w:lastRowFirstColumn="0" w:lastRowLastColumn="0"/>
            </w:pPr>
            <w:r w:rsidRPr="000A53DB">
              <w:t>5.4</w:t>
            </w:r>
          </w:p>
        </w:tc>
      </w:tr>
      <w:tr w:rsidR="004374B2" w:rsidRPr="000A53DB" w:rsidTr="004374B2">
        <w:trPr>
          <w:trHeight w:val="287"/>
        </w:trPr>
        <w:tc>
          <w:tcPr>
            <w:cnfStyle w:val="001000000000" w:firstRow="0" w:lastRow="0" w:firstColumn="1" w:lastColumn="0" w:oddVBand="0" w:evenVBand="0" w:oddHBand="0" w:evenHBand="0" w:firstRowFirstColumn="0" w:firstRowLastColumn="0" w:lastRowFirstColumn="0" w:lastRowLastColumn="0"/>
            <w:tcW w:w="2945" w:type="dxa"/>
          </w:tcPr>
          <w:p w:rsidR="004374B2" w:rsidRPr="004374B2" w:rsidRDefault="004374B2" w:rsidP="004374B2">
            <w:pPr>
              <w:rPr>
                <w:rStyle w:val="Strong"/>
              </w:rPr>
            </w:pPr>
            <w:r w:rsidRPr="000A53DB">
              <w:rPr>
                <w:rStyle w:val="Strong"/>
              </w:rPr>
              <w:t>Total</w:t>
            </w:r>
          </w:p>
        </w:tc>
        <w:tc>
          <w:tcPr>
            <w:tcW w:w="1177" w:type="dxa"/>
          </w:tcPr>
          <w:p w:rsidR="004374B2" w:rsidRPr="004374B2" w:rsidRDefault="00F53E13" w:rsidP="004374B2">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273.6</w:t>
            </w:r>
          </w:p>
        </w:tc>
        <w:tc>
          <w:tcPr>
            <w:tcW w:w="915" w:type="dxa"/>
          </w:tcPr>
          <w:p w:rsidR="004374B2" w:rsidRPr="004374B2" w:rsidRDefault="00F53E13" w:rsidP="00F53E13">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1.1</w:t>
            </w:r>
          </w:p>
        </w:tc>
        <w:tc>
          <w:tcPr>
            <w:tcW w:w="915" w:type="dxa"/>
          </w:tcPr>
          <w:p w:rsidR="004374B2" w:rsidRPr="004374B2" w:rsidRDefault="004374B2" w:rsidP="00F53E13">
            <w:pPr>
              <w:cnfStyle w:val="000000000000" w:firstRow="0" w:lastRow="0" w:firstColumn="0" w:lastColumn="0" w:oddVBand="0" w:evenVBand="0" w:oddHBand="0" w:evenHBand="0" w:firstRowFirstColumn="0" w:firstRowLastColumn="0" w:lastRowFirstColumn="0" w:lastRowLastColumn="0"/>
              <w:rPr>
                <w:rStyle w:val="Strong"/>
              </w:rPr>
            </w:pPr>
            <w:r w:rsidRPr="000A53DB">
              <w:rPr>
                <w:rStyle w:val="Strong"/>
              </w:rPr>
              <w:t>1.</w:t>
            </w:r>
            <w:r w:rsidR="00F53E13">
              <w:rPr>
                <w:rStyle w:val="Strong"/>
              </w:rPr>
              <w:t>1</w:t>
            </w:r>
          </w:p>
        </w:tc>
        <w:tc>
          <w:tcPr>
            <w:tcW w:w="914" w:type="dxa"/>
          </w:tcPr>
          <w:p w:rsidR="004374B2" w:rsidRPr="004374B2" w:rsidRDefault="00F53E13" w:rsidP="00F53E13">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w:t>
            </w:r>
            <w:r w:rsidR="004374B2" w:rsidRPr="000A53DB">
              <w:rPr>
                <w:rStyle w:val="Strong"/>
              </w:rPr>
              <w:t>.</w:t>
            </w:r>
            <w:r>
              <w:rPr>
                <w:rStyle w:val="Strong"/>
              </w:rPr>
              <w:t>1</w:t>
            </w:r>
          </w:p>
        </w:tc>
        <w:tc>
          <w:tcPr>
            <w:tcW w:w="915" w:type="dxa"/>
          </w:tcPr>
          <w:p w:rsidR="004374B2" w:rsidRPr="004374B2" w:rsidRDefault="004374B2" w:rsidP="004374B2">
            <w:pPr>
              <w:cnfStyle w:val="000000000000" w:firstRow="0" w:lastRow="0" w:firstColumn="0" w:lastColumn="0" w:oddVBand="0" w:evenVBand="0" w:oddHBand="0" w:evenHBand="0" w:firstRowFirstColumn="0" w:firstRowLastColumn="0" w:lastRowFirstColumn="0" w:lastRowLastColumn="0"/>
              <w:rPr>
                <w:rStyle w:val="Strong"/>
              </w:rPr>
            </w:pPr>
            <w:r w:rsidRPr="000A53DB">
              <w:rPr>
                <w:rStyle w:val="Strong"/>
              </w:rPr>
              <w:t>1.1</w:t>
            </w:r>
          </w:p>
        </w:tc>
        <w:tc>
          <w:tcPr>
            <w:tcW w:w="912" w:type="dxa"/>
          </w:tcPr>
          <w:p w:rsidR="004374B2" w:rsidRPr="004374B2" w:rsidRDefault="00F53E13" w:rsidP="00F53E13">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278</w:t>
            </w:r>
            <w:r w:rsidR="004374B2" w:rsidRPr="000A53DB">
              <w:rPr>
                <w:rStyle w:val="Strong"/>
              </w:rPr>
              <w:t>.</w:t>
            </w:r>
            <w:r>
              <w:rPr>
                <w:rStyle w:val="Strong"/>
              </w:rPr>
              <w:t>0</w:t>
            </w:r>
          </w:p>
        </w:tc>
      </w:tr>
    </w:tbl>
    <w:p w:rsidR="004374B2" w:rsidRDefault="004374B2" w:rsidP="004374B2">
      <w:pPr>
        <w:pStyle w:val="AERtablesource"/>
      </w:pPr>
      <w:r>
        <w:t xml:space="preserve">Source: </w:t>
      </w:r>
      <w:r>
        <w:tab/>
        <w:t>AER analysis.</w:t>
      </w:r>
    </w:p>
    <w:p w:rsidR="00ED7CAB" w:rsidRPr="00ED7CAB" w:rsidRDefault="00ED7CAB" w:rsidP="00ED7CAB">
      <w:pPr>
        <w:pStyle w:val="AERtablesource"/>
      </w:pPr>
      <w:r>
        <w:t>(a)</w:t>
      </w:r>
      <w:r>
        <w:tab/>
      </w:r>
      <w:r w:rsidR="00E1554F">
        <w:t xml:space="preserve">Energex's revised proposal </w:t>
      </w:r>
      <w:r>
        <w:t>included the impact of expected DMIA carry-over from the 2010–15 regulatory control</w:t>
      </w:r>
      <w:r w:rsidR="00E1554F">
        <w:t xml:space="preserve"> in its building blocks</w:t>
      </w:r>
      <w:r>
        <w:t xml:space="preserve">. The carry-over amount is to be accounted for in the annual pricing approval process for 2016–17 and </w:t>
      </w:r>
      <w:r w:rsidR="00E1554F">
        <w:t>therefore is not provided for in the building block assessment for</w:t>
      </w:r>
      <w:r>
        <w:t xml:space="preserve"> this final decision.</w:t>
      </w:r>
      <w:r w:rsidR="006160EA">
        <w:t xml:space="preserve"> Instead, it is included in the 'additional' amounts as part of overall revenue smoothing.</w:t>
      </w:r>
    </w:p>
    <w:p w:rsidR="004374B2" w:rsidRDefault="004374B2" w:rsidP="004374B2">
      <w:r>
        <w:t>This section explains how these revenue increments or decrements arose.</w:t>
      </w:r>
    </w:p>
    <w:p w:rsidR="004374B2" w:rsidRDefault="004374B2" w:rsidP="004374B2">
      <w:r>
        <w:t>Over the 2010–15 regulatory control period, we regulated Energex under a revenue cap form of control. Under this form of control, service providers recover no more or less than the total allowed revenue, which usually includes:</w:t>
      </w:r>
    </w:p>
    <w:p w:rsidR="004374B2" w:rsidRDefault="004374B2" w:rsidP="004374B2">
      <w:pPr>
        <w:pStyle w:val="AERbulletlistfirststyle"/>
      </w:pPr>
      <w:r>
        <w:t>Building block expected revenue set in the determination.</w:t>
      </w:r>
    </w:p>
    <w:p w:rsidR="004374B2" w:rsidRDefault="004374B2" w:rsidP="004374B2">
      <w:pPr>
        <w:pStyle w:val="AERbulletlistfirststyle"/>
      </w:pPr>
      <w:r>
        <w:t>Under or over-recovery in the expected revenue from two years prior—these amounts are for two years prior because the full amount of any under/over-recovery is not known until the end of a pricing year, but the pricing approval process must take place in advance of the pricing year. Therefore, there is a two</w:t>
      </w:r>
      <w:r w:rsidR="00E36472">
        <w:t>-</w:t>
      </w:r>
      <w:r>
        <w:t xml:space="preserve"> year lag between when the pricing year finishes and when revenue under/over</w:t>
      </w:r>
      <w:r w:rsidR="00D77DFE">
        <w:t>-</w:t>
      </w:r>
      <w:r>
        <w:t>recoveries can be included in the future revenue target.</w:t>
      </w:r>
    </w:p>
    <w:p w:rsidR="005629F0" w:rsidRDefault="005629F0" w:rsidP="005629F0">
      <w:pPr>
        <w:pStyle w:val="AERbulletlistfirststyle"/>
      </w:pPr>
      <w:r w:rsidRPr="005629F0">
        <w:t>Any change in the balance of the unders and overs account. A balance may emerge in the unders and overs account where an under or over-recovery from an earlier year has not been fully recovered two years later. The residual then needs to be recovered in subsequent years. We generally target a zero balance for the unders and overs account, but in Queensland circumstances prevented this as discussed below.</w:t>
      </w:r>
    </w:p>
    <w:p w:rsidR="004374B2" w:rsidRDefault="004374B2" w:rsidP="004374B2">
      <w:pPr>
        <w:pStyle w:val="AERbulletlistfirststyle"/>
      </w:pPr>
      <w:r>
        <w:t>Jurisdictional scheme obligation amounts—these are amounts that the service provider is required to collect under legislation and which we are not required to assess.</w:t>
      </w:r>
    </w:p>
    <w:p w:rsidR="004374B2" w:rsidRDefault="00D77DFE" w:rsidP="004374B2">
      <w:pPr>
        <w:pStyle w:val="AERbulletlistfirststyle"/>
      </w:pPr>
      <w:r>
        <w:t>Pass</w:t>
      </w:r>
      <w:r w:rsidR="0086312B">
        <w:t xml:space="preserve"> </w:t>
      </w:r>
      <w:r w:rsidR="004374B2">
        <w:t>through amounts—these are amounts that the service provider</w:t>
      </w:r>
      <w:r w:rsidR="0086312B">
        <w:t xml:space="preserve"> has applied for under the pass </w:t>
      </w:r>
      <w:r w:rsidR="004374B2">
        <w:t>through provisions in its determination and we have subsequently approved. Often, this relates to events with unforeseeable likelihood and or timing, such as damage due to storms or regulatory changes.</w:t>
      </w:r>
    </w:p>
    <w:p w:rsidR="004374B2" w:rsidRDefault="004374B2" w:rsidP="004374B2">
      <w:pPr>
        <w:pStyle w:val="AERbulletlistfirststyle"/>
      </w:pPr>
      <w:r>
        <w:t xml:space="preserve">Other factors—this category includes applicable incentive scheme amounts, such as the S-factor for STPIS. </w:t>
      </w:r>
    </w:p>
    <w:p w:rsidR="004374B2" w:rsidRPr="004374B2" w:rsidRDefault="004374B2" w:rsidP="00D77DFE">
      <w:r>
        <w:t>Energex</w:t>
      </w:r>
      <w:r w:rsidRPr="004374B2">
        <w:t xml:space="preserve"> has accumulated a large under-recovery balance</w:t>
      </w:r>
      <w:r w:rsidR="005629F0">
        <w:t xml:space="preserve"> in its unders and overs account</w:t>
      </w:r>
      <w:r w:rsidRPr="004374B2">
        <w:t xml:space="preserve"> due to:</w:t>
      </w:r>
    </w:p>
    <w:p w:rsidR="004374B2" w:rsidRPr="00390D5A" w:rsidRDefault="004374B2" w:rsidP="004374B2">
      <w:pPr>
        <w:pStyle w:val="AERbulletlistfirststyle"/>
      </w:pPr>
      <w:r>
        <w:lastRenderedPageBreak/>
        <w:t>revenue cap under-recoveries</w:t>
      </w:r>
    </w:p>
    <w:p w:rsidR="004374B2" w:rsidRDefault="00D77DFE" w:rsidP="004374B2">
      <w:pPr>
        <w:pStyle w:val="AERbulletlistfirststyle"/>
      </w:pPr>
      <w:r>
        <w:t>pass</w:t>
      </w:r>
      <w:r w:rsidR="0086312B">
        <w:t xml:space="preserve"> </w:t>
      </w:r>
      <w:r w:rsidR="004374B2">
        <w:t>through of feed-in tariffs under-recoveries</w:t>
      </w:r>
      <w:r w:rsidR="004374B2" w:rsidRPr="00390D5A">
        <w:t>.</w:t>
      </w:r>
    </w:p>
    <w:p w:rsidR="004374B2" w:rsidRDefault="004374B2" w:rsidP="004374B2">
      <w:r>
        <w:t xml:space="preserve">These are amounts that Energex was allowed to recover as revenues over the </w:t>
      </w:r>
      <w:r w:rsidR="00D77DFE">
        <w:br/>
      </w:r>
      <w:r>
        <w:t>2010–15 regulatory control period, but did not do so. In particular, these amounts accumulated due to three main factors:</w:t>
      </w:r>
    </w:p>
    <w:p w:rsidR="004374B2" w:rsidRDefault="004374B2" w:rsidP="004374B2">
      <w:pPr>
        <w:pStyle w:val="AERbulletlistfirststyle"/>
      </w:pPr>
      <w:r>
        <w:t>Throughout the 2010–15 regulatory control period, consumption of electricity on Energex's network decreased at a faster rate than was projected in pricing forecasts. Approved prices are set annually to recover the target revenue based on estimated units of consumption, customer numbers and other factors where relevant. Holding all else constant,</w:t>
      </w:r>
      <w:r w:rsidRPr="00CC1891">
        <w:t xml:space="preserve"> </w:t>
      </w:r>
      <w:r>
        <w:t>if any of these units is overestimated:</w:t>
      </w:r>
    </w:p>
    <w:p w:rsidR="004374B2" w:rsidRDefault="004374B2" w:rsidP="004374B2">
      <w:pPr>
        <w:pStyle w:val="AERbulletlistsecondstyle"/>
      </w:pPr>
      <w:r>
        <w:t>prices are relatively lower than they should have been, since the same revenue amount is shared across a larger number of units</w:t>
      </w:r>
    </w:p>
    <w:p w:rsidR="004374B2" w:rsidRDefault="004374B2" w:rsidP="004374B2">
      <w:pPr>
        <w:pStyle w:val="AERbulletlistsecondstyle"/>
      </w:pPr>
      <w:r>
        <w:t>revenue is therefore lower than it should have been, since it is the product of a lower-than-forecast actual number of units multiplied by a relatively lower price.</w:t>
      </w:r>
    </w:p>
    <w:p w:rsidR="004374B2" w:rsidRDefault="004374B2" w:rsidP="004374B2">
      <w:pPr>
        <w:pStyle w:val="AERbulletlistfirststyle"/>
      </w:pPr>
      <w:r>
        <w:t>Uptake of the solar bonus scheme (feed-in tariffs) was greater than forecast. Annual estimates of the feed-in tariffs were included in Energex's opex allowance over the 2010–15 regulatory control period. However, since this was a new jurisdictional policy and hence difficult to forecast, we approved a specific under</w:t>
      </w:r>
      <w:r w:rsidR="00D77DFE">
        <w:t>s/over</w:t>
      </w:r>
      <w:r>
        <w:t>s factor to account for the difference between forecast and actual.</w:t>
      </w:r>
      <w:r w:rsidRPr="00740AED">
        <w:t xml:space="preserve"> </w:t>
      </w:r>
      <w:r>
        <w:t xml:space="preserve">As the take-up of the scheme was much greater than forecast, this led to a large under-recovery balance. </w:t>
      </w:r>
    </w:p>
    <w:p w:rsidR="004374B2" w:rsidRDefault="004374B2" w:rsidP="005D3B0A">
      <w:pPr>
        <w:pStyle w:val="AERbulletlistfirststyle"/>
      </w:pPr>
      <w:r>
        <w:t>These in combination led to a triggering of the under-recovery threshold. In the 2010 determination, we set a 5 per cent under</w:t>
      </w:r>
      <w:r w:rsidR="00D77DFE">
        <w:t>s/overs</w:t>
      </w:r>
      <w:r>
        <w:t xml:space="preserve"> threshold for accumulated under or over-recovery balances. On meeting this threshold, Energex submitted a plan to clear the balance over several years</w:t>
      </w:r>
      <w:r w:rsidR="00B20B9A" w:rsidRPr="00B20B9A">
        <w:t>, rather than in a single or two years</w:t>
      </w:r>
      <w:r w:rsidR="00B20B9A">
        <w:rPr>
          <w:rStyle w:val="FootnoteReference"/>
        </w:rPr>
        <w:footnoteReference w:id="13"/>
      </w:r>
      <w:r>
        <w:t xml:space="preserve">. Part of this plan included the recovery of some of the revenue in the 2015–20 regulatory control period. This was designed to prevent larger increase in prices </w:t>
      </w:r>
      <w:r w:rsidR="00D77DFE">
        <w:t>during</w:t>
      </w:r>
      <w:r>
        <w:t xml:space="preserve"> the 2010–15 regulatory control period.</w:t>
      </w:r>
    </w:p>
    <w:p w:rsidR="004374B2" w:rsidRDefault="004374B2" w:rsidP="00357474">
      <w:pPr>
        <w:pStyle w:val="HeadingBoldBlue"/>
      </w:pPr>
      <w:bookmarkStart w:id="30" w:name="_Toc417564282"/>
      <w:bookmarkStart w:id="31" w:name="_Toc432852009"/>
      <w:bookmarkStart w:id="32" w:name="_Toc433022788"/>
      <w:r>
        <w:t>Shared assets</w:t>
      </w:r>
      <w:bookmarkEnd w:id="30"/>
      <w:bookmarkEnd w:id="31"/>
      <w:bookmarkEnd w:id="32"/>
    </w:p>
    <w:p w:rsidR="004374B2" w:rsidRPr="00D3748C" w:rsidRDefault="004374B2" w:rsidP="004374B2">
      <w:pPr>
        <w:numPr>
          <w:ilvl w:val="0"/>
          <w:numId w:val="25"/>
        </w:numPr>
      </w:pPr>
      <w:bookmarkStart w:id="33" w:name="_Toc417564283"/>
      <w:r>
        <w:t>In the preliminary decision, we considered that Energex</w:t>
      </w:r>
      <w:r w:rsidRPr="00D3748C">
        <w:t xml:space="preserve">'s forecast shared asset unregulated revenues do not meet the minimum threshold for adjustments to be made to its </w:t>
      </w:r>
      <w:r>
        <w:t>ARR</w:t>
      </w:r>
      <w:r w:rsidRPr="00D3748C">
        <w:t>.</w:t>
      </w:r>
      <w:r>
        <w:rPr>
          <w:rStyle w:val="FootnoteReference"/>
        </w:rPr>
        <w:footnoteReference w:id="14"/>
      </w:r>
      <w:r w:rsidRPr="00D3748C">
        <w:t xml:space="preserve"> </w:t>
      </w:r>
      <w:r w:rsidRPr="00165F17">
        <w:t xml:space="preserve">We continue to </w:t>
      </w:r>
      <w:r>
        <w:t>maintain</w:t>
      </w:r>
      <w:r w:rsidRPr="00165F17">
        <w:t xml:space="preserve"> this view. </w:t>
      </w:r>
      <w:r>
        <w:t>Our final decision is therefore consistent with</w:t>
      </w:r>
      <w:r w:rsidRPr="00D3748C">
        <w:t xml:space="preserve"> our </w:t>
      </w:r>
      <w:r>
        <w:t>preliminary</w:t>
      </w:r>
      <w:r w:rsidRPr="00D3748C">
        <w:t xml:space="preserve"> decision.</w:t>
      </w:r>
    </w:p>
    <w:p w:rsidR="004374B2" w:rsidRPr="00813E06" w:rsidRDefault="004374B2" w:rsidP="004374B2">
      <w:pPr>
        <w:pStyle w:val="Heading3"/>
      </w:pPr>
      <w:bookmarkStart w:id="34" w:name="_Toc433022789"/>
      <w:r w:rsidRPr="00F37EDD">
        <w:lastRenderedPageBreak/>
        <w:t>Indicative</w:t>
      </w:r>
      <w:r w:rsidRPr="00813E06">
        <w:t xml:space="preserve"> average distribution price impact</w:t>
      </w:r>
      <w:bookmarkEnd w:id="33"/>
      <w:bookmarkEnd w:id="34"/>
    </w:p>
    <w:p w:rsidR="004374B2" w:rsidRDefault="004374B2" w:rsidP="004374B2">
      <w:pPr>
        <w:numPr>
          <w:ilvl w:val="0"/>
          <w:numId w:val="25"/>
        </w:numPr>
      </w:pPr>
      <w:r w:rsidRPr="00446442">
        <w:t xml:space="preserve">Our </w:t>
      </w:r>
      <w:r w:rsidR="006B7D64">
        <w:t>final</w:t>
      </w:r>
      <w:r w:rsidRPr="00446442">
        <w:t xml:space="preserve"> decision on </w:t>
      </w:r>
      <w:r>
        <w:t>Energex's</w:t>
      </w:r>
      <w:r w:rsidRPr="00446442">
        <w:t xml:space="preserve"> expected revenues ultimately affects the prices consumers pay for electricity. </w:t>
      </w:r>
      <w:r>
        <w:t>There are several steps required in translating our revenue decision to a price impact.</w:t>
      </w:r>
    </w:p>
    <w:p w:rsidR="004374B2" w:rsidRPr="00813E06" w:rsidRDefault="004374B2" w:rsidP="004374B2">
      <w:pPr>
        <w:numPr>
          <w:ilvl w:val="0"/>
          <w:numId w:val="25"/>
        </w:numPr>
      </w:pPr>
      <w:r>
        <w:t>W</w:t>
      </w:r>
      <w:r w:rsidRPr="00813E06">
        <w:t>e regulat</w:t>
      </w:r>
      <w:r>
        <w:t>e</w:t>
      </w:r>
      <w:r w:rsidRPr="00813E06">
        <w:t xml:space="preserve"> </w:t>
      </w:r>
      <w:r>
        <w:t xml:space="preserve">Energex's </w:t>
      </w:r>
      <w:r w:rsidRPr="00813E06">
        <w:t xml:space="preserve">standard control services under a revenue cap form of control. This means </w:t>
      </w:r>
      <w:r>
        <w:t xml:space="preserve">our </w:t>
      </w:r>
      <w:r w:rsidR="006B7D64">
        <w:t>final</w:t>
      </w:r>
      <w:r>
        <w:t xml:space="preserve"> decision on</w:t>
      </w:r>
      <w:r w:rsidRPr="00813E06">
        <w:t xml:space="preserve"> </w:t>
      </w:r>
      <w:r>
        <w:t>Energex's</w:t>
      </w:r>
      <w:r w:rsidRPr="00813E06">
        <w:t xml:space="preserve"> expected revenues do not directly translate to price impacts. This is because </w:t>
      </w:r>
      <w:r>
        <w:t>Energex's</w:t>
      </w:r>
      <w:r w:rsidRPr="00813E06">
        <w:t xml:space="preserve"> revenue is fixed under the revenue cap form of control, so changes in the consumption of electricity will affect the prices ultimately charged to consumers. We are not required to establish the distribution prices for </w:t>
      </w:r>
      <w:r>
        <w:t>Energex</w:t>
      </w:r>
      <w:r w:rsidRPr="00813E06">
        <w:t xml:space="preserve"> as part of this determination. However, we will assess </w:t>
      </w:r>
      <w:r>
        <w:t>Energex's</w:t>
      </w:r>
      <w:r w:rsidRPr="00813E06">
        <w:t xml:space="preserve"> annual pricing proposals before the commencement of </w:t>
      </w:r>
      <w:r>
        <w:t>each</w:t>
      </w:r>
      <w:r w:rsidRPr="00813E06">
        <w:t xml:space="preserve"> regulatory year for the 201</w:t>
      </w:r>
      <w:r>
        <w:t>5–20</w:t>
      </w:r>
      <w:r w:rsidRPr="00813E06">
        <w:t xml:space="preserve"> </w:t>
      </w:r>
      <w:r>
        <w:t xml:space="preserve">regulatory control </w:t>
      </w:r>
      <w:r w:rsidRPr="00813E06">
        <w:t xml:space="preserve">period </w:t>
      </w:r>
      <w:r>
        <w:t>to administer the pricing requirements in</w:t>
      </w:r>
      <w:r w:rsidRPr="00813E06">
        <w:t xml:space="preserve"> this distribution determination.</w:t>
      </w:r>
    </w:p>
    <w:p w:rsidR="004374B2" w:rsidRDefault="004374B2" w:rsidP="004374B2">
      <w:pPr>
        <w:numPr>
          <w:ilvl w:val="0"/>
          <w:numId w:val="25"/>
        </w:numPr>
      </w:pPr>
      <w:r w:rsidRPr="00446442">
        <w:t xml:space="preserve">For this </w:t>
      </w:r>
      <w:r w:rsidR="000D099D">
        <w:t xml:space="preserve">final </w:t>
      </w:r>
      <w:r w:rsidRPr="00446442">
        <w:t>decision, we have estimated some indicative average distribution price impacts flowing from our determination on the expected revenues</w:t>
      </w:r>
      <w:r>
        <w:t xml:space="preserve"> and jurisdictional scheme obligation amounts</w:t>
      </w:r>
      <w:r w:rsidRPr="00446442">
        <w:t xml:space="preserve"> for </w:t>
      </w:r>
      <w:r>
        <w:t>Energex</w:t>
      </w:r>
      <w:r w:rsidRPr="00446442">
        <w:t xml:space="preserve"> over the 201</w:t>
      </w:r>
      <w:r>
        <w:t>5–20 regulatory control</w:t>
      </w:r>
      <w:r w:rsidRPr="00446442">
        <w:t xml:space="preserve"> period. </w:t>
      </w:r>
      <w:r>
        <w:fldChar w:fldCharType="begin"/>
      </w:r>
      <w:r>
        <w:instrText xml:space="preserve"> REF _Ref416779269 \h </w:instrText>
      </w:r>
      <w:r>
        <w:fldChar w:fldCharType="separate"/>
      </w:r>
      <w:r w:rsidR="008708D5">
        <w:t xml:space="preserve">Figure </w:t>
      </w:r>
      <w:r w:rsidR="008708D5">
        <w:rPr>
          <w:noProof/>
        </w:rPr>
        <w:t>1</w:t>
      </w:r>
      <w:r w:rsidR="008708D5">
        <w:t>.</w:t>
      </w:r>
      <w:r w:rsidR="008708D5">
        <w:rPr>
          <w:noProof/>
        </w:rPr>
        <w:t>5</w:t>
      </w:r>
      <w:r>
        <w:fldChar w:fldCharType="end"/>
      </w:r>
      <w:r>
        <w:t xml:space="preserve"> </w:t>
      </w:r>
      <w:r w:rsidRPr="00446442">
        <w:t>show</w:t>
      </w:r>
      <w:r>
        <w:t>s</w:t>
      </w:r>
      <w:r w:rsidRPr="00446442">
        <w:t xml:space="preserve"> </w:t>
      </w:r>
      <w:r>
        <w:t>Energex's</w:t>
      </w:r>
      <w:r w:rsidRPr="00446442">
        <w:t xml:space="preserve"> indicative price path</w:t>
      </w:r>
      <w:r>
        <w:t xml:space="preserve"> </w:t>
      </w:r>
      <w:r w:rsidRPr="00446442">
        <w:t xml:space="preserve">based on the expected revenues established in our </w:t>
      </w:r>
      <w:r w:rsidR="000D099D">
        <w:t xml:space="preserve">final </w:t>
      </w:r>
      <w:r w:rsidRPr="00446442">
        <w:t>decision compared to its</w:t>
      </w:r>
      <w:r w:rsidR="000D099D">
        <w:t xml:space="preserve"> revised</w:t>
      </w:r>
      <w:r w:rsidRPr="00446442">
        <w:t xml:space="preserve"> propos</w:t>
      </w:r>
      <w:r>
        <w:t>al</w:t>
      </w:r>
      <w:r w:rsidRPr="00446442">
        <w:t xml:space="preserve">. </w:t>
      </w:r>
      <w:r>
        <w:t>W</w:t>
      </w:r>
      <w:r w:rsidRPr="00446442">
        <w:t xml:space="preserve">e used the </w:t>
      </w:r>
      <w:r>
        <w:t xml:space="preserve">data on average </w:t>
      </w:r>
      <w:r w:rsidRPr="00446442">
        <w:t xml:space="preserve">price </w:t>
      </w:r>
      <w:r>
        <w:t>changes</w:t>
      </w:r>
      <w:r w:rsidRPr="00446442">
        <w:t xml:space="preserve"> </w:t>
      </w:r>
      <w:r>
        <w:t>Energex</w:t>
      </w:r>
      <w:r w:rsidRPr="00446442">
        <w:t xml:space="preserve"> provided in </w:t>
      </w:r>
      <w:r>
        <w:t>its</w:t>
      </w:r>
      <w:r w:rsidR="002F7AA7">
        <w:t xml:space="preserve"> initial and revised</w:t>
      </w:r>
      <w:r w:rsidR="000D099D">
        <w:t xml:space="preserve"> </w:t>
      </w:r>
      <w:r>
        <w:t>proposal</w:t>
      </w:r>
      <w:r w:rsidR="002F7AA7">
        <w:t>s</w:t>
      </w:r>
      <w:r>
        <w:t>.</w:t>
      </w:r>
      <w:r w:rsidRPr="00446442">
        <w:t xml:space="preserve"> </w:t>
      </w:r>
      <w:r>
        <w:t xml:space="preserve">We estimated average prices by dividing expected revenue by the total forecast energy consumption (MWh) in Energex's distribution network to determine the movement in overall prices. </w:t>
      </w:r>
      <w:r w:rsidRPr="00446442">
        <w:t>For presentational purposes, the prices are scaled so that the price index begins at 1.0 in 201</w:t>
      </w:r>
      <w:r>
        <w:t>4–</w:t>
      </w:r>
      <w:r w:rsidRPr="00446442">
        <w:t>1</w:t>
      </w:r>
      <w:r>
        <w:t>5</w:t>
      </w:r>
      <w:r w:rsidRPr="00446442">
        <w:t>.</w:t>
      </w:r>
      <w:r w:rsidRPr="00F15277">
        <w:t xml:space="preserve"> The index provides a simple overall measure of the relative movement in expected distribution prices over the 201</w:t>
      </w:r>
      <w:r>
        <w:t>5–20 regulatory control</w:t>
      </w:r>
      <w:r w:rsidRPr="00F15277">
        <w:t xml:space="preserve"> period.</w:t>
      </w:r>
    </w:p>
    <w:p w:rsidR="004374B2" w:rsidRDefault="004374B2" w:rsidP="004374B2">
      <w:pPr>
        <w:pStyle w:val="Caption"/>
      </w:pPr>
      <w:bookmarkStart w:id="35" w:name="_Ref416779269"/>
      <w:bookmarkStart w:id="36" w:name="_Ref402793878"/>
      <w:r>
        <w:lastRenderedPageBreak/>
        <w:t xml:space="preserve">Figure </w:t>
      </w:r>
      <w:fldSimple w:instr=" STYLEREF 1 \s ">
        <w:r w:rsidR="00765BCD">
          <w:rPr>
            <w:noProof/>
          </w:rPr>
          <w:t>1</w:t>
        </w:r>
      </w:fldSimple>
      <w:r w:rsidR="00765BCD">
        <w:t>.</w:t>
      </w:r>
      <w:fldSimple w:instr=" SEQ Figure \* ARABIC \s 1 ">
        <w:r w:rsidR="00765BCD">
          <w:rPr>
            <w:noProof/>
          </w:rPr>
          <w:t>5</w:t>
        </w:r>
      </w:fldSimple>
      <w:bookmarkEnd w:id="35"/>
      <w:bookmarkEnd w:id="36"/>
      <w:r>
        <w:tab/>
        <w:t xml:space="preserve">AER's </w:t>
      </w:r>
      <w:r w:rsidR="000D099D">
        <w:t>final</w:t>
      </w:r>
      <w:r>
        <w:t xml:space="preserve"> decision and Energex's</w:t>
      </w:r>
      <w:r w:rsidR="000D099D">
        <w:t xml:space="preserve"> revised</w:t>
      </w:r>
      <w:r>
        <w:t xml:space="preserve"> proposed indicative price paths (nominal price index) </w:t>
      </w:r>
    </w:p>
    <w:p w:rsidR="004374B2" w:rsidRDefault="002C535B" w:rsidP="002C535B">
      <w:pPr>
        <w:numPr>
          <w:ilvl w:val="0"/>
          <w:numId w:val="25"/>
        </w:numPr>
      </w:pPr>
      <w:r w:rsidRPr="002C535B">
        <w:rPr>
          <w:noProof/>
          <w:lang w:eastAsia="en-AU"/>
        </w:rPr>
        <w:drawing>
          <wp:inline distT="0" distB="0" distL="0" distR="0" wp14:anchorId="00066CF4" wp14:editId="118E7D6C">
            <wp:extent cx="5382895" cy="3225944"/>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225944"/>
                    </a:xfrm>
                    <a:prstGeom prst="rect">
                      <a:avLst/>
                    </a:prstGeom>
                    <a:noFill/>
                    <a:ln>
                      <a:noFill/>
                    </a:ln>
                  </pic:spPr>
                </pic:pic>
              </a:graphicData>
            </a:graphic>
          </wp:inline>
        </w:drawing>
      </w:r>
    </w:p>
    <w:p w:rsidR="004374B2" w:rsidRDefault="004374B2" w:rsidP="004374B2">
      <w:pPr>
        <w:pStyle w:val="AERtablesource"/>
      </w:pPr>
      <w:r>
        <w:t>Source:</w:t>
      </w:r>
      <w:r>
        <w:tab/>
        <w:t xml:space="preserve">AER analysis. </w:t>
      </w:r>
    </w:p>
    <w:p w:rsidR="004374B2" w:rsidRDefault="004374B2" w:rsidP="004374B2">
      <w:pPr>
        <w:pStyle w:val="AERtablesource"/>
      </w:pPr>
      <w:r>
        <w:t>Notes:</w:t>
      </w:r>
      <w:r>
        <w:tab/>
      </w:r>
      <w:r w:rsidRPr="00FC0C64">
        <w:t xml:space="preserve">The nominal price index is calculated by the AER based on the indicative average price changes submitted by </w:t>
      </w:r>
      <w:r>
        <w:t>Energex</w:t>
      </w:r>
      <w:r w:rsidRPr="00FC0C64">
        <w:t xml:space="preserve"> in its</w:t>
      </w:r>
      <w:r w:rsidR="000D099D">
        <w:t xml:space="preserve"> initial</w:t>
      </w:r>
      <w:r w:rsidR="002F7AA7">
        <w:t xml:space="preserve"> and revised</w:t>
      </w:r>
      <w:r w:rsidRPr="00FC0C64">
        <w:t xml:space="preserve"> </w:t>
      </w:r>
      <w:r>
        <w:t xml:space="preserve">proposal, </w:t>
      </w:r>
      <w:r w:rsidRPr="00FC0C64">
        <w:t xml:space="preserve">and adjusting for the change in overall revenue substituted by the AER.  </w:t>
      </w:r>
    </w:p>
    <w:p w:rsidR="004374B2" w:rsidRPr="00446442" w:rsidRDefault="004374B2" w:rsidP="004374B2">
      <w:pPr>
        <w:numPr>
          <w:ilvl w:val="0"/>
          <w:numId w:val="25"/>
        </w:numPr>
      </w:pPr>
      <w:r w:rsidRPr="00481870">
        <w:t xml:space="preserve">We estimate that </w:t>
      </w:r>
      <w:r w:rsidR="000D099D">
        <w:t>our final</w:t>
      </w:r>
      <w:r w:rsidRPr="00481870">
        <w:t xml:space="preserve"> decision on </w:t>
      </w:r>
      <w:r>
        <w:t>Energex's</w:t>
      </w:r>
      <w:r w:rsidRPr="00481870">
        <w:t xml:space="preserve"> annual expected revenue </w:t>
      </w:r>
      <w:r w:rsidR="000D099D">
        <w:t xml:space="preserve">(including additionals) </w:t>
      </w:r>
      <w:r w:rsidRPr="00481870">
        <w:t xml:space="preserve">will result in a decrease to average distribution charges by about </w:t>
      </w:r>
      <w:r>
        <w:t>3.</w:t>
      </w:r>
      <w:r w:rsidR="009957CA">
        <w:t>3</w:t>
      </w:r>
      <w:r w:rsidRPr="00481870">
        <w:t xml:space="preserve"> per cent per annum over the 201</w:t>
      </w:r>
      <w:r>
        <w:t>5</w:t>
      </w:r>
      <w:r w:rsidRPr="00481870">
        <w:t>–</w:t>
      </w:r>
      <w:r>
        <w:t>20</w:t>
      </w:r>
      <w:r w:rsidRPr="00481870">
        <w:t xml:space="preserve"> </w:t>
      </w:r>
      <w:r>
        <w:t xml:space="preserve">regulatory control </w:t>
      </w:r>
      <w:r w:rsidRPr="00481870">
        <w:t>period in nominal terms.</w:t>
      </w:r>
      <w:r>
        <w:t xml:space="preserve"> </w:t>
      </w:r>
      <w:r w:rsidRPr="00550A97">
        <w:t>This compares to the nominal average increase of approximately 2.</w:t>
      </w:r>
      <w:r w:rsidR="009957CA">
        <w:t>2</w:t>
      </w:r>
      <w:r w:rsidRPr="00550A97">
        <w:t xml:space="preserve"> per cent per annum proposed by Energex over the 2015–20 regulatory control period.</w:t>
      </w:r>
      <w:r>
        <w:t xml:space="preserve"> </w:t>
      </w:r>
      <w:r w:rsidRPr="00E606D6">
        <w:t xml:space="preserve">This amount includes a forecast inflation rate of 2.5 per cent per annum. In real terms we estimate average distribution charges to decline by </w:t>
      </w:r>
      <w:r>
        <w:t>5.</w:t>
      </w:r>
      <w:r w:rsidR="009957CA">
        <w:t>7</w:t>
      </w:r>
      <w:r w:rsidRPr="00E606D6">
        <w:t xml:space="preserve"> per cent per annum, compared to a decline of </w:t>
      </w:r>
      <w:r>
        <w:t>0.</w:t>
      </w:r>
      <w:r w:rsidR="009957CA">
        <w:t>3</w:t>
      </w:r>
      <w:r w:rsidRPr="00E606D6">
        <w:t xml:space="preserve"> per cent proposed by </w:t>
      </w:r>
      <w:r>
        <w:t>Energex</w:t>
      </w:r>
      <w:r w:rsidRPr="00E606D6">
        <w:t>.</w:t>
      </w:r>
      <w:r>
        <w:t xml:space="preserve"> </w:t>
      </w:r>
    </w:p>
    <w:p w:rsidR="004374B2" w:rsidRDefault="004374B2" w:rsidP="004374B2">
      <w:pPr>
        <w:numPr>
          <w:ilvl w:val="0"/>
          <w:numId w:val="25"/>
        </w:numPr>
      </w:pPr>
      <w:r>
        <w:fldChar w:fldCharType="begin"/>
      </w:r>
      <w:r>
        <w:instrText xml:space="preserve"> REF _Ref404354253 \h </w:instrText>
      </w:r>
      <w:r>
        <w:fldChar w:fldCharType="separate"/>
      </w:r>
      <w:r w:rsidR="00C6336B">
        <w:t xml:space="preserve">Table </w:t>
      </w:r>
      <w:r w:rsidR="00C6336B">
        <w:rPr>
          <w:noProof/>
        </w:rPr>
        <w:t>1</w:t>
      </w:r>
      <w:r w:rsidR="00C6336B">
        <w:t>.</w:t>
      </w:r>
      <w:r w:rsidR="00C6336B">
        <w:rPr>
          <w:noProof/>
        </w:rPr>
        <w:t>4</w:t>
      </w:r>
      <w:r>
        <w:fldChar w:fldCharType="end"/>
      </w:r>
      <w:r>
        <w:t xml:space="preserve"> displays the comparison of the price impacts of Energex's</w:t>
      </w:r>
      <w:r w:rsidR="00171D68">
        <w:t xml:space="preserve"> revised</w:t>
      </w:r>
      <w:r>
        <w:t xml:space="preserve"> proposal and our </w:t>
      </w:r>
      <w:r w:rsidR="000D099D">
        <w:t>final</w:t>
      </w:r>
      <w:r>
        <w:t xml:space="preserve"> decision revenue allowance.</w:t>
      </w:r>
    </w:p>
    <w:p w:rsidR="005C5AD4" w:rsidRDefault="005C5AD4" w:rsidP="005C5AD4"/>
    <w:p w:rsidR="005C5AD4" w:rsidRDefault="005C5AD4" w:rsidP="005C5AD4"/>
    <w:p w:rsidR="005C5AD4" w:rsidRDefault="005C5AD4" w:rsidP="005C5AD4"/>
    <w:p w:rsidR="005C5AD4" w:rsidRDefault="005C5AD4" w:rsidP="005C5AD4"/>
    <w:p w:rsidR="004374B2" w:rsidRDefault="004374B2" w:rsidP="004374B2">
      <w:pPr>
        <w:pStyle w:val="Caption"/>
      </w:pPr>
      <w:bookmarkStart w:id="37" w:name="_Ref401573569"/>
      <w:bookmarkStart w:id="38" w:name="_Ref404354253"/>
      <w:proofErr w:type="gramStart"/>
      <w:r>
        <w:lastRenderedPageBreak/>
        <w:t xml:space="preserve">Table </w:t>
      </w:r>
      <w:proofErr w:type="gramEnd"/>
      <w:r w:rsidR="00D53D9B">
        <w:fldChar w:fldCharType="begin"/>
      </w:r>
      <w:r w:rsidR="00D53D9B">
        <w:instrText xml:space="preserve"> STYLEREF 1 \s </w:instrText>
      </w:r>
      <w:r w:rsidR="00D53D9B">
        <w:fldChar w:fldCharType="separate"/>
      </w:r>
      <w:r w:rsidR="00C6336B">
        <w:rPr>
          <w:noProof/>
        </w:rPr>
        <w:t>1</w:t>
      </w:r>
      <w:r w:rsidR="00D53D9B">
        <w:rPr>
          <w:noProof/>
        </w:rPr>
        <w:fldChar w:fldCharType="end"/>
      </w:r>
      <w:proofErr w:type="gramStart"/>
      <w:r w:rsidR="00C6336B">
        <w:t>.</w:t>
      </w:r>
      <w:proofErr w:type="gramEnd"/>
      <w:r w:rsidR="005C4FFD">
        <w:fldChar w:fldCharType="begin"/>
      </w:r>
      <w:r w:rsidR="005C4FFD">
        <w:instrText xml:space="preserve"> SEQ Table \* ARABIC \s 1 </w:instrText>
      </w:r>
      <w:r w:rsidR="005C4FFD">
        <w:fldChar w:fldCharType="separate"/>
      </w:r>
      <w:r w:rsidR="00C6336B">
        <w:rPr>
          <w:noProof/>
        </w:rPr>
        <w:t>4</w:t>
      </w:r>
      <w:r w:rsidR="005C4FFD">
        <w:rPr>
          <w:noProof/>
        </w:rPr>
        <w:fldChar w:fldCharType="end"/>
      </w:r>
      <w:bookmarkEnd w:id="37"/>
      <w:bookmarkEnd w:id="38"/>
      <w:r>
        <w:tab/>
        <w:t>Comparison of revenue and price impacts of Energex</w:t>
      </w:r>
      <w:r w:rsidR="000D099D">
        <w:t>'s revised</w:t>
      </w:r>
      <w:r>
        <w:t xml:space="preserve"> proposal and the AER's </w:t>
      </w:r>
      <w:r w:rsidR="000D099D">
        <w:t>final</w:t>
      </w:r>
      <w:r>
        <w:t xml:space="preserve"> decision </w:t>
      </w:r>
    </w:p>
    <w:tbl>
      <w:tblPr>
        <w:tblStyle w:val="AERtable-numbers"/>
        <w:tblW w:w="8755" w:type="dxa"/>
        <w:tblLayout w:type="fixed"/>
        <w:tblLook w:val="04A0" w:firstRow="1" w:lastRow="0" w:firstColumn="1" w:lastColumn="0" w:noHBand="0" w:noVBand="1"/>
      </w:tblPr>
      <w:tblGrid>
        <w:gridCol w:w="2966"/>
        <w:gridCol w:w="964"/>
        <w:gridCol w:w="965"/>
        <w:gridCol w:w="965"/>
        <w:gridCol w:w="965"/>
        <w:gridCol w:w="965"/>
        <w:gridCol w:w="965"/>
      </w:tblGrid>
      <w:tr w:rsidR="004374B2" w:rsidRPr="004D7263" w:rsidTr="004374B2">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hideMark/>
          </w:tcPr>
          <w:p w:rsidR="004374B2" w:rsidRPr="004374B2" w:rsidRDefault="004374B2" w:rsidP="004374B2">
            <w:r w:rsidRPr="004D7263">
              <w:t> </w:t>
            </w:r>
          </w:p>
        </w:tc>
        <w:tc>
          <w:tcPr>
            <w:tcW w:w="964" w:type="dxa"/>
            <w:noWrap/>
            <w:hideMark/>
          </w:tcPr>
          <w:p w:rsidR="004374B2" w:rsidRPr="004374B2" w:rsidRDefault="004374B2" w:rsidP="004374B2">
            <w:pPr>
              <w:cnfStyle w:val="100000000000" w:firstRow="1" w:lastRow="0" w:firstColumn="0" w:lastColumn="0" w:oddVBand="0" w:evenVBand="0" w:oddHBand="0" w:evenHBand="0" w:firstRowFirstColumn="0" w:firstRowLastColumn="0" w:lastRowFirstColumn="0" w:lastRowLastColumn="0"/>
            </w:pPr>
            <w:r w:rsidRPr="004D7263">
              <w:t>201</w:t>
            </w:r>
            <w:r w:rsidRPr="004374B2">
              <w:t>4–15</w:t>
            </w:r>
          </w:p>
        </w:tc>
        <w:tc>
          <w:tcPr>
            <w:tcW w:w="965" w:type="dxa"/>
          </w:tcPr>
          <w:p w:rsidR="004374B2" w:rsidRPr="004374B2" w:rsidRDefault="004374B2" w:rsidP="004374B2">
            <w:pPr>
              <w:cnfStyle w:val="100000000000" w:firstRow="1" w:lastRow="0" w:firstColumn="0" w:lastColumn="0" w:oddVBand="0" w:evenVBand="0" w:oddHBand="0" w:evenHBand="0" w:firstRowFirstColumn="0" w:firstRowLastColumn="0" w:lastRowFirstColumn="0" w:lastRowLastColumn="0"/>
            </w:pPr>
            <w:r w:rsidRPr="004D7263">
              <w:t>2015</w:t>
            </w:r>
            <w:r w:rsidRPr="004374B2">
              <w:t>–16</w:t>
            </w:r>
          </w:p>
        </w:tc>
        <w:tc>
          <w:tcPr>
            <w:tcW w:w="965" w:type="dxa"/>
          </w:tcPr>
          <w:p w:rsidR="004374B2" w:rsidRPr="004374B2" w:rsidRDefault="004374B2" w:rsidP="004374B2">
            <w:pPr>
              <w:cnfStyle w:val="100000000000" w:firstRow="1" w:lastRow="0" w:firstColumn="0" w:lastColumn="0" w:oddVBand="0" w:evenVBand="0" w:oddHBand="0" w:evenHBand="0" w:firstRowFirstColumn="0" w:firstRowLastColumn="0" w:lastRowFirstColumn="0" w:lastRowLastColumn="0"/>
            </w:pPr>
            <w:r w:rsidRPr="004D7263">
              <w:t>201</w:t>
            </w:r>
            <w:r w:rsidRPr="004374B2">
              <w:t>6–17</w:t>
            </w:r>
          </w:p>
        </w:tc>
        <w:tc>
          <w:tcPr>
            <w:tcW w:w="965" w:type="dxa"/>
          </w:tcPr>
          <w:p w:rsidR="004374B2" w:rsidRPr="004374B2" w:rsidRDefault="004374B2" w:rsidP="004374B2">
            <w:pPr>
              <w:cnfStyle w:val="100000000000" w:firstRow="1" w:lastRow="0" w:firstColumn="0" w:lastColumn="0" w:oddVBand="0" w:evenVBand="0" w:oddHBand="0" w:evenHBand="0" w:firstRowFirstColumn="0" w:firstRowLastColumn="0" w:lastRowFirstColumn="0" w:lastRowLastColumn="0"/>
            </w:pPr>
            <w:r w:rsidRPr="004D7263">
              <w:t>201</w:t>
            </w:r>
            <w:r w:rsidRPr="004374B2">
              <w:t>7–18</w:t>
            </w:r>
          </w:p>
        </w:tc>
        <w:tc>
          <w:tcPr>
            <w:tcW w:w="965" w:type="dxa"/>
          </w:tcPr>
          <w:p w:rsidR="004374B2" w:rsidRPr="004374B2" w:rsidRDefault="004374B2" w:rsidP="004374B2">
            <w:pPr>
              <w:cnfStyle w:val="100000000000" w:firstRow="1" w:lastRow="0" w:firstColumn="0" w:lastColumn="0" w:oddVBand="0" w:evenVBand="0" w:oddHBand="0" w:evenHBand="0" w:firstRowFirstColumn="0" w:firstRowLastColumn="0" w:lastRowFirstColumn="0" w:lastRowLastColumn="0"/>
            </w:pPr>
            <w:r w:rsidRPr="004D7263">
              <w:t>201</w:t>
            </w:r>
            <w:r w:rsidRPr="004374B2">
              <w:t>8–19</w:t>
            </w:r>
          </w:p>
        </w:tc>
        <w:tc>
          <w:tcPr>
            <w:tcW w:w="965" w:type="dxa"/>
            <w:noWrap/>
            <w:hideMark/>
          </w:tcPr>
          <w:p w:rsidR="004374B2" w:rsidRPr="004374B2" w:rsidRDefault="004374B2" w:rsidP="004374B2">
            <w:pPr>
              <w:cnfStyle w:val="100000000000" w:firstRow="1" w:lastRow="0" w:firstColumn="0" w:lastColumn="0" w:oddVBand="0" w:evenVBand="0" w:oddHBand="0" w:evenHBand="0" w:firstRowFirstColumn="0" w:firstRowLastColumn="0" w:lastRowFirstColumn="0" w:lastRowLastColumn="0"/>
            </w:pPr>
            <w:r w:rsidRPr="004D7263">
              <w:t>201</w:t>
            </w:r>
            <w:r w:rsidRPr="004374B2">
              <w:t>9–20</w:t>
            </w:r>
          </w:p>
        </w:tc>
      </w:tr>
      <w:tr w:rsidR="00FB5E9F" w:rsidRPr="00146AAF" w:rsidTr="00BC4E4A">
        <w:trPr>
          <w:trHeight w:val="190"/>
        </w:trPr>
        <w:tc>
          <w:tcPr>
            <w:cnfStyle w:val="001000000000" w:firstRow="0" w:lastRow="0" w:firstColumn="1" w:lastColumn="0" w:oddVBand="0" w:evenVBand="0" w:oddHBand="0" w:evenHBand="0" w:firstRowFirstColumn="0" w:firstRowLastColumn="0" w:lastRowFirstColumn="0" w:lastRowLastColumn="0"/>
            <w:tcW w:w="2966" w:type="dxa"/>
            <w:noWrap/>
          </w:tcPr>
          <w:p w:rsidR="00FB5E9F" w:rsidRPr="00FB5E9F" w:rsidRDefault="00FB5E9F" w:rsidP="00FB5E9F">
            <w:pPr>
              <w:rPr>
                <w:rStyle w:val="Strong"/>
              </w:rPr>
            </w:pPr>
            <w:r w:rsidRPr="00146AAF">
              <w:rPr>
                <w:rStyle w:val="Strong"/>
              </w:rPr>
              <w:t xml:space="preserve">AER </w:t>
            </w:r>
            <w:r w:rsidRPr="00FB5E9F">
              <w:rPr>
                <w:rStyle w:val="Strong"/>
              </w:rPr>
              <w:t>final decision</w:t>
            </w:r>
          </w:p>
        </w:tc>
        <w:tc>
          <w:tcPr>
            <w:tcW w:w="964" w:type="dxa"/>
            <w:noWrap/>
          </w:tcPr>
          <w:p w:rsidR="00FB5E9F" w:rsidRPr="00146AAF" w:rsidRDefault="00FB5E9F" w:rsidP="00FB5E9F">
            <w:pPr>
              <w:cnfStyle w:val="000000000000" w:firstRow="0" w:lastRow="0" w:firstColumn="0" w:lastColumn="0" w:oddVBand="0" w:evenVBand="0" w:oddHBand="0" w:evenHBand="0" w:firstRowFirstColumn="0" w:firstRowLastColumn="0" w:lastRowFirstColumn="0" w:lastRowLastColumn="0"/>
            </w:pPr>
          </w:p>
        </w:tc>
        <w:tc>
          <w:tcPr>
            <w:tcW w:w="965" w:type="dxa"/>
          </w:tcPr>
          <w:p w:rsidR="00FB5E9F" w:rsidRPr="00146AAF" w:rsidRDefault="00FB5E9F" w:rsidP="00FB5E9F">
            <w:pPr>
              <w:cnfStyle w:val="000000000000" w:firstRow="0" w:lastRow="0" w:firstColumn="0" w:lastColumn="0" w:oddVBand="0" w:evenVBand="0" w:oddHBand="0" w:evenHBand="0" w:firstRowFirstColumn="0" w:firstRowLastColumn="0" w:lastRowFirstColumn="0" w:lastRowLastColumn="0"/>
            </w:pPr>
          </w:p>
        </w:tc>
        <w:tc>
          <w:tcPr>
            <w:tcW w:w="965" w:type="dxa"/>
          </w:tcPr>
          <w:p w:rsidR="00FB5E9F" w:rsidRPr="00146AAF" w:rsidRDefault="00FB5E9F" w:rsidP="00FB5E9F">
            <w:pPr>
              <w:cnfStyle w:val="000000000000" w:firstRow="0" w:lastRow="0" w:firstColumn="0" w:lastColumn="0" w:oddVBand="0" w:evenVBand="0" w:oddHBand="0" w:evenHBand="0" w:firstRowFirstColumn="0" w:firstRowLastColumn="0" w:lastRowFirstColumn="0" w:lastRowLastColumn="0"/>
            </w:pPr>
          </w:p>
        </w:tc>
        <w:tc>
          <w:tcPr>
            <w:tcW w:w="965" w:type="dxa"/>
          </w:tcPr>
          <w:p w:rsidR="00FB5E9F" w:rsidRPr="00146AAF" w:rsidRDefault="00FB5E9F" w:rsidP="00FB5E9F">
            <w:pPr>
              <w:cnfStyle w:val="000000000000" w:firstRow="0" w:lastRow="0" w:firstColumn="0" w:lastColumn="0" w:oddVBand="0" w:evenVBand="0" w:oddHBand="0" w:evenHBand="0" w:firstRowFirstColumn="0" w:firstRowLastColumn="0" w:lastRowFirstColumn="0" w:lastRowLastColumn="0"/>
            </w:pPr>
          </w:p>
        </w:tc>
        <w:tc>
          <w:tcPr>
            <w:tcW w:w="965" w:type="dxa"/>
          </w:tcPr>
          <w:p w:rsidR="00FB5E9F" w:rsidRPr="00146AAF" w:rsidRDefault="00FB5E9F" w:rsidP="00FB5E9F">
            <w:pPr>
              <w:cnfStyle w:val="000000000000" w:firstRow="0" w:lastRow="0" w:firstColumn="0" w:lastColumn="0" w:oddVBand="0" w:evenVBand="0" w:oddHBand="0" w:evenHBand="0" w:firstRowFirstColumn="0" w:firstRowLastColumn="0" w:lastRowFirstColumn="0" w:lastRowLastColumn="0"/>
            </w:pPr>
          </w:p>
        </w:tc>
        <w:tc>
          <w:tcPr>
            <w:tcW w:w="965" w:type="dxa"/>
            <w:noWrap/>
          </w:tcPr>
          <w:p w:rsidR="00FB5E9F" w:rsidRPr="00146AAF" w:rsidRDefault="00FB5E9F" w:rsidP="00FB5E9F">
            <w:pPr>
              <w:cnfStyle w:val="000000000000" w:firstRow="0" w:lastRow="0" w:firstColumn="0" w:lastColumn="0" w:oddVBand="0" w:evenVBand="0" w:oddHBand="0" w:evenHBand="0" w:firstRowFirstColumn="0" w:firstRowLastColumn="0" w:lastRowFirstColumn="0" w:lastRowLastColumn="0"/>
            </w:pPr>
          </w:p>
        </w:tc>
      </w:tr>
      <w:tr w:rsidR="00FB5E9F" w:rsidRPr="004374B2" w:rsidTr="00BC4E4A">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tcPr>
          <w:p w:rsidR="00FB5E9F" w:rsidRPr="00FB5E9F" w:rsidRDefault="00FB5E9F" w:rsidP="00FB5E9F">
            <w:r w:rsidRPr="000A53DB">
              <w:t>Revenue ($m, nominal)</w:t>
            </w:r>
            <w:r w:rsidRPr="00FB5E9F">
              <w:rPr>
                <w:rStyle w:val="AERsuperscript"/>
              </w:rPr>
              <w:t xml:space="preserve"> a</w:t>
            </w:r>
          </w:p>
        </w:tc>
        <w:tc>
          <w:tcPr>
            <w:tcW w:w="964" w:type="dxa"/>
            <w:noWrap/>
          </w:tcPr>
          <w:p w:rsidR="00FB5E9F" w:rsidRPr="00FB5E9F" w:rsidRDefault="00FB5E9F" w:rsidP="00FB5E9F">
            <w:pPr>
              <w:cnfStyle w:val="000000010000" w:firstRow="0" w:lastRow="0" w:firstColumn="0" w:lastColumn="0" w:oddVBand="0" w:evenVBand="0" w:oddHBand="0" w:evenHBand="1" w:firstRowFirstColumn="0" w:firstRowLastColumn="0" w:lastRowFirstColumn="0" w:lastRowLastColumn="0"/>
            </w:pPr>
            <w:r w:rsidRPr="000A53DB">
              <w:t>1854</w:t>
            </w:r>
          </w:p>
        </w:tc>
        <w:tc>
          <w:tcPr>
            <w:tcW w:w="965" w:type="dxa"/>
            <w:vAlign w:val="bottom"/>
          </w:tcPr>
          <w:p w:rsidR="00FB5E9F" w:rsidRPr="00FB5E9F" w:rsidRDefault="00FB5E9F" w:rsidP="00FB5E9F">
            <w:pPr>
              <w:cnfStyle w:val="000000010000" w:firstRow="0" w:lastRow="0" w:firstColumn="0" w:lastColumn="0" w:oddVBand="0" w:evenVBand="0" w:oddHBand="0" w:evenHBand="1" w:firstRowFirstColumn="0" w:firstRowLastColumn="0" w:lastRowFirstColumn="0" w:lastRowLastColumn="0"/>
            </w:pPr>
            <w:r w:rsidRPr="000A53DB">
              <w:t>176</w:t>
            </w:r>
            <w:r w:rsidRPr="00FB5E9F">
              <w:t>8</w:t>
            </w:r>
          </w:p>
        </w:tc>
        <w:tc>
          <w:tcPr>
            <w:tcW w:w="965" w:type="dxa"/>
            <w:vAlign w:val="bottom"/>
          </w:tcPr>
          <w:p w:rsidR="00FB5E9F" w:rsidRPr="00FB5E9F" w:rsidRDefault="00FB5E9F" w:rsidP="00FB5E9F">
            <w:pPr>
              <w:cnfStyle w:val="000000010000" w:firstRow="0" w:lastRow="0" w:firstColumn="0" w:lastColumn="0" w:oddVBand="0" w:evenVBand="0" w:oddHBand="0" w:evenHBand="1" w:firstRowFirstColumn="0" w:firstRowLastColumn="0" w:lastRowFirstColumn="0" w:lastRowLastColumn="0"/>
            </w:pPr>
            <w:r w:rsidRPr="000A53DB">
              <w:t>1</w:t>
            </w:r>
            <w:r w:rsidRPr="00FB5E9F">
              <w:t>702</w:t>
            </w:r>
          </w:p>
        </w:tc>
        <w:tc>
          <w:tcPr>
            <w:tcW w:w="965" w:type="dxa"/>
            <w:vAlign w:val="bottom"/>
          </w:tcPr>
          <w:p w:rsidR="00FB5E9F" w:rsidRPr="00FB5E9F" w:rsidRDefault="00FB5E9F" w:rsidP="00FB5E9F">
            <w:pPr>
              <w:cnfStyle w:val="000000010000" w:firstRow="0" w:lastRow="0" w:firstColumn="0" w:lastColumn="0" w:oddVBand="0" w:evenVBand="0" w:oddHBand="0" w:evenHBand="1" w:firstRowFirstColumn="0" w:firstRowLastColumn="0" w:lastRowFirstColumn="0" w:lastRowLastColumn="0"/>
            </w:pPr>
            <w:r w:rsidRPr="000A53DB">
              <w:t>16</w:t>
            </w:r>
            <w:r w:rsidRPr="00FB5E9F">
              <w:t>39</w:t>
            </w:r>
          </w:p>
        </w:tc>
        <w:tc>
          <w:tcPr>
            <w:tcW w:w="965" w:type="dxa"/>
            <w:vAlign w:val="bottom"/>
          </w:tcPr>
          <w:p w:rsidR="00FB5E9F" w:rsidRPr="00FB5E9F" w:rsidRDefault="00FB5E9F" w:rsidP="00FB5E9F">
            <w:pPr>
              <w:cnfStyle w:val="000000010000" w:firstRow="0" w:lastRow="0" w:firstColumn="0" w:lastColumn="0" w:oddVBand="0" w:evenVBand="0" w:oddHBand="0" w:evenHBand="1" w:firstRowFirstColumn="0" w:firstRowLastColumn="0" w:lastRowFirstColumn="0" w:lastRowLastColumn="0"/>
            </w:pPr>
            <w:r w:rsidRPr="000A53DB">
              <w:t>15</w:t>
            </w:r>
            <w:r w:rsidRPr="00FB5E9F">
              <w:t>90</w:t>
            </w:r>
          </w:p>
        </w:tc>
        <w:tc>
          <w:tcPr>
            <w:tcW w:w="965" w:type="dxa"/>
            <w:noWrap/>
            <w:vAlign w:val="bottom"/>
          </w:tcPr>
          <w:p w:rsidR="00FB5E9F" w:rsidRPr="00FB5E9F" w:rsidRDefault="00FB5E9F" w:rsidP="00FB5E9F">
            <w:pPr>
              <w:cnfStyle w:val="000000010000" w:firstRow="0" w:lastRow="0" w:firstColumn="0" w:lastColumn="0" w:oddVBand="0" w:evenVBand="0" w:oddHBand="0" w:evenHBand="1" w:firstRowFirstColumn="0" w:firstRowLastColumn="0" w:lastRowFirstColumn="0" w:lastRowLastColumn="0"/>
            </w:pPr>
            <w:r w:rsidRPr="000A53DB">
              <w:t>15</w:t>
            </w:r>
            <w:r w:rsidRPr="00FB5E9F">
              <w:t>58</w:t>
            </w:r>
          </w:p>
        </w:tc>
      </w:tr>
      <w:tr w:rsidR="00FB5E9F" w:rsidRPr="004374B2" w:rsidTr="00BC4E4A">
        <w:trPr>
          <w:trHeight w:val="190"/>
        </w:trPr>
        <w:tc>
          <w:tcPr>
            <w:cnfStyle w:val="001000000000" w:firstRow="0" w:lastRow="0" w:firstColumn="1" w:lastColumn="0" w:oddVBand="0" w:evenVBand="0" w:oddHBand="0" w:evenHBand="0" w:firstRowFirstColumn="0" w:firstRowLastColumn="0" w:lastRowFirstColumn="0" w:lastRowLastColumn="0"/>
            <w:tcW w:w="2966" w:type="dxa"/>
            <w:noWrap/>
          </w:tcPr>
          <w:p w:rsidR="00FB5E9F" w:rsidRPr="00FB5E9F" w:rsidRDefault="00FB5E9F" w:rsidP="00FB5E9F">
            <w:r w:rsidRPr="000A53DB">
              <w:t>Price path (nominal index)</w:t>
            </w:r>
          </w:p>
        </w:tc>
        <w:tc>
          <w:tcPr>
            <w:tcW w:w="964" w:type="dxa"/>
            <w:noWrap/>
          </w:tcPr>
          <w:p w:rsidR="00FB5E9F" w:rsidRPr="00FB5E9F" w:rsidRDefault="00FB5E9F" w:rsidP="00FB5E9F">
            <w:pPr>
              <w:cnfStyle w:val="000000000000" w:firstRow="0" w:lastRow="0" w:firstColumn="0" w:lastColumn="0" w:oddVBand="0" w:evenVBand="0" w:oddHBand="0" w:evenHBand="0" w:firstRowFirstColumn="0" w:firstRowLastColumn="0" w:lastRowFirstColumn="0" w:lastRowLastColumn="0"/>
            </w:pPr>
            <w:r w:rsidRPr="000A53DB">
              <w:t>1.00</w:t>
            </w:r>
          </w:p>
        </w:tc>
        <w:tc>
          <w:tcPr>
            <w:tcW w:w="965" w:type="dxa"/>
            <w:vAlign w:val="bottom"/>
          </w:tcPr>
          <w:p w:rsidR="00FB5E9F" w:rsidRPr="00FB5E9F" w:rsidRDefault="00FB5E9F" w:rsidP="00FB5E9F">
            <w:pPr>
              <w:cnfStyle w:val="000000000000" w:firstRow="0" w:lastRow="0" w:firstColumn="0" w:lastColumn="0" w:oddVBand="0" w:evenVBand="0" w:oddHBand="0" w:evenHBand="0" w:firstRowFirstColumn="0" w:firstRowLastColumn="0" w:lastRowFirstColumn="0" w:lastRowLastColumn="0"/>
            </w:pPr>
            <w:r w:rsidRPr="000A53DB">
              <w:t>0.96</w:t>
            </w:r>
          </w:p>
        </w:tc>
        <w:tc>
          <w:tcPr>
            <w:tcW w:w="965" w:type="dxa"/>
            <w:vAlign w:val="bottom"/>
          </w:tcPr>
          <w:p w:rsidR="00FB5E9F" w:rsidRPr="00FB5E9F" w:rsidRDefault="00FB5E9F" w:rsidP="00FB5E9F">
            <w:pPr>
              <w:cnfStyle w:val="000000000000" w:firstRow="0" w:lastRow="0" w:firstColumn="0" w:lastColumn="0" w:oddVBand="0" w:evenVBand="0" w:oddHBand="0" w:evenHBand="0" w:firstRowFirstColumn="0" w:firstRowLastColumn="0" w:lastRowFirstColumn="0" w:lastRowLastColumn="0"/>
            </w:pPr>
            <w:r w:rsidRPr="000A53DB">
              <w:t>0.9</w:t>
            </w:r>
            <w:r w:rsidRPr="00FB5E9F">
              <w:t>3</w:t>
            </w:r>
          </w:p>
        </w:tc>
        <w:tc>
          <w:tcPr>
            <w:tcW w:w="965" w:type="dxa"/>
            <w:vAlign w:val="bottom"/>
          </w:tcPr>
          <w:p w:rsidR="00FB5E9F" w:rsidRPr="00FB5E9F" w:rsidRDefault="00FB5E9F" w:rsidP="00FB5E9F">
            <w:pPr>
              <w:cnfStyle w:val="000000000000" w:firstRow="0" w:lastRow="0" w:firstColumn="0" w:lastColumn="0" w:oddVBand="0" w:evenVBand="0" w:oddHBand="0" w:evenHBand="0" w:firstRowFirstColumn="0" w:firstRowLastColumn="0" w:lastRowFirstColumn="0" w:lastRowLastColumn="0"/>
            </w:pPr>
            <w:r w:rsidRPr="000A53DB">
              <w:t>0.</w:t>
            </w:r>
            <w:r w:rsidRPr="00FB5E9F">
              <w:t>90</w:t>
            </w:r>
          </w:p>
        </w:tc>
        <w:tc>
          <w:tcPr>
            <w:tcW w:w="965" w:type="dxa"/>
            <w:vAlign w:val="bottom"/>
          </w:tcPr>
          <w:p w:rsidR="00FB5E9F" w:rsidRPr="00FB5E9F" w:rsidRDefault="00FB5E9F" w:rsidP="00FB5E9F">
            <w:pPr>
              <w:cnfStyle w:val="000000000000" w:firstRow="0" w:lastRow="0" w:firstColumn="0" w:lastColumn="0" w:oddVBand="0" w:evenVBand="0" w:oddHBand="0" w:evenHBand="0" w:firstRowFirstColumn="0" w:firstRowLastColumn="0" w:lastRowFirstColumn="0" w:lastRowLastColumn="0"/>
            </w:pPr>
            <w:r w:rsidRPr="000A53DB">
              <w:t>0.8</w:t>
            </w:r>
            <w:r w:rsidRPr="00FB5E9F">
              <w:t>7</w:t>
            </w:r>
          </w:p>
        </w:tc>
        <w:tc>
          <w:tcPr>
            <w:tcW w:w="965" w:type="dxa"/>
            <w:noWrap/>
            <w:vAlign w:val="bottom"/>
          </w:tcPr>
          <w:p w:rsidR="00FB5E9F" w:rsidRPr="00FB5E9F" w:rsidRDefault="00FB5E9F" w:rsidP="00FB5E9F">
            <w:pPr>
              <w:cnfStyle w:val="000000000000" w:firstRow="0" w:lastRow="0" w:firstColumn="0" w:lastColumn="0" w:oddVBand="0" w:evenVBand="0" w:oddHBand="0" w:evenHBand="0" w:firstRowFirstColumn="0" w:firstRowLastColumn="0" w:lastRowFirstColumn="0" w:lastRowLastColumn="0"/>
            </w:pPr>
            <w:r w:rsidRPr="000A53DB">
              <w:t>0.8</w:t>
            </w:r>
            <w:r w:rsidRPr="00FB5E9F">
              <w:t>4</w:t>
            </w:r>
          </w:p>
        </w:tc>
      </w:tr>
      <w:tr w:rsidR="00FB5E9F" w:rsidRPr="004374B2" w:rsidTr="00BC4E4A">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tcPr>
          <w:p w:rsidR="00FB5E9F" w:rsidRPr="00FB5E9F" w:rsidRDefault="00FB5E9F" w:rsidP="00FB5E9F">
            <w:r w:rsidRPr="000A53DB">
              <w:t xml:space="preserve">Revenue (change </w:t>
            </w:r>
            <w:r w:rsidRPr="00FB5E9F">
              <w:t>%)</w:t>
            </w:r>
          </w:p>
        </w:tc>
        <w:tc>
          <w:tcPr>
            <w:tcW w:w="964" w:type="dxa"/>
            <w:noWrap/>
          </w:tcPr>
          <w:p w:rsidR="00FB5E9F" w:rsidRPr="000A53DB" w:rsidRDefault="00FB5E9F" w:rsidP="00FB5E9F">
            <w:pPr>
              <w:cnfStyle w:val="000000010000" w:firstRow="0" w:lastRow="0" w:firstColumn="0" w:lastColumn="0" w:oddVBand="0" w:evenVBand="0" w:oddHBand="0" w:evenHBand="1" w:firstRowFirstColumn="0" w:firstRowLastColumn="0" w:lastRowFirstColumn="0" w:lastRowLastColumn="0"/>
            </w:pPr>
          </w:p>
        </w:tc>
        <w:tc>
          <w:tcPr>
            <w:tcW w:w="965" w:type="dxa"/>
            <w:vAlign w:val="bottom"/>
          </w:tcPr>
          <w:p w:rsidR="00FB5E9F" w:rsidRPr="00FB5E9F" w:rsidRDefault="00FB5E9F" w:rsidP="00FB5E9F">
            <w:pPr>
              <w:cnfStyle w:val="000000010000" w:firstRow="0" w:lastRow="0" w:firstColumn="0" w:lastColumn="0" w:oddVBand="0" w:evenVBand="0" w:oddHBand="0" w:evenHBand="1" w:firstRowFirstColumn="0" w:firstRowLastColumn="0" w:lastRowFirstColumn="0" w:lastRowLastColumn="0"/>
            </w:pPr>
            <w:r>
              <w:t>–</w:t>
            </w:r>
            <w:r w:rsidRPr="00FB5E9F">
              <w:t>4.6%</w:t>
            </w:r>
          </w:p>
        </w:tc>
        <w:tc>
          <w:tcPr>
            <w:tcW w:w="965" w:type="dxa"/>
            <w:vAlign w:val="bottom"/>
          </w:tcPr>
          <w:p w:rsidR="00FB5E9F" w:rsidRPr="00FB5E9F" w:rsidRDefault="00FB5E9F" w:rsidP="00FB5E9F">
            <w:pPr>
              <w:cnfStyle w:val="000000010000" w:firstRow="0" w:lastRow="0" w:firstColumn="0" w:lastColumn="0" w:oddVBand="0" w:evenVBand="0" w:oddHBand="0" w:evenHBand="1" w:firstRowFirstColumn="0" w:firstRowLastColumn="0" w:lastRowFirstColumn="0" w:lastRowLastColumn="0"/>
            </w:pPr>
            <w:r>
              <w:t>–</w:t>
            </w:r>
            <w:r w:rsidRPr="00FB5E9F">
              <w:t>3.8%</w:t>
            </w:r>
          </w:p>
        </w:tc>
        <w:tc>
          <w:tcPr>
            <w:tcW w:w="965" w:type="dxa"/>
            <w:vAlign w:val="bottom"/>
          </w:tcPr>
          <w:p w:rsidR="00FB5E9F" w:rsidRPr="00FB5E9F" w:rsidRDefault="00FB5E9F" w:rsidP="00FB5E9F">
            <w:pPr>
              <w:cnfStyle w:val="000000010000" w:firstRow="0" w:lastRow="0" w:firstColumn="0" w:lastColumn="0" w:oddVBand="0" w:evenVBand="0" w:oddHBand="0" w:evenHBand="1" w:firstRowFirstColumn="0" w:firstRowLastColumn="0" w:lastRowFirstColumn="0" w:lastRowLastColumn="0"/>
            </w:pPr>
            <w:r>
              <w:t>–</w:t>
            </w:r>
            <w:r w:rsidRPr="00FB5E9F">
              <w:t>3.7%</w:t>
            </w:r>
          </w:p>
        </w:tc>
        <w:tc>
          <w:tcPr>
            <w:tcW w:w="965" w:type="dxa"/>
            <w:vAlign w:val="bottom"/>
          </w:tcPr>
          <w:p w:rsidR="00FB5E9F" w:rsidRPr="00FB5E9F" w:rsidRDefault="00FB5E9F" w:rsidP="00FB5E9F">
            <w:pPr>
              <w:cnfStyle w:val="000000010000" w:firstRow="0" w:lastRow="0" w:firstColumn="0" w:lastColumn="0" w:oddVBand="0" w:evenVBand="0" w:oddHBand="0" w:evenHBand="1" w:firstRowFirstColumn="0" w:firstRowLastColumn="0" w:lastRowFirstColumn="0" w:lastRowLastColumn="0"/>
            </w:pPr>
            <w:r>
              <w:t>–</w:t>
            </w:r>
            <w:r w:rsidRPr="00FB5E9F">
              <w:t>2.9%</w:t>
            </w:r>
          </w:p>
        </w:tc>
        <w:tc>
          <w:tcPr>
            <w:tcW w:w="965" w:type="dxa"/>
            <w:noWrap/>
            <w:vAlign w:val="bottom"/>
          </w:tcPr>
          <w:p w:rsidR="00FB5E9F" w:rsidRPr="00FB5E9F" w:rsidRDefault="00FB5E9F" w:rsidP="00FB5E9F">
            <w:pPr>
              <w:cnfStyle w:val="000000010000" w:firstRow="0" w:lastRow="0" w:firstColumn="0" w:lastColumn="0" w:oddVBand="0" w:evenVBand="0" w:oddHBand="0" w:evenHBand="1" w:firstRowFirstColumn="0" w:firstRowLastColumn="0" w:lastRowFirstColumn="0" w:lastRowLastColumn="0"/>
            </w:pPr>
            <w:r>
              <w:t>–</w:t>
            </w:r>
            <w:r w:rsidRPr="00FB5E9F">
              <w:t>2.1%</w:t>
            </w:r>
          </w:p>
        </w:tc>
      </w:tr>
      <w:tr w:rsidR="00FB5E9F" w:rsidRPr="004374B2" w:rsidTr="00BC4E4A">
        <w:trPr>
          <w:trHeight w:val="190"/>
        </w:trPr>
        <w:tc>
          <w:tcPr>
            <w:cnfStyle w:val="001000000000" w:firstRow="0" w:lastRow="0" w:firstColumn="1" w:lastColumn="0" w:oddVBand="0" w:evenVBand="0" w:oddHBand="0" w:evenHBand="0" w:firstRowFirstColumn="0" w:firstRowLastColumn="0" w:lastRowFirstColumn="0" w:lastRowLastColumn="0"/>
            <w:tcW w:w="2966" w:type="dxa"/>
            <w:noWrap/>
          </w:tcPr>
          <w:p w:rsidR="00FB5E9F" w:rsidRPr="00FB5E9F" w:rsidRDefault="00FB5E9F" w:rsidP="00FB5E9F">
            <w:r w:rsidRPr="000A53DB">
              <w:t>Price path (change %)</w:t>
            </w:r>
          </w:p>
        </w:tc>
        <w:tc>
          <w:tcPr>
            <w:tcW w:w="964" w:type="dxa"/>
            <w:noWrap/>
          </w:tcPr>
          <w:p w:rsidR="00FB5E9F" w:rsidRPr="000A53DB" w:rsidRDefault="00FB5E9F" w:rsidP="00FB5E9F">
            <w:pPr>
              <w:cnfStyle w:val="000000000000" w:firstRow="0" w:lastRow="0" w:firstColumn="0" w:lastColumn="0" w:oddVBand="0" w:evenVBand="0" w:oddHBand="0" w:evenHBand="0" w:firstRowFirstColumn="0" w:firstRowLastColumn="0" w:lastRowFirstColumn="0" w:lastRowLastColumn="0"/>
            </w:pPr>
          </w:p>
        </w:tc>
        <w:tc>
          <w:tcPr>
            <w:tcW w:w="965" w:type="dxa"/>
            <w:vAlign w:val="bottom"/>
          </w:tcPr>
          <w:p w:rsidR="00FB5E9F" w:rsidRPr="00FB5E9F" w:rsidRDefault="00FB5E9F" w:rsidP="00FB5E9F">
            <w:pPr>
              <w:cnfStyle w:val="000000000000" w:firstRow="0" w:lastRow="0" w:firstColumn="0" w:lastColumn="0" w:oddVBand="0" w:evenVBand="0" w:oddHBand="0" w:evenHBand="0" w:firstRowFirstColumn="0" w:firstRowLastColumn="0" w:lastRowFirstColumn="0" w:lastRowLastColumn="0"/>
            </w:pPr>
            <w:r>
              <w:t>–</w:t>
            </w:r>
            <w:r w:rsidRPr="00FB5E9F">
              <w:t>4.1%</w:t>
            </w:r>
          </w:p>
        </w:tc>
        <w:tc>
          <w:tcPr>
            <w:tcW w:w="965" w:type="dxa"/>
            <w:vAlign w:val="bottom"/>
          </w:tcPr>
          <w:p w:rsidR="00FB5E9F" w:rsidRPr="00FB5E9F" w:rsidRDefault="00FB5E9F" w:rsidP="00FB5E9F">
            <w:pPr>
              <w:cnfStyle w:val="000000000000" w:firstRow="0" w:lastRow="0" w:firstColumn="0" w:lastColumn="0" w:oddVBand="0" w:evenVBand="0" w:oddHBand="0" w:evenHBand="0" w:firstRowFirstColumn="0" w:firstRowLastColumn="0" w:lastRowFirstColumn="0" w:lastRowLastColumn="0"/>
            </w:pPr>
            <w:r>
              <w:t>–</w:t>
            </w:r>
            <w:r w:rsidRPr="00FB5E9F">
              <w:t>2.9%</w:t>
            </w:r>
          </w:p>
        </w:tc>
        <w:tc>
          <w:tcPr>
            <w:tcW w:w="965" w:type="dxa"/>
            <w:vAlign w:val="bottom"/>
          </w:tcPr>
          <w:p w:rsidR="00FB5E9F" w:rsidRPr="00FB5E9F" w:rsidRDefault="00FB5E9F" w:rsidP="00FB5E9F">
            <w:pPr>
              <w:cnfStyle w:val="000000000000" w:firstRow="0" w:lastRow="0" w:firstColumn="0" w:lastColumn="0" w:oddVBand="0" w:evenVBand="0" w:oddHBand="0" w:evenHBand="0" w:firstRowFirstColumn="0" w:firstRowLastColumn="0" w:lastRowFirstColumn="0" w:lastRowLastColumn="0"/>
            </w:pPr>
            <w:r>
              <w:t>–</w:t>
            </w:r>
            <w:r w:rsidRPr="00FB5E9F">
              <w:t>3.7%</w:t>
            </w:r>
          </w:p>
        </w:tc>
        <w:tc>
          <w:tcPr>
            <w:tcW w:w="965" w:type="dxa"/>
            <w:vAlign w:val="bottom"/>
          </w:tcPr>
          <w:p w:rsidR="00FB5E9F" w:rsidRPr="00FB5E9F" w:rsidRDefault="00FB5E9F" w:rsidP="00FB5E9F">
            <w:pPr>
              <w:cnfStyle w:val="000000000000" w:firstRow="0" w:lastRow="0" w:firstColumn="0" w:lastColumn="0" w:oddVBand="0" w:evenVBand="0" w:oddHBand="0" w:evenHBand="0" w:firstRowFirstColumn="0" w:firstRowLastColumn="0" w:lastRowFirstColumn="0" w:lastRowLastColumn="0"/>
            </w:pPr>
            <w:r>
              <w:t>–</w:t>
            </w:r>
            <w:r w:rsidRPr="00FB5E9F">
              <w:t>3.2%</w:t>
            </w:r>
          </w:p>
        </w:tc>
        <w:tc>
          <w:tcPr>
            <w:tcW w:w="965" w:type="dxa"/>
            <w:noWrap/>
            <w:vAlign w:val="bottom"/>
          </w:tcPr>
          <w:p w:rsidR="00FB5E9F" w:rsidRPr="00FB5E9F" w:rsidRDefault="00FB5E9F" w:rsidP="00FB5E9F">
            <w:pPr>
              <w:cnfStyle w:val="000000000000" w:firstRow="0" w:lastRow="0" w:firstColumn="0" w:lastColumn="0" w:oddVBand="0" w:evenVBand="0" w:oddHBand="0" w:evenHBand="0" w:firstRowFirstColumn="0" w:firstRowLastColumn="0" w:lastRowFirstColumn="0" w:lastRowLastColumn="0"/>
            </w:pPr>
            <w:r>
              <w:t>–</w:t>
            </w:r>
            <w:r w:rsidRPr="00FB5E9F">
              <w:t>2.7%</w:t>
            </w:r>
          </w:p>
        </w:tc>
      </w:tr>
      <w:tr w:rsidR="004374B2" w:rsidRPr="004D7263" w:rsidTr="004374B2">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hideMark/>
          </w:tcPr>
          <w:p w:rsidR="004374B2" w:rsidRPr="004374B2" w:rsidRDefault="004374B2" w:rsidP="004374B2">
            <w:pPr>
              <w:rPr>
                <w:rStyle w:val="Strong"/>
              </w:rPr>
            </w:pPr>
            <w:r>
              <w:rPr>
                <w:rStyle w:val="Strong"/>
              </w:rPr>
              <w:t>Energex</w:t>
            </w:r>
            <w:r w:rsidRPr="004374B2">
              <w:rPr>
                <w:rStyle w:val="Strong"/>
              </w:rPr>
              <w:t xml:space="preserve"> </w:t>
            </w:r>
            <w:r w:rsidR="000D099D">
              <w:rPr>
                <w:rStyle w:val="Strong"/>
              </w:rPr>
              <w:t xml:space="preserve">revised </w:t>
            </w:r>
            <w:r w:rsidRPr="004374B2">
              <w:rPr>
                <w:rStyle w:val="Strong"/>
              </w:rPr>
              <w:t>proposal</w:t>
            </w:r>
          </w:p>
        </w:tc>
        <w:tc>
          <w:tcPr>
            <w:tcW w:w="964" w:type="dxa"/>
            <w:noWrap/>
          </w:tcPr>
          <w:p w:rsidR="004374B2" w:rsidRPr="004D7263" w:rsidRDefault="004374B2" w:rsidP="004374B2">
            <w:pPr>
              <w:cnfStyle w:val="000000010000" w:firstRow="0" w:lastRow="0" w:firstColumn="0" w:lastColumn="0" w:oddVBand="0" w:evenVBand="0" w:oddHBand="0" w:evenHBand="1" w:firstRowFirstColumn="0" w:firstRowLastColumn="0" w:lastRowFirstColumn="0" w:lastRowLastColumn="0"/>
            </w:pPr>
          </w:p>
        </w:tc>
        <w:tc>
          <w:tcPr>
            <w:tcW w:w="965" w:type="dxa"/>
          </w:tcPr>
          <w:p w:rsidR="004374B2" w:rsidRPr="004D7263" w:rsidRDefault="004374B2" w:rsidP="004374B2">
            <w:pPr>
              <w:cnfStyle w:val="000000010000" w:firstRow="0" w:lastRow="0" w:firstColumn="0" w:lastColumn="0" w:oddVBand="0" w:evenVBand="0" w:oddHBand="0" w:evenHBand="1" w:firstRowFirstColumn="0" w:firstRowLastColumn="0" w:lastRowFirstColumn="0" w:lastRowLastColumn="0"/>
            </w:pPr>
          </w:p>
        </w:tc>
        <w:tc>
          <w:tcPr>
            <w:tcW w:w="965" w:type="dxa"/>
          </w:tcPr>
          <w:p w:rsidR="004374B2" w:rsidRPr="004D7263" w:rsidRDefault="004374B2" w:rsidP="004374B2">
            <w:pPr>
              <w:cnfStyle w:val="000000010000" w:firstRow="0" w:lastRow="0" w:firstColumn="0" w:lastColumn="0" w:oddVBand="0" w:evenVBand="0" w:oddHBand="0" w:evenHBand="1" w:firstRowFirstColumn="0" w:firstRowLastColumn="0" w:lastRowFirstColumn="0" w:lastRowLastColumn="0"/>
            </w:pPr>
          </w:p>
        </w:tc>
        <w:tc>
          <w:tcPr>
            <w:tcW w:w="965" w:type="dxa"/>
          </w:tcPr>
          <w:p w:rsidR="004374B2" w:rsidRPr="004D7263" w:rsidRDefault="004374B2" w:rsidP="004374B2">
            <w:pPr>
              <w:cnfStyle w:val="000000010000" w:firstRow="0" w:lastRow="0" w:firstColumn="0" w:lastColumn="0" w:oddVBand="0" w:evenVBand="0" w:oddHBand="0" w:evenHBand="1" w:firstRowFirstColumn="0" w:firstRowLastColumn="0" w:lastRowFirstColumn="0" w:lastRowLastColumn="0"/>
            </w:pPr>
          </w:p>
        </w:tc>
        <w:tc>
          <w:tcPr>
            <w:tcW w:w="965" w:type="dxa"/>
          </w:tcPr>
          <w:p w:rsidR="004374B2" w:rsidRPr="004D7263" w:rsidRDefault="004374B2" w:rsidP="004374B2">
            <w:pPr>
              <w:cnfStyle w:val="000000010000" w:firstRow="0" w:lastRow="0" w:firstColumn="0" w:lastColumn="0" w:oddVBand="0" w:evenVBand="0" w:oddHBand="0" w:evenHBand="1" w:firstRowFirstColumn="0" w:firstRowLastColumn="0" w:lastRowFirstColumn="0" w:lastRowLastColumn="0"/>
            </w:pPr>
          </w:p>
        </w:tc>
        <w:tc>
          <w:tcPr>
            <w:tcW w:w="965" w:type="dxa"/>
            <w:noWrap/>
          </w:tcPr>
          <w:p w:rsidR="004374B2" w:rsidRPr="004D7263" w:rsidRDefault="004374B2" w:rsidP="004374B2">
            <w:pPr>
              <w:cnfStyle w:val="000000010000" w:firstRow="0" w:lastRow="0" w:firstColumn="0" w:lastColumn="0" w:oddVBand="0" w:evenVBand="0" w:oddHBand="0" w:evenHBand="1" w:firstRowFirstColumn="0" w:firstRowLastColumn="0" w:lastRowFirstColumn="0" w:lastRowLastColumn="0"/>
            </w:pPr>
          </w:p>
        </w:tc>
      </w:tr>
      <w:tr w:rsidR="004374B2" w:rsidRPr="004D7263" w:rsidTr="004374B2">
        <w:trPr>
          <w:trHeight w:val="190"/>
        </w:trPr>
        <w:tc>
          <w:tcPr>
            <w:cnfStyle w:val="001000000000" w:firstRow="0" w:lastRow="0" w:firstColumn="1" w:lastColumn="0" w:oddVBand="0" w:evenVBand="0" w:oddHBand="0" w:evenHBand="0" w:firstRowFirstColumn="0" w:firstRowLastColumn="0" w:lastRowFirstColumn="0" w:lastRowLastColumn="0"/>
            <w:tcW w:w="2966" w:type="dxa"/>
            <w:noWrap/>
            <w:hideMark/>
          </w:tcPr>
          <w:p w:rsidR="004374B2" w:rsidRPr="004374B2" w:rsidRDefault="004374B2" w:rsidP="004374B2">
            <w:r w:rsidRPr="00146AAF">
              <w:t>Revenue ($m, nominal)</w:t>
            </w:r>
            <w:r w:rsidRPr="004374B2">
              <w:rPr>
                <w:rStyle w:val="AERsuperscript"/>
              </w:rPr>
              <w:t>a</w:t>
            </w:r>
          </w:p>
        </w:tc>
        <w:tc>
          <w:tcPr>
            <w:tcW w:w="964" w:type="dxa"/>
            <w:noWrap/>
          </w:tcPr>
          <w:p w:rsidR="004374B2" w:rsidRPr="004374B2" w:rsidRDefault="004374B2" w:rsidP="004374B2">
            <w:pPr>
              <w:cnfStyle w:val="000000000000" w:firstRow="0" w:lastRow="0" w:firstColumn="0" w:lastColumn="0" w:oddVBand="0" w:evenVBand="0" w:oddHBand="0" w:evenHBand="0" w:firstRowFirstColumn="0" w:firstRowLastColumn="0" w:lastRowFirstColumn="0" w:lastRowLastColumn="0"/>
            </w:pPr>
            <w:r w:rsidRPr="00146AAF">
              <w:t>1854</w:t>
            </w:r>
          </w:p>
        </w:tc>
        <w:tc>
          <w:tcPr>
            <w:tcW w:w="965" w:type="dxa"/>
          </w:tcPr>
          <w:p w:rsidR="004374B2" w:rsidRPr="004374B2" w:rsidRDefault="004374B2" w:rsidP="00A73273">
            <w:pPr>
              <w:cnfStyle w:val="000000000000" w:firstRow="0" w:lastRow="0" w:firstColumn="0" w:lastColumn="0" w:oddVBand="0" w:evenVBand="0" w:oddHBand="0" w:evenHBand="0" w:firstRowFirstColumn="0" w:firstRowLastColumn="0" w:lastRowFirstColumn="0" w:lastRowLastColumn="0"/>
            </w:pPr>
            <w:r w:rsidRPr="00146AAF">
              <w:t>1</w:t>
            </w:r>
            <w:r w:rsidR="00A73273">
              <w:t>76</w:t>
            </w:r>
            <w:r w:rsidRPr="00146AAF">
              <w:t>8</w:t>
            </w:r>
          </w:p>
        </w:tc>
        <w:tc>
          <w:tcPr>
            <w:tcW w:w="965" w:type="dxa"/>
          </w:tcPr>
          <w:p w:rsidR="004374B2" w:rsidRPr="004374B2" w:rsidRDefault="004374B2" w:rsidP="00A73273">
            <w:pPr>
              <w:cnfStyle w:val="000000000000" w:firstRow="0" w:lastRow="0" w:firstColumn="0" w:lastColumn="0" w:oddVBand="0" w:evenVBand="0" w:oddHBand="0" w:evenHBand="0" w:firstRowFirstColumn="0" w:firstRowLastColumn="0" w:lastRowFirstColumn="0" w:lastRowLastColumn="0"/>
            </w:pPr>
            <w:r w:rsidRPr="00146AAF">
              <w:t>1</w:t>
            </w:r>
            <w:r w:rsidR="00A73273">
              <w:t>835</w:t>
            </w:r>
          </w:p>
        </w:tc>
        <w:tc>
          <w:tcPr>
            <w:tcW w:w="965" w:type="dxa"/>
          </w:tcPr>
          <w:p w:rsidR="004374B2" w:rsidRPr="004374B2" w:rsidRDefault="004374B2" w:rsidP="00A73273">
            <w:pPr>
              <w:cnfStyle w:val="000000000000" w:firstRow="0" w:lastRow="0" w:firstColumn="0" w:lastColumn="0" w:oddVBand="0" w:evenVBand="0" w:oddHBand="0" w:evenHBand="0" w:firstRowFirstColumn="0" w:firstRowLastColumn="0" w:lastRowFirstColumn="0" w:lastRowLastColumn="0"/>
            </w:pPr>
            <w:r w:rsidRPr="00146AAF">
              <w:t>19</w:t>
            </w:r>
            <w:r w:rsidR="00A73273">
              <w:t>04</w:t>
            </w:r>
          </w:p>
        </w:tc>
        <w:tc>
          <w:tcPr>
            <w:tcW w:w="965" w:type="dxa"/>
          </w:tcPr>
          <w:p w:rsidR="004374B2" w:rsidRPr="004374B2" w:rsidRDefault="00A73273" w:rsidP="00A73273">
            <w:pPr>
              <w:cnfStyle w:val="000000000000" w:firstRow="0" w:lastRow="0" w:firstColumn="0" w:lastColumn="0" w:oddVBand="0" w:evenVBand="0" w:oddHBand="0" w:evenHBand="0" w:firstRowFirstColumn="0" w:firstRowLastColumn="0" w:lastRowFirstColumn="0" w:lastRowLastColumn="0"/>
            </w:pPr>
            <w:r>
              <w:t>1976</w:t>
            </w:r>
          </w:p>
        </w:tc>
        <w:tc>
          <w:tcPr>
            <w:tcW w:w="965" w:type="dxa"/>
            <w:noWrap/>
          </w:tcPr>
          <w:p w:rsidR="004374B2" w:rsidRPr="004374B2" w:rsidRDefault="004374B2" w:rsidP="00A73273">
            <w:pPr>
              <w:cnfStyle w:val="000000000000" w:firstRow="0" w:lastRow="0" w:firstColumn="0" w:lastColumn="0" w:oddVBand="0" w:evenVBand="0" w:oddHBand="0" w:evenHBand="0" w:firstRowFirstColumn="0" w:firstRowLastColumn="0" w:lastRowFirstColumn="0" w:lastRowLastColumn="0"/>
            </w:pPr>
            <w:r w:rsidRPr="00146AAF">
              <w:t>20</w:t>
            </w:r>
            <w:r w:rsidR="00A73273">
              <w:t>5</w:t>
            </w:r>
            <w:r w:rsidR="00FB5E9F">
              <w:t>1</w:t>
            </w:r>
          </w:p>
        </w:tc>
      </w:tr>
      <w:tr w:rsidR="004374B2" w:rsidRPr="004D7263" w:rsidTr="004374B2">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hideMark/>
          </w:tcPr>
          <w:p w:rsidR="004374B2" w:rsidRPr="004374B2" w:rsidRDefault="004374B2" w:rsidP="004374B2">
            <w:r w:rsidRPr="00146AAF">
              <w:t>Price path (nominal index)</w:t>
            </w:r>
          </w:p>
        </w:tc>
        <w:tc>
          <w:tcPr>
            <w:tcW w:w="964" w:type="dxa"/>
            <w:noWrap/>
          </w:tcPr>
          <w:p w:rsidR="004374B2" w:rsidRPr="004374B2" w:rsidRDefault="004374B2" w:rsidP="004374B2">
            <w:pPr>
              <w:cnfStyle w:val="000000010000" w:firstRow="0" w:lastRow="0" w:firstColumn="0" w:lastColumn="0" w:oddVBand="0" w:evenVBand="0" w:oddHBand="0" w:evenHBand="1" w:firstRowFirstColumn="0" w:firstRowLastColumn="0" w:lastRowFirstColumn="0" w:lastRowLastColumn="0"/>
            </w:pPr>
            <w:r w:rsidRPr="00146AAF">
              <w:t>1.00</w:t>
            </w:r>
          </w:p>
        </w:tc>
        <w:tc>
          <w:tcPr>
            <w:tcW w:w="965" w:type="dxa"/>
          </w:tcPr>
          <w:p w:rsidR="004374B2" w:rsidRPr="004374B2" w:rsidRDefault="00A73273" w:rsidP="00A73273">
            <w:pPr>
              <w:cnfStyle w:val="000000010000" w:firstRow="0" w:lastRow="0" w:firstColumn="0" w:lastColumn="0" w:oddVBand="0" w:evenVBand="0" w:oddHBand="0" w:evenHBand="1" w:firstRowFirstColumn="0" w:firstRowLastColumn="0" w:lastRowFirstColumn="0" w:lastRowLastColumn="0"/>
            </w:pPr>
            <w:r>
              <w:t>0</w:t>
            </w:r>
            <w:r w:rsidR="004374B2" w:rsidRPr="00146AAF">
              <w:t>.</w:t>
            </w:r>
            <w:r>
              <w:t>96</w:t>
            </w:r>
          </w:p>
        </w:tc>
        <w:tc>
          <w:tcPr>
            <w:tcW w:w="965" w:type="dxa"/>
          </w:tcPr>
          <w:p w:rsidR="004374B2" w:rsidRPr="004374B2" w:rsidRDefault="004374B2" w:rsidP="00A73273">
            <w:pPr>
              <w:cnfStyle w:val="000000010000" w:firstRow="0" w:lastRow="0" w:firstColumn="0" w:lastColumn="0" w:oddVBand="0" w:evenVBand="0" w:oddHBand="0" w:evenHBand="1" w:firstRowFirstColumn="0" w:firstRowLastColumn="0" w:lastRowFirstColumn="0" w:lastRowLastColumn="0"/>
            </w:pPr>
            <w:r w:rsidRPr="00146AAF">
              <w:t>1.</w:t>
            </w:r>
            <w:r w:rsidR="00A73273">
              <w:t>00</w:t>
            </w:r>
          </w:p>
        </w:tc>
        <w:tc>
          <w:tcPr>
            <w:tcW w:w="965" w:type="dxa"/>
          </w:tcPr>
          <w:p w:rsidR="004374B2" w:rsidRPr="004374B2" w:rsidRDefault="004374B2" w:rsidP="00A73273">
            <w:pPr>
              <w:cnfStyle w:val="000000010000" w:firstRow="0" w:lastRow="0" w:firstColumn="0" w:lastColumn="0" w:oddVBand="0" w:evenVBand="0" w:oddHBand="0" w:evenHBand="1" w:firstRowFirstColumn="0" w:firstRowLastColumn="0" w:lastRowFirstColumn="0" w:lastRowLastColumn="0"/>
            </w:pPr>
            <w:r w:rsidRPr="00146AAF">
              <w:t>1.0</w:t>
            </w:r>
            <w:r w:rsidR="00A73273">
              <w:t>4</w:t>
            </w:r>
          </w:p>
        </w:tc>
        <w:tc>
          <w:tcPr>
            <w:tcW w:w="965" w:type="dxa"/>
          </w:tcPr>
          <w:p w:rsidR="004374B2" w:rsidRPr="004374B2" w:rsidRDefault="004374B2" w:rsidP="00A73273">
            <w:pPr>
              <w:cnfStyle w:val="000000010000" w:firstRow="0" w:lastRow="0" w:firstColumn="0" w:lastColumn="0" w:oddVBand="0" w:evenVBand="0" w:oddHBand="0" w:evenHBand="1" w:firstRowFirstColumn="0" w:firstRowLastColumn="0" w:lastRowFirstColumn="0" w:lastRowLastColumn="0"/>
            </w:pPr>
            <w:r w:rsidRPr="00146AAF">
              <w:t>1.0</w:t>
            </w:r>
            <w:r w:rsidR="00A73273">
              <w:t>8</w:t>
            </w:r>
          </w:p>
        </w:tc>
        <w:tc>
          <w:tcPr>
            <w:tcW w:w="965" w:type="dxa"/>
            <w:noWrap/>
          </w:tcPr>
          <w:p w:rsidR="004374B2" w:rsidRPr="004374B2" w:rsidRDefault="004374B2" w:rsidP="004374B2">
            <w:pPr>
              <w:cnfStyle w:val="000000010000" w:firstRow="0" w:lastRow="0" w:firstColumn="0" w:lastColumn="0" w:oddVBand="0" w:evenVBand="0" w:oddHBand="0" w:evenHBand="1" w:firstRowFirstColumn="0" w:firstRowLastColumn="0" w:lastRowFirstColumn="0" w:lastRowLastColumn="0"/>
            </w:pPr>
            <w:r w:rsidRPr="00146AAF">
              <w:t>1.11</w:t>
            </w:r>
          </w:p>
        </w:tc>
      </w:tr>
      <w:tr w:rsidR="004374B2" w:rsidRPr="004D7263" w:rsidTr="004374B2">
        <w:trPr>
          <w:trHeight w:val="190"/>
        </w:trPr>
        <w:tc>
          <w:tcPr>
            <w:cnfStyle w:val="001000000000" w:firstRow="0" w:lastRow="0" w:firstColumn="1" w:lastColumn="0" w:oddVBand="0" w:evenVBand="0" w:oddHBand="0" w:evenHBand="0" w:firstRowFirstColumn="0" w:firstRowLastColumn="0" w:lastRowFirstColumn="0" w:lastRowLastColumn="0"/>
            <w:tcW w:w="2966" w:type="dxa"/>
            <w:noWrap/>
            <w:hideMark/>
          </w:tcPr>
          <w:p w:rsidR="004374B2" w:rsidRPr="004374B2" w:rsidRDefault="004374B2" w:rsidP="004374B2">
            <w:r w:rsidRPr="00146AAF">
              <w:t>Revenue (change %)</w:t>
            </w:r>
          </w:p>
        </w:tc>
        <w:tc>
          <w:tcPr>
            <w:tcW w:w="964" w:type="dxa"/>
            <w:noWrap/>
          </w:tcPr>
          <w:p w:rsidR="004374B2" w:rsidRPr="00146AAF" w:rsidRDefault="004374B2" w:rsidP="004374B2">
            <w:pPr>
              <w:cnfStyle w:val="000000000000" w:firstRow="0" w:lastRow="0" w:firstColumn="0" w:lastColumn="0" w:oddVBand="0" w:evenVBand="0" w:oddHBand="0" w:evenHBand="0" w:firstRowFirstColumn="0" w:firstRowLastColumn="0" w:lastRowFirstColumn="0" w:lastRowLastColumn="0"/>
            </w:pPr>
          </w:p>
        </w:tc>
        <w:tc>
          <w:tcPr>
            <w:tcW w:w="965" w:type="dxa"/>
          </w:tcPr>
          <w:p w:rsidR="004374B2" w:rsidRPr="004374B2" w:rsidRDefault="00A73273" w:rsidP="004374B2">
            <w:pPr>
              <w:cnfStyle w:val="000000000000" w:firstRow="0" w:lastRow="0" w:firstColumn="0" w:lastColumn="0" w:oddVBand="0" w:evenVBand="0" w:oddHBand="0" w:evenHBand="0" w:firstRowFirstColumn="0" w:firstRowLastColumn="0" w:lastRowFirstColumn="0" w:lastRowLastColumn="0"/>
            </w:pPr>
            <w:r>
              <w:t>–4.6</w:t>
            </w:r>
            <w:r w:rsidR="004374B2" w:rsidRPr="00146AAF">
              <w:t>%</w:t>
            </w:r>
          </w:p>
        </w:tc>
        <w:tc>
          <w:tcPr>
            <w:tcW w:w="965" w:type="dxa"/>
          </w:tcPr>
          <w:p w:rsidR="004374B2" w:rsidRPr="004374B2" w:rsidRDefault="00A73273" w:rsidP="00A73273">
            <w:pPr>
              <w:cnfStyle w:val="000000000000" w:firstRow="0" w:lastRow="0" w:firstColumn="0" w:lastColumn="0" w:oddVBand="0" w:evenVBand="0" w:oddHBand="0" w:evenHBand="0" w:firstRowFirstColumn="0" w:firstRowLastColumn="0" w:lastRowFirstColumn="0" w:lastRowLastColumn="0"/>
            </w:pPr>
            <w:r>
              <w:t>3</w:t>
            </w:r>
            <w:r w:rsidR="004374B2" w:rsidRPr="00146AAF">
              <w:t>.</w:t>
            </w:r>
            <w:r>
              <w:t>8</w:t>
            </w:r>
            <w:r w:rsidR="004374B2" w:rsidRPr="00146AAF">
              <w:t>%</w:t>
            </w:r>
          </w:p>
        </w:tc>
        <w:tc>
          <w:tcPr>
            <w:tcW w:w="965" w:type="dxa"/>
          </w:tcPr>
          <w:p w:rsidR="004374B2" w:rsidRPr="004374B2" w:rsidRDefault="00A73273" w:rsidP="00A73273">
            <w:pPr>
              <w:cnfStyle w:val="000000000000" w:firstRow="0" w:lastRow="0" w:firstColumn="0" w:lastColumn="0" w:oddVBand="0" w:evenVBand="0" w:oddHBand="0" w:evenHBand="0" w:firstRowFirstColumn="0" w:firstRowLastColumn="0" w:lastRowFirstColumn="0" w:lastRowLastColumn="0"/>
            </w:pPr>
            <w:r>
              <w:t>3</w:t>
            </w:r>
            <w:r w:rsidR="004374B2" w:rsidRPr="00146AAF">
              <w:t>.</w:t>
            </w:r>
            <w:r>
              <w:t>8</w:t>
            </w:r>
            <w:r w:rsidR="004374B2" w:rsidRPr="00146AAF">
              <w:t>%</w:t>
            </w:r>
          </w:p>
        </w:tc>
        <w:tc>
          <w:tcPr>
            <w:tcW w:w="965" w:type="dxa"/>
          </w:tcPr>
          <w:p w:rsidR="004374B2" w:rsidRPr="004374B2" w:rsidRDefault="00A73273" w:rsidP="00A73273">
            <w:pPr>
              <w:cnfStyle w:val="000000000000" w:firstRow="0" w:lastRow="0" w:firstColumn="0" w:lastColumn="0" w:oddVBand="0" w:evenVBand="0" w:oddHBand="0" w:evenHBand="0" w:firstRowFirstColumn="0" w:firstRowLastColumn="0" w:lastRowFirstColumn="0" w:lastRowLastColumn="0"/>
            </w:pPr>
            <w:r>
              <w:t>3</w:t>
            </w:r>
            <w:r w:rsidR="004374B2" w:rsidRPr="00146AAF">
              <w:t>.</w:t>
            </w:r>
            <w:r>
              <w:t>8</w:t>
            </w:r>
            <w:r w:rsidR="004374B2" w:rsidRPr="00146AAF">
              <w:t>%</w:t>
            </w:r>
          </w:p>
        </w:tc>
        <w:tc>
          <w:tcPr>
            <w:tcW w:w="965" w:type="dxa"/>
            <w:noWrap/>
          </w:tcPr>
          <w:p w:rsidR="004374B2" w:rsidRPr="004374B2" w:rsidRDefault="00A73273" w:rsidP="00A73273">
            <w:pPr>
              <w:cnfStyle w:val="000000000000" w:firstRow="0" w:lastRow="0" w:firstColumn="0" w:lastColumn="0" w:oddVBand="0" w:evenVBand="0" w:oddHBand="0" w:evenHBand="0" w:firstRowFirstColumn="0" w:firstRowLastColumn="0" w:lastRowFirstColumn="0" w:lastRowLastColumn="0"/>
            </w:pPr>
            <w:r>
              <w:t>3</w:t>
            </w:r>
            <w:r w:rsidR="004374B2" w:rsidRPr="00146AAF">
              <w:t>.</w:t>
            </w:r>
            <w:r>
              <w:t>8</w:t>
            </w:r>
            <w:r w:rsidR="004374B2" w:rsidRPr="00146AAF">
              <w:t>%</w:t>
            </w:r>
          </w:p>
        </w:tc>
      </w:tr>
      <w:tr w:rsidR="004374B2" w:rsidRPr="004D7263" w:rsidTr="004374B2">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66" w:type="dxa"/>
            <w:noWrap/>
          </w:tcPr>
          <w:p w:rsidR="004374B2" w:rsidRPr="004374B2" w:rsidRDefault="004374B2" w:rsidP="004374B2">
            <w:r w:rsidRPr="00146AAF">
              <w:t>Price path (change %)</w:t>
            </w:r>
          </w:p>
        </w:tc>
        <w:tc>
          <w:tcPr>
            <w:tcW w:w="964" w:type="dxa"/>
            <w:noWrap/>
          </w:tcPr>
          <w:p w:rsidR="004374B2" w:rsidRPr="00146AAF" w:rsidRDefault="004374B2" w:rsidP="004374B2">
            <w:pPr>
              <w:cnfStyle w:val="000000010000" w:firstRow="0" w:lastRow="0" w:firstColumn="0" w:lastColumn="0" w:oddVBand="0" w:evenVBand="0" w:oddHBand="0" w:evenHBand="1" w:firstRowFirstColumn="0" w:firstRowLastColumn="0" w:lastRowFirstColumn="0" w:lastRowLastColumn="0"/>
            </w:pPr>
          </w:p>
        </w:tc>
        <w:tc>
          <w:tcPr>
            <w:tcW w:w="965" w:type="dxa"/>
          </w:tcPr>
          <w:p w:rsidR="004374B2" w:rsidRPr="004374B2" w:rsidRDefault="00A73273" w:rsidP="00A73273">
            <w:pPr>
              <w:cnfStyle w:val="000000010000" w:firstRow="0" w:lastRow="0" w:firstColumn="0" w:lastColumn="0" w:oddVBand="0" w:evenVBand="0" w:oddHBand="0" w:evenHBand="1" w:firstRowFirstColumn="0" w:firstRowLastColumn="0" w:lastRowFirstColumn="0" w:lastRowLastColumn="0"/>
            </w:pPr>
            <w:r>
              <w:t>–4.1</w:t>
            </w:r>
            <w:r w:rsidR="004374B2" w:rsidRPr="00146AAF">
              <w:t>%</w:t>
            </w:r>
          </w:p>
        </w:tc>
        <w:tc>
          <w:tcPr>
            <w:tcW w:w="965" w:type="dxa"/>
          </w:tcPr>
          <w:p w:rsidR="004374B2" w:rsidRPr="004374B2" w:rsidRDefault="00A73273" w:rsidP="00A73273">
            <w:pPr>
              <w:cnfStyle w:val="000000010000" w:firstRow="0" w:lastRow="0" w:firstColumn="0" w:lastColumn="0" w:oddVBand="0" w:evenVBand="0" w:oddHBand="0" w:evenHBand="1" w:firstRowFirstColumn="0" w:firstRowLastColumn="0" w:lastRowFirstColumn="0" w:lastRowLastColumn="0"/>
            </w:pPr>
            <w:r>
              <w:t>4.7</w:t>
            </w:r>
            <w:r w:rsidR="004374B2" w:rsidRPr="00146AAF">
              <w:t>%</w:t>
            </w:r>
          </w:p>
        </w:tc>
        <w:tc>
          <w:tcPr>
            <w:tcW w:w="965" w:type="dxa"/>
          </w:tcPr>
          <w:p w:rsidR="004374B2" w:rsidRPr="004374B2" w:rsidRDefault="00A73273" w:rsidP="004374B2">
            <w:pPr>
              <w:cnfStyle w:val="000000010000" w:firstRow="0" w:lastRow="0" w:firstColumn="0" w:lastColumn="0" w:oddVBand="0" w:evenVBand="0" w:oddHBand="0" w:evenHBand="1" w:firstRowFirstColumn="0" w:firstRowLastColumn="0" w:lastRowFirstColumn="0" w:lastRowLastColumn="0"/>
            </w:pPr>
            <w:r>
              <w:t>3.7</w:t>
            </w:r>
            <w:r w:rsidR="004374B2" w:rsidRPr="00146AAF">
              <w:t>%</w:t>
            </w:r>
          </w:p>
        </w:tc>
        <w:tc>
          <w:tcPr>
            <w:tcW w:w="965" w:type="dxa"/>
          </w:tcPr>
          <w:p w:rsidR="004374B2" w:rsidRPr="004374B2" w:rsidRDefault="00A73273" w:rsidP="004374B2">
            <w:pPr>
              <w:cnfStyle w:val="000000010000" w:firstRow="0" w:lastRow="0" w:firstColumn="0" w:lastColumn="0" w:oddVBand="0" w:evenVBand="0" w:oddHBand="0" w:evenHBand="1" w:firstRowFirstColumn="0" w:firstRowLastColumn="0" w:lastRowFirstColumn="0" w:lastRowLastColumn="0"/>
            </w:pPr>
            <w:r>
              <w:t>3.5</w:t>
            </w:r>
            <w:r w:rsidR="004374B2" w:rsidRPr="00146AAF">
              <w:t>%</w:t>
            </w:r>
          </w:p>
        </w:tc>
        <w:tc>
          <w:tcPr>
            <w:tcW w:w="965" w:type="dxa"/>
            <w:noWrap/>
          </w:tcPr>
          <w:p w:rsidR="004374B2" w:rsidRPr="004374B2" w:rsidRDefault="004374B2" w:rsidP="004374B2">
            <w:pPr>
              <w:cnfStyle w:val="000000010000" w:firstRow="0" w:lastRow="0" w:firstColumn="0" w:lastColumn="0" w:oddVBand="0" w:evenVBand="0" w:oddHBand="0" w:evenHBand="1" w:firstRowFirstColumn="0" w:firstRowLastColumn="0" w:lastRowFirstColumn="0" w:lastRowLastColumn="0"/>
            </w:pPr>
            <w:r w:rsidRPr="00146AAF">
              <w:t>3</w:t>
            </w:r>
            <w:r w:rsidR="00A73273">
              <w:t>.1</w:t>
            </w:r>
            <w:r w:rsidRPr="00146AAF">
              <w:t>%</w:t>
            </w:r>
          </w:p>
        </w:tc>
      </w:tr>
    </w:tbl>
    <w:p w:rsidR="004374B2" w:rsidRDefault="004374B2" w:rsidP="004374B2">
      <w:pPr>
        <w:pStyle w:val="AERtablesource"/>
      </w:pPr>
      <w:r>
        <w:t>Source:</w:t>
      </w:r>
      <w:r>
        <w:tab/>
        <w:t xml:space="preserve">AER analysis. </w:t>
      </w:r>
    </w:p>
    <w:p w:rsidR="004374B2" w:rsidRDefault="004374B2" w:rsidP="004374B2">
      <w:pPr>
        <w:pStyle w:val="AERtablesource"/>
      </w:pPr>
      <w:r>
        <w:t xml:space="preserve">(a) </w:t>
      </w:r>
      <w:r>
        <w:tab/>
        <w:t>This includes the additional amounts in D</w:t>
      </w:r>
      <w:r w:rsidR="000D099D">
        <w:t>Uo</w:t>
      </w:r>
      <w:r>
        <w:t>S that are not in the building block revenue allowance.</w:t>
      </w:r>
    </w:p>
    <w:p w:rsidR="00171D68" w:rsidRPr="00481870" w:rsidRDefault="004374B2" w:rsidP="00171D68">
      <w:pPr>
        <w:numPr>
          <w:ilvl w:val="0"/>
          <w:numId w:val="25"/>
        </w:numPr>
      </w:pPr>
      <w:r w:rsidRPr="00481870">
        <w:t xml:space="preserve">Distribution charges represent approximately </w:t>
      </w:r>
      <w:r>
        <w:t>42 </w:t>
      </w:r>
      <w:r w:rsidRPr="00481870">
        <w:t xml:space="preserve">per cent on average of </w:t>
      </w:r>
      <w:r>
        <w:t>Energex's</w:t>
      </w:r>
      <w:r w:rsidRPr="00481870">
        <w:t xml:space="preserve"> typical customer's annual electricity </w:t>
      </w:r>
      <w:r>
        <w:t>bill</w:t>
      </w:r>
      <w:r w:rsidRPr="00481870">
        <w:t>.</w:t>
      </w:r>
      <w:r>
        <w:rPr>
          <w:rStyle w:val="FootnoteReference"/>
        </w:rPr>
        <w:footnoteReference w:id="15"/>
      </w:r>
      <w:r w:rsidRPr="00481870">
        <w:t xml:space="preserve"> We expect that our </w:t>
      </w:r>
      <w:r w:rsidR="00A71553">
        <w:t xml:space="preserve">final </w:t>
      </w:r>
      <w:r w:rsidRPr="00481870">
        <w:t xml:space="preserve">decision, </w:t>
      </w:r>
      <w:r>
        <w:t xml:space="preserve">holding all </w:t>
      </w:r>
      <w:r w:rsidRPr="00481870">
        <w:t xml:space="preserve">other </w:t>
      </w:r>
      <w:r>
        <w:t>components of the bill constant</w:t>
      </w:r>
      <w:r w:rsidRPr="00481870">
        <w:t xml:space="preserve">, will reduce the average </w:t>
      </w:r>
      <w:r>
        <w:t xml:space="preserve">annual </w:t>
      </w:r>
      <w:r w:rsidRPr="00481870">
        <w:t xml:space="preserve">electricity </w:t>
      </w:r>
      <w:r>
        <w:t>bills for</w:t>
      </w:r>
      <w:r w:rsidRPr="00481870">
        <w:t xml:space="preserve"> residential customer</w:t>
      </w:r>
      <w:r>
        <w:t>s</w:t>
      </w:r>
      <w:r w:rsidRPr="00481870">
        <w:t xml:space="preserve"> in </w:t>
      </w:r>
      <w:r>
        <w:t>Energex's</w:t>
      </w:r>
      <w:r w:rsidRPr="00481870">
        <w:t xml:space="preserve"> network. This is because we estimate that our </w:t>
      </w:r>
      <w:r w:rsidR="00A71553">
        <w:t>final</w:t>
      </w:r>
      <w:r w:rsidRPr="00481870">
        <w:t xml:space="preserve"> decision will result in lower distribution charges on average over the 201</w:t>
      </w:r>
      <w:r>
        <w:t>5</w:t>
      </w:r>
      <w:r w:rsidRPr="00481870">
        <w:t>–</w:t>
      </w:r>
      <w:r>
        <w:t>20</w:t>
      </w:r>
      <w:r w:rsidRPr="00481870">
        <w:t xml:space="preserve"> </w:t>
      </w:r>
      <w:r>
        <w:t xml:space="preserve">regulatory control </w:t>
      </w:r>
      <w:r w:rsidRPr="00481870">
        <w:t xml:space="preserve">period compared to </w:t>
      </w:r>
      <w:r>
        <w:t>Energex's</w:t>
      </w:r>
      <w:r w:rsidRPr="00481870">
        <w:t xml:space="preserve"> </w:t>
      </w:r>
      <w:r w:rsidR="00A71553">
        <w:t xml:space="preserve">revised </w:t>
      </w:r>
      <w:r w:rsidRPr="00481870">
        <w:t xml:space="preserve">proposal as discussed above. </w:t>
      </w:r>
      <w:r>
        <w:t>We estimate that based on</w:t>
      </w:r>
      <w:r w:rsidRPr="00FC41A0">
        <w:t xml:space="preserve"> the distribution charges from our </w:t>
      </w:r>
      <w:r w:rsidR="00A71553">
        <w:t>final</w:t>
      </w:r>
      <w:r w:rsidRPr="00FC41A0">
        <w:t xml:space="preserve"> decision </w:t>
      </w:r>
      <w:r>
        <w:t>passing</w:t>
      </w:r>
      <w:r w:rsidRPr="00FC41A0">
        <w:t xml:space="preserve"> through to c</w:t>
      </w:r>
      <w:r>
        <w:t>ustomers</w:t>
      </w:r>
      <w:r w:rsidRPr="00FC41A0">
        <w:t xml:space="preserve">, we would expect </w:t>
      </w:r>
      <w:r>
        <w:t xml:space="preserve">the </w:t>
      </w:r>
      <w:r w:rsidRPr="00FC41A0">
        <w:t xml:space="preserve">average </w:t>
      </w:r>
      <w:r>
        <w:t xml:space="preserve">annual </w:t>
      </w:r>
      <w:r w:rsidRPr="00FC41A0">
        <w:t xml:space="preserve">electricity </w:t>
      </w:r>
      <w:r>
        <w:t>bill for</w:t>
      </w:r>
      <w:r w:rsidRPr="00FC41A0">
        <w:t xml:space="preserve"> residential </w:t>
      </w:r>
      <w:r>
        <w:t xml:space="preserve">customers </w:t>
      </w:r>
      <w:r w:rsidRPr="00FC41A0">
        <w:t>to reduce by $</w:t>
      </w:r>
      <w:r w:rsidR="00A55BD1">
        <w:t>25</w:t>
      </w:r>
      <w:r w:rsidRPr="00FC41A0">
        <w:t xml:space="preserve"> or </w:t>
      </w:r>
      <w:r>
        <w:t>1.</w:t>
      </w:r>
      <w:r w:rsidR="00A55BD1">
        <w:t>7</w:t>
      </w:r>
      <w:r w:rsidRPr="00FC41A0">
        <w:t xml:space="preserve"> per cent in 2015–16. This would be followed by </w:t>
      </w:r>
      <w:r>
        <w:t xml:space="preserve">decreases </w:t>
      </w:r>
      <w:r w:rsidRPr="00FC41A0">
        <w:t>of about $</w:t>
      </w:r>
      <w:r w:rsidR="00A55BD1">
        <w:t>18</w:t>
      </w:r>
      <w:r w:rsidRPr="00FC41A0">
        <w:t xml:space="preserve"> or </w:t>
      </w:r>
      <w:r>
        <w:t>1.</w:t>
      </w:r>
      <w:r w:rsidR="00A55BD1">
        <w:t>2</w:t>
      </w:r>
      <w:r w:rsidRPr="00FC41A0">
        <w:t> per cent ($ nominal) per annum from 2016–17 to 201</w:t>
      </w:r>
      <w:r>
        <w:t>9</w:t>
      </w:r>
      <w:r w:rsidRPr="00FC41A0">
        <w:t>–</w:t>
      </w:r>
      <w:r>
        <w:t>20. By</w:t>
      </w:r>
      <w:r w:rsidRPr="00481870">
        <w:t xml:space="preserve"> comparison, </w:t>
      </w:r>
      <w:r>
        <w:t xml:space="preserve">had </w:t>
      </w:r>
      <w:r w:rsidRPr="00481870">
        <w:t>we accep</w:t>
      </w:r>
      <w:bookmarkStart w:id="39" w:name="_GoBack"/>
      <w:bookmarkEnd w:id="39"/>
      <w:r w:rsidRPr="00481870">
        <w:t xml:space="preserve">ted </w:t>
      </w:r>
      <w:r>
        <w:t>Energex's</w:t>
      </w:r>
      <w:r w:rsidRPr="00481870">
        <w:t xml:space="preserve"> </w:t>
      </w:r>
      <w:r w:rsidR="00A71553">
        <w:t xml:space="preserve">revised </w:t>
      </w:r>
      <w:r w:rsidRPr="00481870">
        <w:t xml:space="preserve">proposal, </w:t>
      </w:r>
      <w:r w:rsidR="00171D68" w:rsidRPr="00481870">
        <w:t xml:space="preserve">the average </w:t>
      </w:r>
      <w:r w:rsidR="00171D68">
        <w:t xml:space="preserve">annual electricity bill for residential </w:t>
      </w:r>
      <w:r w:rsidR="00171D68" w:rsidRPr="00481870">
        <w:t>customer</w:t>
      </w:r>
      <w:r w:rsidR="00171D68">
        <w:t>s</w:t>
      </w:r>
      <w:r w:rsidR="00171D68" w:rsidRPr="00481870">
        <w:t xml:space="preserve"> would </w:t>
      </w:r>
      <w:r w:rsidR="00171D68">
        <w:t>increase</w:t>
      </w:r>
      <w:r w:rsidR="00171D68" w:rsidRPr="00481870">
        <w:t xml:space="preserve"> by </w:t>
      </w:r>
      <w:r w:rsidR="00171D68">
        <w:t>approximately $</w:t>
      </w:r>
      <w:r w:rsidR="00A55BD1">
        <w:t>23</w:t>
      </w:r>
      <w:r w:rsidR="00171D68">
        <w:t xml:space="preserve"> (</w:t>
      </w:r>
      <w:r w:rsidR="00A55BD1">
        <w:t>1.6</w:t>
      </w:r>
      <w:r w:rsidR="00171D68">
        <w:t xml:space="preserve"> per cent) </w:t>
      </w:r>
      <w:r w:rsidR="00171D68" w:rsidRPr="002E113C">
        <w:t>per annum</w:t>
      </w:r>
      <w:r w:rsidR="00171D68">
        <w:t xml:space="preserve"> between 2016–17 and 2019–20.</w:t>
      </w:r>
      <w:r w:rsidR="00171D68" w:rsidRPr="00481870">
        <w:t xml:space="preserve"> </w:t>
      </w:r>
    </w:p>
    <w:p w:rsidR="004374B2" w:rsidRPr="00481870" w:rsidRDefault="004374B2" w:rsidP="004374B2">
      <w:pPr>
        <w:numPr>
          <w:ilvl w:val="0"/>
          <w:numId w:val="25"/>
        </w:numPr>
      </w:pPr>
      <w:r w:rsidRPr="00481870">
        <w:t>Our estimate</w:t>
      </w:r>
      <w:r>
        <w:t xml:space="preserve"> of the</w:t>
      </w:r>
      <w:r w:rsidRPr="00481870">
        <w:t xml:space="preserve"> potential impact</w:t>
      </w:r>
      <w:r w:rsidR="00A71553">
        <w:t xml:space="preserve"> our final</w:t>
      </w:r>
      <w:r>
        <w:t xml:space="preserve"> decision will have for Energex's residential customers</w:t>
      </w:r>
      <w:r w:rsidRPr="00481870">
        <w:t xml:space="preserve"> is based on the typical annual electricity usage of </w:t>
      </w:r>
      <w:r>
        <w:t>4100</w:t>
      </w:r>
      <w:r w:rsidRPr="00481870">
        <w:t xml:space="preserve"> kWh per annum for a residential customer in </w:t>
      </w:r>
      <w:r>
        <w:t>Queensland</w:t>
      </w:r>
      <w:r w:rsidRPr="00481870">
        <w:t>.</w:t>
      </w:r>
      <w:r>
        <w:rPr>
          <w:rStyle w:val="FootnoteReference"/>
        </w:rPr>
        <w:footnoteReference w:id="16"/>
      </w:r>
      <w:r w:rsidRPr="00481870">
        <w:t xml:space="preserve"> Therefore</w:t>
      </w:r>
      <w:r w:rsidR="00A71553">
        <w:t>,</w:t>
      </w:r>
      <w:r w:rsidRPr="00481870">
        <w:t xml:space="preserve"> customers with different usage will experience different changes in their </w:t>
      </w:r>
      <w:r>
        <w:t>bills</w:t>
      </w:r>
      <w:r w:rsidRPr="00481870">
        <w:t xml:space="preserve">. We also note that there are other </w:t>
      </w:r>
      <w:r w:rsidRPr="00481870">
        <w:lastRenderedPageBreak/>
        <w:t xml:space="preserve">factors, such as transmission network costs, wholesale and retail costs, which affect electricity </w:t>
      </w:r>
      <w:r>
        <w:t>bills</w:t>
      </w:r>
      <w:r w:rsidRPr="00481870">
        <w:t xml:space="preserve">. </w:t>
      </w:r>
    </w:p>
    <w:p w:rsidR="00171D68" w:rsidRDefault="004374B2" w:rsidP="004374B2">
      <w:pPr>
        <w:numPr>
          <w:ilvl w:val="0"/>
          <w:numId w:val="25"/>
        </w:numPr>
      </w:pPr>
      <w:r w:rsidRPr="00481870">
        <w:t xml:space="preserve">Similarly, for an average small business customer in </w:t>
      </w:r>
      <w:r>
        <w:t>Queensland</w:t>
      </w:r>
      <w:r w:rsidRPr="00481870">
        <w:t xml:space="preserve"> that uses approximately 10 MWh of electricity per annum, our </w:t>
      </w:r>
      <w:r w:rsidR="00A71553">
        <w:t>final</w:t>
      </w:r>
      <w:r w:rsidRPr="00481870">
        <w:t xml:space="preserve"> decision for </w:t>
      </w:r>
      <w:r>
        <w:t>Energex</w:t>
      </w:r>
      <w:r w:rsidRPr="00481870">
        <w:t xml:space="preserve"> is expected to lead to lower average annual electricity </w:t>
      </w:r>
      <w:r>
        <w:t>bill</w:t>
      </w:r>
      <w:r w:rsidRPr="00481870">
        <w:t xml:space="preserve">s. We estimate that </w:t>
      </w:r>
      <w:r>
        <w:t>based on</w:t>
      </w:r>
      <w:r w:rsidRPr="00481870">
        <w:t xml:space="preserve"> the </w:t>
      </w:r>
      <w:r w:rsidRPr="0054495D">
        <w:t xml:space="preserve">distribution charges from our </w:t>
      </w:r>
      <w:r w:rsidR="00A71553">
        <w:t>final</w:t>
      </w:r>
      <w:r w:rsidRPr="0054495D">
        <w:t xml:space="preserve"> decision </w:t>
      </w:r>
      <w:r>
        <w:t>passing</w:t>
      </w:r>
      <w:r w:rsidRPr="0054495D">
        <w:t xml:space="preserve"> through to customers, we would expect </w:t>
      </w:r>
      <w:r>
        <w:t xml:space="preserve">the </w:t>
      </w:r>
      <w:r w:rsidRPr="0054495D">
        <w:t>average</w:t>
      </w:r>
      <w:r>
        <w:t xml:space="preserve"> annual electricity bill for</w:t>
      </w:r>
      <w:r w:rsidRPr="0054495D">
        <w:t xml:space="preserve"> small business </w:t>
      </w:r>
      <w:r>
        <w:t>customers</w:t>
      </w:r>
      <w:r w:rsidRPr="0054495D">
        <w:t xml:space="preserve"> to reduce by $</w:t>
      </w:r>
      <w:r>
        <w:t>5</w:t>
      </w:r>
      <w:r w:rsidR="00A55BD1">
        <w:t>1</w:t>
      </w:r>
      <w:r w:rsidRPr="0054495D">
        <w:t xml:space="preserve"> or </w:t>
      </w:r>
      <w:r>
        <w:t>1.</w:t>
      </w:r>
      <w:r w:rsidR="00A55BD1">
        <w:t>7</w:t>
      </w:r>
      <w:r w:rsidRPr="0054495D">
        <w:t xml:space="preserve"> per cent in 2015–16. This would be followed by </w:t>
      </w:r>
      <w:r>
        <w:t>de</w:t>
      </w:r>
      <w:r w:rsidR="00A55BD1">
        <w:t>creases</w:t>
      </w:r>
      <w:r w:rsidRPr="0054495D">
        <w:t xml:space="preserve"> of about $</w:t>
      </w:r>
      <w:r>
        <w:t>3</w:t>
      </w:r>
      <w:r w:rsidR="00A55BD1">
        <w:t>6</w:t>
      </w:r>
      <w:r w:rsidRPr="0054495D">
        <w:t xml:space="preserve"> or </w:t>
      </w:r>
      <w:r w:rsidR="00A55BD1">
        <w:t>1.2</w:t>
      </w:r>
      <w:r w:rsidRPr="0054495D">
        <w:t> per cent ($ nominal) per annum from 2016–17 to 201</w:t>
      </w:r>
      <w:r>
        <w:t>9</w:t>
      </w:r>
      <w:r w:rsidRPr="0054495D">
        <w:t>–</w:t>
      </w:r>
      <w:r>
        <w:t>20</w:t>
      </w:r>
      <w:r w:rsidRPr="0054495D">
        <w:t xml:space="preserve">. </w:t>
      </w:r>
      <w:r>
        <w:t>By</w:t>
      </w:r>
      <w:r w:rsidRPr="00481870">
        <w:t xml:space="preserve"> comparison, </w:t>
      </w:r>
      <w:r>
        <w:t>had</w:t>
      </w:r>
      <w:r w:rsidRPr="00481870">
        <w:t xml:space="preserve"> we accepted </w:t>
      </w:r>
      <w:r>
        <w:t>Energex's</w:t>
      </w:r>
      <w:r w:rsidRPr="00481870">
        <w:t xml:space="preserve"> </w:t>
      </w:r>
      <w:r w:rsidR="00A71553">
        <w:t xml:space="preserve">revised </w:t>
      </w:r>
      <w:r w:rsidRPr="00481870">
        <w:t>proposal</w:t>
      </w:r>
      <w:r w:rsidR="00171D68">
        <w:t>,</w:t>
      </w:r>
      <w:r w:rsidR="00171D68" w:rsidRPr="00171D68">
        <w:t xml:space="preserve"> </w:t>
      </w:r>
      <w:r w:rsidR="00171D68" w:rsidRPr="00481870">
        <w:t xml:space="preserve">the average </w:t>
      </w:r>
      <w:r w:rsidR="00171D68">
        <w:t xml:space="preserve">annual electricity bill for </w:t>
      </w:r>
      <w:r w:rsidR="00171D68" w:rsidRPr="00481870">
        <w:t xml:space="preserve">small business customers would increase by </w:t>
      </w:r>
      <w:r w:rsidR="00171D68">
        <w:t>approximately $</w:t>
      </w:r>
      <w:r w:rsidR="00A55BD1">
        <w:t>48</w:t>
      </w:r>
      <w:r w:rsidR="00171D68">
        <w:t xml:space="preserve"> (</w:t>
      </w:r>
      <w:r w:rsidR="00A55BD1">
        <w:t>1</w:t>
      </w:r>
      <w:r w:rsidR="00171D68">
        <w:t>.</w:t>
      </w:r>
      <w:r w:rsidR="00A55BD1">
        <w:t>6</w:t>
      </w:r>
      <w:r w:rsidR="00171D68">
        <w:t xml:space="preserve"> per cent) </w:t>
      </w:r>
      <w:r w:rsidR="00171D68" w:rsidRPr="002E113C">
        <w:t>per annum</w:t>
      </w:r>
      <w:r w:rsidR="00171D68">
        <w:t xml:space="preserve"> between 2016–17 and 2019–20.</w:t>
      </w:r>
      <w:r w:rsidR="00171D68" w:rsidRPr="00481870">
        <w:t xml:space="preserve"> </w:t>
      </w:r>
    </w:p>
    <w:p w:rsidR="004374B2" w:rsidRDefault="004374B2" w:rsidP="004374B2">
      <w:pPr>
        <w:numPr>
          <w:ilvl w:val="0"/>
          <w:numId w:val="25"/>
        </w:numPr>
      </w:pPr>
      <w:r>
        <w:fldChar w:fldCharType="begin"/>
      </w:r>
      <w:r>
        <w:instrText xml:space="preserve"> REF _Ref416779418 \h </w:instrText>
      </w:r>
      <w:r>
        <w:fldChar w:fldCharType="separate"/>
      </w:r>
      <w:r w:rsidR="00C6336B">
        <w:t xml:space="preserve">Table </w:t>
      </w:r>
      <w:r w:rsidR="00C6336B">
        <w:rPr>
          <w:noProof/>
        </w:rPr>
        <w:t>1</w:t>
      </w:r>
      <w:r w:rsidR="00C6336B">
        <w:t>.</w:t>
      </w:r>
      <w:r w:rsidR="00C6336B">
        <w:rPr>
          <w:noProof/>
        </w:rPr>
        <w:t>5</w:t>
      </w:r>
      <w:r>
        <w:fldChar w:fldCharType="end"/>
      </w:r>
      <w:r>
        <w:t xml:space="preserve"> </w:t>
      </w:r>
      <w:r w:rsidRPr="001A0446">
        <w:t xml:space="preserve">shows the estimated annual average impact of our </w:t>
      </w:r>
      <w:r w:rsidR="00A71553">
        <w:t>final</w:t>
      </w:r>
      <w:r w:rsidRPr="001A0446">
        <w:t xml:space="preserve"> decision for  the 201</w:t>
      </w:r>
      <w:r>
        <w:t>5</w:t>
      </w:r>
      <w:r w:rsidRPr="001A0446">
        <w:t>–</w:t>
      </w:r>
      <w:r>
        <w:t>20</w:t>
      </w:r>
      <w:r w:rsidRPr="001A0446">
        <w:t xml:space="preserve"> </w:t>
      </w:r>
      <w:r>
        <w:t xml:space="preserve">regulatory control </w:t>
      </w:r>
      <w:r w:rsidRPr="001A0446">
        <w:t xml:space="preserve">period </w:t>
      </w:r>
      <w:r>
        <w:t xml:space="preserve">and Energex's </w:t>
      </w:r>
      <w:r w:rsidR="00A71553">
        <w:t xml:space="preserve">revised </w:t>
      </w:r>
      <w:r>
        <w:t xml:space="preserve">proposal </w:t>
      </w:r>
      <w:r w:rsidRPr="001A0446">
        <w:t xml:space="preserve">on the average residential and small business customers' annual electricity bills. </w:t>
      </w:r>
    </w:p>
    <w:p w:rsidR="004374B2" w:rsidRDefault="004374B2" w:rsidP="004374B2">
      <w:pPr>
        <w:pStyle w:val="Caption"/>
      </w:pPr>
      <w:bookmarkStart w:id="40" w:name="_Ref416779418"/>
      <w:r>
        <w:t xml:space="preserve">Table </w:t>
      </w:r>
      <w:fldSimple w:instr=" STYLEREF 1 \s ">
        <w:r w:rsidR="00C6336B">
          <w:rPr>
            <w:noProof/>
          </w:rPr>
          <w:t>1</w:t>
        </w:r>
      </w:fldSimple>
      <w:r w:rsidR="00C6336B">
        <w:t>.</w:t>
      </w:r>
      <w:fldSimple w:instr=" SEQ Table \* ARABIC \s 1 ">
        <w:r w:rsidR="00C6336B">
          <w:rPr>
            <w:noProof/>
          </w:rPr>
          <w:t>5</w:t>
        </w:r>
      </w:fldSimple>
      <w:bookmarkEnd w:id="40"/>
      <w:r>
        <w:tab/>
        <w:t>Estimated impact of Energex's</w:t>
      </w:r>
      <w:r w:rsidR="00A71553">
        <w:t xml:space="preserve"> revised</w:t>
      </w:r>
      <w:r>
        <w:t xml:space="preserve"> proposal and AER's </w:t>
      </w:r>
      <w:r w:rsidR="00A71553">
        <w:t>final</w:t>
      </w:r>
      <w:r>
        <w:t xml:space="preserve"> decision on annual electricity bills for the 2015–20 regulatory control period ($ nominal)</w:t>
      </w:r>
      <w:r w:rsidDel="006E6462">
        <w:t xml:space="preserve"> </w:t>
      </w:r>
    </w:p>
    <w:tbl>
      <w:tblPr>
        <w:tblStyle w:val="AERtable-numbers"/>
        <w:tblW w:w="0" w:type="auto"/>
        <w:tblLayout w:type="fixed"/>
        <w:tblLook w:val="04A0" w:firstRow="1" w:lastRow="0" w:firstColumn="1" w:lastColumn="0" w:noHBand="0" w:noVBand="1"/>
      </w:tblPr>
      <w:tblGrid>
        <w:gridCol w:w="2235"/>
        <w:gridCol w:w="850"/>
        <w:gridCol w:w="1121"/>
        <w:gridCol w:w="1122"/>
        <w:gridCol w:w="1121"/>
        <w:gridCol w:w="1122"/>
        <w:gridCol w:w="1122"/>
      </w:tblGrid>
      <w:tr w:rsidR="00A55BD1" w:rsidTr="007800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A55BD1" w:rsidRPr="00A55BD1" w:rsidRDefault="00A55BD1" w:rsidP="00A55BD1"/>
        </w:tc>
        <w:tc>
          <w:tcPr>
            <w:tcW w:w="850" w:type="dxa"/>
          </w:tcPr>
          <w:p w:rsidR="00A55BD1" w:rsidRPr="00A55BD1" w:rsidRDefault="00A55BD1" w:rsidP="00A55BD1">
            <w:pPr>
              <w:cnfStyle w:val="100000000000" w:firstRow="1" w:lastRow="0" w:firstColumn="0" w:lastColumn="0" w:oddVBand="0" w:evenVBand="0" w:oddHBand="0" w:evenHBand="0" w:firstRowFirstColumn="0" w:firstRowLastColumn="0" w:lastRowFirstColumn="0" w:lastRowLastColumn="0"/>
            </w:pPr>
            <w:r w:rsidRPr="00A55BD1">
              <w:t>2014−15</w:t>
            </w:r>
          </w:p>
        </w:tc>
        <w:tc>
          <w:tcPr>
            <w:tcW w:w="1121" w:type="dxa"/>
          </w:tcPr>
          <w:p w:rsidR="00A55BD1" w:rsidRPr="00A55BD1" w:rsidRDefault="00A55BD1" w:rsidP="00A55BD1">
            <w:pPr>
              <w:cnfStyle w:val="100000000000" w:firstRow="1" w:lastRow="0" w:firstColumn="0" w:lastColumn="0" w:oddVBand="0" w:evenVBand="0" w:oddHBand="0" w:evenHBand="0" w:firstRowFirstColumn="0" w:firstRowLastColumn="0" w:lastRowFirstColumn="0" w:lastRowLastColumn="0"/>
            </w:pPr>
            <w:r w:rsidRPr="00A55BD1">
              <w:t>2015−16</w:t>
            </w:r>
          </w:p>
        </w:tc>
        <w:tc>
          <w:tcPr>
            <w:tcW w:w="1122" w:type="dxa"/>
          </w:tcPr>
          <w:p w:rsidR="00A55BD1" w:rsidRPr="00A55BD1" w:rsidRDefault="00A55BD1" w:rsidP="00A55BD1">
            <w:pPr>
              <w:cnfStyle w:val="100000000000" w:firstRow="1" w:lastRow="0" w:firstColumn="0" w:lastColumn="0" w:oddVBand="0" w:evenVBand="0" w:oddHBand="0" w:evenHBand="0" w:firstRowFirstColumn="0" w:firstRowLastColumn="0" w:lastRowFirstColumn="0" w:lastRowLastColumn="0"/>
            </w:pPr>
            <w:r w:rsidRPr="00A55BD1">
              <w:t>2016−17</w:t>
            </w:r>
          </w:p>
        </w:tc>
        <w:tc>
          <w:tcPr>
            <w:tcW w:w="1121" w:type="dxa"/>
          </w:tcPr>
          <w:p w:rsidR="00A55BD1" w:rsidRPr="00A55BD1" w:rsidRDefault="00A55BD1" w:rsidP="00A55BD1">
            <w:pPr>
              <w:cnfStyle w:val="100000000000" w:firstRow="1" w:lastRow="0" w:firstColumn="0" w:lastColumn="0" w:oddVBand="0" w:evenVBand="0" w:oddHBand="0" w:evenHBand="0" w:firstRowFirstColumn="0" w:firstRowLastColumn="0" w:lastRowFirstColumn="0" w:lastRowLastColumn="0"/>
            </w:pPr>
            <w:r w:rsidRPr="00A55BD1">
              <w:t>2017−18</w:t>
            </w:r>
          </w:p>
        </w:tc>
        <w:tc>
          <w:tcPr>
            <w:tcW w:w="1122" w:type="dxa"/>
          </w:tcPr>
          <w:p w:rsidR="00A55BD1" w:rsidRPr="00A55BD1" w:rsidRDefault="00A55BD1" w:rsidP="00A55BD1">
            <w:pPr>
              <w:cnfStyle w:val="100000000000" w:firstRow="1" w:lastRow="0" w:firstColumn="0" w:lastColumn="0" w:oddVBand="0" w:evenVBand="0" w:oddHBand="0" w:evenHBand="0" w:firstRowFirstColumn="0" w:firstRowLastColumn="0" w:lastRowFirstColumn="0" w:lastRowLastColumn="0"/>
            </w:pPr>
            <w:r w:rsidRPr="00A55BD1">
              <w:t>2018−19</w:t>
            </w:r>
          </w:p>
        </w:tc>
        <w:tc>
          <w:tcPr>
            <w:tcW w:w="1122" w:type="dxa"/>
          </w:tcPr>
          <w:p w:rsidR="00A55BD1" w:rsidRPr="00A55BD1" w:rsidRDefault="00A55BD1" w:rsidP="00A55BD1">
            <w:pPr>
              <w:cnfStyle w:val="100000000000" w:firstRow="1" w:lastRow="0" w:firstColumn="0" w:lastColumn="0" w:oddVBand="0" w:evenVBand="0" w:oddHBand="0" w:evenHBand="0" w:firstRowFirstColumn="0" w:firstRowLastColumn="0" w:lastRowFirstColumn="0" w:lastRowLastColumn="0"/>
            </w:pPr>
            <w:r w:rsidRPr="00A55BD1">
              <w:t>2019–20</w:t>
            </w:r>
          </w:p>
        </w:tc>
      </w:tr>
      <w:tr w:rsidR="00FB5E9F" w:rsidRPr="00A55BD1" w:rsidTr="00BC4E4A">
        <w:tc>
          <w:tcPr>
            <w:cnfStyle w:val="001000000000" w:firstRow="0" w:lastRow="0" w:firstColumn="1" w:lastColumn="0" w:oddVBand="0" w:evenVBand="0" w:oddHBand="0" w:evenHBand="0" w:firstRowFirstColumn="0" w:firstRowLastColumn="0" w:lastRowFirstColumn="0" w:lastRowLastColumn="0"/>
            <w:tcW w:w="8693" w:type="dxa"/>
            <w:gridSpan w:val="7"/>
          </w:tcPr>
          <w:p w:rsidR="00FB5E9F" w:rsidRPr="00FB5E9F" w:rsidRDefault="00FB5E9F" w:rsidP="00FB5E9F">
            <w:r w:rsidRPr="00A55BD1">
              <w:rPr>
                <w:rStyle w:val="Strong"/>
              </w:rPr>
              <w:t>AER final decision</w:t>
            </w:r>
          </w:p>
        </w:tc>
      </w:tr>
      <w:tr w:rsidR="00FB5E9F" w:rsidRPr="00A55BD1" w:rsidTr="00BC4E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B5E9F" w:rsidRPr="00FB5E9F" w:rsidRDefault="00FB5E9F" w:rsidP="00FB5E9F">
            <w:r w:rsidRPr="00A55BD1">
              <w:t xml:space="preserve">Residential annual </w:t>
            </w:r>
            <w:proofErr w:type="spellStart"/>
            <w:r w:rsidRPr="00A55BD1">
              <w:t>bill</w:t>
            </w:r>
            <w:r w:rsidRPr="00FB5E9F">
              <w:rPr>
                <w:rStyle w:val="AERsuperscript"/>
              </w:rPr>
              <w:t>a</w:t>
            </w:r>
            <w:proofErr w:type="spellEnd"/>
          </w:p>
        </w:tc>
        <w:tc>
          <w:tcPr>
            <w:tcW w:w="850" w:type="dxa"/>
            <w:vAlign w:val="bottom"/>
          </w:tcPr>
          <w:p w:rsidR="00FB5E9F" w:rsidRPr="00A55BD1" w:rsidRDefault="00FB5E9F" w:rsidP="00FB5E9F">
            <w:pPr>
              <w:cnfStyle w:val="000000010000" w:firstRow="0" w:lastRow="0" w:firstColumn="0" w:lastColumn="0" w:oddVBand="0" w:evenVBand="0" w:oddHBand="0" w:evenHBand="1" w:firstRowFirstColumn="0" w:firstRowLastColumn="0" w:lastRowFirstColumn="0" w:lastRowLastColumn="0"/>
            </w:pPr>
            <w:r w:rsidRPr="00A55BD1">
              <w:t>1470</w:t>
            </w:r>
          </w:p>
        </w:tc>
        <w:tc>
          <w:tcPr>
            <w:tcW w:w="1121" w:type="dxa"/>
            <w:vAlign w:val="bottom"/>
          </w:tcPr>
          <w:p w:rsidR="00FB5E9F" w:rsidRPr="00A55BD1" w:rsidRDefault="00FB5E9F" w:rsidP="00FB5E9F">
            <w:pPr>
              <w:cnfStyle w:val="000000010000" w:firstRow="0" w:lastRow="0" w:firstColumn="0" w:lastColumn="0" w:oddVBand="0" w:evenVBand="0" w:oddHBand="0" w:evenHBand="1" w:firstRowFirstColumn="0" w:firstRowLastColumn="0" w:lastRowFirstColumn="0" w:lastRowLastColumn="0"/>
            </w:pPr>
            <w:r w:rsidRPr="00A55BD1">
              <w:t>1445</w:t>
            </w:r>
          </w:p>
        </w:tc>
        <w:tc>
          <w:tcPr>
            <w:tcW w:w="1122" w:type="dxa"/>
            <w:vAlign w:val="bottom"/>
          </w:tcPr>
          <w:p w:rsidR="00FB5E9F" w:rsidRPr="00FB5E9F" w:rsidRDefault="00FB5E9F" w:rsidP="00FB5E9F">
            <w:pPr>
              <w:cnfStyle w:val="000000010000" w:firstRow="0" w:lastRow="0" w:firstColumn="0" w:lastColumn="0" w:oddVBand="0" w:evenVBand="0" w:oddHBand="0" w:evenHBand="1" w:firstRowFirstColumn="0" w:firstRowLastColumn="0" w:lastRowFirstColumn="0" w:lastRowLastColumn="0"/>
            </w:pPr>
            <w:r w:rsidRPr="00A55BD1">
              <w:t>142</w:t>
            </w:r>
            <w:r w:rsidRPr="00FB5E9F">
              <w:t>8</w:t>
            </w:r>
          </w:p>
        </w:tc>
        <w:tc>
          <w:tcPr>
            <w:tcW w:w="1121" w:type="dxa"/>
            <w:vAlign w:val="bottom"/>
          </w:tcPr>
          <w:p w:rsidR="00FB5E9F" w:rsidRPr="00FB5E9F" w:rsidRDefault="00FB5E9F" w:rsidP="00FB5E9F">
            <w:pPr>
              <w:cnfStyle w:val="000000010000" w:firstRow="0" w:lastRow="0" w:firstColumn="0" w:lastColumn="0" w:oddVBand="0" w:evenVBand="0" w:oddHBand="0" w:evenHBand="1" w:firstRowFirstColumn="0" w:firstRowLastColumn="0" w:lastRowFirstColumn="0" w:lastRowLastColumn="0"/>
            </w:pPr>
            <w:r w:rsidRPr="00A55BD1">
              <w:t>140</w:t>
            </w:r>
            <w:r w:rsidRPr="00FB5E9F">
              <w:t>6</w:t>
            </w:r>
          </w:p>
        </w:tc>
        <w:tc>
          <w:tcPr>
            <w:tcW w:w="1122" w:type="dxa"/>
            <w:vAlign w:val="bottom"/>
          </w:tcPr>
          <w:p w:rsidR="00FB5E9F" w:rsidRPr="00A55BD1" w:rsidRDefault="00FB5E9F" w:rsidP="00FB5E9F">
            <w:pPr>
              <w:cnfStyle w:val="000000010000" w:firstRow="0" w:lastRow="0" w:firstColumn="0" w:lastColumn="0" w:oddVBand="0" w:evenVBand="0" w:oddHBand="0" w:evenHBand="1" w:firstRowFirstColumn="0" w:firstRowLastColumn="0" w:lastRowFirstColumn="0" w:lastRowLastColumn="0"/>
            </w:pPr>
            <w:r w:rsidRPr="00A55BD1">
              <w:t>1389</w:t>
            </w:r>
          </w:p>
        </w:tc>
        <w:tc>
          <w:tcPr>
            <w:tcW w:w="1122" w:type="dxa"/>
            <w:vAlign w:val="bottom"/>
          </w:tcPr>
          <w:p w:rsidR="00FB5E9F" w:rsidRPr="00A55BD1" w:rsidRDefault="00FB5E9F" w:rsidP="00FB5E9F">
            <w:pPr>
              <w:cnfStyle w:val="000000010000" w:firstRow="0" w:lastRow="0" w:firstColumn="0" w:lastColumn="0" w:oddVBand="0" w:evenVBand="0" w:oddHBand="0" w:evenHBand="1" w:firstRowFirstColumn="0" w:firstRowLastColumn="0" w:lastRowFirstColumn="0" w:lastRowLastColumn="0"/>
            </w:pPr>
            <w:r w:rsidRPr="00A55BD1">
              <w:t>1375</w:t>
            </w:r>
          </w:p>
        </w:tc>
      </w:tr>
      <w:tr w:rsidR="00FB5E9F" w:rsidRPr="00A55BD1" w:rsidTr="00BC4E4A">
        <w:tc>
          <w:tcPr>
            <w:cnfStyle w:val="001000000000" w:firstRow="0" w:lastRow="0" w:firstColumn="1" w:lastColumn="0" w:oddVBand="0" w:evenVBand="0" w:oddHBand="0" w:evenHBand="0" w:firstRowFirstColumn="0" w:firstRowLastColumn="0" w:lastRowFirstColumn="0" w:lastRowLastColumn="0"/>
            <w:tcW w:w="2235" w:type="dxa"/>
          </w:tcPr>
          <w:p w:rsidR="00FB5E9F" w:rsidRPr="00FB5E9F" w:rsidRDefault="00FB5E9F" w:rsidP="00FB5E9F">
            <w:r w:rsidRPr="00A55BD1">
              <w:t xml:space="preserve">Annual </w:t>
            </w:r>
            <w:proofErr w:type="spellStart"/>
            <w:r w:rsidRPr="00A55BD1">
              <w:t>change</w:t>
            </w:r>
            <w:r w:rsidRPr="00FB5E9F">
              <w:rPr>
                <w:rStyle w:val="AERsuperscript"/>
              </w:rPr>
              <w:t>c</w:t>
            </w:r>
            <w:proofErr w:type="spellEnd"/>
          </w:p>
        </w:tc>
        <w:tc>
          <w:tcPr>
            <w:tcW w:w="850" w:type="dxa"/>
            <w:vAlign w:val="bottom"/>
          </w:tcPr>
          <w:p w:rsidR="00FB5E9F" w:rsidRPr="00A55BD1" w:rsidRDefault="00FB5E9F" w:rsidP="00FB5E9F">
            <w:pPr>
              <w:cnfStyle w:val="000000000000" w:firstRow="0" w:lastRow="0" w:firstColumn="0" w:lastColumn="0" w:oddVBand="0" w:evenVBand="0" w:oddHBand="0" w:evenHBand="0" w:firstRowFirstColumn="0" w:firstRowLastColumn="0" w:lastRowFirstColumn="0" w:lastRowLastColumn="0"/>
            </w:pPr>
          </w:p>
        </w:tc>
        <w:tc>
          <w:tcPr>
            <w:tcW w:w="1121" w:type="dxa"/>
            <w:vAlign w:val="bottom"/>
          </w:tcPr>
          <w:p w:rsidR="00FB5E9F" w:rsidRPr="00A55BD1" w:rsidRDefault="00FB5E9F" w:rsidP="00FB5E9F">
            <w:pPr>
              <w:cnfStyle w:val="000000000000" w:firstRow="0" w:lastRow="0" w:firstColumn="0" w:lastColumn="0" w:oddVBand="0" w:evenVBand="0" w:oddHBand="0" w:evenHBand="0" w:firstRowFirstColumn="0" w:firstRowLastColumn="0" w:lastRowFirstColumn="0" w:lastRowLastColumn="0"/>
            </w:pPr>
            <w:r w:rsidRPr="00A55BD1">
              <w:t>–25 (–1.7%)</w:t>
            </w:r>
          </w:p>
        </w:tc>
        <w:tc>
          <w:tcPr>
            <w:tcW w:w="1122" w:type="dxa"/>
            <w:vAlign w:val="bottom"/>
          </w:tcPr>
          <w:p w:rsidR="00FB5E9F" w:rsidRPr="00FB5E9F" w:rsidRDefault="00FB5E9F" w:rsidP="00FB5E9F">
            <w:pPr>
              <w:cnfStyle w:val="000000000000" w:firstRow="0" w:lastRow="0" w:firstColumn="0" w:lastColumn="0" w:oddVBand="0" w:evenVBand="0" w:oddHBand="0" w:evenHBand="0" w:firstRowFirstColumn="0" w:firstRowLastColumn="0" w:lastRowFirstColumn="0" w:lastRowLastColumn="0"/>
            </w:pPr>
            <w:r w:rsidRPr="00A55BD1">
              <w:t>–1</w:t>
            </w:r>
            <w:r w:rsidRPr="00FB5E9F">
              <w:t>7 (–1.2%)</w:t>
            </w:r>
          </w:p>
        </w:tc>
        <w:tc>
          <w:tcPr>
            <w:tcW w:w="1121" w:type="dxa"/>
            <w:vAlign w:val="bottom"/>
          </w:tcPr>
          <w:p w:rsidR="00FB5E9F" w:rsidRPr="00FB5E9F" w:rsidRDefault="00FB5E9F" w:rsidP="00FB5E9F">
            <w:pPr>
              <w:cnfStyle w:val="000000000000" w:firstRow="0" w:lastRow="0" w:firstColumn="0" w:lastColumn="0" w:oddVBand="0" w:evenVBand="0" w:oddHBand="0" w:evenHBand="0" w:firstRowFirstColumn="0" w:firstRowLastColumn="0" w:lastRowFirstColumn="0" w:lastRowLastColumn="0"/>
            </w:pPr>
            <w:r w:rsidRPr="00A55BD1">
              <w:t>–2</w:t>
            </w:r>
            <w:r w:rsidRPr="00FB5E9F">
              <w:t>1 (–1.5%)</w:t>
            </w:r>
          </w:p>
        </w:tc>
        <w:tc>
          <w:tcPr>
            <w:tcW w:w="1122" w:type="dxa"/>
            <w:vAlign w:val="bottom"/>
          </w:tcPr>
          <w:p w:rsidR="00FB5E9F" w:rsidRPr="00A55BD1" w:rsidRDefault="00FB5E9F" w:rsidP="00FB5E9F">
            <w:pPr>
              <w:cnfStyle w:val="000000000000" w:firstRow="0" w:lastRow="0" w:firstColumn="0" w:lastColumn="0" w:oddVBand="0" w:evenVBand="0" w:oddHBand="0" w:evenHBand="0" w:firstRowFirstColumn="0" w:firstRowLastColumn="0" w:lastRowFirstColumn="0" w:lastRowLastColumn="0"/>
            </w:pPr>
            <w:r w:rsidRPr="00A55BD1">
              <w:t>–17 (–1.2%)</w:t>
            </w:r>
          </w:p>
        </w:tc>
        <w:tc>
          <w:tcPr>
            <w:tcW w:w="1122" w:type="dxa"/>
            <w:vAlign w:val="bottom"/>
          </w:tcPr>
          <w:p w:rsidR="00FB5E9F" w:rsidRPr="00FB5E9F" w:rsidRDefault="00FB5E9F" w:rsidP="00FB5E9F">
            <w:pPr>
              <w:cnfStyle w:val="000000000000" w:firstRow="0" w:lastRow="0" w:firstColumn="0" w:lastColumn="0" w:oddVBand="0" w:evenVBand="0" w:oddHBand="0" w:evenHBand="0" w:firstRowFirstColumn="0" w:firstRowLastColumn="0" w:lastRowFirstColumn="0" w:lastRowLastColumn="0"/>
            </w:pPr>
            <w:r w:rsidRPr="00A55BD1">
              <w:t>–14 (–1</w:t>
            </w:r>
            <w:r w:rsidRPr="00FB5E9F">
              <w:t>.0%)</w:t>
            </w:r>
          </w:p>
        </w:tc>
      </w:tr>
      <w:tr w:rsidR="00FB5E9F" w:rsidRPr="00A55BD1" w:rsidTr="00BC4E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FB5E9F" w:rsidRPr="00FB5E9F" w:rsidRDefault="00FB5E9F" w:rsidP="00FB5E9F">
            <w:r w:rsidRPr="00A55BD1">
              <w:t xml:space="preserve">Small business annual </w:t>
            </w:r>
            <w:proofErr w:type="spellStart"/>
            <w:r w:rsidRPr="00A55BD1">
              <w:t>bill</w:t>
            </w:r>
            <w:r w:rsidRPr="00FB5E9F">
              <w:rPr>
                <w:rStyle w:val="AERsuperscript"/>
              </w:rPr>
              <w:t>b</w:t>
            </w:r>
            <w:proofErr w:type="spellEnd"/>
          </w:p>
        </w:tc>
        <w:tc>
          <w:tcPr>
            <w:tcW w:w="850" w:type="dxa"/>
            <w:vAlign w:val="bottom"/>
          </w:tcPr>
          <w:p w:rsidR="00FB5E9F" w:rsidRPr="00A55BD1" w:rsidRDefault="00FB5E9F" w:rsidP="00FB5E9F">
            <w:pPr>
              <w:cnfStyle w:val="000000010000" w:firstRow="0" w:lastRow="0" w:firstColumn="0" w:lastColumn="0" w:oddVBand="0" w:evenVBand="0" w:oddHBand="0" w:evenHBand="1" w:firstRowFirstColumn="0" w:firstRowLastColumn="0" w:lastRowFirstColumn="0" w:lastRowLastColumn="0"/>
            </w:pPr>
            <w:r w:rsidRPr="00A55BD1">
              <w:t>3036</w:t>
            </w:r>
          </w:p>
        </w:tc>
        <w:tc>
          <w:tcPr>
            <w:tcW w:w="1121" w:type="dxa"/>
            <w:vAlign w:val="bottom"/>
          </w:tcPr>
          <w:p w:rsidR="00FB5E9F" w:rsidRPr="00A55BD1" w:rsidRDefault="00FB5E9F" w:rsidP="00FB5E9F">
            <w:pPr>
              <w:cnfStyle w:val="000000010000" w:firstRow="0" w:lastRow="0" w:firstColumn="0" w:lastColumn="0" w:oddVBand="0" w:evenVBand="0" w:oddHBand="0" w:evenHBand="1" w:firstRowFirstColumn="0" w:firstRowLastColumn="0" w:lastRowFirstColumn="0" w:lastRowLastColumn="0"/>
            </w:pPr>
            <w:r w:rsidRPr="00A55BD1">
              <w:t>2985</w:t>
            </w:r>
          </w:p>
        </w:tc>
        <w:tc>
          <w:tcPr>
            <w:tcW w:w="1122" w:type="dxa"/>
            <w:vAlign w:val="bottom"/>
          </w:tcPr>
          <w:p w:rsidR="00FB5E9F" w:rsidRPr="00FB5E9F" w:rsidRDefault="00FB5E9F" w:rsidP="00FB5E9F">
            <w:pPr>
              <w:cnfStyle w:val="000000010000" w:firstRow="0" w:lastRow="0" w:firstColumn="0" w:lastColumn="0" w:oddVBand="0" w:evenVBand="0" w:oddHBand="0" w:evenHBand="1" w:firstRowFirstColumn="0" w:firstRowLastColumn="0" w:lastRowFirstColumn="0" w:lastRowLastColumn="0"/>
            </w:pPr>
            <w:r w:rsidRPr="00A55BD1">
              <w:t>29</w:t>
            </w:r>
            <w:r w:rsidRPr="00FB5E9F">
              <w:t>49</w:t>
            </w:r>
          </w:p>
        </w:tc>
        <w:tc>
          <w:tcPr>
            <w:tcW w:w="1121" w:type="dxa"/>
            <w:vAlign w:val="bottom"/>
          </w:tcPr>
          <w:p w:rsidR="00FB5E9F" w:rsidRPr="00A55BD1" w:rsidRDefault="00FB5E9F" w:rsidP="00FB5E9F">
            <w:pPr>
              <w:cnfStyle w:val="000000010000" w:firstRow="0" w:lastRow="0" w:firstColumn="0" w:lastColumn="0" w:oddVBand="0" w:evenVBand="0" w:oddHBand="0" w:evenHBand="1" w:firstRowFirstColumn="0" w:firstRowLastColumn="0" w:lastRowFirstColumn="0" w:lastRowLastColumn="0"/>
            </w:pPr>
            <w:r w:rsidRPr="00A55BD1">
              <w:t>2905</w:t>
            </w:r>
          </w:p>
        </w:tc>
        <w:tc>
          <w:tcPr>
            <w:tcW w:w="1122" w:type="dxa"/>
            <w:vAlign w:val="bottom"/>
          </w:tcPr>
          <w:p w:rsidR="00FB5E9F" w:rsidRPr="00A55BD1" w:rsidRDefault="00FB5E9F" w:rsidP="00FB5E9F">
            <w:pPr>
              <w:cnfStyle w:val="000000010000" w:firstRow="0" w:lastRow="0" w:firstColumn="0" w:lastColumn="0" w:oddVBand="0" w:evenVBand="0" w:oddHBand="0" w:evenHBand="1" w:firstRowFirstColumn="0" w:firstRowLastColumn="0" w:lastRowFirstColumn="0" w:lastRowLastColumn="0"/>
            </w:pPr>
            <w:r w:rsidRPr="00A55BD1">
              <w:t>2869</w:t>
            </w:r>
          </w:p>
        </w:tc>
        <w:tc>
          <w:tcPr>
            <w:tcW w:w="1122" w:type="dxa"/>
            <w:vAlign w:val="bottom"/>
          </w:tcPr>
          <w:p w:rsidR="00FB5E9F" w:rsidRPr="00A55BD1" w:rsidRDefault="00FB5E9F" w:rsidP="00FB5E9F">
            <w:pPr>
              <w:cnfStyle w:val="000000010000" w:firstRow="0" w:lastRow="0" w:firstColumn="0" w:lastColumn="0" w:oddVBand="0" w:evenVBand="0" w:oddHBand="0" w:evenHBand="1" w:firstRowFirstColumn="0" w:firstRowLastColumn="0" w:lastRowFirstColumn="0" w:lastRowLastColumn="0"/>
            </w:pPr>
            <w:r>
              <w:t>2839</w:t>
            </w:r>
          </w:p>
        </w:tc>
      </w:tr>
      <w:tr w:rsidR="00FB5E9F" w:rsidRPr="00A55BD1" w:rsidTr="00BC4E4A">
        <w:tc>
          <w:tcPr>
            <w:cnfStyle w:val="001000000000" w:firstRow="0" w:lastRow="0" w:firstColumn="1" w:lastColumn="0" w:oddVBand="0" w:evenVBand="0" w:oddHBand="0" w:evenHBand="0" w:firstRowFirstColumn="0" w:firstRowLastColumn="0" w:lastRowFirstColumn="0" w:lastRowLastColumn="0"/>
            <w:tcW w:w="2235" w:type="dxa"/>
          </w:tcPr>
          <w:p w:rsidR="00FB5E9F" w:rsidRPr="00FB5E9F" w:rsidRDefault="00FB5E9F" w:rsidP="00FB5E9F">
            <w:r w:rsidRPr="00A55BD1">
              <w:t xml:space="preserve">Annual </w:t>
            </w:r>
            <w:proofErr w:type="spellStart"/>
            <w:r w:rsidRPr="00A55BD1">
              <w:t>change</w:t>
            </w:r>
            <w:r w:rsidRPr="00FB5E9F">
              <w:rPr>
                <w:rStyle w:val="AERsuperscript"/>
              </w:rPr>
              <w:t>c</w:t>
            </w:r>
            <w:proofErr w:type="spellEnd"/>
          </w:p>
        </w:tc>
        <w:tc>
          <w:tcPr>
            <w:tcW w:w="850" w:type="dxa"/>
            <w:vAlign w:val="bottom"/>
          </w:tcPr>
          <w:p w:rsidR="00FB5E9F" w:rsidRPr="00A55BD1" w:rsidRDefault="00FB5E9F" w:rsidP="00FB5E9F">
            <w:pPr>
              <w:cnfStyle w:val="000000000000" w:firstRow="0" w:lastRow="0" w:firstColumn="0" w:lastColumn="0" w:oddVBand="0" w:evenVBand="0" w:oddHBand="0" w:evenHBand="0" w:firstRowFirstColumn="0" w:firstRowLastColumn="0" w:lastRowFirstColumn="0" w:lastRowLastColumn="0"/>
            </w:pPr>
          </w:p>
        </w:tc>
        <w:tc>
          <w:tcPr>
            <w:tcW w:w="1121" w:type="dxa"/>
            <w:vAlign w:val="bottom"/>
          </w:tcPr>
          <w:p w:rsidR="00FB5E9F" w:rsidRPr="00A55BD1" w:rsidRDefault="00FB5E9F" w:rsidP="00FB5E9F">
            <w:pPr>
              <w:cnfStyle w:val="000000000000" w:firstRow="0" w:lastRow="0" w:firstColumn="0" w:lastColumn="0" w:oddVBand="0" w:evenVBand="0" w:oddHBand="0" w:evenHBand="0" w:firstRowFirstColumn="0" w:firstRowLastColumn="0" w:lastRowFirstColumn="0" w:lastRowLastColumn="0"/>
            </w:pPr>
            <w:r w:rsidRPr="00A55BD1">
              <w:t>–51 (–1.7%)</w:t>
            </w:r>
          </w:p>
        </w:tc>
        <w:tc>
          <w:tcPr>
            <w:tcW w:w="1122" w:type="dxa"/>
            <w:vAlign w:val="bottom"/>
          </w:tcPr>
          <w:p w:rsidR="00FB5E9F" w:rsidRPr="00FB5E9F" w:rsidRDefault="00FB5E9F" w:rsidP="00FB5E9F">
            <w:pPr>
              <w:cnfStyle w:val="000000000000" w:firstRow="0" w:lastRow="0" w:firstColumn="0" w:lastColumn="0" w:oddVBand="0" w:evenVBand="0" w:oddHBand="0" w:evenHBand="0" w:firstRowFirstColumn="0" w:firstRowLastColumn="0" w:lastRowFirstColumn="0" w:lastRowLastColumn="0"/>
            </w:pPr>
            <w:r w:rsidRPr="00A55BD1">
              <w:t>–3</w:t>
            </w:r>
            <w:r w:rsidRPr="00FB5E9F">
              <w:t>6 (–1.2%)</w:t>
            </w:r>
          </w:p>
        </w:tc>
        <w:tc>
          <w:tcPr>
            <w:tcW w:w="1121" w:type="dxa"/>
            <w:vAlign w:val="bottom"/>
          </w:tcPr>
          <w:p w:rsidR="00FB5E9F" w:rsidRPr="00FB5E9F" w:rsidRDefault="00FB5E9F" w:rsidP="00FB5E9F">
            <w:pPr>
              <w:cnfStyle w:val="000000000000" w:firstRow="0" w:lastRow="0" w:firstColumn="0" w:lastColumn="0" w:oddVBand="0" w:evenVBand="0" w:oddHBand="0" w:evenHBand="0" w:firstRowFirstColumn="0" w:firstRowLastColumn="0" w:lastRowFirstColumn="0" w:lastRowLastColumn="0"/>
            </w:pPr>
            <w:r w:rsidRPr="00A55BD1">
              <w:t>–4</w:t>
            </w:r>
            <w:r w:rsidRPr="00FB5E9F">
              <w:t>4 (–1.5%)</w:t>
            </w:r>
          </w:p>
        </w:tc>
        <w:tc>
          <w:tcPr>
            <w:tcW w:w="1122" w:type="dxa"/>
            <w:vAlign w:val="bottom"/>
          </w:tcPr>
          <w:p w:rsidR="00FB5E9F" w:rsidRPr="00A55BD1" w:rsidRDefault="00FB5E9F" w:rsidP="00FB5E9F">
            <w:pPr>
              <w:cnfStyle w:val="000000000000" w:firstRow="0" w:lastRow="0" w:firstColumn="0" w:lastColumn="0" w:oddVBand="0" w:evenVBand="0" w:oddHBand="0" w:evenHBand="0" w:firstRowFirstColumn="0" w:firstRowLastColumn="0" w:lastRowFirstColumn="0" w:lastRowLastColumn="0"/>
            </w:pPr>
            <w:r w:rsidRPr="00A55BD1">
              <w:t>–36 (–1.2%)</w:t>
            </w:r>
          </w:p>
        </w:tc>
        <w:tc>
          <w:tcPr>
            <w:tcW w:w="1122" w:type="dxa"/>
            <w:vAlign w:val="bottom"/>
          </w:tcPr>
          <w:p w:rsidR="00FB5E9F" w:rsidRPr="00FB5E9F" w:rsidRDefault="00FB5E9F" w:rsidP="00FB5E9F">
            <w:pPr>
              <w:cnfStyle w:val="000000000000" w:firstRow="0" w:lastRow="0" w:firstColumn="0" w:lastColumn="0" w:oddVBand="0" w:evenVBand="0" w:oddHBand="0" w:evenHBand="0" w:firstRowFirstColumn="0" w:firstRowLastColumn="0" w:lastRowFirstColumn="0" w:lastRowLastColumn="0"/>
            </w:pPr>
            <w:r w:rsidRPr="00A55BD1">
              <w:t>–30 (–1</w:t>
            </w:r>
            <w:r w:rsidRPr="00FB5E9F">
              <w:t>.0%)</w:t>
            </w:r>
          </w:p>
        </w:tc>
      </w:tr>
      <w:tr w:rsidR="00A55BD1" w:rsidTr="00780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gridSpan w:val="7"/>
          </w:tcPr>
          <w:p w:rsidR="00A55BD1" w:rsidRPr="00A55BD1" w:rsidRDefault="00A55BD1" w:rsidP="00A55BD1">
            <w:r w:rsidRPr="00A55BD1">
              <w:rPr>
                <w:rStyle w:val="Strong"/>
              </w:rPr>
              <w:t>Energex revised proposal</w:t>
            </w:r>
          </w:p>
        </w:tc>
      </w:tr>
      <w:tr w:rsidR="00A55BD1" w:rsidTr="0078004F">
        <w:tc>
          <w:tcPr>
            <w:cnfStyle w:val="001000000000" w:firstRow="0" w:lastRow="0" w:firstColumn="1" w:lastColumn="0" w:oddVBand="0" w:evenVBand="0" w:oddHBand="0" w:evenHBand="0" w:firstRowFirstColumn="0" w:firstRowLastColumn="0" w:lastRowFirstColumn="0" w:lastRowLastColumn="0"/>
            <w:tcW w:w="2235" w:type="dxa"/>
          </w:tcPr>
          <w:p w:rsidR="00A55BD1" w:rsidRPr="00A55BD1" w:rsidRDefault="00A55BD1" w:rsidP="00A55BD1">
            <w:r w:rsidRPr="00A55BD1">
              <w:t>Residential annual bill</w:t>
            </w:r>
            <w:r w:rsidRPr="00A55BD1">
              <w:rPr>
                <w:rStyle w:val="AERsuperscript"/>
              </w:rPr>
              <w:t>a</w:t>
            </w:r>
          </w:p>
        </w:tc>
        <w:tc>
          <w:tcPr>
            <w:tcW w:w="850" w:type="dxa"/>
            <w:vAlign w:val="bottom"/>
          </w:tcPr>
          <w:p w:rsidR="00A55BD1" w:rsidRPr="00A55BD1" w:rsidRDefault="00A55BD1" w:rsidP="00A55BD1">
            <w:pPr>
              <w:cnfStyle w:val="000000000000" w:firstRow="0" w:lastRow="0" w:firstColumn="0" w:lastColumn="0" w:oddVBand="0" w:evenVBand="0" w:oddHBand="0" w:evenHBand="0" w:firstRowFirstColumn="0" w:firstRowLastColumn="0" w:lastRowFirstColumn="0" w:lastRowLastColumn="0"/>
            </w:pPr>
            <w:r w:rsidRPr="00A55BD1">
              <w:t>1470</w:t>
            </w:r>
          </w:p>
        </w:tc>
        <w:tc>
          <w:tcPr>
            <w:tcW w:w="1121" w:type="dxa"/>
            <w:vAlign w:val="bottom"/>
          </w:tcPr>
          <w:p w:rsidR="00A55BD1" w:rsidRPr="00A55BD1" w:rsidRDefault="00A55BD1" w:rsidP="00A55BD1">
            <w:pPr>
              <w:cnfStyle w:val="000000000000" w:firstRow="0" w:lastRow="0" w:firstColumn="0" w:lastColumn="0" w:oddVBand="0" w:evenVBand="0" w:oddHBand="0" w:evenHBand="0" w:firstRowFirstColumn="0" w:firstRowLastColumn="0" w:lastRowFirstColumn="0" w:lastRowLastColumn="0"/>
            </w:pPr>
            <w:r w:rsidRPr="00A55BD1">
              <w:t>1445</w:t>
            </w:r>
          </w:p>
        </w:tc>
        <w:tc>
          <w:tcPr>
            <w:tcW w:w="1122" w:type="dxa"/>
            <w:vAlign w:val="bottom"/>
          </w:tcPr>
          <w:p w:rsidR="00A55BD1" w:rsidRPr="00A55BD1" w:rsidRDefault="00A55BD1" w:rsidP="00A55BD1">
            <w:pPr>
              <w:cnfStyle w:val="000000000000" w:firstRow="0" w:lastRow="0" w:firstColumn="0" w:lastColumn="0" w:oddVBand="0" w:evenVBand="0" w:oddHBand="0" w:evenHBand="0" w:firstRowFirstColumn="0" w:firstRowLastColumn="0" w:lastRowFirstColumn="0" w:lastRowLastColumn="0"/>
            </w:pPr>
            <w:r w:rsidRPr="00A55BD1">
              <w:t>1473</w:t>
            </w:r>
          </w:p>
        </w:tc>
        <w:tc>
          <w:tcPr>
            <w:tcW w:w="1121" w:type="dxa"/>
            <w:vAlign w:val="bottom"/>
          </w:tcPr>
          <w:p w:rsidR="00A55BD1" w:rsidRPr="00A55BD1" w:rsidRDefault="00A55BD1" w:rsidP="00A55BD1">
            <w:pPr>
              <w:cnfStyle w:val="000000000000" w:firstRow="0" w:lastRow="0" w:firstColumn="0" w:lastColumn="0" w:oddVBand="0" w:evenVBand="0" w:oddHBand="0" w:evenHBand="0" w:firstRowFirstColumn="0" w:firstRowLastColumn="0" w:lastRowFirstColumn="0" w:lastRowLastColumn="0"/>
            </w:pPr>
            <w:r w:rsidRPr="00A55BD1">
              <w:t>1496</w:t>
            </w:r>
          </w:p>
        </w:tc>
        <w:tc>
          <w:tcPr>
            <w:tcW w:w="1122" w:type="dxa"/>
            <w:vAlign w:val="bottom"/>
          </w:tcPr>
          <w:p w:rsidR="00A55BD1" w:rsidRPr="00A55BD1" w:rsidRDefault="00A55BD1" w:rsidP="00A55BD1">
            <w:pPr>
              <w:cnfStyle w:val="000000000000" w:firstRow="0" w:lastRow="0" w:firstColumn="0" w:lastColumn="0" w:oddVBand="0" w:evenVBand="0" w:oddHBand="0" w:evenHBand="0" w:firstRowFirstColumn="0" w:firstRowLastColumn="0" w:lastRowFirstColumn="0" w:lastRowLastColumn="0"/>
            </w:pPr>
            <w:r w:rsidRPr="00A55BD1">
              <w:t>1518</w:t>
            </w:r>
          </w:p>
        </w:tc>
        <w:tc>
          <w:tcPr>
            <w:tcW w:w="1122" w:type="dxa"/>
            <w:vAlign w:val="bottom"/>
          </w:tcPr>
          <w:p w:rsidR="00A55BD1" w:rsidRPr="00A55BD1" w:rsidRDefault="00A55BD1" w:rsidP="00A55BD1">
            <w:pPr>
              <w:cnfStyle w:val="000000000000" w:firstRow="0" w:lastRow="0" w:firstColumn="0" w:lastColumn="0" w:oddVBand="0" w:evenVBand="0" w:oddHBand="0" w:evenHBand="0" w:firstRowFirstColumn="0" w:firstRowLastColumn="0" w:lastRowFirstColumn="0" w:lastRowLastColumn="0"/>
            </w:pPr>
            <w:r w:rsidRPr="00A55BD1">
              <w:t>1539</w:t>
            </w:r>
          </w:p>
        </w:tc>
      </w:tr>
      <w:tr w:rsidR="00A55BD1" w:rsidTr="00780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55BD1" w:rsidRPr="00A55BD1" w:rsidRDefault="00A55BD1" w:rsidP="00A55BD1">
            <w:r w:rsidRPr="00A55BD1">
              <w:t>Annual change</w:t>
            </w:r>
            <w:r w:rsidRPr="00A55BD1">
              <w:rPr>
                <w:rStyle w:val="AERsuperscript"/>
              </w:rPr>
              <w:t>c</w:t>
            </w:r>
          </w:p>
        </w:tc>
        <w:tc>
          <w:tcPr>
            <w:tcW w:w="850" w:type="dxa"/>
            <w:vAlign w:val="bottom"/>
          </w:tcPr>
          <w:p w:rsidR="00A55BD1" w:rsidRPr="00A55BD1" w:rsidRDefault="00A55BD1" w:rsidP="00A55BD1">
            <w:pPr>
              <w:cnfStyle w:val="000000010000" w:firstRow="0" w:lastRow="0" w:firstColumn="0" w:lastColumn="0" w:oddVBand="0" w:evenVBand="0" w:oddHBand="0" w:evenHBand="1" w:firstRowFirstColumn="0" w:firstRowLastColumn="0" w:lastRowFirstColumn="0" w:lastRowLastColumn="0"/>
            </w:pPr>
          </w:p>
        </w:tc>
        <w:tc>
          <w:tcPr>
            <w:tcW w:w="1121" w:type="dxa"/>
            <w:vAlign w:val="bottom"/>
          </w:tcPr>
          <w:p w:rsidR="00A55BD1" w:rsidRPr="00A55BD1" w:rsidRDefault="00A55BD1" w:rsidP="00A55BD1">
            <w:pPr>
              <w:cnfStyle w:val="000000010000" w:firstRow="0" w:lastRow="0" w:firstColumn="0" w:lastColumn="0" w:oddVBand="0" w:evenVBand="0" w:oddHBand="0" w:evenHBand="1" w:firstRowFirstColumn="0" w:firstRowLastColumn="0" w:lastRowFirstColumn="0" w:lastRowLastColumn="0"/>
            </w:pPr>
            <w:r w:rsidRPr="00A55BD1">
              <w:t>–25 (–1.7%)</w:t>
            </w:r>
          </w:p>
        </w:tc>
        <w:tc>
          <w:tcPr>
            <w:tcW w:w="1122" w:type="dxa"/>
            <w:vAlign w:val="bottom"/>
          </w:tcPr>
          <w:p w:rsidR="00A55BD1" w:rsidRPr="00A55BD1" w:rsidRDefault="00A55BD1" w:rsidP="00A55BD1">
            <w:pPr>
              <w:cnfStyle w:val="000000010000" w:firstRow="0" w:lastRow="0" w:firstColumn="0" w:lastColumn="0" w:oddVBand="0" w:evenVBand="0" w:oddHBand="0" w:evenHBand="1" w:firstRowFirstColumn="0" w:firstRowLastColumn="0" w:lastRowFirstColumn="0" w:lastRowLastColumn="0"/>
            </w:pPr>
            <w:r w:rsidRPr="00A55BD1">
              <w:t>28 (1.9%)</w:t>
            </w:r>
          </w:p>
        </w:tc>
        <w:tc>
          <w:tcPr>
            <w:tcW w:w="1121" w:type="dxa"/>
            <w:vAlign w:val="bottom"/>
          </w:tcPr>
          <w:p w:rsidR="00A55BD1" w:rsidRPr="00A55BD1" w:rsidRDefault="00A55BD1" w:rsidP="00A55BD1">
            <w:pPr>
              <w:cnfStyle w:val="000000010000" w:firstRow="0" w:lastRow="0" w:firstColumn="0" w:lastColumn="0" w:oddVBand="0" w:evenVBand="0" w:oddHBand="0" w:evenHBand="1" w:firstRowFirstColumn="0" w:firstRowLastColumn="0" w:lastRowFirstColumn="0" w:lastRowLastColumn="0"/>
            </w:pPr>
            <w:r w:rsidRPr="00A55BD1">
              <w:t>23 (1.6%)</w:t>
            </w:r>
          </w:p>
        </w:tc>
        <w:tc>
          <w:tcPr>
            <w:tcW w:w="1122" w:type="dxa"/>
            <w:vAlign w:val="bottom"/>
          </w:tcPr>
          <w:p w:rsidR="00A55BD1" w:rsidRPr="00A55BD1" w:rsidRDefault="00A55BD1" w:rsidP="00A55BD1">
            <w:pPr>
              <w:cnfStyle w:val="000000010000" w:firstRow="0" w:lastRow="0" w:firstColumn="0" w:lastColumn="0" w:oddVBand="0" w:evenVBand="0" w:oddHBand="0" w:evenHBand="1" w:firstRowFirstColumn="0" w:firstRowLastColumn="0" w:lastRowFirstColumn="0" w:lastRowLastColumn="0"/>
            </w:pPr>
            <w:r w:rsidRPr="00A55BD1">
              <w:t>23 (1.5%)</w:t>
            </w:r>
          </w:p>
        </w:tc>
        <w:tc>
          <w:tcPr>
            <w:tcW w:w="1122" w:type="dxa"/>
            <w:vAlign w:val="bottom"/>
          </w:tcPr>
          <w:p w:rsidR="00A55BD1" w:rsidRPr="00A55BD1" w:rsidRDefault="00A55BD1" w:rsidP="00A55BD1">
            <w:pPr>
              <w:cnfStyle w:val="000000010000" w:firstRow="0" w:lastRow="0" w:firstColumn="0" w:lastColumn="0" w:oddVBand="0" w:evenVBand="0" w:oddHBand="0" w:evenHBand="1" w:firstRowFirstColumn="0" w:firstRowLastColumn="0" w:lastRowFirstColumn="0" w:lastRowLastColumn="0"/>
            </w:pPr>
            <w:r w:rsidRPr="00A55BD1">
              <w:t>21 (1.4%)</w:t>
            </w:r>
          </w:p>
        </w:tc>
      </w:tr>
      <w:tr w:rsidR="00A55BD1" w:rsidTr="0078004F">
        <w:tc>
          <w:tcPr>
            <w:cnfStyle w:val="001000000000" w:firstRow="0" w:lastRow="0" w:firstColumn="1" w:lastColumn="0" w:oddVBand="0" w:evenVBand="0" w:oddHBand="0" w:evenHBand="0" w:firstRowFirstColumn="0" w:firstRowLastColumn="0" w:lastRowFirstColumn="0" w:lastRowLastColumn="0"/>
            <w:tcW w:w="2235" w:type="dxa"/>
          </w:tcPr>
          <w:p w:rsidR="00A55BD1" w:rsidRPr="00A55BD1" w:rsidRDefault="00A55BD1" w:rsidP="00A55BD1">
            <w:r w:rsidRPr="00A55BD1">
              <w:t>Small business annual bill</w:t>
            </w:r>
            <w:r w:rsidRPr="00A55BD1">
              <w:rPr>
                <w:rStyle w:val="AERsuperscript"/>
              </w:rPr>
              <w:t>b</w:t>
            </w:r>
          </w:p>
        </w:tc>
        <w:tc>
          <w:tcPr>
            <w:tcW w:w="850" w:type="dxa"/>
            <w:vAlign w:val="bottom"/>
          </w:tcPr>
          <w:p w:rsidR="00A55BD1" w:rsidRPr="00A55BD1" w:rsidRDefault="00A55BD1" w:rsidP="00A55BD1">
            <w:pPr>
              <w:cnfStyle w:val="000000000000" w:firstRow="0" w:lastRow="0" w:firstColumn="0" w:lastColumn="0" w:oddVBand="0" w:evenVBand="0" w:oddHBand="0" w:evenHBand="0" w:firstRowFirstColumn="0" w:firstRowLastColumn="0" w:lastRowFirstColumn="0" w:lastRowLastColumn="0"/>
            </w:pPr>
            <w:r w:rsidRPr="00A55BD1">
              <w:t>3036</w:t>
            </w:r>
          </w:p>
        </w:tc>
        <w:tc>
          <w:tcPr>
            <w:tcW w:w="1121" w:type="dxa"/>
            <w:vAlign w:val="bottom"/>
          </w:tcPr>
          <w:p w:rsidR="00A55BD1" w:rsidRPr="00A55BD1" w:rsidRDefault="00A55BD1" w:rsidP="00A55BD1">
            <w:pPr>
              <w:cnfStyle w:val="000000000000" w:firstRow="0" w:lastRow="0" w:firstColumn="0" w:lastColumn="0" w:oddVBand="0" w:evenVBand="0" w:oddHBand="0" w:evenHBand="0" w:firstRowFirstColumn="0" w:firstRowLastColumn="0" w:lastRowFirstColumn="0" w:lastRowLastColumn="0"/>
            </w:pPr>
            <w:r w:rsidRPr="00A55BD1">
              <w:t>2985</w:t>
            </w:r>
          </w:p>
        </w:tc>
        <w:tc>
          <w:tcPr>
            <w:tcW w:w="1122" w:type="dxa"/>
            <w:vAlign w:val="bottom"/>
          </w:tcPr>
          <w:p w:rsidR="00A55BD1" w:rsidRPr="00A55BD1" w:rsidRDefault="00A55BD1" w:rsidP="00A55BD1">
            <w:pPr>
              <w:cnfStyle w:val="000000000000" w:firstRow="0" w:lastRow="0" w:firstColumn="0" w:lastColumn="0" w:oddVBand="0" w:evenVBand="0" w:oddHBand="0" w:evenHBand="0" w:firstRowFirstColumn="0" w:firstRowLastColumn="0" w:lastRowFirstColumn="0" w:lastRowLastColumn="0"/>
            </w:pPr>
            <w:r w:rsidRPr="00A55BD1">
              <w:t>3042</w:t>
            </w:r>
          </w:p>
        </w:tc>
        <w:tc>
          <w:tcPr>
            <w:tcW w:w="1121" w:type="dxa"/>
            <w:vAlign w:val="bottom"/>
          </w:tcPr>
          <w:p w:rsidR="00A55BD1" w:rsidRPr="00A55BD1" w:rsidRDefault="00A55BD1" w:rsidP="00A55BD1">
            <w:pPr>
              <w:cnfStyle w:val="000000000000" w:firstRow="0" w:lastRow="0" w:firstColumn="0" w:lastColumn="0" w:oddVBand="0" w:evenVBand="0" w:oddHBand="0" w:evenHBand="0" w:firstRowFirstColumn="0" w:firstRowLastColumn="0" w:lastRowFirstColumn="0" w:lastRowLastColumn="0"/>
            </w:pPr>
            <w:r w:rsidRPr="00A55BD1">
              <w:t>3089</w:t>
            </w:r>
          </w:p>
        </w:tc>
        <w:tc>
          <w:tcPr>
            <w:tcW w:w="1122" w:type="dxa"/>
            <w:vAlign w:val="bottom"/>
          </w:tcPr>
          <w:p w:rsidR="00A55BD1" w:rsidRPr="00A55BD1" w:rsidRDefault="00A55BD1" w:rsidP="00A55BD1">
            <w:pPr>
              <w:cnfStyle w:val="000000000000" w:firstRow="0" w:lastRow="0" w:firstColumn="0" w:lastColumn="0" w:oddVBand="0" w:evenVBand="0" w:oddHBand="0" w:evenHBand="0" w:firstRowFirstColumn="0" w:firstRowLastColumn="0" w:lastRowFirstColumn="0" w:lastRowLastColumn="0"/>
            </w:pPr>
            <w:r w:rsidRPr="00A55BD1">
              <w:t>3136</w:t>
            </w:r>
          </w:p>
        </w:tc>
        <w:tc>
          <w:tcPr>
            <w:tcW w:w="1122" w:type="dxa"/>
            <w:vAlign w:val="bottom"/>
          </w:tcPr>
          <w:p w:rsidR="00A55BD1" w:rsidRPr="00A55BD1" w:rsidRDefault="00A55BD1" w:rsidP="00A55BD1">
            <w:pPr>
              <w:cnfStyle w:val="000000000000" w:firstRow="0" w:lastRow="0" w:firstColumn="0" w:lastColumn="0" w:oddVBand="0" w:evenVBand="0" w:oddHBand="0" w:evenHBand="0" w:firstRowFirstColumn="0" w:firstRowLastColumn="0" w:lastRowFirstColumn="0" w:lastRowLastColumn="0"/>
            </w:pPr>
            <w:r w:rsidRPr="00A55BD1">
              <w:t>3178</w:t>
            </w:r>
          </w:p>
        </w:tc>
      </w:tr>
      <w:tr w:rsidR="00A55BD1" w:rsidTr="00780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55BD1" w:rsidRPr="00A55BD1" w:rsidRDefault="00A55BD1" w:rsidP="00A55BD1">
            <w:r w:rsidRPr="00A55BD1">
              <w:t>Annual change</w:t>
            </w:r>
            <w:r w:rsidRPr="00A55BD1">
              <w:rPr>
                <w:rStyle w:val="AERsuperscript"/>
              </w:rPr>
              <w:t>c</w:t>
            </w:r>
          </w:p>
        </w:tc>
        <w:tc>
          <w:tcPr>
            <w:tcW w:w="850" w:type="dxa"/>
            <w:vAlign w:val="bottom"/>
          </w:tcPr>
          <w:p w:rsidR="00A55BD1" w:rsidRPr="00A55BD1" w:rsidRDefault="00A55BD1" w:rsidP="00A55BD1">
            <w:pPr>
              <w:cnfStyle w:val="000000010000" w:firstRow="0" w:lastRow="0" w:firstColumn="0" w:lastColumn="0" w:oddVBand="0" w:evenVBand="0" w:oddHBand="0" w:evenHBand="1" w:firstRowFirstColumn="0" w:firstRowLastColumn="0" w:lastRowFirstColumn="0" w:lastRowLastColumn="0"/>
            </w:pPr>
          </w:p>
        </w:tc>
        <w:tc>
          <w:tcPr>
            <w:tcW w:w="1121" w:type="dxa"/>
            <w:vAlign w:val="bottom"/>
          </w:tcPr>
          <w:p w:rsidR="00A55BD1" w:rsidRPr="00A55BD1" w:rsidRDefault="00A55BD1" w:rsidP="00A55BD1">
            <w:pPr>
              <w:cnfStyle w:val="000000010000" w:firstRow="0" w:lastRow="0" w:firstColumn="0" w:lastColumn="0" w:oddVBand="0" w:evenVBand="0" w:oddHBand="0" w:evenHBand="1" w:firstRowFirstColumn="0" w:firstRowLastColumn="0" w:lastRowFirstColumn="0" w:lastRowLastColumn="0"/>
            </w:pPr>
            <w:r w:rsidRPr="00A55BD1">
              <w:t>–51 (–1.7%)</w:t>
            </w:r>
          </w:p>
        </w:tc>
        <w:tc>
          <w:tcPr>
            <w:tcW w:w="1122" w:type="dxa"/>
            <w:vAlign w:val="bottom"/>
          </w:tcPr>
          <w:p w:rsidR="00A55BD1" w:rsidRPr="00A55BD1" w:rsidRDefault="00A55BD1" w:rsidP="00A55BD1">
            <w:pPr>
              <w:cnfStyle w:val="000000010000" w:firstRow="0" w:lastRow="0" w:firstColumn="0" w:lastColumn="0" w:oddVBand="0" w:evenVBand="0" w:oddHBand="0" w:evenHBand="1" w:firstRowFirstColumn="0" w:firstRowLastColumn="0" w:lastRowFirstColumn="0" w:lastRowLastColumn="0"/>
            </w:pPr>
            <w:r w:rsidRPr="00A55BD1">
              <w:t>57 (1.9%)</w:t>
            </w:r>
          </w:p>
        </w:tc>
        <w:tc>
          <w:tcPr>
            <w:tcW w:w="1121" w:type="dxa"/>
            <w:vAlign w:val="bottom"/>
          </w:tcPr>
          <w:p w:rsidR="00A55BD1" w:rsidRPr="00A55BD1" w:rsidRDefault="00A55BD1" w:rsidP="00A55BD1">
            <w:pPr>
              <w:cnfStyle w:val="000000010000" w:firstRow="0" w:lastRow="0" w:firstColumn="0" w:lastColumn="0" w:oddVBand="0" w:evenVBand="0" w:oddHBand="0" w:evenHBand="1" w:firstRowFirstColumn="0" w:firstRowLastColumn="0" w:lastRowFirstColumn="0" w:lastRowLastColumn="0"/>
            </w:pPr>
            <w:r w:rsidRPr="00A55BD1">
              <w:t>47 (1.6%)</w:t>
            </w:r>
          </w:p>
        </w:tc>
        <w:tc>
          <w:tcPr>
            <w:tcW w:w="1122" w:type="dxa"/>
            <w:vAlign w:val="bottom"/>
          </w:tcPr>
          <w:p w:rsidR="00A55BD1" w:rsidRPr="00A55BD1" w:rsidRDefault="00A55BD1" w:rsidP="00A55BD1">
            <w:pPr>
              <w:cnfStyle w:val="000000010000" w:firstRow="0" w:lastRow="0" w:firstColumn="0" w:lastColumn="0" w:oddVBand="0" w:evenVBand="0" w:oddHBand="0" w:evenHBand="1" w:firstRowFirstColumn="0" w:firstRowLastColumn="0" w:lastRowFirstColumn="0" w:lastRowLastColumn="0"/>
            </w:pPr>
            <w:r w:rsidRPr="00A55BD1">
              <w:t>47 (1.5%)</w:t>
            </w:r>
          </w:p>
        </w:tc>
        <w:tc>
          <w:tcPr>
            <w:tcW w:w="1122" w:type="dxa"/>
            <w:vAlign w:val="bottom"/>
          </w:tcPr>
          <w:p w:rsidR="00A55BD1" w:rsidRPr="00A55BD1" w:rsidRDefault="00A55BD1" w:rsidP="00A55BD1">
            <w:pPr>
              <w:cnfStyle w:val="000000010000" w:firstRow="0" w:lastRow="0" w:firstColumn="0" w:lastColumn="0" w:oddVBand="0" w:evenVBand="0" w:oddHBand="0" w:evenHBand="1" w:firstRowFirstColumn="0" w:firstRowLastColumn="0" w:lastRowFirstColumn="0" w:lastRowLastColumn="0"/>
            </w:pPr>
            <w:r w:rsidRPr="00A55BD1">
              <w:t>43 (1.4%)</w:t>
            </w:r>
          </w:p>
        </w:tc>
      </w:tr>
    </w:tbl>
    <w:p w:rsidR="00A55BD1" w:rsidRPr="00A55BD1" w:rsidRDefault="00A55BD1" w:rsidP="00A55BD1">
      <w:pPr>
        <w:pStyle w:val="AERtablesource"/>
      </w:pPr>
      <w:r w:rsidRPr="00A55BD1">
        <w:t xml:space="preserve">Source: </w:t>
      </w:r>
      <w:r w:rsidRPr="00A55BD1">
        <w:tab/>
        <w:t>AER analysis; Energy Made Easy,</w:t>
      </w:r>
      <w:r>
        <w:t xml:space="preserve"> </w:t>
      </w:r>
      <w:hyperlink r:id="rId20" w:history="1">
        <w:r w:rsidRPr="003C36C8">
          <w:rPr>
            <w:rStyle w:val="Hyperlink"/>
            <w:sz w:val="16"/>
          </w:rPr>
          <w:t>www.energymadeeasy.gov.au</w:t>
        </w:r>
      </w:hyperlink>
      <w:r w:rsidRPr="00A55BD1">
        <w:t xml:space="preserve">; QCA, </w:t>
      </w:r>
      <w:r w:rsidRPr="00A55BD1">
        <w:rPr>
          <w:rStyle w:val="AERtextitalic"/>
        </w:rPr>
        <w:t>Final determination, Regulated retail electricity prices 2014–15</w:t>
      </w:r>
      <w:r w:rsidRPr="00A55BD1">
        <w:t>, May 2014, p. 4.</w:t>
      </w:r>
    </w:p>
    <w:p w:rsidR="00A55BD1" w:rsidRPr="00A55BD1" w:rsidRDefault="00A55BD1" w:rsidP="00A55BD1">
      <w:pPr>
        <w:pStyle w:val="AERtablesource"/>
      </w:pPr>
      <w:r w:rsidRPr="00A55BD1">
        <w:t>(a)</w:t>
      </w:r>
      <w:r w:rsidRPr="00A55BD1">
        <w:tab/>
        <w:t>Based on the annual bill for a typical consumption of 4100 kWh per year during the period 1 July 2014 to 30 June 2015.</w:t>
      </w:r>
    </w:p>
    <w:p w:rsidR="00A55BD1" w:rsidRPr="00A55BD1" w:rsidRDefault="00A55BD1" w:rsidP="00A55BD1">
      <w:pPr>
        <w:pStyle w:val="AERtablesource"/>
      </w:pPr>
      <w:r w:rsidRPr="00A55BD1">
        <w:t>(b)</w:t>
      </w:r>
      <w:r w:rsidRPr="00A55BD1">
        <w:tab/>
        <w:t>Based on the annual bill for a typical consumption of 10000 kWh per year during the period 1 July 2014 to 30 June 2015.</w:t>
      </w:r>
    </w:p>
    <w:p w:rsidR="00DE563D" w:rsidRPr="00961F06" w:rsidRDefault="00A55BD1" w:rsidP="005C5AD4">
      <w:pPr>
        <w:pStyle w:val="AERtablesource"/>
      </w:pPr>
      <w:r w:rsidRPr="00A55BD1">
        <w:t>(c)</w:t>
      </w:r>
      <w:r w:rsidRPr="00A55BD1">
        <w:tab/>
        <w:t>Annual change amounts and percentages are indicative. They are derived by varying 2014–15 bill amounts in proportion with total annual regulated revenue divided by forecast demand. Actual bill impacts will vary depending on electricity consumption, tariff class and other variables.</w:t>
      </w:r>
    </w:p>
    <w:sectPr w:rsidR="00DE563D" w:rsidRPr="00961F06" w:rsidSect="00C76C2C">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BB9" w:rsidRPr="00290C63" w:rsidRDefault="00A71BB9" w:rsidP="00290C63">
      <w:r>
        <w:separator/>
      </w:r>
    </w:p>
    <w:p w:rsidR="00A71BB9" w:rsidRDefault="00A71BB9"/>
  </w:endnote>
  <w:endnote w:type="continuationSeparator" w:id="0">
    <w:p w:rsidR="00A71BB9" w:rsidRPr="00290C63" w:rsidRDefault="00A71BB9" w:rsidP="00290C63">
      <w:r>
        <w:continuationSeparator/>
      </w:r>
    </w:p>
    <w:p w:rsidR="00A71BB9" w:rsidRDefault="00A71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B9" w:rsidRPr="00290C63" w:rsidRDefault="00A71BB9"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A71BB9" w:rsidRDefault="00A71BB9"/>
  <w:p w:rsidR="00A71BB9" w:rsidRDefault="00A71BB9"/>
  <w:p w:rsidR="00A71BB9" w:rsidRDefault="00A71BB9"/>
  <w:p w:rsidR="00A71BB9" w:rsidRDefault="00A71BB9"/>
  <w:p w:rsidR="00A71BB9" w:rsidRDefault="00A71BB9"/>
  <w:p w:rsidR="00A71BB9" w:rsidRDefault="00A71BB9"/>
  <w:p w:rsidR="00A71BB9" w:rsidRDefault="00A71B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A71BB9" w:rsidRDefault="00A71BB9">
        <w:pPr>
          <w:pStyle w:val="Footer"/>
        </w:pPr>
        <w:r>
          <w:fldChar w:fldCharType="begin"/>
        </w:r>
        <w:r>
          <w:instrText xml:space="preserve"> PAGE   \* MERGEFORMAT </w:instrText>
        </w:r>
        <w:r>
          <w:fldChar w:fldCharType="separate"/>
        </w:r>
        <w:r w:rsidR="00892D1C">
          <w:rPr>
            <w:noProof/>
          </w:rPr>
          <w:t>1-19</w:t>
        </w:r>
        <w:r>
          <w:rPr>
            <w:noProof/>
          </w:rPr>
          <w:fldChar w:fldCharType="end"/>
        </w:r>
        <w:r>
          <w:rPr>
            <w:noProof/>
          </w:rPr>
          <w:t xml:space="preserve">      </w:t>
        </w:r>
        <w:r>
          <w:t xml:space="preserve">           </w:t>
        </w:r>
        <w:r>
          <w:rPr>
            <w:noProof/>
          </w:rPr>
          <w:t xml:space="preserve"> </w:t>
        </w:r>
        <w:r>
          <w:t xml:space="preserve">                 </w:t>
        </w:r>
        <w:r>
          <w:rPr>
            <w:noProof/>
          </w:rPr>
          <w:t xml:space="preserve"> Attachment 1 </w:t>
        </w:r>
        <w:r>
          <w:rPr>
            <w:rFonts w:cs="Gautami"/>
            <w:noProof/>
          </w:rPr>
          <w:t xml:space="preserve">– </w:t>
        </w:r>
        <w:r>
          <w:t>Annual revenue requirement</w:t>
        </w:r>
        <w:r>
          <w:rPr>
            <w:rFonts w:cs="Gautami"/>
            <w:noProof/>
          </w:rPr>
          <w:t xml:space="preserve"> | </w:t>
        </w:r>
        <w:r>
          <w:t>Energex</w:t>
        </w:r>
        <w:r>
          <w:rPr>
            <w:rFonts w:cs="Gautami"/>
            <w:noProof/>
          </w:rPr>
          <w:t xml:space="preserve"> determination 2015–20</w:t>
        </w:r>
      </w:p>
    </w:sdtContent>
  </w:sdt>
  <w:p w:rsidR="00A71BB9" w:rsidRDefault="00A71B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BB9" w:rsidRPr="00290C63" w:rsidRDefault="00A71BB9"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A71BB9" w:rsidRDefault="00A71BB9">
    <w:pPr>
      <w:pStyle w:val="Footer"/>
    </w:pPr>
  </w:p>
  <w:p w:rsidR="00A71BB9" w:rsidRDefault="00A71BB9"/>
  <w:p w:rsidR="00A71BB9" w:rsidRDefault="00A71BB9"/>
  <w:p w:rsidR="00A71BB9" w:rsidRDefault="00A71BB9"/>
  <w:p w:rsidR="00A71BB9" w:rsidRDefault="00A71BB9"/>
  <w:p w:rsidR="00A71BB9" w:rsidRDefault="00A71BB9"/>
  <w:p w:rsidR="00A71BB9" w:rsidRDefault="00A71BB9"/>
  <w:p w:rsidR="00A71BB9" w:rsidRDefault="00A71B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BB9" w:rsidRPr="00290C63" w:rsidRDefault="00A71BB9" w:rsidP="00290C63">
      <w:r>
        <w:separator/>
      </w:r>
    </w:p>
    <w:p w:rsidR="00A71BB9" w:rsidRDefault="00A71BB9"/>
  </w:footnote>
  <w:footnote w:type="continuationSeparator" w:id="0">
    <w:p w:rsidR="00A71BB9" w:rsidRPr="00290C63" w:rsidRDefault="00A71BB9" w:rsidP="00290C63">
      <w:r>
        <w:continuationSeparator/>
      </w:r>
    </w:p>
    <w:p w:rsidR="00A71BB9" w:rsidRDefault="00A71BB9"/>
  </w:footnote>
  <w:footnote w:id="1">
    <w:p w:rsidR="00A71BB9" w:rsidRDefault="00A71BB9">
      <w:pPr>
        <w:pStyle w:val="FootnoteText"/>
      </w:pPr>
      <w:r>
        <w:rPr>
          <w:rStyle w:val="FootnoteReference"/>
        </w:rPr>
        <w:footnoteRef/>
      </w:r>
      <w:r>
        <w:t xml:space="preserve"> </w:t>
      </w:r>
      <w:r>
        <w:tab/>
        <w:t xml:space="preserve">The </w:t>
      </w:r>
      <w:proofErr w:type="spellStart"/>
      <w:r>
        <w:t>additionals</w:t>
      </w:r>
      <w:proofErr w:type="spellEnd"/>
      <w:r>
        <w:t xml:space="preserve"> are amounts relating to other factors that will be recovered as part of </w:t>
      </w:r>
      <w:proofErr w:type="spellStart"/>
      <w:r>
        <w:t>DUoS</w:t>
      </w:r>
      <w:proofErr w:type="spellEnd"/>
      <w:r>
        <w:t xml:space="preserve"> but not within the building block revenue, such as the Solar Bonus Scheme feed-in tariff (</w:t>
      </w:r>
      <w:proofErr w:type="spellStart"/>
      <w:r>
        <w:t>FiT</w:t>
      </w:r>
      <w:proofErr w:type="spellEnd"/>
      <w:r>
        <w:t>).</w:t>
      </w:r>
    </w:p>
  </w:footnote>
  <w:footnote w:id="2">
    <w:p w:rsidR="00A71BB9" w:rsidRDefault="00A71BB9">
      <w:pPr>
        <w:pStyle w:val="FootnoteText"/>
      </w:pPr>
      <w:r>
        <w:rPr>
          <w:rStyle w:val="FootnoteReference"/>
        </w:rPr>
        <w:footnoteRef/>
      </w:r>
      <w:r>
        <w:t xml:space="preserve"> </w:t>
      </w:r>
      <w:r>
        <w:tab/>
        <w:t xml:space="preserve">AER, </w:t>
      </w:r>
      <w:r w:rsidRPr="00186C55">
        <w:rPr>
          <w:rStyle w:val="AERtextitalic"/>
        </w:rPr>
        <w:t>Preliminary decision, Energex determination 2015–16 to 2019–20 – Attachment 1 – Annual revenue requirement</w:t>
      </w:r>
      <w:r>
        <w:t>, April 2015, p. 7.</w:t>
      </w:r>
    </w:p>
  </w:footnote>
  <w:footnote w:id="3">
    <w:p w:rsidR="00A71BB9" w:rsidRDefault="00A71BB9">
      <w:pPr>
        <w:pStyle w:val="FootnoteText"/>
      </w:pPr>
      <w:r>
        <w:rPr>
          <w:rStyle w:val="FootnoteReference"/>
        </w:rPr>
        <w:footnoteRef/>
      </w:r>
      <w:r>
        <w:t xml:space="preserve"> </w:t>
      </w:r>
      <w:r>
        <w:tab/>
        <w:t>Our smoothing involves a 'true-up' for the 2015–16 preliminary decision revenue as required under clause 11.60.4(e) of the NER.</w:t>
      </w:r>
    </w:p>
  </w:footnote>
  <w:footnote w:id="4">
    <w:p w:rsidR="00A71BB9" w:rsidRDefault="00A71BB9">
      <w:pPr>
        <w:pStyle w:val="FootnoteText"/>
      </w:pPr>
      <w:r>
        <w:rPr>
          <w:rStyle w:val="FootnoteReference"/>
        </w:rPr>
        <w:footnoteRef/>
      </w:r>
      <w:r>
        <w:t xml:space="preserve"> </w:t>
      </w:r>
      <w:r>
        <w:tab/>
        <w:t xml:space="preserve">AER, </w:t>
      </w:r>
      <w:r w:rsidRPr="00186C55">
        <w:rPr>
          <w:rStyle w:val="AERtextitalic"/>
        </w:rPr>
        <w:t>Preliminary decision, Energex determination 2015–16 to 2019–20 – Attachment 1 – Annual revenue requirement</w:t>
      </w:r>
      <w:r>
        <w:t>, April 2015, pp. 9–12.</w:t>
      </w:r>
    </w:p>
  </w:footnote>
  <w:footnote w:id="5">
    <w:p w:rsidR="00A71BB9" w:rsidRDefault="00A71BB9">
      <w:pPr>
        <w:pStyle w:val="FootnoteText"/>
      </w:pPr>
      <w:r>
        <w:rPr>
          <w:rStyle w:val="FootnoteReference"/>
        </w:rPr>
        <w:footnoteRef/>
      </w:r>
      <w:r>
        <w:t xml:space="preserve"> </w:t>
      </w:r>
      <w:r>
        <w:tab/>
        <w:t>NER, cl. 11.60.3.</w:t>
      </w:r>
    </w:p>
  </w:footnote>
  <w:footnote w:id="6">
    <w:p w:rsidR="00A71BB9" w:rsidRDefault="00A71BB9" w:rsidP="00974941">
      <w:pPr>
        <w:pStyle w:val="FootnoteText"/>
      </w:pPr>
      <w:r>
        <w:rPr>
          <w:rStyle w:val="FootnoteReference"/>
        </w:rPr>
        <w:footnoteRef/>
      </w:r>
      <w:r>
        <w:t xml:space="preserve"> </w:t>
      </w:r>
      <w:r>
        <w:tab/>
        <w:t xml:space="preserve">AER, </w:t>
      </w:r>
      <w:r w:rsidRPr="00186C55">
        <w:rPr>
          <w:rStyle w:val="AERtextitalic"/>
        </w:rPr>
        <w:t>Preliminary decision, Energex determination 2015–16 to 2019–20 – Attachment 1 – Annual revenue requirement</w:t>
      </w:r>
      <w:r>
        <w:t>, April 2015, p. 7.</w:t>
      </w:r>
    </w:p>
  </w:footnote>
  <w:footnote w:id="7">
    <w:p w:rsidR="00A71BB9" w:rsidRDefault="00A71BB9">
      <w:pPr>
        <w:pStyle w:val="FootnoteText"/>
      </w:pPr>
      <w:r>
        <w:rPr>
          <w:rStyle w:val="FootnoteReference"/>
        </w:rPr>
        <w:footnoteRef/>
      </w:r>
      <w:r>
        <w:t xml:space="preserve"> </w:t>
      </w:r>
      <w:r>
        <w:tab/>
        <w:t>NER, cll. 11.60.4(d)(1) and (e).</w:t>
      </w:r>
    </w:p>
  </w:footnote>
  <w:footnote w:id="8">
    <w:p w:rsidR="00A71BB9" w:rsidRDefault="00A71BB9" w:rsidP="00DF39AA">
      <w:pPr>
        <w:pStyle w:val="FootnoteText"/>
      </w:pPr>
      <w:r>
        <w:rPr>
          <w:rStyle w:val="FootnoteReference"/>
        </w:rPr>
        <w:footnoteRef/>
      </w:r>
      <w:r>
        <w:t xml:space="preserve"> </w:t>
      </w:r>
      <w:r>
        <w:tab/>
        <w:t xml:space="preserve">The X factors represent the </w:t>
      </w:r>
      <w:r w:rsidRPr="00771F80">
        <w:t>rate of change in the</w:t>
      </w:r>
      <w:r>
        <w:t xml:space="preserve"> real revenue path over the 2015–20 regulatory control period under the CPI–X framework. They must </w:t>
      </w:r>
      <w:r w:rsidRPr="00F50D2E">
        <w:t>equalise (in net present value</w:t>
      </w:r>
      <w:r w:rsidRPr="007F412B">
        <w:t xml:space="preserve"> </w:t>
      </w:r>
      <w:r>
        <w:t>terms</w:t>
      </w:r>
      <w:r w:rsidRPr="00F50D2E">
        <w:t xml:space="preserve">) the </w:t>
      </w:r>
      <w:r>
        <w:t xml:space="preserve">total expected </w:t>
      </w:r>
      <w:r w:rsidRPr="00F50D2E">
        <w:t>revenue</w:t>
      </w:r>
      <w:r>
        <w:t>s</w:t>
      </w:r>
      <w:r w:rsidRPr="00F50D2E">
        <w:t xml:space="preserve"> to be earned by the </w:t>
      </w:r>
      <w:r>
        <w:t>s</w:t>
      </w:r>
      <w:r w:rsidRPr="00F50D2E">
        <w:t xml:space="preserve">ervice </w:t>
      </w:r>
      <w:r>
        <w:t>p</w:t>
      </w:r>
      <w:r w:rsidRPr="00F50D2E">
        <w:t xml:space="preserve">rovider with the total </w:t>
      </w:r>
      <w:r>
        <w:t>revenue requirement</w:t>
      </w:r>
      <w:r w:rsidRPr="00F50D2E">
        <w:t xml:space="preserve"> </w:t>
      </w:r>
      <w:r>
        <w:t xml:space="preserve">for that </w:t>
      </w:r>
      <w:r w:rsidRPr="00F50D2E">
        <w:t>period</w:t>
      </w:r>
      <w:r>
        <w:t>.</w:t>
      </w:r>
    </w:p>
  </w:footnote>
  <w:footnote w:id="9">
    <w:p w:rsidR="00A71BB9" w:rsidRDefault="00A71BB9">
      <w:pPr>
        <w:pStyle w:val="FootnoteText"/>
      </w:pPr>
      <w:r>
        <w:rPr>
          <w:rStyle w:val="FootnoteReference"/>
        </w:rPr>
        <w:footnoteRef/>
      </w:r>
      <w:r>
        <w:t xml:space="preserve"> </w:t>
      </w:r>
      <w:r>
        <w:tab/>
        <w:t xml:space="preserve">AER, </w:t>
      </w:r>
      <w:r w:rsidRPr="00186C55">
        <w:rPr>
          <w:rStyle w:val="AERtextitalic"/>
        </w:rPr>
        <w:t>Preliminary decision, Energex determination 2015–16 to 2019–20 – Attachment 1 – Annual revenue requirement</w:t>
      </w:r>
      <w:r>
        <w:t>, April 2015, Table 1.3.</w:t>
      </w:r>
    </w:p>
  </w:footnote>
  <w:footnote w:id="10">
    <w:p w:rsidR="00A71BB9" w:rsidRDefault="00A71BB9" w:rsidP="002C3DAC">
      <w:pPr>
        <w:pStyle w:val="FootnoteText"/>
      </w:pPr>
      <w:r>
        <w:rPr>
          <w:rStyle w:val="FootnoteReference"/>
        </w:rPr>
        <w:footnoteRef/>
      </w:r>
      <w:r>
        <w:t xml:space="preserve"> </w:t>
      </w:r>
      <w:r>
        <w:tab/>
      </w:r>
      <w:r w:rsidRPr="00C729DC">
        <w:t>In the present circumstances, based on the X factors we have determined</w:t>
      </w:r>
      <w:r>
        <w:t xml:space="preserve"> for Energex</w:t>
      </w:r>
      <w:r w:rsidRPr="00C729DC">
        <w:t xml:space="preserve">, this divergence is </w:t>
      </w:r>
      <w:r>
        <w:t>around 1.6 </w:t>
      </w:r>
      <w:r w:rsidRPr="00C729DC">
        <w:t>per cent.</w:t>
      </w:r>
    </w:p>
  </w:footnote>
  <w:footnote w:id="11">
    <w:p w:rsidR="00A71BB9" w:rsidRDefault="00A71BB9">
      <w:pPr>
        <w:pStyle w:val="FootnoteText"/>
      </w:pPr>
      <w:r>
        <w:rPr>
          <w:rStyle w:val="FootnoteReference"/>
        </w:rPr>
        <w:footnoteRef/>
      </w:r>
      <w:r>
        <w:t xml:space="preserve"> </w:t>
      </w:r>
      <w:r>
        <w:tab/>
        <w:t xml:space="preserve">Alliance of Energy Consumers, </w:t>
      </w:r>
      <w:r w:rsidRPr="00245383">
        <w:rPr>
          <w:rStyle w:val="AERtextitalic"/>
        </w:rPr>
        <w:t>Submission to the AER's preliminary decision (Queensland)</w:t>
      </w:r>
      <w:r>
        <w:t>, 3 July 2015, p. 32.</w:t>
      </w:r>
    </w:p>
  </w:footnote>
  <w:footnote w:id="12">
    <w:p w:rsidR="00A71BB9" w:rsidRDefault="00A71BB9" w:rsidP="004374B2">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6.4.3(</w:t>
      </w:r>
      <w:proofErr w:type="gramStart"/>
      <w:r>
        <w:t>a</w:t>
      </w:r>
      <w:proofErr w:type="gramEnd"/>
      <w:r>
        <w:t>)(5), (6), (6A).</w:t>
      </w:r>
    </w:p>
  </w:footnote>
  <w:footnote w:id="13">
    <w:p w:rsidR="00A71BB9" w:rsidRDefault="00A71BB9">
      <w:pPr>
        <w:pStyle w:val="FootnoteText"/>
      </w:pPr>
      <w:r>
        <w:rPr>
          <w:rStyle w:val="FootnoteReference"/>
        </w:rPr>
        <w:footnoteRef/>
      </w:r>
      <w:r>
        <w:t xml:space="preserve"> </w:t>
      </w:r>
      <w:r>
        <w:tab/>
        <w:t>Balances of the unders and overs account of less than 2 per cent were to be recovered in one year, while balances between 2 to 5 per cent were to be recovered over two years.</w:t>
      </w:r>
    </w:p>
  </w:footnote>
  <w:footnote w:id="14">
    <w:p w:rsidR="00A71BB9" w:rsidRDefault="00A71BB9">
      <w:pPr>
        <w:pStyle w:val="FootnoteText"/>
      </w:pPr>
      <w:r>
        <w:rPr>
          <w:rStyle w:val="FootnoteReference"/>
        </w:rPr>
        <w:footnoteRef/>
      </w:r>
      <w:r>
        <w:t xml:space="preserve"> </w:t>
      </w:r>
      <w:r>
        <w:tab/>
        <w:t xml:space="preserve">AER, </w:t>
      </w:r>
      <w:r w:rsidRPr="00186C55">
        <w:rPr>
          <w:rStyle w:val="AERtextitalic"/>
        </w:rPr>
        <w:t>Preliminary decision, Energex determination 2015–16 to 2019–20 – Attachment 1 – Annual revenue requirement</w:t>
      </w:r>
      <w:r>
        <w:t>, April 2015, pp. 16–17.</w:t>
      </w:r>
    </w:p>
  </w:footnote>
  <w:footnote w:id="15">
    <w:p w:rsidR="00A71BB9" w:rsidRDefault="00A71BB9" w:rsidP="004374B2">
      <w:pPr>
        <w:pStyle w:val="FootnoteText"/>
      </w:pPr>
      <w:r>
        <w:rPr>
          <w:rStyle w:val="FootnoteReference"/>
        </w:rPr>
        <w:footnoteRef/>
      </w:r>
      <w:r>
        <w:t xml:space="preserve"> </w:t>
      </w:r>
      <w:r>
        <w:tab/>
      </w:r>
      <w:r w:rsidRPr="00D35652">
        <w:t xml:space="preserve">QCA, </w:t>
      </w:r>
      <w:r w:rsidRPr="00D35652">
        <w:rPr>
          <w:rStyle w:val="AERtextitalic"/>
        </w:rPr>
        <w:t>Final determination: Regulated retail electricity prices 2014–15</w:t>
      </w:r>
      <w:r w:rsidRPr="00D35652">
        <w:t xml:space="preserve"> , May 201</w:t>
      </w:r>
      <w:r>
        <w:t>4</w:t>
      </w:r>
      <w:r w:rsidRPr="00D35652">
        <w:t>, p. 116; AEMC,</w:t>
      </w:r>
      <w:r w:rsidRPr="00D35652">
        <w:rPr>
          <w:rStyle w:val="AERtextitalic"/>
        </w:rPr>
        <w:t>2014 Residential electricity price trends report</w:t>
      </w:r>
      <w:r w:rsidRPr="00D35652">
        <w:t>, 5 December 2014, p. 33.</w:t>
      </w:r>
    </w:p>
  </w:footnote>
  <w:footnote w:id="16">
    <w:p w:rsidR="00A71BB9" w:rsidRDefault="00A71BB9" w:rsidP="004374B2">
      <w:pPr>
        <w:pStyle w:val="FootnoteText"/>
      </w:pPr>
      <w:r>
        <w:rPr>
          <w:rStyle w:val="FootnoteReference"/>
        </w:rPr>
        <w:footnoteRef/>
      </w:r>
      <w:r>
        <w:t xml:space="preserve"> </w:t>
      </w:r>
      <w:r>
        <w:tab/>
        <w:t>QCA</w:t>
      </w:r>
      <w:r w:rsidRPr="003B2318">
        <w:t xml:space="preserve">, </w:t>
      </w:r>
      <w:r w:rsidRPr="003B2318">
        <w:rPr>
          <w:rStyle w:val="AERtextitalic"/>
        </w:rPr>
        <w:t xml:space="preserve">Final </w:t>
      </w:r>
      <w:r>
        <w:rPr>
          <w:rStyle w:val="AERtextitalic"/>
        </w:rPr>
        <w:t>determination</w:t>
      </w:r>
      <w:r w:rsidRPr="003B2318">
        <w:rPr>
          <w:rStyle w:val="AERtextitalic"/>
        </w:rPr>
        <w:t>: Re</w:t>
      </w:r>
      <w:r>
        <w:rPr>
          <w:rStyle w:val="AERtextitalic"/>
        </w:rPr>
        <w:t>gulated retail electricity prices 2014–15</w:t>
      </w:r>
      <w:r w:rsidRPr="003B2318">
        <w:t xml:space="preserve">, </w:t>
      </w:r>
      <w:r>
        <w:t>May</w:t>
      </w:r>
      <w:r w:rsidRPr="003B2318">
        <w:t xml:space="preserve"> 201</w:t>
      </w:r>
      <w:r>
        <w:t>4</w:t>
      </w:r>
      <w:r w:rsidRPr="003B2318">
        <w:t xml:space="preserve">, p. </w:t>
      </w:r>
      <w:r>
        <w:t xml:space="preserve">116; AEMC, </w:t>
      </w:r>
      <w:r w:rsidRPr="00146AAF">
        <w:rPr>
          <w:rStyle w:val="AERtextitalic"/>
        </w:rPr>
        <w:t>2014 Residential electricity price trends report</w:t>
      </w:r>
      <w:r>
        <w:t>, 5 December 2014, p. 33</w:t>
      </w:r>
      <w:r w:rsidRPr="003B231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C8076DD"/>
    <w:multiLevelType w:val="multilevel"/>
    <w:tmpl w:val="950A1C52"/>
    <w:numStyleLink w:val="AERHeadings"/>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6DE36827"/>
    <w:multiLevelType w:val="multilevel"/>
    <w:tmpl w:val="950A1C52"/>
    <w:numStyleLink w:val="AERHeadings"/>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1"/>
  </w:num>
  <w:num w:numId="14">
    <w:abstractNumId w:val="10"/>
  </w:num>
  <w:num w:numId="15">
    <w:abstractNumId w:val="12"/>
  </w:num>
  <w:num w:numId="16">
    <w:abstractNumId w:val="24"/>
  </w:num>
  <w:num w:numId="17">
    <w:abstractNumId w:val="9"/>
  </w:num>
  <w:num w:numId="18">
    <w:abstractNumId w:val="16"/>
  </w:num>
  <w:num w:numId="19">
    <w:abstractNumId w:val="25"/>
  </w:num>
  <w:num w:numId="20">
    <w:abstractNumId w:val="32"/>
  </w:num>
  <w:num w:numId="21">
    <w:abstractNumId w:val="13"/>
  </w:num>
  <w:num w:numId="22">
    <w:abstractNumId w:val="28"/>
  </w:num>
  <w:num w:numId="23">
    <w:abstractNumId w:val="26"/>
  </w:num>
  <w:num w:numId="24">
    <w:abstractNumId w:val="19"/>
  </w:num>
  <w:num w:numId="25">
    <w:abstractNumId w:val="27"/>
  </w:num>
  <w:num w:numId="26">
    <w:abstractNumId w:val="29"/>
  </w:num>
  <w:num w:numId="27">
    <w:abstractNumId w:val="20"/>
  </w:num>
  <w:num w:numId="28">
    <w:abstractNumId w:val="17"/>
  </w:num>
  <w:num w:numId="29">
    <w:abstractNumId w:val="15"/>
  </w:num>
  <w:num w:numId="30">
    <w:abstractNumId w:val="33"/>
  </w:num>
  <w:num w:numId="31">
    <w:abstractNumId w:val="14"/>
  </w:num>
  <w:num w:numId="32">
    <w:abstractNumId w:val="22"/>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1"/>
  </w:num>
  <w:num w:numId="37">
    <w:abstractNumId w:val="18"/>
  </w:num>
  <w:num w:numId="3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79Lid09GiNSTLMdCnrugu8OsRCZndS/+7yWVx86uyKE=" w:saltValue="Dkgbtwii3jFpb4NXFKJxig==" w:algorithmName="SHA-256"/>
  <w:defaultTabStop w:val="34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144\AER15 199  DOC FINAL - NO CHANGES - NEW - Energex - prelim decision - Attach 1 - Annual revenue requirement.DOCX"/>
  </w:docVars>
  <w:rsids>
    <w:rsidRoot w:val="00961A4A"/>
    <w:rsid w:val="00017D6B"/>
    <w:rsid w:val="00021202"/>
    <w:rsid w:val="0002517F"/>
    <w:rsid w:val="0003578C"/>
    <w:rsid w:val="00035B35"/>
    <w:rsid w:val="00063247"/>
    <w:rsid w:val="00070F9F"/>
    <w:rsid w:val="0007137B"/>
    <w:rsid w:val="00085663"/>
    <w:rsid w:val="00085EBF"/>
    <w:rsid w:val="000A3020"/>
    <w:rsid w:val="000A53DB"/>
    <w:rsid w:val="000A6C7B"/>
    <w:rsid w:val="000B235B"/>
    <w:rsid w:val="000B6B81"/>
    <w:rsid w:val="000D099D"/>
    <w:rsid w:val="000D122C"/>
    <w:rsid w:val="000D590E"/>
    <w:rsid w:val="000E1819"/>
    <w:rsid w:val="000E4821"/>
    <w:rsid w:val="000E6C72"/>
    <w:rsid w:val="000F1CCC"/>
    <w:rsid w:val="0010771B"/>
    <w:rsid w:val="00116EB2"/>
    <w:rsid w:val="001201F1"/>
    <w:rsid w:val="00124609"/>
    <w:rsid w:val="001265C8"/>
    <w:rsid w:val="00126A4C"/>
    <w:rsid w:val="0013204D"/>
    <w:rsid w:val="00140CAC"/>
    <w:rsid w:val="0014573B"/>
    <w:rsid w:val="00146AAF"/>
    <w:rsid w:val="001573E4"/>
    <w:rsid w:val="00160756"/>
    <w:rsid w:val="00161828"/>
    <w:rsid w:val="00171D68"/>
    <w:rsid w:val="0017232E"/>
    <w:rsid w:val="00174102"/>
    <w:rsid w:val="00180157"/>
    <w:rsid w:val="00185CB9"/>
    <w:rsid w:val="00186C55"/>
    <w:rsid w:val="00186F77"/>
    <w:rsid w:val="00192018"/>
    <w:rsid w:val="001926A4"/>
    <w:rsid w:val="00192AD5"/>
    <w:rsid w:val="001B45A0"/>
    <w:rsid w:val="001C2C88"/>
    <w:rsid w:val="001D055E"/>
    <w:rsid w:val="001F13BD"/>
    <w:rsid w:val="001F492E"/>
    <w:rsid w:val="001F6DA3"/>
    <w:rsid w:val="002010BC"/>
    <w:rsid w:val="00202E03"/>
    <w:rsid w:val="002043BB"/>
    <w:rsid w:val="0020492C"/>
    <w:rsid w:val="00204CCB"/>
    <w:rsid w:val="00207672"/>
    <w:rsid w:val="002115DC"/>
    <w:rsid w:val="00212631"/>
    <w:rsid w:val="00216CC4"/>
    <w:rsid w:val="00224DB9"/>
    <w:rsid w:val="00232DE0"/>
    <w:rsid w:val="00233775"/>
    <w:rsid w:val="00245383"/>
    <w:rsid w:val="00251745"/>
    <w:rsid w:val="00263AC0"/>
    <w:rsid w:val="00264264"/>
    <w:rsid w:val="0026647C"/>
    <w:rsid w:val="0026772D"/>
    <w:rsid w:val="00286874"/>
    <w:rsid w:val="00290C63"/>
    <w:rsid w:val="00296B65"/>
    <w:rsid w:val="002A7DEF"/>
    <w:rsid w:val="002C3DAC"/>
    <w:rsid w:val="002C535B"/>
    <w:rsid w:val="002C54CB"/>
    <w:rsid w:val="002C7169"/>
    <w:rsid w:val="002D3007"/>
    <w:rsid w:val="002E7B22"/>
    <w:rsid w:val="002F7986"/>
    <w:rsid w:val="002F7AA7"/>
    <w:rsid w:val="00301B40"/>
    <w:rsid w:val="003029EE"/>
    <w:rsid w:val="00305CC8"/>
    <w:rsid w:val="00307F6D"/>
    <w:rsid w:val="003177A2"/>
    <w:rsid w:val="003201F8"/>
    <w:rsid w:val="003271B5"/>
    <w:rsid w:val="00327A1E"/>
    <w:rsid w:val="00331264"/>
    <w:rsid w:val="00334C8D"/>
    <w:rsid w:val="00343A18"/>
    <w:rsid w:val="003518B3"/>
    <w:rsid w:val="003523FF"/>
    <w:rsid w:val="003539A9"/>
    <w:rsid w:val="00355EBC"/>
    <w:rsid w:val="00357474"/>
    <w:rsid w:val="00363812"/>
    <w:rsid w:val="00370A5A"/>
    <w:rsid w:val="003846F1"/>
    <w:rsid w:val="00397160"/>
    <w:rsid w:val="003A208D"/>
    <w:rsid w:val="003A30EF"/>
    <w:rsid w:val="003A5CE0"/>
    <w:rsid w:val="003B484F"/>
    <w:rsid w:val="003D05AA"/>
    <w:rsid w:val="003D51B8"/>
    <w:rsid w:val="003D5E85"/>
    <w:rsid w:val="003F174D"/>
    <w:rsid w:val="003F1C04"/>
    <w:rsid w:val="00435A8D"/>
    <w:rsid w:val="004374B2"/>
    <w:rsid w:val="00441249"/>
    <w:rsid w:val="0045777E"/>
    <w:rsid w:val="00480B4B"/>
    <w:rsid w:val="00482CF1"/>
    <w:rsid w:val="00485DC4"/>
    <w:rsid w:val="004A0C1D"/>
    <w:rsid w:val="004A433F"/>
    <w:rsid w:val="004A43D1"/>
    <w:rsid w:val="004B4412"/>
    <w:rsid w:val="004C1B4A"/>
    <w:rsid w:val="004C272B"/>
    <w:rsid w:val="004C348C"/>
    <w:rsid w:val="004D0898"/>
    <w:rsid w:val="004D55BA"/>
    <w:rsid w:val="004E22EC"/>
    <w:rsid w:val="004E45FC"/>
    <w:rsid w:val="004E4D2F"/>
    <w:rsid w:val="004E5FB9"/>
    <w:rsid w:val="004E7AFF"/>
    <w:rsid w:val="004F5D73"/>
    <w:rsid w:val="00530128"/>
    <w:rsid w:val="00532467"/>
    <w:rsid w:val="00534A9B"/>
    <w:rsid w:val="005441D3"/>
    <w:rsid w:val="00550A97"/>
    <w:rsid w:val="005629F0"/>
    <w:rsid w:val="00564A4D"/>
    <w:rsid w:val="00567BA5"/>
    <w:rsid w:val="00571B35"/>
    <w:rsid w:val="00571D57"/>
    <w:rsid w:val="00573F7E"/>
    <w:rsid w:val="00577A09"/>
    <w:rsid w:val="005805B7"/>
    <w:rsid w:val="005829C2"/>
    <w:rsid w:val="00584D8F"/>
    <w:rsid w:val="005908F0"/>
    <w:rsid w:val="005A378A"/>
    <w:rsid w:val="005A404D"/>
    <w:rsid w:val="005A51AF"/>
    <w:rsid w:val="005B03BC"/>
    <w:rsid w:val="005B1E3C"/>
    <w:rsid w:val="005B7E40"/>
    <w:rsid w:val="005C26CC"/>
    <w:rsid w:val="005C4FFD"/>
    <w:rsid w:val="005C5AD4"/>
    <w:rsid w:val="005D3B0A"/>
    <w:rsid w:val="005D7BA2"/>
    <w:rsid w:val="005E36C2"/>
    <w:rsid w:val="005E442C"/>
    <w:rsid w:val="005F230F"/>
    <w:rsid w:val="005F583E"/>
    <w:rsid w:val="00610176"/>
    <w:rsid w:val="00615C6B"/>
    <w:rsid w:val="006160EA"/>
    <w:rsid w:val="0062163D"/>
    <w:rsid w:val="00621DCE"/>
    <w:rsid w:val="00632D6D"/>
    <w:rsid w:val="0063316E"/>
    <w:rsid w:val="006365E3"/>
    <w:rsid w:val="006373F7"/>
    <w:rsid w:val="00642C3E"/>
    <w:rsid w:val="00652713"/>
    <w:rsid w:val="0066104A"/>
    <w:rsid w:val="00662754"/>
    <w:rsid w:val="00663DAD"/>
    <w:rsid w:val="00675E20"/>
    <w:rsid w:val="00676679"/>
    <w:rsid w:val="00682033"/>
    <w:rsid w:val="00683C89"/>
    <w:rsid w:val="00694DB1"/>
    <w:rsid w:val="006B2395"/>
    <w:rsid w:val="006B4CF9"/>
    <w:rsid w:val="006B7AC8"/>
    <w:rsid w:val="006B7D64"/>
    <w:rsid w:val="006D550F"/>
    <w:rsid w:val="006E38D8"/>
    <w:rsid w:val="006E3B78"/>
    <w:rsid w:val="006E5035"/>
    <w:rsid w:val="006F28A8"/>
    <w:rsid w:val="00701CAB"/>
    <w:rsid w:val="007041A9"/>
    <w:rsid w:val="00704DDD"/>
    <w:rsid w:val="00707563"/>
    <w:rsid w:val="00721066"/>
    <w:rsid w:val="0072348C"/>
    <w:rsid w:val="00724A37"/>
    <w:rsid w:val="00725809"/>
    <w:rsid w:val="007303C3"/>
    <w:rsid w:val="00737299"/>
    <w:rsid w:val="007429BE"/>
    <w:rsid w:val="00743223"/>
    <w:rsid w:val="00746E01"/>
    <w:rsid w:val="00757BDF"/>
    <w:rsid w:val="00760869"/>
    <w:rsid w:val="00763E5D"/>
    <w:rsid w:val="00765BCD"/>
    <w:rsid w:val="00767740"/>
    <w:rsid w:val="00774313"/>
    <w:rsid w:val="00776910"/>
    <w:rsid w:val="00777EE6"/>
    <w:rsid w:val="0078004F"/>
    <w:rsid w:val="00782EEA"/>
    <w:rsid w:val="007B2C72"/>
    <w:rsid w:val="007C1C53"/>
    <w:rsid w:val="007C74BB"/>
    <w:rsid w:val="007D32D5"/>
    <w:rsid w:val="007E4904"/>
    <w:rsid w:val="007E4CB5"/>
    <w:rsid w:val="007F066B"/>
    <w:rsid w:val="008033C4"/>
    <w:rsid w:val="00806C88"/>
    <w:rsid w:val="0081034E"/>
    <w:rsid w:val="00816219"/>
    <w:rsid w:val="008179C0"/>
    <w:rsid w:val="00831B48"/>
    <w:rsid w:val="008344F6"/>
    <w:rsid w:val="0083510F"/>
    <w:rsid w:val="00847FCD"/>
    <w:rsid w:val="00851209"/>
    <w:rsid w:val="0086312B"/>
    <w:rsid w:val="0086590E"/>
    <w:rsid w:val="00867369"/>
    <w:rsid w:val="008708D5"/>
    <w:rsid w:val="008751EA"/>
    <w:rsid w:val="008837AC"/>
    <w:rsid w:val="00892D1C"/>
    <w:rsid w:val="008A587D"/>
    <w:rsid w:val="008B35CD"/>
    <w:rsid w:val="008B5FCC"/>
    <w:rsid w:val="008C5486"/>
    <w:rsid w:val="008D0121"/>
    <w:rsid w:val="008D1661"/>
    <w:rsid w:val="008E7031"/>
    <w:rsid w:val="008E77DE"/>
    <w:rsid w:val="008F07A3"/>
    <w:rsid w:val="00900E1B"/>
    <w:rsid w:val="00906406"/>
    <w:rsid w:val="00912357"/>
    <w:rsid w:val="00915732"/>
    <w:rsid w:val="009215E1"/>
    <w:rsid w:val="009233EE"/>
    <w:rsid w:val="0093715B"/>
    <w:rsid w:val="009434EC"/>
    <w:rsid w:val="009460AA"/>
    <w:rsid w:val="00951978"/>
    <w:rsid w:val="00961A4A"/>
    <w:rsid w:val="00961F06"/>
    <w:rsid w:val="009661DE"/>
    <w:rsid w:val="00971CD8"/>
    <w:rsid w:val="00971E3C"/>
    <w:rsid w:val="00974941"/>
    <w:rsid w:val="00983C25"/>
    <w:rsid w:val="009856B7"/>
    <w:rsid w:val="00985C86"/>
    <w:rsid w:val="009927D1"/>
    <w:rsid w:val="009947AC"/>
    <w:rsid w:val="009957CA"/>
    <w:rsid w:val="0099652C"/>
    <w:rsid w:val="009A5FC3"/>
    <w:rsid w:val="009B3810"/>
    <w:rsid w:val="009B74B0"/>
    <w:rsid w:val="009C352B"/>
    <w:rsid w:val="009C62D2"/>
    <w:rsid w:val="009C6E94"/>
    <w:rsid w:val="009D6B46"/>
    <w:rsid w:val="009E0473"/>
    <w:rsid w:val="009F2F6C"/>
    <w:rsid w:val="009F4940"/>
    <w:rsid w:val="009F5BA1"/>
    <w:rsid w:val="00A02A88"/>
    <w:rsid w:val="00A0562E"/>
    <w:rsid w:val="00A0726D"/>
    <w:rsid w:val="00A27AA8"/>
    <w:rsid w:val="00A32FBB"/>
    <w:rsid w:val="00A351D6"/>
    <w:rsid w:val="00A4271C"/>
    <w:rsid w:val="00A428EE"/>
    <w:rsid w:val="00A4478A"/>
    <w:rsid w:val="00A44852"/>
    <w:rsid w:val="00A45E7E"/>
    <w:rsid w:val="00A554FA"/>
    <w:rsid w:val="00A55BD1"/>
    <w:rsid w:val="00A57D04"/>
    <w:rsid w:val="00A60A26"/>
    <w:rsid w:val="00A61598"/>
    <w:rsid w:val="00A71553"/>
    <w:rsid w:val="00A71BB9"/>
    <w:rsid w:val="00A725B4"/>
    <w:rsid w:val="00A73273"/>
    <w:rsid w:val="00A84A99"/>
    <w:rsid w:val="00A84F46"/>
    <w:rsid w:val="00A871F4"/>
    <w:rsid w:val="00A96B76"/>
    <w:rsid w:val="00AB4526"/>
    <w:rsid w:val="00AC1B2C"/>
    <w:rsid w:val="00AC3264"/>
    <w:rsid w:val="00AC50A4"/>
    <w:rsid w:val="00AD2A68"/>
    <w:rsid w:val="00AE1B25"/>
    <w:rsid w:val="00AE1BF1"/>
    <w:rsid w:val="00AE6CD9"/>
    <w:rsid w:val="00AF0DD2"/>
    <w:rsid w:val="00AF32E0"/>
    <w:rsid w:val="00AF402D"/>
    <w:rsid w:val="00B13048"/>
    <w:rsid w:val="00B1716D"/>
    <w:rsid w:val="00B17A1D"/>
    <w:rsid w:val="00B207A0"/>
    <w:rsid w:val="00B20B9A"/>
    <w:rsid w:val="00B213A1"/>
    <w:rsid w:val="00B24676"/>
    <w:rsid w:val="00B514DD"/>
    <w:rsid w:val="00B52AF0"/>
    <w:rsid w:val="00B561BD"/>
    <w:rsid w:val="00B56E03"/>
    <w:rsid w:val="00B7373F"/>
    <w:rsid w:val="00B8080B"/>
    <w:rsid w:val="00B85292"/>
    <w:rsid w:val="00B87BA5"/>
    <w:rsid w:val="00B87C39"/>
    <w:rsid w:val="00B95998"/>
    <w:rsid w:val="00B97C5F"/>
    <w:rsid w:val="00BA2300"/>
    <w:rsid w:val="00BA4665"/>
    <w:rsid w:val="00BA5ABC"/>
    <w:rsid w:val="00BB1D89"/>
    <w:rsid w:val="00BB2FB2"/>
    <w:rsid w:val="00BB3304"/>
    <w:rsid w:val="00BC1179"/>
    <w:rsid w:val="00BC4D54"/>
    <w:rsid w:val="00BD22DD"/>
    <w:rsid w:val="00BD3446"/>
    <w:rsid w:val="00BE1F1B"/>
    <w:rsid w:val="00BE38DB"/>
    <w:rsid w:val="00BE47B5"/>
    <w:rsid w:val="00BE55A2"/>
    <w:rsid w:val="00C1098D"/>
    <w:rsid w:val="00C24C8D"/>
    <w:rsid w:val="00C25FA6"/>
    <w:rsid w:val="00C457A1"/>
    <w:rsid w:val="00C538A9"/>
    <w:rsid w:val="00C53B5A"/>
    <w:rsid w:val="00C54F5A"/>
    <w:rsid w:val="00C569B4"/>
    <w:rsid w:val="00C6336B"/>
    <w:rsid w:val="00C67A92"/>
    <w:rsid w:val="00C73E40"/>
    <w:rsid w:val="00C74FFA"/>
    <w:rsid w:val="00C76C2C"/>
    <w:rsid w:val="00C86679"/>
    <w:rsid w:val="00C969CC"/>
    <w:rsid w:val="00CA0753"/>
    <w:rsid w:val="00CA489E"/>
    <w:rsid w:val="00CB0279"/>
    <w:rsid w:val="00CB428A"/>
    <w:rsid w:val="00CB666B"/>
    <w:rsid w:val="00CC7137"/>
    <w:rsid w:val="00CC7F1D"/>
    <w:rsid w:val="00CD031C"/>
    <w:rsid w:val="00CD42EF"/>
    <w:rsid w:val="00CD68CA"/>
    <w:rsid w:val="00CE06B4"/>
    <w:rsid w:val="00CE6897"/>
    <w:rsid w:val="00D006AE"/>
    <w:rsid w:val="00D01CF0"/>
    <w:rsid w:val="00D0442A"/>
    <w:rsid w:val="00D27AC2"/>
    <w:rsid w:val="00D35652"/>
    <w:rsid w:val="00D5009C"/>
    <w:rsid w:val="00D5271F"/>
    <w:rsid w:val="00D53D9B"/>
    <w:rsid w:val="00D54787"/>
    <w:rsid w:val="00D61388"/>
    <w:rsid w:val="00D61A54"/>
    <w:rsid w:val="00D64DEA"/>
    <w:rsid w:val="00D7168E"/>
    <w:rsid w:val="00D71E57"/>
    <w:rsid w:val="00D7408B"/>
    <w:rsid w:val="00D75F62"/>
    <w:rsid w:val="00D767D7"/>
    <w:rsid w:val="00D77DFE"/>
    <w:rsid w:val="00D80893"/>
    <w:rsid w:val="00D84854"/>
    <w:rsid w:val="00D92CF1"/>
    <w:rsid w:val="00D92D38"/>
    <w:rsid w:val="00D950F5"/>
    <w:rsid w:val="00DA4752"/>
    <w:rsid w:val="00DA61F3"/>
    <w:rsid w:val="00DB0F93"/>
    <w:rsid w:val="00DB121A"/>
    <w:rsid w:val="00DB1A67"/>
    <w:rsid w:val="00DB21F6"/>
    <w:rsid w:val="00DB5074"/>
    <w:rsid w:val="00DC0360"/>
    <w:rsid w:val="00DC5D79"/>
    <w:rsid w:val="00DC7981"/>
    <w:rsid w:val="00DE1093"/>
    <w:rsid w:val="00DE1EBA"/>
    <w:rsid w:val="00DE27DD"/>
    <w:rsid w:val="00DE4EFA"/>
    <w:rsid w:val="00DE5520"/>
    <w:rsid w:val="00DE563D"/>
    <w:rsid w:val="00DF39AA"/>
    <w:rsid w:val="00E04818"/>
    <w:rsid w:val="00E06442"/>
    <w:rsid w:val="00E1226E"/>
    <w:rsid w:val="00E1554F"/>
    <w:rsid w:val="00E178E5"/>
    <w:rsid w:val="00E21310"/>
    <w:rsid w:val="00E23993"/>
    <w:rsid w:val="00E25B8C"/>
    <w:rsid w:val="00E3306E"/>
    <w:rsid w:val="00E36472"/>
    <w:rsid w:val="00E4246F"/>
    <w:rsid w:val="00E57034"/>
    <w:rsid w:val="00E65C85"/>
    <w:rsid w:val="00E66199"/>
    <w:rsid w:val="00E755EC"/>
    <w:rsid w:val="00E7624D"/>
    <w:rsid w:val="00E85BD6"/>
    <w:rsid w:val="00E90F33"/>
    <w:rsid w:val="00EA3D42"/>
    <w:rsid w:val="00EA6B1B"/>
    <w:rsid w:val="00EC77A3"/>
    <w:rsid w:val="00ED3747"/>
    <w:rsid w:val="00ED7323"/>
    <w:rsid w:val="00ED7CAB"/>
    <w:rsid w:val="00EE1AF4"/>
    <w:rsid w:val="00EE28F3"/>
    <w:rsid w:val="00EF32DF"/>
    <w:rsid w:val="00EF5110"/>
    <w:rsid w:val="00F10411"/>
    <w:rsid w:val="00F138F2"/>
    <w:rsid w:val="00F15882"/>
    <w:rsid w:val="00F171E0"/>
    <w:rsid w:val="00F20BD3"/>
    <w:rsid w:val="00F373A5"/>
    <w:rsid w:val="00F47559"/>
    <w:rsid w:val="00F53E13"/>
    <w:rsid w:val="00F54FAF"/>
    <w:rsid w:val="00F55E93"/>
    <w:rsid w:val="00F64C7B"/>
    <w:rsid w:val="00F676DD"/>
    <w:rsid w:val="00F75A26"/>
    <w:rsid w:val="00F76706"/>
    <w:rsid w:val="00F83FAD"/>
    <w:rsid w:val="00F87DAD"/>
    <w:rsid w:val="00F952A0"/>
    <w:rsid w:val="00FA3C7F"/>
    <w:rsid w:val="00FA5FC1"/>
    <w:rsid w:val="00FB5E9F"/>
    <w:rsid w:val="00FB74E2"/>
    <w:rsid w:val="00FC10C4"/>
    <w:rsid w:val="00FD5614"/>
    <w:rsid w:val="00FE08BD"/>
    <w:rsid w:val="00FE0BE1"/>
    <w:rsid w:val="00FE0C85"/>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71CD8"/>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71CD8"/>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0618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9085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www.energymadeeasy.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4DC36D-6524-44C4-A53C-77EFCD4F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560E68</Template>
  <TotalTime>0</TotalTime>
  <Pages>21</Pages>
  <Words>5135</Words>
  <Characters>29275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2015-10-23T06:43:00Z</dcterms:created>
  <dcterms:modified xsi:type="dcterms:W3CDTF">2015-10-23T06:44:00Z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8427765</vt:lpwstr>
  </property>
  <property fmtid="{D5CDD505-2E9C-101B-9397-08002B2CF9AE}" pid="3" name="_MarkAsFinal">
    <vt:bool>true</vt:bool>
  </property>
</Properties>
</file>