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48D49818" wp14:editId="1EDBB8F2">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9D285B" w:rsidP="008F07A3">
          <w:pPr>
            <w:pStyle w:val="ReportSubtitle"/>
          </w:pPr>
          <w:r>
            <w:t>FINAL</w:t>
          </w:r>
          <w:r w:rsidR="00DA4752">
            <w:t xml:space="preserve"> DECISION</w:t>
          </w:r>
        </w:p>
        <w:p w:rsidR="000A6C7B" w:rsidRDefault="001201F1" w:rsidP="008F07A3">
          <w:pPr>
            <w:pStyle w:val="ReportSubtitle"/>
          </w:pPr>
          <w:r>
            <w:t>Energex</w:t>
          </w:r>
          <w:r w:rsidR="00DA4752">
            <w:t xml:space="preserve"> determination 2015</w:t>
          </w:r>
          <w:r w:rsidR="00DA4752">
            <w:rPr>
              <w:rFonts w:cs="Arial"/>
            </w:rPr>
            <w:t>−</w:t>
          </w:r>
          <w:r w:rsidR="00DA4752">
            <w:t>16 to 2019</w:t>
          </w:r>
          <w:r w:rsidR="00DA4752">
            <w:rPr>
              <w:rFonts w:cs="Arial"/>
            </w:rPr>
            <w:t>−</w:t>
          </w:r>
          <w:r w:rsidR="00DA4752">
            <w:t>20</w:t>
          </w:r>
        </w:p>
        <w:p w:rsidR="008F07A3" w:rsidRPr="000A6C7B" w:rsidRDefault="008F07A3" w:rsidP="008F07A3">
          <w:pPr>
            <w:pStyle w:val="ReportSubtitle"/>
          </w:pPr>
        </w:p>
        <w:p w:rsidR="000A6C7B" w:rsidRPr="000A6C7B" w:rsidRDefault="0069449D" w:rsidP="008F07A3">
          <w:pPr>
            <w:pStyle w:val="ReportSubtitle"/>
          </w:pPr>
          <w:r>
            <w:t>Attachment 12</w:t>
          </w:r>
          <w:r w:rsidR="00DA4752">
            <w:t xml:space="preserve"> </w:t>
          </w:r>
          <w:r w:rsidR="00DA4752">
            <w:rPr>
              <w:rFonts w:cs="Arial"/>
            </w:rPr>
            <w:t>−</w:t>
          </w:r>
          <w:r w:rsidR="00DA4752">
            <w:t xml:space="preserve"> </w:t>
          </w:r>
          <w:r>
            <w:t>Demand management incentive scheme</w:t>
          </w:r>
        </w:p>
        <w:p w:rsidR="000A6C7B" w:rsidRPr="00327A1E" w:rsidRDefault="009D285B" w:rsidP="00327A1E">
          <w:pPr>
            <w:pStyle w:val="ReportDate"/>
          </w:pPr>
          <w:r>
            <w:t>October</w:t>
          </w:r>
          <w:r w:rsidR="00DA4752">
            <w:t xml:space="preserve"> 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0A6C7B" w:rsidRDefault="000A6C7B" w:rsidP="000A6C7B">
      <w:pPr>
        <w:pStyle w:val="Copyright"/>
      </w:pPr>
      <w:r>
        <w:t>Requests and inquiries concerning reproduction and rights should be addressed to the Director, Corporate Communications</w:t>
      </w:r>
      <w:proofErr w:type="gramStart"/>
      <w:r>
        <w:t>,</w:t>
      </w:r>
      <w:proofErr w:type="gramEnd"/>
      <w:r w:rsidR="00983C25">
        <w:br/>
      </w:r>
      <w:r>
        <w:t xml:space="preserve">Australian Competition and Consumer Commission, </w:t>
      </w:r>
      <w:r w:rsidR="00983C25">
        <w:br/>
      </w:r>
      <w:r>
        <w:t>GPO Box 4141, Canberra ACT 2601</w:t>
      </w:r>
      <w:r w:rsidR="00983C25">
        <w:br/>
      </w:r>
      <w:r>
        <w:t>or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proofErr w:type="gramStart"/>
      <w:r>
        <w:t>Melbourne  Vic</w:t>
      </w:r>
      <w:proofErr w:type="gramEnd"/>
      <w:r>
        <w:t xml:space="preserve">  3001</w:t>
      </w:r>
    </w:p>
    <w:p w:rsidR="000A6C7B" w:rsidRDefault="000A6C7B" w:rsidP="00961A4A">
      <w:pPr>
        <w:pStyle w:val="Copyright"/>
      </w:pPr>
      <w:r>
        <w:t>Tel: (03) 9290 1444</w:t>
      </w:r>
      <w:r w:rsidR="00951978">
        <w:br/>
      </w:r>
      <w:r>
        <w:t>Fax: (03) 9290 1457</w:t>
      </w:r>
    </w:p>
    <w:p w:rsidR="005D7BA2" w:rsidRDefault="000A6C7B" w:rsidP="008F07A3">
      <w:pPr>
        <w:pStyle w:val="Copyright"/>
      </w:pPr>
      <w:r>
        <w:t xml:space="preserve">Email: </w:t>
      </w:r>
      <w:hyperlink r:id="rId11" w:history="1">
        <w:r w:rsidRPr="00D64888">
          <w:rPr>
            <w:rStyle w:val="Hyperlink"/>
          </w:rPr>
          <w:t>AERInquiry@aer.gov.au</w:t>
        </w:r>
      </w:hyperlink>
      <w:r w:rsidR="00951978">
        <w:rPr>
          <w:rStyle w:val="Hyperlink"/>
        </w:rPr>
        <w:br/>
      </w:r>
    </w:p>
    <w:p w:rsidR="008F07A3" w:rsidRDefault="008F07A3" w:rsidP="008F07A3"/>
    <w:p w:rsidR="001201F1" w:rsidRDefault="001201F1">
      <w:pPr>
        <w:spacing w:line="240" w:lineRule="auto"/>
      </w:pPr>
      <w:bookmarkStart w:id="0" w:name="_Toc404354899"/>
      <w:bookmarkStart w:id="1" w:name="_Toc404353070"/>
      <w:bookmarkStart w:id="2" w:name="_Toc404684201"/>
      <w:bookmarkStart w:id="3" w:name="_Toc404700923"/>
      <w:r>
        <w:br w:type="page"/>
      </w:r>
    </w:p>
    <w:p w:rsidR="008F07A3" w:rsidRDefault="00DA61F3" w:rsidP="008F07A3">
      <w:pPr>
        <w:pStyle w:val="UnnumberedHeading"/>
        <w:numPr>
          <w:ilvl w:val="0"/>
          <w:numId w:val="24"/>
        </w:numPr>
      </w:pPr>
      <w:bookmarkStart w:id="4" w:name="_Toc432673381"/>
      <w:r>
        <w:lastRenderedPageBreak/>
        <w:t>N</w:t>
      </w:r>
      <w:r w:rsidR="008F07A3">
        <w:t>ote</w:t>
      </w:r>
      <w:bookmarkEnd w:id="0"/>
      <w:bookmarkEnd w:id="1"/>
      <w:bookmarkEnd w:id="2"/>
      <w:bookmarkEnd w:id="3"/>
      <w:bookmarkEnd w:id="4"/>
    </w:p>
    <w:p w:rsidR="008F07A3" w:rsidRDefault="008F07A3" w:rsidP="008F07A3">
      <w:pPr>
        <w:numPr>
          <w:ilvl w:val="0"/>
          <w:numId w:val="25"/>
        </w:numPr>
      </w:pPr>
      <w:r>
        <w:t xml:space="preserve">This attachment forms part of the AER's </w:t>
      </w:r>
      <w:r w:rsidR="009D285B">
        <w:t>final</w:t>
      </w:r>
      <w:r>
        <w:t xml:space="preserve"> decision on </w:t>
      </w:r>
      <w:r w:rsidR="001201F1">
        <w:t>Energex's</w:t>
      </w:r>
      <w:r>
        <w:t xml:space="preserve"> 2015–20 distribution determination. It should be read with </w:t>
      </w:r>
      <w:r w:rsidR="00E444E7">
        <w:t xml:space="preserve">all </w:t>
      </w:r>
      <w:r>
        <w:t xml:space="preserve">other parts of the </w:t>
      </w:r>
      <w:r w:rsidR="009D285B">
        <w:t xml:space="preserve">final </w:t>
      </w:r>
      <w:r>
        <w:t>decision.</w:t>
      </w:r>
    </w:p>
    <w:p w:rsidR="008F07A3" w:rsidRDefault="008F07A3" w:rsidP="008F07A3">
      <w:pPr>
        <w:numPr>
          <w:ilvl w:val="0"/>
          <w:numId w:val="25"/>
        </w:numPr>
      </w:pPr>
      <w:r>
        <w:t xml:space="preserve">The </w:t>
      </w:r>
      <w:r w:rsidR="009D285B">
        <w:t>final</w:t>
      </w:r>
      <w:r>
        <w:t xml:space="preserve"> decision includes the following documents:</w:t>
      </w:r>
    </w:p>
    <w:p w:rsidR="008F07A3" w:rsidRDefault="008F07A3" w:rsidP="008F07A3">
      <w:pPr>
        <w:numPr>
          <w:ilvl w:val="0"/>
          <w:numId w:val="25"/>
        </w:numPr>
      </w:pPr>
      <w:r>
        <w:t>Overview</w:t>
      </w:r>
    </w:p>
    <w:p w:rsidR="008F07A3" w:rsidRDefault="008F07A3" w:rsidP="008F07A3">
      <w:pPr>
        <w:numPr>
          <w:ilvl w:val="0"/>
          <w:numId w:val="25"/>
        </w:numPr>
      </w:pPr>
      <w:r>
        <w:t>Attachment 1 – Annual revenue requirement</w:t>
      </w:r>
    </w:p>
    <w:p w:rsidR="008F07A3" w:rsidRDefault="008F07A3" w:rsidP="008F07A3">
      <w:pPr>
        <w:numPr>
          <w:ilvl w:val="0"/>
          <w:numId w:val="25"/>
        </w:numPr>
      </w:pPr>
      <w:r>
        <w:t>Attachment 2 – Regulatory asset base</w:t>
      </w:r>
    </w:p>
    <w:p w:rsidR="008F07A3" w:rsidRDefault="008F07A3" w:rsidP="008F07A3">
      <w:pPr>
        <w:numPr>
          <w:ilvl w:val="0"/>
          <w:numId w:val="25"/>
        </w:numPr>
      </w:pPr>
      <w:r>
        <w:t>Attachment 3 – Rate of return</w:t>
      </w:r>
    </w:p>
    <w:p w:rsidR="008F07A3" w:rsidRDefault="008F07A3" w:rsidP="008F07A3">
      <w:pPr>
        <w:numPr>
          <w:ilvl w:val="0"/>
          <w:numId w:val="25"/>
        </w:numPr>
      </w:pPr>
      <w:r>
        <w:t>Attachment 4 – Value of imputation credits</w:t>
      </w:r>
    </w:p>
    <w:p w:rsidR="008F07A3" w:rsidRDefault="008F07A3" w:rsidP="008F07A3">
      <w:pPr>
        <w:numPr>
          <w:ilvl w:val="0"/>
          <w:numId w:val="25"/>
        </w:numPr>
      </w:pPr>
      <w:r>
        <w:t>Attachment 5 – Regulatory depreciation</w:t>
      </w:r>
    </w:p>
    <w:p w:rsidR="008F07A3" w:rsidRDefault="008F07A3" w:rsidP="008F07A3">
      <w:pPr>
        <w:numPr>
          <w:ilvl w:val="0"/>
          <w:numId w:val="25"/>
        </w:numPr>
      </w:pPr>
      <w:r>
        <w:t xml:space="preserve">Attachment 6 – Capital expenditure </w:t>
      </w:r>
    </w:p>
    <w:p w:rsidR="008F07A3" w:rsidRDefault="008F07A3" w:rsidP="008F07A3">
      <w:pPr>
        <w:numPr>
          <w:ilvl w:val="0"/>
          <w:numId w:val="25"/>
        </w:numPr>
      </w:pPr>
      <w:r>
        <w:t>Attachment 7 – Operating expenditure</w:t>
      </w:r>
    </w:p>
    <w:p w:rsidR="008F07A3" w:rsidRDefault="008F07A3" w:rsidP="008F07A3">
      <w:pPr>
        <w:numPr>
          <w:ilvl w:val="0"/>
          <w:numId w:val="25"/>
        </w:numPr>
      </w:pPr>
      <w:r>
        <w:t>Attachment 8 – Corporate income tax</w:t>
      </w:r>
    </w:p>
    <w:p w:rsidR="008F07A3" w:rsidRDefault="008F07A3" w:rsidP="008F07A3">
      <w:pPr>
        <w:numPr>
          <w:ilvl w:val="0"/>
          <w:numId w:val="25"/>
        </w:numPr>
      </w:pPr>
      <w:r>
        <w:t>Attachment 9 – Efficiency benefit sharing scheme</w:t>
      </w:r>
    </w:p>
    <w:p w:rsidR="008F07A3" w:rsidRDefault="008F07A3" w:rsidP="008F07A3">
      <w:pPr>
        <w:numPr>
          <w:ilvl w:val="0"/>
          <w:numId w:val="25"/>
        </w:numPr>
      </w:pPr>
      <w:r>
        <w:t>Attachment 10 – Capital expenditure sharing scheme</w:t>
      </w:r>
    </w:p>
    <w:p w:rsidR="008F07A3" w:rsidRDefault="008F07A3" w:rsidP="008F07A3">
      <w:pPr>
        <w:numPr>
          <w:ilvl w:val="0"/>
          <w:numId w:val="25"/>
        </w:numPr>
      </w:pPr>
      <w:r>
        <w:t>Attachment 11 – Service target performance incentive scheme</w:t>
      </w:r>
    </w:p>
    <w:p w:rsidR="008F07A3" w:rsidRDefault="008F07A3" w:rsidP="008F07A3">
      <w:pPr>
        <w:numPr>
          <w:ilvl w:val="0"/>
          <w:numId w:val="25"/>
        </w:numPr>
      </w:pPr>
      <w:r>
        <w:t>Attachment 12 – Demand management incentive scheme</w:t>
      </w:r>
    </w:p>
    <w:p w:rsidR="008F07A3" w:rsidRDefault="008F07A3" w:rsidP="008F07A3">
      <w:pPr>
        <w:numPr>
          <w:ilvl w:val="0"/>
          <w:numId w:val="25"/>
        </w:numPr>
      </w:pPr>
      <w:r>
        <w:t>Attachment 13 – Classification of services</w:t>
      </w:r>
    </w:p>
    <w:p w:rsidR="008F07A3" w:rsidRDefault="008F07A3" w:rsidP="008F07A3">
      <w:pPr>
        <w:numPr>
          <w:ilvl w:val="0"/>
          <w:numId w:val="25"/>
        </w:numPr>
      </w:pPr>
      <w:r>
        <w:t>Attachment 14 – Control mechanism</w:t>
      </w:r>
    </w:p>
    <w:p w:rsidR="008F07A3" w:rsidRDefault="008F07A3" w:rsidP="008F07A3">
      <w:pPr>
        <w:numPr>
          <w:ilvl w:val="0"/>
          <w:numId w:val="25"/>
        </w:numPr>
      </w:pPr>
      <w:r>
        <w:t>Attachment 15 – Pass through events</w:t>
      </w:r>
    </w:p>
    <w:p w:rsidR="008F07A3" w:rsidRDefault="008F07A3" w:rsidP="008F07A3">
      <w:pPr>
        <w:numPr>
          <w:ilvl w:val="0"/>
          <w:numId w:val="25"/>
        </w:numPr>
      </w:pPr>
      <w:r>
        <w:t>Attachment 16 – Alternative control services</w:t>
      </w:r>
    </w:p>
    <w:p w:rsidR="008F07A3" w:rsidRDefault="008F07A3" w:rsidP="008F07A3">
      <w:pPr>
        <w:numPr>
          <w:ilvl w:val="0"/>
          <w:numId w:val="25"/>
        </w:numPr>
      </w:pPr>
      <w:r>
        <w:t>Attachment 17 – Negotiated services framework and criteria</w:t>
      </w:r>
    </w:p>
    <w:p w:rsidR="008F07A3" w:rsidRPr="008B6C33" w:rsidRDefault="008F07A3" w:rsidP="008F07A3">
      <w:pPr>
        <w:numPr>
          <w:ilvl w:val="0"/>
          <w:numId w:val="25"/>
        </w:numPr>
      </w:pPr>
      <w:r>
        <w:t xml:space="preserve">Attachment 18 – Connection </w:t>
      </w:r>
      <w:r w:rsidR="00AE4815">
        <w:t>policy</w:t>
      </w:r>
    </w:p>
    <w:p w:rsidR="008F07A3" w:rsidRPr="008F07A3" w:rsidRDefault="008F07A3" w:rsidP="008F07A3">
      <w:pPr>
        <w:sectPr w:rsidR="008F07A3" w:rsidRPr="008F07A3" w:rsidSect="00DE563D">
          <w:footerReference w:type="even" r:id="rId12"/>
          <w:footerReference w:type="default" r:id="rId13"/>
          <w:footerReference w:type="first" r:id="rId14"/>
          <w:pgSz w:w="11906" w:h="16838" w:code="9"/>
          <w:pgMar w:top="1440" w:right="1700" w:bottom="1582" w:left="1729" w:header="720" w:footer="0" w:gutter="0"/>
          <w:pgNumType w:start="0"/>
          <w:cols w:space="720"/>
          <w:docGrid w:linePitch="326"/>
        </w:sectPr>
      </w:pPr>
    </w:p>
    <w:p w:rsidR="00DE563D" w:rsidRPr="00A72B34" w:rsidRDefault="00DE563D" w:rsidP="00DE563D">
      <w:pPr>
        <w:pStyle w:val="UnnumberedHeading"/>
        <w:numPr>
          <w:ilvl w:val="0"/>
          <w:numId w:val="24"/>
        </w:numPr>
      </w:pPr>
      <w:bookmarkStart w:id="5" w:name="_Toc403144133"/>
      <w:bookmarkStart w:id="6" w:name="_Toc432673382"/>
      <w:r>
        <w:lastRenderedPageBreak/>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sdtContent>
        <w:p w:rsidR="00B17CE0" w:rsidRDefault="00DE563D">
          <w:pPr>
            <w:pStyle w:val="TOC1"/>
            <w:rPr>
              <w:rFonts w:asciiTheme="minorHAnsi" w:eastAsiaTheme="minorEastAsia" w:hAnsiTheme="minorHAnsi"/>
              <w:b w:val="0"/>
              <w:color w:val="auto"/>
              <w:sz w:val="22"/>
              <w:lang w:val="en-AU" w:eastAsia="en-AU"/>
            </w:rPr>
          </w:pPr>
          <w:r>
            <w:rPr>
              <w:color w:val="auto"/>
              <w:sz w:val="22"/>
            </w:rPr>
            <w:fldChar w:fldCharType="begin"/>
          </w:r>
          <w:r>
            <w:instrText xml:space="preserve"> TOC \o \h \z \u </w:instrText>
          </w:r>
          <w:r>
            <w:rPr>
              <w:color w:val="auto"/>
              <w:sz w:val="22"/>
            </w:rPr>
            <w:fldChar w:fldCharType="separate"/>
          </w:r>
          <w:hyperlink w:anchor="_Toc432673381" w:history="1">
            <w:r w:rsidR="00B17CE0" w:rsidRPr="00BB18CD">
              <w:rPr>
                <w:rStyle w:val="Hyperlink"/>
              </w:rPr>
              <w:t>Note</w:t>
            </w:r>
            <w:r w:rsidR="00B17CE0">
              <w:rPr>
                <w:webHidden/>
              </w:rPr>
              <w:tab/>
              <w:t>12-</w:t>
            </w:r>
            <w:r w:rsidR="00B17CE0">
              <w:rPr>
                <w:webHidden/>
              </w:rPr>
              <w:fldChar w:fldCharType="begin"/>
            </w:r>
            <w:r w:rsidR="00B17CE0">
              <w:rPr>
                <w:webHidden/>
              </w:rPr>
              <w:instrText xml:space="preserve"> PAGEREF _Toc432673381 \h </w:instrText>
            </w:r>
            <w:r w:rsidR="00B17CE0">
              <w:rPr>
                <w:webHidden/>
              </w:rPr>
            </w:r>
            <w:r w:rsidR="00B17CE0">
              <w:rPr>
                <w:webHidden/>
              </w:rPr>
              <w:fldChar w:fldCharType="separate"/>
            </w:r>
            <w:r w:rsidR="00B17CE0">
              <w:rPr>
                <w:webHidden/>
              </w:rPr>
              <w:t>2</w:t>
            </w:r>
            <w:r w:rsidR="00B17CE0">
              <w:rPr>
                <w:webHidden/>
              </w:rPr>
              <w:fldChar w:fldCharType="end"/>
            </w:r>
          </w:hyperlink>
        </w:p>
        <w:p w:rsidR="00B17CE0" w:rsidRDefault="001621A0">
          <w:pPr>
            <w:pStyle w:val="TOC1"/>
            <w:rPr>
              <w:rFonts w:asciiTheme="minorHAnsi" w:eastAsiaTheme="minorEastAsia" w:hAnsiTheme="minorHAnsi"/>
              <w:b w:val="0"/>
              <w:color w:val="auto"/>
              <w:sz w:val="22"/>
              <w:lang w:val="en-AU" w:eastAsia="en-AU"/>
            </w:rPr>
          </w:pPr>
          <w:hyperlink w:anchor="_Toc432673382" w:history="1">
            <w:r w:rsidR="00B17CE0" w:rsidRPr="00BB18CD">
              <w:rPr>
                <w:rStyle w:val="Hyperlink"/>
              </w:rPr>
              <w:t>Contents</w:t>
            </w:r>
            <w:r w:rsidR="00B17CE0">
              <w:rPr>
                <w:webHidden/>
              </w:rPr>
              <w:tab/>
              <w:t>12-</w:t>
            </w:r>
            <w:r w:rsidR="00B17CE0">
              <w:rPr>
                <w:webHidden/>
              </w:rPr>
              <w:fldChar w:fldCharType="begin"/>
            </w:r>
            <w:r w:rsidR="00B17CE0">
              <w:rPr>
                <w:webHidden/>
              </w:rPr>
              <w:instrText xml:space="preserve"> PAGEREF _Toc432673382 \h </w:instrText>
            </w:r>
            <w:r w:rsidR="00B17CE0">
              <w:rPr>
                <w:webHidden/>
              </w:rPr>
            </w:r>
            <w:r w:rsidR="00B17CE0">
              <w:rPr>
                <w:webHidden/>
              </w:rPr>
              <w:fldChar w:fldCharType="separate"/>
            </w:r>
            <w:r w:rsidR="00B17CE0">
              <w:rPr>
                <w:webHidden/>
              </w:rPr>
              <w:t>3</w:t>
            </w:r>
            <w:r w:rsidR="00B17CE0">
              <w:rPr>
                <w:webHidden/>
              </w:rPr>
              <w:fldChar w:fldCharType="end"/>
            </w:r>
          </w:hyperlink>
        </w:p>
        <w:p w:rsidR="00B17CE0" w:rsidRDefault="001621A0">
          <w:pPr>
            <w:pStyle w:val="TOC1"/>
            <w:rPr>
              <w:rFonts w:asciiTheme="minorHAnsi" w:eastAsiaTheme="minorEastAsia" w:hAnsiTheme="minorHAnsi"/>
              <w:b w:val="0"/>
              <w:color w:val="auto"/>
              <w:sz w:val="22"/>
              <w:lang w:val="en-AU" w:eastAsia="en-AU"/>
            </w:rPr>
          </w:pPr>
          <w:hyperlink w:anchor="_Toc432673383" w:history="1">
            <w:r w:rsidR="00B17CE0" w:rsidRPr="00BB18CD">
              <w:rPr>
                <w:rStyle w:val="Hyperlink"/>
              </w:rPr>
              <w:t>Shortened forms</w:t>
            </w:r>
            <w:r w:rsidR="00B17CE0">
              <w:rPr>
                <w:webHidden/>
              </w:rPr>
              <w:tab/>
              <w:t>12-</w:t>
            </w:r>
            <w:r w:rsidR="00B17CE0">
              <w:rPr>
                <w:webHidden/>
              </w:rPr>
              <w:fldChar w:fldCharType="begin"/>
            </w:r>
            <w:r w:rsidR="00B17CE0">
              <w:rPr>
                <w:webHidden/>
              </w:rPr>
              <w:instrText xml:space="preserve"> PAGEREF _Toc432673383 \h </w:instrText>
            </w:r>
            <w:r w:rsidR="00B17CE0">
              <w:rPr>
                <w:webHidden/>
              </w:rPr>
            </w:r>
            <w:r w:rsidR="00B17CE0">
              <w:rPr>
                <w:webHidden/>
              </w:rPr>
              <w:fldChar w:fldCharType="separate"/>
            </w:r>
            <w:r w:rsidR="00B17CE0">
              <w:rPr>
                <w:webHidden/>
              </w:rPr>
              <w:t>4</w:t>
            </w:r>
            <w:r w:rsidR="00B17CE0">
              <w:rPr>
                <w:webHidden/>
              </w:rPr>
              <w:fldChar w:fldCharType="end"/>
            </w:r>
          </w:hyperlink>
        </w:p>
        <w:p w:rsidR="00B17CE0" w:rsidRDefault="001621A0">
          <w:pPr>
            <w:pStyle w:val="TOC1"/>
            <w:rPr>
              <w:rFonts w:asciiTheme="minorHAnsi" w:eastAsiaTheme="minorEastAsia" w:hAnsiTheme="minorHAnsi"/>
              <w:b w:val="0"/>
              <w:color w:val="auto"/>
              <w:sz w:val="22"/>
              <w:lang w:val="en-AU" w:eastAsia="en-AU"/>
            </w:rPr>
          </w:pPr>
          <w:hyperlink w:anchor="_Toc432673384" w:history="1">
            <w:r w:rsidR="00B17CE0" w:rsidRPr="00BB18CD">
              <w:rPr>
                <w:rStyle w:val="Hyperlink"/>
              </w:rPr>
              <w:t>12</w:t>
            </w:r>
            <w:r w:rsidR="00B17CE0">
              <w:rPr>
                <w:rFonts w:asciiTheme="minorHAnsi" w:eastAsiaTheme="minorEastAsia" w:hAnsiTheme="minorHAnsi"/>
                <w:b w:val="0"/>
                <w:color w:val="auto"/>
                <w:sz w:val="22"/>
                <w:lang w:val="en-AU" w:eastAsia="en-AU"/>
              </w:rPr>
              <w:tab/>
            </w:r>
            <w:r w:rsidR="00B17CE0" w:rsidRPr="00BB18CD">
              <w:rPr>
                <w:rStyle w:val="Hyperlink"/>
              </w:rPr>
              <w:t>Demand management incentive scheme</w:t>
            </w:r>
            <w:r w:rsidR="00B17CE0">
              <w:rPr>
                <w:webHidden/>
              </w:rPr>
              <w:tab/>
              <w:t>12-</w:t>
            </w:r>
            <w:r w:rsidR="00B17CE0">
              <w:rPr>
                <w:webHidden/>
              </w:rPr>
              <w:fldChar w:fldCharType="begin"/>
            </w:r>
            <w:r w:rsidR="00B17CE0">
              <w:rPr>
                <w:webHidden/>
              </w:rPr>
              <w:instrText xml:space="preserve"> PAGEREF _Toc432673384 \h </w:instrText>
            </w:r>
            <w:r w:rsidR="00B17CE0">
              <w:rPr>
                <w:webHidden/>
              </w:rPr>
            </w:r>
            <w:r w:rsidR="00B17CE0">
              <w:rPr>
                <w:webHidden/>
              </w:rPr>
              <w:fldChar w:fldCharType="separate"/>
            </w:r>
            <w:r w:rsidR="00B17CE0">
              <w:rPr>
                <w:webHidden/>
              </w:rPr>
              <w:t>6</w:t>
            </w:r>
            <w:r w:rsidR="00B17CE0">
              <w:rPr>
                <w:webHidden/>
              </w:rPr>
              <w:fldChar w:fldCharType="end"/>
            </w:r>
          </w:hyperlink>
        </w:p>
        <w:p w:rsidR="00B17CE0" w:rsidRDefault="001621A0">
          <w:pPr>
            <w:pStyle w:val="TOC2"/>
            <w:tabs>
              <w:tab w:val="left" w:pos="1276"/>
            </w:tabs>
            <w:rPr>
              <w:rFonts w:asciiTheme="minorHAnsi" w:eastAsiaTheme="minorEastAsia" w:hAnsiTheme="minorHAnsi"/>
              <w:b w:val="0"/>
              <w:color w:val="auto"/>
              <w:sz w:val="22"/>
              <w:lang w:eastAsia="en-AU"/>
            </w:rPr>
          </w:pPr>
          <w:hyperlink w:anchor="_Toc432673385" w:history="1">
            <w:r w:rsidR="00B17CE0" w:rsidRPr="00BB18CD">
              <w:rPr>
                <w:rStyle w:val="Hyperlink"/>
              </w:rPr>
              <w:t>12.1</w:t>
            </w:r>
            <w:r w:rsidR="00B17CE0">
              <w:rPr>
                <w:rFonts w:asciiTheme="minorHAnsi" w:eastAsiaTheme="minorEastAsia" w:hAnsiTheme="minorHAnsi"/>
                <w:b w:val="0"/>
                <w:color w:val="auto"/>
                <w:sz w:val="22"/>
                <w:lang w:eastAsia="en-AU"/>
              </w:rPr>
              <w:tab/>
            </w:r>
            <w:r w:rsidR="00B17CE0" w:rsidRPr="00BB18CD">
              <w:rPr>
                <w:rStyle w:val="Hyperlink"/>
              </w:rPr>
              <w:t>Final decision</w:t>
            </w:r>
            <w:r w:rsidR="00B17CE0">
              <w:rPr>
                <w:webHidden/>
              </w:rPr>
              <w:tab/>
              <w:t>12-</w:t>
            </w:r>
            <w:r w:rsidR="00B17CE0">
              <w:rPr>
                <w:webHidden/>
              </w:rPr>
              <w:fldChar w:fldCharType="begin"/>
            </w:r>
            <w:r w:rsidR="00B17CE0">
              <w:rPr>
                <w:webHidden/>
              </w:rPr>
              <w:instrText xml:space="preserve"> PAGEREF _Toc432673385 \h </w:instrText>
            </w:r>
            <w:r w:rsidR="00B17CE0">
              <w:rPr>
                <w:webHidden/>
              </w:rPr>
            </w:r>
            <w:r w:rsidR="00B17CE0">
              <w:rPr>
                <w:webHidden/>
              </w:rPr>
              <w:fldChar w:fldCharType="separate"/>
            </w:r>
            <w:r w:rsidR="00B17CE0">
              <w:rPr>
                <w:webHidden/>
              </w:rPr>
              <w:t>7</w:t>
            </w:r>
            <w:r w:rsidR="00B17CE0">
              <w:rPr>
                <w:webHidden/>
              </w:rPr>
              <w:fldChar w:fldCharType="end"/>
            </w:r>
          </w:hyperlink>
        </w:p>
        <w:p w:rsidR="00B17CE0" w:rsidRDefault="001621A0">
          <w:pPr>
            <w:pStyle w:val="TOC2"/>
            <w:tabs>
              <w:tab w:val="left" w:pos="1276"/>
            </w:tabs>
            <w:rPr>
              <w:rFonts w:asciiTheme="minorHAnsi" w:eastAsiaTheme="minorEastAsia" w:hAnsiTheme="minorHAnsi"/>
              <w:b w:val="0"/>
              <w:color w:val="auto"/>
              <w:sz w:val="22"/>
              <w:lang w:eastAsia="en-AU"/>
            </w:rPr>
          </w:pPr>
          <w:hyperlink w:anchor="_Toc432673386" w:history="1">
            <w:r w:rsidR="00B17CE0" w:rsidRPr="00BB18CD">
              <w:rPr>
                <w:rStyle w:val="Hyperlink"/>
              </w:rPr>
              <w:t>12.2</w:t>
            </w:r>
            <w:r w:rsidR="00B17CE0">
              <w:rPr>
                <w:rFonts w:asciiTheme="minorHAnsi" w:eastAsiaTheme="minorEastAsia" w:hAnsiTheme="minorHAnsi"/>
                <w:b w:val="0"/>
                <w:color w:val="auto"/>
                <w:sz w:val="22"/>
                <w:lang w:eastAsia="en-AU"/>
              </w:rPr>
              <w:tab/>
            </w:r>
            <w:r w:rsidR="00B17CE0" w:rsidRPr="00BB18CD">
              <w:rPr>
                <w:rStyle w:val="Hyperlink"/>
              </w:rPr>
              <w:t>Energex's revised proposal</w:t>
            </w:r>
            <w:r w:rsidR="00B17CE0">
              <w:rPr>
                <w:webHidden/>
              </w:rPr>
              <w:tab/>
              <w:t>12-</w:t>
            </w:r>
            <w:r w:rsidR="00B17CE0">
              <w:rPr>
                <w:webHidden/>
              </w:rPr>
              <w:fldChar w:fldCharType="begin"/>
            </w:r>
            <w:r w:rsidR="00B17CE0">
              <w:rPr>
                <w:webHidden/>
              </w:rPr>
              <w:instrText xml:space="preserve"> PAGEREF _Toc432673386 \h </w:instrText>
            </w:r>
            <w:r w:rsidR="00B17CE0">
              <w:rPr>
                <w:webHidden/>
              </w:rPr>
            </w:r>
            <w:r w:rsidR="00B17CE0">
              <w:rPr>
                <w:webHidden/>
              </w:rPr>
              <w:fldChar w:fldCharType="separate"/>
            </w:r>
            <w:r w:rsidR="00B17CE0">
              <w:rPr>
                <w:webHidden/>
              </w:rPr>
              <w:t>7</w:t>
            </w:r>
            <w:r w:rsidR="00B17CE0">
              <w:rPr>
                <w:webHidden/>
              </w:rPr>
              <w:fldChar w:fldCharType="end"/>
            </w:r>
          </w:hyperlink>
        </w:p>
        <w:p w:rsidR="00B17CE0" w:rsidRDefault="001621A0">
          <w:pPr>
            <w:pStyle w:val="TOC2"/>
            <w:tabs>
              <w:tab w:val="left" w:pos="1276"/>
            </w:tabs>
            <w:rPr>
              <w:rFonts w:asciiTheme="minorHAnsi" w:eastAsiaTheme="minorEastAsia" w:hAnsiTheme="minorHAnsi"/>
              <w:b w:val="0"/>
              <w:color w:val="auto"/>
              <w:sz w:val="22"/>
              <w:lang w:eastAsia="en-AU"/>
            </w:rPr>
          </w:pPr>
          <w:hyperlink w:anchor="_Toc432673387" w:history="1">
            <w:r w:rsidR="00B17CE0" w:rsidRPr="00BB18CD">
              <w:rPr>
                <w:rStyle w:val="Hyperlink"/>
              </w:rPr>
              <w:t>12.3</w:t>
            </w:r>
            <w:r w:rsidR="00B17CE0">
              <w:rPr>
                <w:rFonts w:asciiTheme="minorHAnsi" w:eastAsiaTheme="minorEastAsia" w:hAnsiTheme="minorHAnsi"/>
                <w:b w:val="0"/>
                <w:color w:val="auto"/>
                <w:sz w:val="22"/>
                <w:lang w:eastAsia="en-AU"/>
              </w:rPr>
              <w:tab/>
            </w:r>
            <w:r w:rsidR="00B17CE0" w:rsidRPr="00BB18CD">
              <w:rPr>
                <w:rStyle w:val="Hyperlink"/>
              </w:rPr>
              <w:t>AER’s assessment approach</w:t>
            </w:r>
            <w:r w:rsidR="00B17CE0">
              <w:rPr>
                <w:webHidden/>
              </w:rPr>
              <w:tab/>
              <w:t>12-</w:t>
            </w:r>
            <w:r w:rsidR="00B17CE0">
              <w:rPr>
                <w:webHidden/>
              </w:rPr>
              <w:fldChar w:fldCharType="begin"/>
            </w:r>
            <w:r w:rsidR="00B17CE0">
              <w:rPr>
                <w:webHidden/>
              </w:rPr>
              <w:instrText xml:space="preserve"> PAGEREF _Toc432673387 \h </w:instrText>
            </w:r>
            <w:r w:rsidR="00B17CE0">
              <w:rPr>
                <w:webHidden/>
              </w:rPr>
            </w:r>
            <w:r w:rsidR="00B17CE0">
              <w:rPr>
                <w:webHidden/>
              </w:rPr>
              <w:fldChar w:fldCharType="separate"/>
            </w:r>
            <w:r w:rsidR="00B17CE0">
              <w:rPr>
                <w:webHidden/>
              </w:rPr>
              <w:t>7</w:t>
            </w:r>
            <w:r w:rsidR="00B17CE0">
              <w:rPr>
                <w:webHidden/>
              </w:rPr>
              <w:fldChar w:fldCharType="end"/>
            </w:r>
          </w:hyperlink>
        </w:p>
        <w:p w:rsidR="00B17CE0" w:rsidRDefault="001621A0">
          <w:pPr>
            <w:pStyle w:val="TOC2"/>
            <w:tabs>
              <w:tab w:val="left" w:pos="1276"/>
            </w:tabs>
            <w:rPr>
              <w:rFonts w:asciiTheme="minorHAnsi" w:eastAsiaTheme="minorEastAsia" w:hAnsiTheme="minorHAnsi"/>
              <w:b w:val="0"/>
              <w:color w:val="auto"/>
              <w:sz w:val="22"/>
              <w:lang w:eastAsia="en-AU"/>
            </w:rPr>
          </w:pPr>
          <w:hyperlink w:anchor="_Toc432673388" w:history="1">
            <w:r w:rsidR="00B17CE0" w:rsidRPr="00BB18CD">
              <w:rPr>
                <w:rStyle w:val="Hyperlink"/>
              </w:rPr>
              <w:t>12.4</w:t>
            </w:r>
            <w:r w:rsidR="00B17CE0">
              <w:rPr>
                <w:rFonts w:asciiTheme="minorHAnsi" w:eastAsiaTheme="minorEastAsia" w:hAnsiTheme="minorHAnsi"/>
                <w:b w:val="0"/>
                <w:color w:val="auto"/>
                <w:sz w:val="22"/>
                <w:lang w:eastAsia="en-AU"/>
              </w:rPr>
              <w:tab/>
            </w:r>
            <w:r w:rsidR="00B17CE0" w:rsidRPr="00BB18CD">
              <w:rPr>
                <w:rStyle w:val="Hyperlink"/>
              </w:rPr>
              <w:t>Reasons for final decision</w:t>
            </w:r>
            <w:r w:rsidR="00B17CE0">
              <w:rPr>
                <w:webHidden/>
              </w:rPr>
              <w:tab/>
              <w:t>12-</w:t>
            </w:r>
            <w:r w:rsidR="00B17CE0">
              <w:rPr>
                <w:webHidden/>
              </w:rPr>
              <w:fldChar w:fldCharType="begin"/>
            </w:r>
            <w:r w:rsidR="00B17CE0">
              <w:rPr>
                <w:webHidden/>
              </w:rPr>
              <w:instrText xml:space="preserve"> PAGEREF _Toc432673388 \h </w:instrText>
            </w:r>
            <w:r w:rsidR="00B17CE0">
              <w:rPr>
                <w:webHidden/>
              </w:rPr>
            </w:r>
            <w:r w:rsidR="00B17CE0">
              <w:rPr>
                <w:webHidden/>
              </w:rPr>
              <w:fldChar w:fldCharType="separate"/>
            </w:r>
            <w:r w:rsidR="00B17CE0">
              <w:rPr>
                <w:webHidden/>
              </w:rPr>
              <w:t>8</w:t>
            </w:r>
            <w:r w:rsidR="00B17CE0">
              <w:rPr>
                <w:webHidden/>
              </w:rPr>
              <w:fldChar w:fldCharType="end"/>
            </w:r>
          </w:hyperlink>
        </w:p>
        <w:p w:rsidR="00DE563D" w:rsidRDefault="00DE563D">
          <w:pPr>
            <w:spacing w:line="240" w:lineRule="auto"/>
          </w:pPr>
          <w:r>
            <w:fldChar w:fldCharType="end"/>
          </w:r>
        </w:p>
      </w:sdtContent>
    </w:sdt>
    <w:p w:rsidR="00DE563D" w:rsidRDefault="00DE563D">
      <w:pPr>
        <w:spacing w:line="240" w:lineRule="auto"/>
      </w:pPr>
    </w:p>
    <w:p w:rsidR="00DE563D" w:rsidRDefault="00DE563D" w:rsidP="00DE563D">
      <w:pPr>
        <w:pStyle w:val="UnnumberedHeading"/>
        <w:numPr>
          <w:ilvl w:val="0"/>
          <w:numId w:val="24"/>
        </w:numPr>
      </w:pPr>
      <w:bookmarkStart w:id="7" w:name="_Toc404700925"/>
      <w:bookmarkStart w:id="8" w:name="_Toc432673383"/>
      <w:r>
        <w:lastRenderedPageBreak/>
        <w:t>Shortened forms</w:t>
      </w:r>
      <w:bookmarkEnd w:id="7"/>
      <w:bookmarkEnd w:id="8"/>
    </w:p>
    <w:tbl>
      <w:tblPr>
        <w:tblStyle w:val="AERtable-numbers"/>
        <w:tblW w:w="0" w:type="auto"/>
        <w:tblLook w:val="04A0" w:firstRow="1" w:lastRow="0" w:firstColumn="1" w:lastColumn="0" w:noHBand="0" w:noVBand="1"/>
      </w:tblPr>
      <w:tblGrid>
        <w:gridCol w:w="4340"/>
        <w:gridCol w:w="4353"/>
      </w:tblGrid>
      <w:tr w:rsidR="00DE563D" w:rsidTr="00E444E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340" w:type="dxa"/>
          </w:tcPr>
          <w:p w:rsidR="00DE563D" w:rsidRDefault="00DE563D" w:rsidP="00DE563D">
            <w:pPr>
              <w:pStyle w:val="AERtabletextleft"/>
            </w:pPr>
            <w:r>
              <w:t>Shortened form</w:t>
            </w:r>
          </w:p>
        </w:tc>
        <w:tc>
          <w:tcPr>
            <w:tcW w:w="4353" w:type="dxa"/>
          </w:tcPr>
          <w:p w:rsidR="00DE563D" w:rsidRDefault="00DE563D" w:rsidP="00DE563D">
            <w:pPr>
              <w:pStyle w:val="AERtabletextleft"/>
              <w:jc w:val="left"/>
              <w:cnfStyle w:val="100000000000" w:firstRow="1" w:lastRow="0" w:firstColumn="0" w:lastColumn="0" w:oddVBand="0" w:evenVBand="0" w:oddHBand="0" w:evenHBand="0" w:firstRowFirstColumn="0" w:firstRowLastColumn="0" w:lastRowFirstColumn="0" w:lastRowLastColumn="0"/>
            </w:pPr>
            <w:r>
              <w:t>Extended form</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AEMC</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Australian Energy Market Commission</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AEMO</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Australian Energy Market Operator</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AER</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Australian Energy Regulator</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augex</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augmentation expenditure</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capex</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capital expenditure</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CCP</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Consumer Challenge Panel</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CESS</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capital expenditure sharing scheme</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CPI</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consumer price index</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DRP</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debt risk premium</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DMIA</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demand management innovation allowance</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DMIS</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demand management incentive scheme</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distributor</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distribution network service provider</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DUoS</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distribution use of system</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EBSS</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efficiency benefit sharing scheme</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ERP</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equity risk premium</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C8270C" w:rsidP="00C8270C">
            <w:pPr>
              <w:pStyle w:val="AERtabletextleft"/>
              <w:rPr>
                <w:rStyle w:val="AERtextsize10"/>
              </w:rPr>
            </w:pPr>
            <w:r w:rsidRPr="00877187">
              <w:rPr>
                <w:rStyle w:val="AERtextsize10"/>
              </w:rPr>
              <w:t>E</w:t>
            </w:r>
            <w:r w:rsidR="00DE563D" w:rsidRPr="00877187">
              <w:rPr>
                <w:rStyle w:val="AERtextsize10"/>
              </w:rPr>
              <w:t xml:space="preserve">xpenditure </w:t>
            </w:r>
            <w:r w:rsidRPr="00877187">
              <w:rPr>
                <w:rStyle w:val="AERtextsize10"/>
              </w:rPr>
              <w:t>A</w:t>
            </w:r>
            <w:r w:rsidR="00DE563D" w:rsidRPr="00877187">
              <w:rPr>
                <w:rStyle w:val="AERtextsize10"/>
              </w:rPr>
              <w:t xml:space="preserve">ssessment </w:t>
            </w:r>
            <w:r w:rsidRPr="00877187">
              <w:rPr>
                <w:rStyle w:val="AERtextsize10"/>
              </w:rPr>
              <w:t>G</w:t>
            </w:r>
            <w:r w:rsidR="00DE563D" w:rsidRPr="00877187">
              <w:rPr>
                <w:rStyle w:val="AERtextsize10"/>
              </w:rPr>
              <w:t>uideline</w:t>
            </w:r>
          </w:p>
        </w:tc>
        <w:tc>
          <w:tcPr>
            <w:tcW w:w="4353" w:type="dxa"/>
          </w:tcPr>
          <w:p w:rsidR="00DE563D" w:rsidRPr="00877187" w:rsidRDefault="00947066" w:rsidP="00C8270C">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Expenditure Forecast A</w:t>
            </w:r>
            <w:r w:rsidR="00DE563D" w:rsidRPr="00877187">
              <w:rPr>
                <w:rStyle w:val="AERtextsize10"/>
              </w:rPr>
              <w:t xml:space="preserve">ssessment </w:t>
            </w:r>
            <w:r w:rsidR="00C8270C" w:rsidRPr="00877187">
              <w:rPr>
                <w:rStyle w:val="AERtextsize10"/>
              </w:rPr>
              <w:t>G</w:t>
            </w:r>
            <w:r w:rsidR="00DE563D" w:rsidRPr="00877187">
              <w:rPr>
                <w:rStyle w:val="AERtextsize10"/>
              </w:rPr>
              <w:t>uideline for electricity distribution</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F&amp;A</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framework and approach</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MRP</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market risk premium</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NEL</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national electricity law</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NEM</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national electricity market</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NEO</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national electricity objective</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NER</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national electricity rules</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NSP</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network service provider</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opex</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operating expenditure</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PPI</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partial performance indicators</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lastRenderedPageBreak/>
              <w:t>PTRM</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post-tax revenue model</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RAB</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regulatory asset base</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RBA</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Reserve Bank of Australia</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repex</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replacement expenditure</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RFM</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roll forward model</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RIN</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regulatory information notice</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RPP</w:t>
            </w:r>
          </w:p>
        </w:tc>
        <w:tc>
          <w:tcPr>
            <w:tcW w:w="4353" w:type="dxa"/>
          </w:tcPr>
          <w:p w:rsidR="00DE563D" w:rsidRPr="00877187" w:rsidRDefault="00DE563D" w:rsidP="00DE563D">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 xml:space="preserve">revenue </w:t>
            </w:r>
            <w:r w:rsidR="00C8270C" w:rsidRPr="00877187">
              <w:rPr>
                <w:rStyle w:val="AERtextsize10"/>
              </w:rPr>
              <w:t xml:space="preserve">and </w:t>
            </w:r>
            <w:r w:rsidRPr="00877187">
              <w:rPr>
                <w:rStyle w:val="AERtextsize10"/>
              </w:rPr>
              <w:t>pricing principles</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SAIDI</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system average interruption duration index</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SAIFI</w:t>
            </w:r>
          </w:p>
        </w:tc>
        <w:tc>
          <w:tcPr>
            <w:tcW w:w="4353" w:type="dxa"/>
          </w:tcPr>
          <w:p w:rsidR="00DE563D" w:rsidRPr="00877187" w:rsidRDefault="00DE563D" w:rsidP="000F7E58">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system average interruption frequency index</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SLCAPM</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Sharpe-Lintner capital asset pricing model</w:t>
            </w:r>
          </w:p>
        </w:tc>
      </w:tr>
      <w:tr w:rsidR="00DE563D" w:rsidTr="00E444E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STPIS</w:t>
            </w:r>
          </w:p>
        </w:tc>
        <w:tc>
          <w:tcPr>
            <w:tcW w:w="4353" w:type="dxa"/>
          </w:tcPr>
          <w:p w:rsidR="00DE563D" w:rsidRPr="00877187" w:rsidRDefault="00DE563D" w:rsidP="000F7E58">
            <w:pPr>
              <w:pStyle w:val="AERtabletextleft"/>
              <w:jc w:val="left"/>
              <w:cnfStyle w:val="000000010000" w:firstRow="0" w:lastRow="0" w:firstColumn="0" w:lastColumn="0" w:oddVBand="0" w:evenVBand="0" w:oddHBand="0" w:evenHBand="1" w:firstRowFirstColumn="0" w:firstRowLastColumn="0" w:lastRowFirstColumn="0" w:lastRowLastColumn="0"/>
              <w:rPr>
                <w:rStyle w:val="AERtextsize10"/>
              </w:rPr>
            </w:pPr>
            <w:r w:rsidRPr="00877187">
              <w:rPr>
                <w:rStyle w:val="AERtextsize10"/>
              </w:rPr>
              <w:t>service target performance incentive scheme</w:t>
            </w:r>
          </w:p>
        </w:tc>
      </w:tr>
      <w:tr w:rsidR="00DE563D" w:rsidTr="00E444E7">
        <w:tc>
          <w:tcPr>
            <w:cnfStyle w:val="001000000000" w:firstRow="0" w:lastRow="0" w:firstColumn="1" w:lastColumn="0" w:oddVBand="0" w:evenVBand="0" w:oddHBand="0" w:evenHBand="0" w:firstRowFirstColumn="0" w:firstRowLastColumn="0" w:lastRowFirstColumn="0" w:lastRowLastColumn="0"/>
            <w:tcW w:w="4340" w:type="dxa"/>
          </w:tcPr>
          <w:p w:rsidR="00DE563D" w:rsidRPr="00877187" w:rsidRDefault="00DE563D" w:rsidP="00DE563D">
            <w:pPr>
              <w:pStyle w:val="AERtabletextleft"/>
              <w:rPr>
                <w:rStyle w:val="AERtextsize10"/>
              </w:rPr>
            </w:pPr>
            <w:r w:rsidRPr="00877187">
              <w:rPr>
                <w:rStyle w:val="AERtextsize10"/>
              </w:rPr>
              <w:t>WACC</w:t>
            </w:r>
          </w:p>
        </w:tc>
        <w:tc>
          <w:tcPr>
            <w:tcW w:w="4353" w:type="dxa"/>
          </w:tcPr>
          <w:p w:rsidR="00DE563D" w:rsidRPr="00877187" w:rsidRDefault="00DE563D" w:rsidP="00DE563D">
            <w:pPr>
              <w:pStyle w:val="AERtabletextleft"/>
              <w:jc w:val="left"/>
              <w:cnfStyle w:val="000000000000" w:firstRow="0" w:lastRow="0" w:firstColumn="0" w:lastColumn="0" w:oddVBand="0" w:evenVBand="0" w:oddHBand="0" w:evenHBand="0" w:firstRowFirstColumn="0" w:firstRowLastColumn="0" w:lastRowFirstColumn="0" w:lastRowLastColumn="0"/>
              <w:rPr>
                <w:rStyle w:val="AERtextsize10"/>
              </w:rPr>
            </w:pPr>
            <w:r w:rsidRPr="00877187">
              <w:rPr>
                <w:rStyle w:val="AERtextsize10"/>
              </w:rPr>
              <w:t>weighted average cost of capital</w:t>
            </w:r>
          </w:p>
        </w:tc>
      </w:tr>
    </w:tbl>
    <w:p w:rsidR="00DE563D" w:rsidRPr="00271F7C" w:rsidRDefault="00DE563D" w:rsidP="00DE563D">
      <w:pPr>
        <w:numPr>
          <w:ilvl w:val="0"/>
          <w:numId w:val="25"/>
        </w:numPr>
      </w:pPr>
    </w:p>
    <w:p w:rsidR="00DE563D" w:rsidRPr="00436A39" w:rsidRDefault="00DE563D" w:rsidP="00DE563D">
      <w:pPr>
        <w:numPr>
          <w:ilvl w:val="0"/>
          <w:numId w:val="25"/>
        </w:numPr>
      </w:pPr>
    </w:p>
    <w:p w:rsidR="00DE563D" w:rsidRDefault="00DE563D" w:rsidP="00DE563D"/>
    <w:p w:rsidR="00DE563D" w:rsidRDefault="0069449D" w:rsidP="003E29D5">
      <w:pPr>
        <w:pStyle w:val="Heading1"/>
      </w:pPr>
      <w:bookmarkStart w:id="9" w:name="_Toc432673384"/>
      <w:r w:rsidRPr="003E29D5">
        <w:lastRenderedPageBreak/>
        <w:t>Demand management incentive scheme</w:t>
      </w:r>
      <w:bookmarkEnd w:id="9"/>
    </w:p>
    <w:p w:rsidR="00187459" w:rsidRPr="002776B5" w:rsidRDefault="00187459" w:rsidP="00187459">
      <w:pPr>
        <w:numPr>
          <w:ilvl w:val="0"/>
          <w:numId w:val="25"/>
        </w:numPr>
      </w:pPr>
      <w:r w:rsidRPr="0087632E">
        <w:t xml:space="preserve">The National Electricity Rules (NER) </w:t>
      </w:r>
      <w:proofErr w:type="gramStart"/>
      <w:r w:rsidRPr="0087632E">
        <w:t>require</w:t>
      </w:r>
      <w:proofErr w:type="gramEnd"/>
      <w:r w:rsidRPr="0087632E">
        <w:t xml:space="preserve"> us to develop and implement mechanisms to incentivise distributors to consider efficient alternatives to building more network.</w:t>
      </w:r>
      <w:r w:rsidRPr="0087632E">
        <w:rPr>
          <w:rStyle w:val="FootnoteReference"/>
        </w:rPr>
        <w:footnoteReference w:id="1"/>
      </w:r>
      <w:r w:rsidRPr="0087632E">
        <w:t xml:space="preserve"> To meet this requirement, and motivated by the need to</w:t>
      </w:r>
      <w:bookmarkStart w:id="10" w:name="_GoBack"/>
      <w:bookmarkEnd w:id="10"/>
      <w:r w:rsidRPr="0087632E">
        <w:t xml:space="preserve"> improve distributors' capability in the demand management area, we implemented a demand management incentive scheme (DMIS</w:t>
      </w:r>
      <w:r w:rsidR="009A0480" w:rsidRPr="0087632E">
        <w:t xml:space="preserve">) </w:t>
      </w:r>
      <w:r w:rsidR="009A0480">
        <w:t>f</w:t>
      </w:r>
      <w:r w:rsidRPr="0087632E">
        <w:t xml:space="preserve">or </w:t>
      </w:r>
      <w:r>
        <w:t xml:space="preserve">Energex' </w:t>
      </w:r>
      <w:r w:rsidRPr="0087632E">
        <w:t>distribution determination for the 201</w:t>
      </w:r>
      <w:r>
        <w:t>0</w:t>
      </w:r>
      <w:r w:rsidRPr="0087632E">
        <w:t>–15 regulatory control period.</w:t>
      </w:r>
      <w:r w:rsidR="009A0480" w:rsidRPr="009A0480">
        <w:rPr>
          <w:rStyle w:val="FootnoteReference"/>
        </w:rPr>
        <w:t xml:space="preserve"> </w:t>
      </w:r>
      <w:r w:rsidR="009A0480" w:rsidRPr="001F442A">
        <w:rPr>
          <w:rStyle w:val="FootnoteReference"/>
        </w:rPr>
        <w:footnoteReference w:id="2"/>
      </w:r>
    </w:p>
    <w:p w:rsidR="00187459" w:rsidRPr="002776B5" w:rsidRDefault="00187459" w:rsidP="00187459">
      <w:pPr>
        <w:numPr>
          <w:ilvl w:val="0"/>
          <w:numId w:val="25"/>
        </w:numPr>
      </w:pPr>
      <w:r w:rsidRPr="0087632E">
        <w:t xml:space="preserve">The current DMIS for </w:t>
      </w:r>
      <w:r>
        <w:t>Queensland distributors</w:t>
      </w:r>
      <w:r w:rsidRPr="0087632E">
        <w:t xml:space="preserve"> includes the demand management innovation allowance (DMIA</w:t>
      </w:r>
      <w:r w:rsidRPr="001F442A">
        <w:t>)</w:t>
      </w:r>
      <w:r>
        <w:t>.</w:t>
      </w:r>
      <w:r w:rsidRPr="001F442A">
        <w:rPr>
          <w:rStyle w:val="FootnoteReference"/>
        </w:rPr>
        <w:footnoteReference w:id="3"/>
      </w:r>
    </w:p>
    <w:p w:rsidR="00187459" w:rsidRDefault="00187459" w:rsidP="00187459">
      <w:pPr>
        <w:numPr>
          <w:ilvl w:val="0"/>
          <w:numId w:val="25"/>
        </w:numPr>
      </w:pPr>
      <w:r w:rsidRPr="0087632E">
        <w:t xml:space="preserve">The DMIA is a capped allowance for distributors to investigate and conduct broad-based and/or peak demand management projects. </w:t>
      </w:r>
      <w:r>
        <w:t>It contains two parts:</w:t>
      </w:r>
    </w:p>
    <w:p w:rsidR="00187459" w:rsidRPr="00187459" w:rsidRDefault="00187459" w:rsidP="00187459">
      <w:pPr>
        <w:pStyle w:val="AERbulletlistfirststyle"/>
        <w:rPr>
          <w:rStyle w:val="FootnoteReference"/>
        </w:rPr>
      </w:pPr>
      <w:r w:rsidRPr="00D6375D">
        <w:t>Part A provides for an innovation allowance to be incorporated into each distributor's revenue allowance for opex each year of the regulatory control period. Distributors prepare annual reports on their expenditure under the DMIA</w:t>
      </w:r>
      <w:r w:rsidRPr="00187459">
        <w:rPr>
          <w:rStyle w:val="FootnoteReference"/>
        </w:rPr>
        <w:footnoteReference w:id="4"/>
      </w:r>
      <w:r w:rsidRPr="00187459">
        <w:rPr>
          <w:rStyle w:val="FootnoteReference"/>
        </w:rPr>
        <w:t xml:space="preserve"> </w:t>
      </w:r>
      <w:r w:rsidRPr="00D6375D">
        <w:t xml:space="preserve"> in the previous year, which we then assess against specific criteria.</w:t>
      </w:r>
      <w:r w:rsidRPr="00D6375D">
        <w:rPr>
          <w:rStyle w:val="FootnoteReference"/>
        </w:rPr>
        <w:t xml:space="preserve"> </w:t>
      </w:r>
      <w:r w:rsidRPr="00D6375D">
        <w:rPr>
          <w:rStyle w:val="FootnoteReference"/>
        </w:rPr>
        <w:footnoteReference w:id="5"/>
      </w:r>
    </w:p>
    <w:p w:rsidR="00187459" w:rsidRDefault="00187459" w:rsidP="00187459">
      <w:pPr>
        <w:pStyle w:val="AERbulletlistfirststyle"/>
      </w:pPr>
      <w:r w:rsidRPr="00D6375D">
        <w:t xml:space="preserve">Part B compensates distributors for any foregone revenue demonstrated to have resulted from demand management initiatives approved under Part A. </w:t>
      </w:r>
      <w:r w:rsidR="00A5528F">
        <w:t xml:space="preserve">During the 2010–15 regulatory control </w:t>
      </w:r>
      <w:proofErr w:type="gramStart"/>
      <w:r w:rsidR="00A5528F">
        <w:t>period</w:t>
      </w:r>
      <w:proofErr w:type="gramEnd"/>
      <w:r w:rsidR="00A5528F">
        <w:t>, Queensland distributors were subject to a revenue cap form of control. As the revenue cap will continue in 2015–20 regulatory control period, Part B remains not relevant to Queensland distributors.</w:t>
      </w:r>
    </w:p>
    <w:p w:rsidR="00A5528F" w:rsidRPr="00D6375D" w:rsidRDefault="00A5528F" w:rsidP="00A5528F">
      <w:pPr>
        <w:pStyle w:val="AERbulletlistfirststyle"/>
        <w:numPr>
          <w:ilvl w:val="0"/>
          <w:numId w:val="0"/>
        </w:numPr>
      </w:pPr>
      <w:r>
        <w:t>Currently, only Part A of the scheme applies to Queensland distributors.</w:t>
      </w:r>
    </w:p>
    <w:p w:rsidR="00187459" w:rsidRPr="00187459" w:rsidRDefault="00187459" w:rsidP="00187459">
      <w:pPr>
        <w:numPr>
          <w:ilvl w:val="0"/>
          <w:numId w:val="25"/>
        </w:numPr>
      </w:pPr>
      <w:r w:rsidRPr="001F442A">
        <w:t xml:space="preserve">Under the scheme, we return any underspend against </w:t>
      </w:r>
      <w:r w:rsidRPr="009D44D5">
        <w:t>the allowance to customers. Also, once we know the approved DMIA expenditure for each year of the current period, we compensate distributors for approved foregone revenue. We implement this as an adjustment to each distributor's innovation allowance in the following regulatory control period.</w:t>
      </w:r>
    </w:p>
    <w:p w:rsidR="00522AF3" w:rsidRDefault="00522AF3">
      <w:pPr>
        <w:spacing w:line="240" w:lineRule="auto"/>
        <w:rPr>
          <w:rFonts w:eastAsiaTheme="majorEastAsia" w:cstheme="majorBidi"/>
          <w:b/>
          <w:bCs/>
          <w:color w:val="70635A" w:themeColor="text2"/>
          <w:sz w:val="32"/>
          <w:szCs w:val="26"/>
        </w:rPr>
      </w:pPr>
      <w:bookmarkStart w:id="11" w:name="_Toc409017591"/>
      <w:bookmarkStart w:id="12" w:name="_Toc416354644"/>
      <w:r>
        <w:br w:type="page"/>
      </w:r>
    </w:p>
    <w:p w:rsidR="00E463BF" w:rsidRDefault="009D285B" w:rsidP="00E463BF">
      <w:pPr>
        <w:pStyle w:val="Heading2"/>
      </w:pPr>
      <w:bookmarkStart w:id="13" w:name="_Toc432673385"/>
      <w:r>
        <w:lastRenderedPageBreak/>
        <w:t>Final</w:t>
      </w:r>
      <w:r w:rsidR="00E463BF" w:rsidRPr="001754EE">
        <w:t xml:space="preserve"> decision</w:t>
      </w:r>
      <w:bookmarkEnd w:id="11"/>
      <w:bookmarkEnd w:id="12"/>
      <w:bookmarkEnd w:id="13"/>
    </w:p>
    <w:p w:rsidR="00D35EA5" w:rsidRPr="00B307CC" w:rsidRDefault="00D35EA5" w:rsidP="00D35EA5">
      <w:pPr>
        <w:numPr>
          <w:ilvl w:val="0"/>
          <w:numId w:val="25"/>
        </w:numPr>
      </w:pPr>
      <w:r w:rsidRPr="00B307CC">
        <w:t>We have determine</w:t>
      </w:r>
      <w:r>
        <w:t>d to continue Part A of the DMIS</w:t>
      </w:r>
      <w:r w:rsidRPr="00B307CC">
        <w:t xml:space="preserve"> for </w:t>
      </w:r>
      <w:r>
        <w:t>Energex</w:t>
      </w:r>
      <w:r w:rsidRPr="00B307CC">
        <w:t xml:space="preserve"> in the 201</w:t>
      </w:r>
      <w:r>
        <w:t>5</w:t>
      </w:r>
      <w:r w:rsidRPr="00B307CC">
        <w:t xml:space="preserve">–20 regulatory control </w:t>
      </w:r>
      <w:proofErr w:type="gramStart"/>
      <w:r w:rsidRPr="00B307CC">
        <w:t>period</w:t>
      </w:r>
      <w:proofErr w:type="gramEnd"/>
      <w:r>
        <w:t xml:space="preserve"> (that is, the DMIA component)</w:t>
      </w:r>
      <w:r w:rsidRPr="00B307CC">
        <w:t xml:space="preserve">. This is consistent with our proposed approach in our </w:t>
      </w:r>
      <w:r>
        <w:t>Preliminary decision</w:t>
      </w:r>
      <w:r w:rsidRPr="00B307CC">
        <w:t>.</w:t>
      </w:r>
      <w:r w:rsidRPr="00B307CC">
        <w:rPr>
          <w:rStyle w:val="FootnoteReference"/>
        </w:rPr>
        <w:footnoteReference w:id="6"/>
      </w:r>
    </w:p>
    <w:p w:rsidR="00D35EA5" w:rsidRPr="00D35EA5" w:rsidRDefault="00D35EA5" w:rsidP="00D35EA5">
      <w:pPr>
        <w:numPr>
          <w:ilvl w:val="0"/>
          <w:numId w:val="25"/>
        </w:numPr>
      </w:pPr>
      <w:r w:rsidRPr="00B307CC">
        <w:t>The current innovation allowance amount of $</w:t>
      </w:r>
      <w:r>
        <w:t>1 million</w:t>
      </w:r>
      <w:r w:rsidRPr="00B307CC">
        <w:t xml:space="preserve"> ($201</w:t>
      </w:r>
      <w:r w:rsidR="00C15D56">
        <w:t>4</w:t>
      </w:r>
      <w:r w:rsidR="00C15D56">
        <w:rPr>
          <w:rFonts w:cs="Arial"/>
        </w:rPr>
        <w:t>─</w:t>
      </w:r>
      <w:r w:rsidR="000D34FE">
        <w:t>1</w:t>
      </w:r>
      <w:r w:rsidR="00C15D56">
        <w:t>5</w:t>
      </w:r>
      <w:r w:rsidRPr="00B307CC">
        <w:t>) per annum will continue in the 201</w:t>
      </w:r>
      <w:r>
        <w:t>5</w:t>
      </w:r>
      <w:r w:rsidRPr="00B307CC">
        <w:t>–20 regulatory control period.</w:t>
      </w:r>
    </w:p>
    <w:p w:rsidR="00E463BF" w:rsidRDefault="00E463BF" w:rsidP="00E463BF">
      <w:pPr>
        <w:pStyle w:val="Heading2"/>
      </w:pPr>
      <w:bookmarkStart w:id="14" w:name="_Toc409017592"/>
      <w:bookmarkStart w:id="15" w:name="_Toc416354645"/>
      <w:bookmarkStart w:id="16" w:name="_Toc432673386"/>
      <w:r>
        <w:t>E</w:t>
      </w:r>
      <w:r w:rsidR="00402207">
        <w:t>nergex</w:t>
      </w:r>
      <w:r>
        <w:t>'</w:t>
      </w:r>
      <w:r w:rsidRPr="001754EE">
        <w:t xml:space="preserve">s </w:t>
      </w:r>
      <w:r w:rsidR="009D285B">
        <w:t xml:space="preserve">revised </w:t>
      </w:r>
      <w:r w:rsidRPr="001754EE">
        <w:t>proposal</w:t>
      </w:r>
      <w:bookmarkEnd w:id="14"/>
      <w:bookmarkEnd w:id="15"/>
      <w:bookmarkEnd w:id="16"/>
    </w:p>
    <w:p w:rsidR="004630BF" w:rsidRPr="004630BF" w:rsidRDefault="004630BF" w:rsidP="004630BF">
      <w:r>
        <w:t>Energex supported the proposed approach set out in the preliminary decision to continue applying Part A (the DMIA) of the D</w:t>
      </w:r>
      <w:r w:rsidR="00986CDD">
        <w:t>M</w:t>
      </w:r>
      <w:r>
        <w:t>IS at the same scale it is currently applied.</w:t>
      </w:r>
      <w:r w:rsidR="00591E34">
        <w:rPr>
          <w:rStyle w:val="FootnoteReference"/>
        </w:rPr>
        <w:footnoteReference w:id="7"/>
      </w:r>
      <w:r>
        <w:t xml:space="preserve"> </w:t>
      </w:r>
    </w:p>
    <w:p w:rsidR="00E463BF" w:rsidRDefault="00E463BF" w:rsidP="00E463BF">
      <w:pPr>
        <w:pStyle w:val="Heading2"/>
      </w:pPr>
      <w:bookmarkStart w:id="17" w:name="_Toc409017595"/>
      <w:bookmarkStart w:id="18" w:name="_Toc416354646"/>
      <w:bookmarkStart w:id="19" w:name="_Toc432673387"/>
      <w:r w:rsidRPr="001754EE">
        <w:t>AER’s</w:t>
      </w:r>
      <w:r>
        <w:t xml:space="preserve"> assessment approach</w:t>
      </w:r>
      <w:bookmarkEnd w:id="17"/>
      <w:bookmarkEnd w:id="18"/>
      <w:bookmarkEnd w:id="19"/>
    </w:p>
    <w:p w:rsidR="004630BF" w:rsidRDefault="004630BF" w:rsidP="004630BF">
      <w:pPr>
        <w:numPr>
          <w:ilvl w:val="0"/>
          <w:numId w:val="25"/>
        </w:numPr>
      </w:pPr>
      <w:r w:rsidRPr="00694755">
        <w:t xml:space="preserve">The rules require us to have regard to several factors in developing and implementing a DMIS for </w:t>
      </w:r>
      <w:r>
        <w:t>Energex</w:t>
      </w:r>
      <w:r w:rsidRPr="00694755">
        <w:t>.</w:t>
      </w:r>
      <w:r w:rsidRPr="00694755">
        <w:rPr>
          <w:rStyle w:val="FootnoteReference"/>
        </w:rPr>
        <w:footnoteReference w:id="8"/>
      </w:r>
      <w:r w:rsidRPr="00694755">
        <w:t xml:space="preserve"> These are:</w:t>
      </w:r>
    </w:p>
    <w:p w:rsidR="004630BF" w:rsidRPr="00EB44C8" w:rsidRDefault="004630BF" w:rsidP="004630BF">
      <w:pPr>
        <w:pStyle w:val="AERbulletlistfirststyle"/>
      </w:pPr>
      <w:r w:rsidRPr="00EB44C8">
        <w:t>Benefits to consumers</w:t>
      </w:r>
    </w:p>
    <w:p w:rsidR="004630BF" w:rsidRPr="00EB44C8" w:rsidRDefault="004630BF" w:rsidP="004630BF">
      <w:pPr>
        <w:pStyle w:val="AERbulletlistsecondstyle"/>
      </w:pPr>
      <w:r w:rsidRPr="00EB44C8">
        <w:t>the need to ensure that benefits to electricity consumers likely to result from the scheme are sufficient to warrant any reward or penalty under the scheme</w:t>
      </w:r>
    </w:p>
    <w:p w:rsidR="004630BF" w:rsidRPr="00EB44C8" w:rsidRDefault="004630BF" w:rsidP="004630BF">
      <w:pPr>
        <w:pStyle w:val="AERbulletlistsecondstyle"/>
      </w:pPr>
      <w:proofErr w:type="gramStart"/>
      <w:r w:rsidRPr="00EB44C8">
        <w:t>the</w:t>
      </w:r>
      <w:proofErr w:type="gramEnd"/>
      <w:r w:rsidRPr="00EB44C8">
        <w:t xml:space="preserve"> willingness of customers or end users to pay for increases in costs resulting from implementing DMIS.</w:t>
      </w:r>
    </w:p>
    <w:p w:rsidR="004630BF" w:rsidRPr="00EB44C8" w:rsidRDefault="004630BF" w:rsidP="004630BF">
      <w:pPr>
        <w:pStyle w:val="AERbulletlistfirststyle"/>
      </w:pPr>
      <w:r w:rsidRPr="00EB44C8">
        <w:t>Balanced incentives</w:t>
      </w:r>
    </w:p>
    <w:p w:rsidR="004630BF" w:rsidRPr="00EB44C8" w:rsidRDefault="004630BF" w:rsidP="004630BF">
      <w:pPr>
        <w:pStyle w:val="AERbulletlistsecondstyle"/>
      </w:pPr>
      <w:r w:rsidRPr="00EB44C8">
        <w:t>the effect of a particular control mechanism (i.e. price as distinct from revenue regulation) on a distributor's incentives to adopt or implement efficient non-network alternatives</w:t>
      </w:r>
    </w:p>
    <w:p w:rsidR="004630BF" w:rsidRPr="00EB44C8" w:rsidRDefault="004630BF" w:rsidP="004630BF">
      <w:pPr>
        <w:pStyle w:val="AERbulletlistsecondstyle"/>
      </w:pPr>
      <w:r w:rsidRPr="00EB44C8">
        <w:t xml:space="preserve">the effect of classification of services on a distributor's incentive to adopt or implement efficient embedded generator connections </w:t>
      </w:r>
    </w:p>
    <w:p w:rsidR="004630BF" w:rsidRPr="00EB44C8" w:rsidRDefault="004630BF" w:rsidP="004630BF">
      <w:pPr>
        <w:pStyle w:val="AERbulletlistsecondstyle"/>
      </w:pPr>
      <w:r w:rsidRPr="00EB44C8">
        <w:t>the extent the distributor is able to offer efficient pricing structures</w:t>
      </w:r>
    </w:p>
    <w:p w:rsidR="004630BF" w:rsidRPr="00EB44C8" w:rsidRDefault="004630BF" w:rsidP="004630BF">
      <w:pPr>
        <w:pStyle w:val="AERbulletlistsecondstyle"/>
      </w:pPr>
      <w:proofErr w:type="gramStart"/>
      <w:r w:rsidRPr="00EB44C8">
        <w:t>the</w:t>
      </w:r>
      <w:proofErr w:type="gramEnd"/>
      <w:r w:rsidRPr="00EB44C8">
        <w:t xml:space="preserve"> possible interactions between DMIS and other incentive schemes.</w:t>
      </w:r>
    </w:p>
    <w:p w:rsidR="004630BF" w:rsidRPr="004630BF" w:rsidRDefault="004630BF" w:rsidP="004630BF">
      <w:pPr>
        <w:numPr>
          <w:ilvl w:val="0"/>
          <w:numId w:val="25"/>
        </w:numPr>
      </w:pPr>
      <w:r w:rsidRPr="00694755">
        <w:t xml:space="preserve">We had regard to these factors in considering the proposed approach to the DMIS for </w:t>
      </w:r>
      <w:r w:rsidR="006A6453">
        <w:t>Energex</w:t>
      </w:r>
      <w:r w:rsidRPr="00694755">
        <w:t xml:space="preserve"> as set out in our </w:t>
      </w:r>
      <w:r w:rsidR="00877187">
        <w:t xml:space="preserve">final </w:t>
      </w:r>
      <w:r w:rsidRPr="00694755">
        <w:t>F&amp;A</w:t>
      </w:r>
      <w:r w:rsidRPr="00694755">
        <w:rPr>
          <w:rStyle w:val="FootnoteReference"/>
        </w:rPr>
        <w:footnoteReference w:id="9"/>
      </w:r>
      <w:r w:rsidRPr="00694755">
        <w:t xml:space="preserve"> </w:t>
      </w:r>
      <w:r>
        <w:t>and preliminary decision</w:t>
      </w:r>
      <w:r>
        <w:rPr>
          <w:rStyle w:val="FootnoteReference"/>
        </w:rPr>
        <w:footnoteReference w:id="10"/>
      </w:r>
      <w:r>
        <w:t xml:space="preserve"> </w:t>
      </w:r>
      <w:r w:rsidRPr="00694755">
        <w:t xml:space="preserve">and we have again taken these factors into account in making our </w:t>
      </w:r>
      <w:r>
        <w:t>final</w:t>
      </w:r>
      <w:r w:rsidRPr="00694755">
        <w:t xml:space="preserve"> decision.</w:t>
      </w:r>
    </w:p>
    <w:p w:rsidR="00E463BF" w:rsidRDefault="00E463BF" w:rsidP="00E463BF">
      <w:pPr>
        <w:pStyle w:val="Heading2"/>
      </w:pPr>
      <w:bookmarkStart w:id="20" w:name="_Toc409017598"/>
      <w:bookmarkStart w:id="21" w:name="_Toc416354647"/>
      <w:bookmarkStart w:id="22" w:name="_Toc432673388"/>
      <w:r w:rsidRPr="001754EE">
        <w:lastRenderedPageBreak/>
        <w:t>Reasons</w:t>
      </w:r>
      <w:r>
        <w:t xml:space="preserve"> for </w:t>
      </w:r>
      <w:r w:rsidR="009D285B">
        <w:t>final</w:t>
      </w:r>
      <w:r>
        <w:t xml:space="preserve"> decision</w:t>
      </w:r>
      <w:bookmarkEnd w:id="20"/>
      <w:bookmarkEnd w:id="21"/>
      <w:bookmarkEnd w:id="22"/>
      <w:r>
        <w:t xml:space="preserve"> </w:t>
      </w:r>
    </w:p>
    <w:p w:rsidR="006A6453" w:rsidRDefault="006A6453" w:rsidP="00EC1DD1">
      <w:r>
        <w:t>We have determined t</w:t>
      </w:r>
      <w:r w:rsidRPr="00B307CC">
        <w:t>he current innovation allowance amount of $</w:t>
      </w:r>
      <w:r>
        <w:t>1 million</w:t>
      </w:r>
      <w:r w:rsidRPr="00B307CC">
        <w:t xml:space="preserve"> ($20</w:t>
      </w:r>
      <w:r w:rsidR="00C15D56">
        <w:t>14</w:t>
      </w:r>
      <w:r w:rsidR="00C15D56">
        <w:rPr>
          <w:rFonts w:cs="Arial"/>
        </w:rPr>
        <w:t>─</w:t>
      </w:r>
      <w:r w:rsidRPr="00B307CC">
        <w:t>15) per</w:t>
      </w:r>
      <w:r>
        <w:t xml:space="preserve"> annum </w:t>
      </w:r>
      <w:r w:rsidR="00BD3A38">
        <w:t xml:space="preserve">(or $5 million over the period) </w:t>
      </w:r>
      <w:r>
        <w:t>will continue in the 2015</w:t>
      </w:r>
      <w:r w:rsidRPr="00B307CC">
        <w:t>–20 regulatory control period.</w:t>
      </w:r>
      <w:r>
        <w:t xml:space="preserve"> Energex supported this </w:t>
      </w:r>
      <w:r w:rsidR="00A44E84">
        <w:t>approach</w:t>
      </w:r>
      <w:r>
        <w:t xml:space="preserve"> in their revised proposal.</w:t>
      </w:r>
      <w:r>
        <w:rPr>
          <w:rStyle w:val="FootnoteReference"/>
        </w:rPr>
        <w:footnoteReference w:id="11"/>
      </w:r>
    </w:p>
    <w:p w:rsidR="00EC1DD1" w:rsidRPr="00807B4C" w:rsidRDefault="00EC1DD1" w:rsidP="00EC1DD1">
      <w:pPr>
        <w:pStyle w:val="Footer"/>
        <w:rPr>
          <w:rStyle w:val="AERbody"/>
        </w:rPr>
      </w:pPr>
      <w:r w:rsidRPr="00807B4C">
        <w:rPr>
          <w:rStyle w:val="AERbody"/>
        </w:rPr>
        <w:t xml:space="preserve">We received a submission from the Total Environment Centre </w:t>
      </w:r>
      <w:r>
        <w:rPr>
          <w:rStyle w:val="AERbody"/>
        </w:rPr>
        <w:t xml:space="preserve">(TEC) </w:t>
      </w:r>
      <w:r w:rsidRPr="00807B4C">
        <w:rPr>
          <w:rStyle w:val="AERbody"/>
        </w:rPr>
        <w:t xml:space="preserve">which stated they want </w:t>
      </w:r>
      <w:r w:rsidR="00877187">
        <w:rPr>
          <w:rStyle w:val="AERbody"/>
        </w:rPr>
        <w:t>us</w:t>
      </w:r>
      <w:r w:rsidRPr="00807B4C">
        <w:rPr>
          <w:rStyle w:val="AERbody"/>
        </w:rPr>
        <w:t xml:space="preserve"> to do more to reflect the importance of demand management within the current framework and provide distribution businesses with guidance on how they could design and present effective demand management strategies.</w:t>
      </w:r>
      <w:r>
        <w:rPr>
          <w:rStyle w:val="AERbody"/>
        </w:rPr>
        <w:t xml:space="preserve"> TEC believe the current DMIA funds are not enough to be considered a serious alternative to long term investment in load management schemes whilst also questioning the reliance on new mechanisms such as the CESS, RIT-D and tariff reform to incentivise demand management.</w:t>
      </w:r>
      <w:r>
        <w:rPr>
          <w:rStyle w:val="FootnoteReference"/>
          <w:color w:val="auto"/>
          <w:sz w:val="22"/>
        </w:rPr>
        <w:footnoteReference w:id="12"/>
      </w:r>
    </w:p>
    <w:p w:rsidR="006A6453" w:rsidRPr="00AA67B4" w:rsidRDefault="006A6453" w:rsidP="00EC1DD1">
      <w:r w:rsidRPr="00AA67B4">
        <w:t xml:space="preserve">We acknowledge the need to reform the existing demand management incentive arrangements and the importance of demand management in deferring the need for network augmentation by alleviating network utilisation during peak usage periods. </w:t>
      </w:r>
      <w:r w:rsidR="00BD3A38" w:rsidRPr="00BD3A38">
        <w:t xml:space="preserve">However, quite separately to incentive or innovation allowances, </w:t>
      </w:r>
      <w:r w:rsidR="00BD3A38">
        <w:t>t</w:t>
      </w:r>
      <w:r w:rsidRPr="00AA67B4">
        <w:t>h</w:t>
      </w:r>
      <w:r w:rsidR="008C6411">
        <w:t>e</w:t>
      </w:r>
      <w:r w:rsidRPr="00AA67B4">
        <w:t xml:space="preserve"> revenue cap form of control removes any disincentive for distributors to reduce the quantity of electricity sold by pursuing demand management initiatives. More robust obligations to consider non-network alternatives </w:t>
      </w:r>
      <w:r w:rsidR="00BD3A38">
        <w:t xml:space="preserve">under </w:t>
      </w:r>
      <w:r w:rsidRPr="00AA67B4">
        <w:t xml:space="preserve">RIT-D requirements </w:t>
      </w:r>
      <w:r w:rsidR="00BD3A38">
        <w:t xml:space="preserve">also </w:t>
      </w:r>
      <w:r w:rsidRPr="00AA67B4">
        <w:t>provide distributors with opportunities to improve and expand their demand management programs.</w:t>
      </w:r>
    </w:p>
    <w:p w:rsidR="006A6453" w:rsidRDefault="00BD3A38" w:rsidP="00EC1DD1">
      <w:r>
        <w:t>W</w:t>
      </w:r>
      <w:r w:rsidR="006A6453" w:rsidRPr="00AA67B4">
        <w:t xml:space="preserve">e recognise the importance of </w:t>
      </w:r>
      <w:r w:rsidR="00D83FF0">
        <w:t xml:space="preserve">appropriate </w:t>
      </w:r>
      <w:r w:rsidR="006A6453" w:rsidRPr="00AA67B4">
        <w:t xml:space="preserve">demand management incentives in order to defer network augmentation. </w:t>
      </w:r>
      <w:r w:rsidR="00D83FF0">
        <w:t>I</w:t>
      </w:r>
      <w:r w:rsidR="006A6453" w:rsidRPr="00AA67B4">
        <w:t xml:space="preserve">n response to </w:t>
      </w:r>
      <w:r w:rsidR="006A6453">
        <w:t>s</w:t>
      </w:r>
      <w:r w:rsidR="006A6453" w:rsidRPr="00AA67B4">
        <w:t>ubmission</w:t>
      </w:r>
      <w:r w:rsidR="006A6453">
        <w:t>s</w:t>
      </w:r>
      <w:r w:rsidR="00D83FF0">
        <w:t>,</w:t>
      </w:r>
      <w:r w:rsidR="006A6453">
        <w:t xml:space="preserve"> </w:t>
      </w:r>
      <w:r w:rsidR="006A6453" w:rsidRPr="00AA67B4">
        <w:t xml:space="preserve">we do not consider it appropriate to </w:t>
      </w:r>
      <w:r w:rsidR="006A6453">
        <w:t xml:space="preserve">change the process for approval of projects </w:t>
      </w:r>
      <w:r w:rsidR="006A6453" w:rsidRPr="00AA67B4">
        <w:t>in parallel to developing a new DMIS and DMIA. The AEMC's final rule determination</w:t>
      </w:r>
      <w:r w:rsidR="006A6453" w:rsidRPr="00AA67B4">
        <w:rPr>
          <w:rStyle w:val="FootnoteReference"/>
        </w:rPr>
        <w:footnoteReference w:id="13"/>
      </w:r>
      <w:r w:rsidR="006A6453" w:rsidRPr="00AA67B4">
        <w:t xml:space="preserve"> requires </w:t>
      </w:r>
      <w:r w:rsidR="00877187">
        <w:t>us</w:t>
      </w:r>
      <w:r w:rsidR="006A6453" w:rsidRPr="00AA67B4">
        <w:t xml:space="preserve"> to develop a demand management incentive scheme an</w:t>
      </w:r>
      <w:r w:rsidR="006A6453">
        <w:t>d allowance by 1 December 2016.</w:t>
      </w:r>
      <w:r w:rsidR="00EC1DD1" w:rsidRPr="00EC1DD1">
        <w:t xml:space="preserve"> </w:t>
      </w:r>
      <w:r w:rsidR="00FB611C">
        <w:t>In response to the TEC, w</w:t>
      </w:r>
      <w:r w:rsidR="008C6411">
        <w:t xml:space="preserve">e consider </w:t>
      </w:r>
      <w:r w:rsidR="00EC1DD1">
        <w:t>that a</w:t>
      </w:r>
      <w:r w:rsidR="008C6411">
        <w:t>n additional</w:t>
      </w:r>
      <w:r w:rsidR="00EC1DD1">
        <w:t xml:space="preserve"> guideline is not required. </w:t>
      </w:r>
      <w:r w:rsidR="00FB611C">
        <w:t xml:space="preserve">This is consistent with the AEMC's final rule determination. </w:t>
      </w:r>
      <w:r w:rsidR="00EC1DD1">
        <w:t xml:space="preserve">We will develop the scheme in accordance with the distribution consultation procedures and the scheme and allowance will be supported by a decision document and explanatory material. Individual distributors will also be consulted on the application of the scheme through the </w:t>
      </w:r>
      <w:r w:rsidR="00877187">
        <w:t>F&amp;A</w:t>
      </w:r>
      <w:r w:rsidR="00EC1DD1">
        <w:t xml:space="preserve"> process.</w:t>
      </w:r>
    </w:p>
    <w:p w:rsidR="006A6453" w:rsidRDefault="006A6453" w:rsidP="00EC1DD1">
      <w:r w:rsidRPr="00140EBD">
        <w:t xml:space="preserve">For these reasons, we are not making any changes to the DMIS and we have adopted the position proposed in our </w:t>
      </w:r>
      <w:r>
        <w:t>preliminary decision and</w:t>
      </w:r>
      <w:r w:rsidRPr="00140EBD">
        <w:t xml:space="preserve"> approved DMIA allowances consistent with their current scale.</w:t>
      </w:r>
    </w:p>
    <w:p w:rsidR="006A6453" w:rsidRPr="00140EBD" w:rsidRDefault="00EC1DD1" w:rsidP="00EC1DD1">
      <w:r>
        <w:lastRenderedPageBreak/>
        <w:t>Energex</w:t>
      </w:r>
      <w:r w:rsidR="006A6453" w:rsidRPr="00140EBD">
        <w:t xml:space="preserve"> proposed a small number of demand management costs as part of its total forecast operating expenditure </w:t>
      </w:r>
      <w:r w:rsidR="00FB611C">
        <w:t>building block. Our decision on Energex's</w:t>
      </w:r>
      <w:r w:rsidR="006A6453" w:rsidRPr="00140EBD">
        <w:t xml:space="preserve"> demand management related operating expenditure building block can be found in attachment 7.</w:t>
      </w:r>
    </w:p>
    <w:p w:rsidR="00CB0279" w:rsidRPr="00290C63" w:rsidRDefault="00CB0279" w:rsidP="00290C63"/>
    <w:sectPr w:rsidR="00CB0279" w:rsidRPr="00290C63" w:rsidSect="00DE563D">
      <w:pgSz w:w="11906" w:h="16838" w:code="9"/>
      <w:pgMar w:top="1440" w:right="1700" w:bottom="1582" w:left="1729" w:header="72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1A4A" w:rsidRPr="00290C63" w:rsidRDefault="00961A4A" w:rsidP="00290C63">
      <w:r>
        <w:separator/>
      </w:r>
    </w:p>
    <w:p w:rsidR="00961A4A" w:rsidRDefault="00961A4A"/>
  </w:endnote>
  <w:endnote w:type="continuationSeparator" w:id="0">
    <w:p w:rsidR="00961A4A" w:rsidRPr="00290C63" w:rsidRDefault="00961A4A" w:rsidP="00290C63">
      <w:r>
        <w:continuationSeparator/>
      </w:r>
    </w:p>
    <w:p w:rsidR="00961A4A" w:rsidRDefault="00961A4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utami">
    <w:panose1 w:val="020B0502040204020203"/>
    <w:charset w:val="01"/>
    <w:family w:val="roman"/>
    <w:notTrueType/>
    <w:pitch w:val="variable"/>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104A" w:rsidRPr="00290C63" w:rsidRDefault="0066104A"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66104A" w:rsidRDefault="0066104A"/>
  <w:p w:rsidR="0066104A" w:rsidRDefault="0066104A"/>
  <w:p w:rsidR="0066104A" w:rsidRDefault="0066104A"/>
  <w:p w:rsidR="0066104A" w:rsidRDefault="0066104A"/>
  <w:p w:rsidR="0066104A" w:rsidRDefault="0066104A"/>
  <w:p w:rsidR="0066104A" w:rsidRDefault="0066104A"/>
  <w:p w:rsidR="0066104A" w:rsidRDefault="0066104A"/>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3655474"/>
      <w:docPartObj>
        <w:docPartGallery w:val="Page Numbers (Bottom of Page)"/>
        <w:docPartUnique/>
      </w:docPartObj>
    </w:sdtPr>
    <w:sdtEndPr>
      <w:rPr>
        <w:noProof/>
      </w:rPr>
    </w:sdtEndPr>
    <w:sdtContent>
      <w:p w:rsidR="00DE563D" w:rsidRDefault="00DE563D">
        <w:pPr>
          <w:pStyle w:val="Footer"/>
        </w:pPr>
        <w:r>
          <w:t>1</w:t>
        </w:r>
        <w:r w:rsidR="0069449D">
          <w:t>2</w:t>
        </w:r>
        <w:r>
          <w:t>-</w:t>
        </w:r>
        <w:r>
          <w:fldChar w:fldCharType="begin"/>
        </w:r>
        <w:r>
          <w:instrText xml:space="preserve"> PAGE   \* MERGEFORMAT </w:instrText>
        </w:r>
        <w:r>
          <w:fldChar w:fldCharType="separate"/>
        </w:r>
        <w:r w:rsidR="00BA1CC3">
          <w:rPr>
            <w:noProof/>
          </w:rPr>
          <w:t>6</w:t>
        </w:r>
        <w:r>
          <w:rPr>
            <w:noProof/>
          </w:rPr>
          <w:fldChar w:fldCharType="end"/>
        </w:r>
        <w:r w:rsidR="00DA61F3">
          <w:rPr>
            <w:noProof/>
          </w:rPr>
          <w:t xml:space="preserve">      </w:t>
        </w:r>
        <w:r w:rsidR="00DA61F3">
          <w:t xml:space="preserve">           </w:t>
        </w:r>
        <w:r w:rsidR="00DA61F3">
          <w:rPr>
            <w:noProof/>
          </w:rPr>
          <w:t xml:space="preserve"> </w:t>
        </w:r>
        <w:r>
          <w:rPr>
            <w:noProof/>
          </w:rPr>
          <w:t xml:space="preserve"> Attachment 1</w:t>
        </w:r>
        <w:r w:rsidR="0069449D">
          <w:t>2</w:t>
        </w:r>
        <w:r>
          <w:rPr>
            <w:noProof/>
          </w:rPr>
          <w:t xml:space="preserve"> </w:t>
        </w:r>
        <w:r>
          <w:rPr>
            <w:rFonts w:cs="Gautami"/>
            <w:noProof/>
          </w:rPr>
          <w:t xml:space="preserve">– </w:t>
        </w:r>
        <w:r w:rsidR="0069449D">
          <w:t>DMIS</w:t>
        </w:r>
        <w:r>
          <w:rPr>
            <w:rFonts w:cs="Gautami"/>
            <w:noProof/>
          </w:rPr>
          <w:t xml:space="preserve"> | </w:t>
        </w:r>
        <w:r w:rsidR="001201F1">
          <w:t>Energex</w:t>
        </w:r>
        <w:r>
          <w:rPr>
            <w:rFonts w:cs="Gautami"/>
            <w:noProof/>
          </w:rPr>
          <w:t xml:space="preserve"> determination 2015–20</w:t>
        </w:r>
      </w:p>
    </w:sdtContent>
  </w:sdt>
  <w:p w:rsidR="00DE563D" w:rsidRDefault="00DE563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104A" w:rsidRPr="00290C63" w:rsidRDefault="0066104A"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66104A" w:rsidRDefault="0066104A">
    <w:pPr>
      <w:pStyle w:val="Footer"/>
    </w:pPr>
  </w:p>
  <w:p w:rsidR="0066104A" w:rsidRDefault="0066104A"/>
  <w:p w:rsidR="0066104A" w:rsidRDefault="0066104A"/>
  <w:p w:rsidR="0066104A" w:rsidRDefault="0066104A"/>
  <w:p w:rsidR="0066104A" w:rsidRDefault="0066104A"/>
  <w:p w:rsidR="0066104A" w:rsidRDefault="0066104A"/>
  <w:p w:rsidR="0066104A" w:rsidRDefault="0066104A"/>
  <w:p w:rsidR="0066104A" w:rsidRDefault="0066104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1A4A" w:rsidRPr="00290C63" w:rsidRDefault="00961A4A" w:rsidP="00290C63">
      <w:r>
        <w:separator/>
      </w:r>
    </w:p>
    <w:p w:rsidR="00961A4A" w:rsidRDefault="00961A4A"/>
  </w:footnote>
  <w:footnote w:type="continuationSeparator" w:id="0">
    <w:p w:rsidR="00961A4A" w:rsidRPr="00290C63" w:rsidRDefault="00961A4A" w:rsidP="00290C63">
      <w:r>
        <w:continuationSeparator/>
      </w:r>
    </w:p>
    <w:p w:rsidR="00961A4A" w:rsidRDefault="00961A4A"/>
  </w:footnote>
  <w:footnote w:id="1">
    <w:p w:rsidR="00187459" w:rsidRDefault="00187459" w:rsidP="00187459">
      <w:pPr>
        <w:pStyle w:val="FootnoteText"/>
      </w:pPr>
      <w:r>
        <w:rPr>
          <w:rStyle w:val="FootnoteReference"/>
        </w:rPr>
        <w:footnoteRef/>
      </w:r>
      <w:r>
        <w:t xml:space="preserve"> </w:t>
      </w:r>
      <w:r>
        <w:tab/>
      </w:r>
      <w:proofErr w:type="gramStart"/>
      <w:r>
        <w:t>NER, cl. 6.6.3(a).</w:t>
      </w:r>
      <w:proofErr w:type="gramEnd"/>
      <w:r>
        <w:t xml:space="preserve"> </w:t>
      </w:r>
    </w:p>
  </w:footnote>
  <w:footnote w:id="2">
    <w:p w:rsidR="009A0480" w:rsidRDefault="009A0480" w:rsidP="009A0480">
      <w:pPr>
        <w:pStyle w:val="FootnoteText"/>
      </w:pPr>
      <w:r>
        <w:rPr>
          <w:rStyle w:val="FootnoteReference"/>
        </w:rPr>
        <w:footnoteRef/>
      </w:r>
      <w:r>
        <w:t xml:space="preserve"> </w:t>
      </w:r>
      <w:r>
        <w:tab/>
        <w:t>The rules have since changed the name to '</w:t>
      </w:r>
      <w:r w:rsidRPr="000A4391">
        <w:t>Demand Management and Embedded Generation Connection Incentive Scheme</w:t>
      </w:r>
      <w:r>
        <w:t>'</w:t>
      </w:r>
      <w:r w:rsidRPr="000A4391">
        <w:t xml:space="preserve"> (DMEGCIS)</w:t>
      </w:r>
      <w:r>
        <w:t xml:space="preserve"> to explicitly cover innovation with respect to the connection of embedded generation. Our current and proposed DMIS includes embedded generation. We consider embedded generation to be one means of demand management, as it typically reduces demand for power drawn from a distribution network. </w:t>
      </w:r>
    </w:p>
  </w:footnote>
  <w:footnote w:id="3">
    <w:p w:rsidR="00187459" w:rsidRDefault="00187459" w:rsidP="00187459">
      <w:pPr>
        <w:pStyle w:val="FootnoteText"/>
      </w:pPr>
      <w:r>
        <w:rPr>
          <w:rStyle w:val="FootnoteReference"/>
        </w:rPr>
        <w:footnoteRef/>
      </w:r>
      <w:r>
        <w:t xml:space="preserve"> </w:t>
      </w:r>
      <w:r>
        <w:tab/>
      </w:r>
      <w:r w:rsidRPr="00F84878">
        <w:t xml:space="preserve">AER, </w:t>
      </w:r>
      <w:r w:rsidRPr="00F84878">
        <w:rPr>
          <w:rStyle w:val="AERtextitalic"/>
        </w:rPr>
        <w:t xml:space="preserve">Demand management incentive scheme – </w:t>
      </w:r>
      <w:r>
        <w:rPr>
          <w:rStyle w:val="AERtextitalic"/>
        </w:rPr>
        <w:t>Energex, Ergon Energy and ETSA Utilities</w:t>
      </w:r>
      <w:r w:rsidRPr="00F84878">
        <w:rPr>
          <w:rStyle w:val="AERtextitalic"/>
        </w:rPr>
        <w:t>: 201</w:t>
      </w:r>
      <w:r>
        <w:rPr>
          <w:rStyle w:val="AERtextitalic"/>
        </w:rPr>
        <w:t>0</w:t>
      </w:r>
      <w:r w:rsidRPr="00F84878">
        <w:rPr>
          <w:rStyle w:val="AERtextitalic"/>
        </w:rPr>
        <w:t>–15</w:t>
      </w:r>
      <w:r w:rsidRPr="00F84878">
        <w:t>,</w:t>
      </w:r>
      <w:r>
        <w:t xml:space="preserve"> 17</w:t>
      </w:r>
      <w:r w:rsidRPr="00F84878">
        <w:t xml:space="preserve"> </w:t>
      </w:r>
      <w:r>
        <w:t>October</w:t>
      </w:r>
      <w:r w:rsidRPr="00F84878">
        <w:t xml:space="preserve"> 200</w:t>
      </w:r>
      <w:r>
        <w:t xml:space="preserve">8 (AER, </w:t>
      </w:r>
      <w:r w:rsidRPr="00877187">
        <w:rPr>
          <w:rStyle w:val="AERtextitalic"/>
        </w:rPr>
        <w:t>DMIA for QLD and SA distributors</w:t>
      </w:r>
      <w:r>
        <w:t>, October 2008)</w:t>
      </w:r>
      <w:r w:rsidRPr="00F84878">
        <w:t>.</w:t>
      </w:r>
    </w:p>
  </w:footnote>
  <w:footnote w:id="4">
    <w:p w:rsidR="00187459" w:rsidRDefault="00187459" w:rsidP="00187459">
      <w:pPr>
        <w:pStyle w:val="FootnoteText"/>
      </w:pPr>
      <w:r>
        <w:rPr>
          <w:rStyle w:val="FootnoteReference"/>
        </w:rPr>
        <w:footnoteRef/>
      </w:r>
      <w:r>
        <w:t xml:space="preserve"> </w:t>
      </w:r>
      <w:r>
        <w:tab/>
      </w:r>
      <w:r w:rsidRPr="00E95D15">
        <w:t>The DMIA excludes the costs of demand management initiatives approved in our determination for the 2011</w:t>
      </w:r>
      <w:r w:rsidRPr="00E95D15">
        <w:rPr>
          <w:rFonts w:cs="Gautami"/>
        </w:rPr>
        <w:t>–</w:t>
      </w:r>
      <w:r w:rsidRPr="00E95D15">
        <w:t xml:space="preserve">15 regulatory control </w:t>
      </w:r>
      <w:proofErr w:type="gramStart"/>
      <w:r w:rsidRPr="00E95D15">
        <w:t>period</w:t>
      </w:r>
      <w:proofErr w:type="gramEnd"/>
      <w:r w:rsidRPr="00E95D15">
        <w:rPr>
          <w:rStyle w:val="AERtextitalic"/>
        </w:rPr>
        <w:t>.</w:t>
      </w:r>
    </w:p>
  </w:footnote>
  <w:footnote w:id="5">
    <w:p w:rsidR="00187459" w:rsidRDefault="00187459" w:rsidP="00187459">
      <w:pPr>
        <w:pStyle w:val="FootnoteText"/>
      </w:pPr>
      <w:r>
        <w:rPr>
          <w:rStyle w:val="FootnoteReference"/>
        </w:rPr>
        <w:footnoteRef/>
      </w:r>
      <w:r>
        <w:t xml:space="preserve"> </w:t>
      </w:r>
      <w:r>
        <w:tab/>
      </w:r>
      <w:proofErr w:type="gramStart"/>
      <w:r>
        <w:t xml:space="preserve">AER, </w:t>
      </w:r>
      <w:r w:rsidRPr="00877187">
        <w:rPr>
          <w:rStyle w:val="AERtextitalic"/>
        </w:rPr>
        <w:t>DMIA for QLD and SA distributors</w:t>
      </w:r>
      <w:r>
        <w:t xml:space="preserve">, October 2008, </w:t>
      </w:r>
      <w:r w:rsidRPr="00F84878">
        <w:t xml:space="preserve">pp. </w:t>
      </w:r>
      <w:r>
        <w:t>5</w:t>
      </w:r>
      <w:r w:rsidR="00877187">
        <w:rPr>
          <w:rFonts w:cs="Arial"/>
        </w:rPr>
        <w:t>─</w:t>
      </w:r>
      <w:r>
        <w:t>6</w:t>
      </w:r>
      <w:r w:rsidRPr="00F84878">
        <w:t>.</w:t>
      </w:r>
      <w:proofErr w:type="gramEnd"/>
    </w:p>
  </w:footnote>
  <w:footnote w:id="6">
    <w:p w:rsidR="00D35EA5" w:rsidRPr="003534C1" w:rsidRDefault="00D35EA5" w:rsidP="00D35EA5">
      <w:pPr>
        <w:pStyle w:val="FootnoteText"/>
        <w:rPr>
          <w:rStyle w:val="Emphasis"/>
        </w:rPr>
      </w:pPr>
      <w:r>
        <w:rPr>
          <w:rStyle w:val="FootnoteReference"/>
        </w:rPr>
        <w:footnoteRef/>
      </w:r>
      <w:r>
        <w:t xml:space="preserve"> </w:t>
      </w:r>
      <w:r>
        <w:tab/>
      </w:r>
      <w:proofErr w:type="gramStart"/>
      <w:r w:rsidRPr="00AE5088">
        <w:t xml:space="preserve">AER, </w:t>
      </w:r>
      <w:r w:rsidRPr="00AE5088">
        <w:rPr>
          <w:rStyle w:val="Emphasis"/>
        </w:rPr>
        <w:t xml:space="preserve">Preliminary decision </w:t>
      </w:r>
      <w:r>
        <w:rPr>
          <w:rStyle w:val="Emphasis"/>
        </w:rPr>
        <w:t>Energex</w:t>
      </w:r>
      <w:r w:rsidRPr="00AE5088">
        <w:rPr>
          <w:rStyle w:val="Emphasis"/>
        </w:rPr>
        <w:t xml:space="preserve"> distribution determination, Attachment 12 – Demand management incentive scheme</w:t>
      </w:r>
      <w:r>
        <w:t>, April 2015, p.</w:t>
      </w:r>
      <w:r w:rsidR="00591E34">
        <w:t xml:space="preserve"> </w:t>
      </w:r>
      <w:r w:rsidR="004630BF">
        <w:t>7</w:t>
      </w:r>
      <w:r>
        <w:t>.</w:t>
      </w:r>
      <w:proofErr w:type="gramEnd"/>
    </w:p>
  </w:footnote>
  <w:footnote w:id="7">
    <w:p w:rsidR="00591E34" w:rsidRDefault="00591E34" w:rsidP="00877187">
      <w:pPr>
        <w:pStyle w:val="FootnoteText"/>
      </w:pPr>
      <w:r>
        <w:rPr>
          <w:rStyle w:val="FootnoteReference"/>
        </w:rPr>
        <w:footnoteRef/>
      </w:r>
      <w:r>
        <w:t xml:space="preserve"> </w:t>
      </w:r>
      <w:r>
        <w:tab/>
      </w:r>
      <w:proofErr w:type="gramStart"/>
      <w:r>
        <w:t>Energex,</w:t>
      </w:r>
      <w:proofErr w:type="gramEnd"/>
      <w:r>
        <w:t xml:space="preserve"> </w:t>
      </w:r>
      <w:r>
        <w:rPr>
          <w:rStyle w:val="Emphasis"/>
        </w:rPr>
        <w:t xml:space="preserve">Revised Regulatory Proposal, </w:t>
      </w:r>
      <w:r w:rsidRPr="00877187">
        <w:t>3 July 2015, p. 131</w:t>
      </w:r>
      <w:r w:rsidRPr="006A6453">
        <w:rPr>
          <w:rStyle w:val="Emphasis"/>
        </w:rPr>
        <w:t>.</w:t>
      </w:r>
    </w:p>
  </w:footnote>
  <w:footnote w:id="8">
    <w:p w:rsidR="004630BF" w:rsidRDefault="004630BF" w:rsidP="004630BF">
      <w:pPr>
        <w:pStyle w:val="FootnoteText"/>
      </w:pPr>
      <w:r>
        <w:rPr>
          <w:rStyle w:val="FootnoteReference"/>
        </w:rPr>
        <w:footnoteRef/>
      </w:r>
      <w:r>
        <w:t xml:space="preserve"> </w:t>
      </w:r>
      <w:r>
        <w:tab/>
      </w:r>
      <w:proofErr w:type="gramStart"/>
      <w:r>
        <w:t>NER, cl</w:t>
      </w:r>
      <w:r w:rsidR="00877187">
        <w:t>.</w:t>
      </w:r>
      <w:r>
        <w:t xml:space="preserve"> 6.6.3(b).</w:t>
      </w:r>
      <w:proofErr w:type="gramEnd"/>
    </w:p>
  </w:footnote>
  <w:footnote w:id="9">
    <w:p w:rsidR="004630BF" w:rsidRDefault="004630BF" w:rsidP="004630BF">
      <w:pPr>
        <w:pStyle w:val="FootnoteText"/>
      </w:pPr>
      <w:r>
        <w:rPr>
          <w:rStyle w:val="FootnoteReference"/>
        </w:rPr>
        <w:footnoteRef/>
      </w:r>
      <w:r>
        <w:t xml:space="preserve"> </w:t>
      </w:r>
      <w:r>
        <w:tab/>
      </w:r>
      <w:proofErr w:type="gramStart"/>
      <w:r w:rsidRPr="003534C1">
        <w:rPr>
          <w:rStyle w:val="Emphasis"/>
        </w:rPr>
        <w:t>AER,</w:t>
      </w:r>
      <w:r w:rsidR="006A6453">
        <w:rPr>
          <w:rStyle w:val="Emphasis"/>
        </w:rPr>
        <w:t xml:space="preserve"> </w:t>
      </w:r>
      <w:r w:rsidR="00877187">
        <w:rPr>
          <w:rStyle w:val="Emphasis"/>
        </w:rPr>
        <w:t>Final f</w:t>
      </w:r>
      <w:r w:rsidRPr="003534C1">
        <w:rPr>
          <w:rStyle w:val="Emphasis"/>
        </w:rPr>
        <w:t>ramework and Approach,</w:t>
      </w:r>
      <w:r>
        <w:t xml:space="preserve"> April 2014, p.</w:t>
      </w:r>
      <w:r w:rsidR="006A6453">
        <w:t>126</w:t>
      </w:r>
      <w:r>
        <w:t>.</w:t>
      </w:r>
      <w:proofErr w:type="gramEnd"/>
      <w:r>
        <w:t xml:space="preserve"> </w:t>
      </w:r>
    </w:p>
  </w:footnote>
  <w:footnote w:id="10">
    <w:p w:rsidR="004630BF" w:rsidRDefault="004630BF" w:rsidP="004630BF">
      <w:pPr>
        <w:pStyle w:val="FootnoteText"/>
      </w:pPr>
      <w:r>
        <w:rPr>
          <w:rStyle w:val="FootnoteReference"/>
        </w:rPr>
        <w:footnoteRef/>
      </w:r>
      <w:r>
        <w:t xml:space="preserve"> </w:t>
      </w:r>
      <w:r>
        <w:tab/>
      </w:r>
      <w:proofErr w:type="gramStart"/>
      <w:r w:rsidR="006A6453" w:rsidRPr="00AE5088">
        <w:t xml:space="preserve">AER, </w:t>
      </w:r>
      <w:r w:rsidR="006A6453" w:rsidRPr="00AE5088">
        <w:rPr>
          <w:rStyle w:val="Emphasis"/>
        </w:rPr>
        <w:t xml:space="preserve">Preliminary decision </w:t>
      </w:r>
      <w:r w:rsidR="006A6453">
        <w:rPr>
          <w:rStyle w:val="Emphasis"/>
        </w:rPr>
        <w:t>Energex</w:t>
      </w:r>
      <w:r w:rsidR="006A6453" w:rsidRPr="00AE5088">
        <w:rPr>
          <w:rStyle w:val="Emphasis"/>
        </w:rPr>
        <w:t xml:space="preserve"> distribution determination 2015-16 to 2019-20, Attachment 12 – Demand management incentive scheme</w:t>
      </w:r>
      <w:r w:rsidR="006A6453">
        <w:t>, April 2015, pp. 7</w:t>
      </w:r>
      <w:r w:rsidR="00877187">
        <w:rPr>
          <w:rFonts w:cs="Arial"/>
        </w:rPr>
        <w:t>─</w:t>
      </w:r>
      <w:r w:rsidR="006A6453">
        <w:t>8.</w:t>
      </w:r>
      <w:proofErr w:type="gramEnd"/>
    </w:p>
  </w:footnote>
  <w:footnote w:id="11">
    <w:p w:rsidR="006A6453" w:rsidRDefault="006A6453" w:rsidP="006A6453">
      <w:pPr>
        <w:pStyle w:val="FootnoteText"/>
      </w:pPr>
      <w:r>
        <w:rPr>
          <w:rStyle w:val="FootnoteReference"/>
        </w:rPr>
        <w:footnoteRef/>
      </w:r>
      <w:r>
        <w:t xml:space="preserve"> </w:t>
      </w:r>
      <w:r>
        <w:tab/>
      </w:r>
      <w:proofErr w:type="gramStart"/>
      <w:r>
        <w:t>Energex,</w:t>
      </w:r>
      <w:proofErr w:type="gramEnd"/>
      <w:r>
        <w:t xml:space="preserve"> </w:t>
      </w:r>
      <w:r>
        <w:rPr>
          <w:rStyle w:val="Emphasis"/>
        </w:rPr>
        <w:t xml:space="preserve">Revised Regulatory Proposal, </w:t>
      </w:r>
      <w:r w:rsidRPr="006A6453">
        <w:rPr>
          <w:rStyle w:val="Emphasis"/>
        </w:rPr>
        <w:t>3 July 2015, p</w:t>
      </w:r>
      <w:r w:rsidR="00591E34">
        <w:rPr>
          <w:rStyle w:val="Emphasis"/>
        </w:rPr>
        <w:t>.</w:t>
      </w:r>
      <w:r w:rsidRPr="006A6453">
        <w:rPr>
          <w:rStyle w:val="Emphasis"/>
        </w:rPr>
        <w:t xml:space="preserve"> </w:t>
      </w:r>
      <w:r>
        <w:rPr>
          <w:rStyle w:val="Emphasis"/>
        </w:rPr>
        <w:t xml:space="preserve">131 </w:t>
      </w:r>
      <w:r w:rsidRPr="006A6453">
        <w:rPr>
          <w:rStyle w:val="Emphasis"/>
        </w:rPr>
        <w:t>(Energex</w:t>
      </w:r>
      <w:r>
        <w:rPr>
          <w:rStyle w:val="Emphasis"/>
        </w:rPr>
        <w:t xml:space="preserve">, </w:t>
      </w:r>
      <w:r w:rsidRPr="006A6453">
        <w:rPr>
          <w:rStyle w:val="Emphasis"/>
        </w:rPr>
        <w:t>Revised Regulatory Proposal, July 2015).</w:t>
      </w:r>
    </w:p>
  </w:footnote>
  <w:footnote w:id="12">
    <w:p w:rsidR="00EC1DD1" w:rsidRPr="00877187" w:rsidRDefault="00EC1DD1" w:rsidP="00877187">
      <w:pPr>
        <w:pStyle w:val="FootnoteText"/>
      </w:pPr>
      <w:r>
        <w:rPr>
          <w:rStyle w:val="FootnoteReference"/>
        </w:rPr>
        <w:footnoteRef/>
      </w:r>
      <w:r>
        <w:t xml:space="preserve"> </w:t>
      </w:r>
      <w:r>
        <w:tab/>
      </w:r>
      <w:proofErr w:type="gramStart"/>
      <w:r>
        <w:t xml:space="preserve">TEC, </w:t>
      </w:r>
      <w:r w:rsidRPr="001E3E0E">
        <w:rPr>
          <w:rStyle w:val="Emphasis"/>
        </w:rPr>
        <w:t>Submission to the AER on the Preliminary Decisions on the QLD DBs' Regulatory Proposals 2015</w:t>
      </w:r>
      <w:r w:rsidR="00877187">
        <w:rPr>
          <w:rStyle w:val="Emphasis"/>
          <w:rFonts w:cs="Arial"/>
        </w:rPr>
        <w:t>─</w:t>
      </w:r>
      <w:r w:rsidRPr="001E3E0E">
        <w:rPr>
          <w:rStyle w:val="Emphasis"/>
        </w:rPr>
        <w:t>20</w:t>
      </w:r>
      <w:r>
        <w:rPr>
          <w:rStyle w:val="Emphasis"/>
        </w:rPr>
        <w:t xml:space="preserve">, </w:t>
      </w:r>
      <w:r w:rsidRPr="00877187">
        <w:t>July 2015, pp.</w:t>
      </w:r>
      <w:r w:rsidR="00FB611C" w:rsidRPr="00877187">
        <w:t xml:space="preserve"> </w:t>
      </w:r>
      <w:r w:rsidRPr="00877187">
        <w:t>2</w:t>
      </w:r>
      <w:r w:rsidR="00877187">
        <w:rPr>
          <w:rFonts w:cs="Arial"/>
        </w:rPr>
        <w:t>─</w:t>
      </w:r>
      <w:r w:rsidRPr="00877187">
        <w:t>9.</w:t>
      </w:r>
      <w:proofErr w:type="gramEnd"/>
    </w:p>
  </w:footnote>
  <w:footnote w:id="13">
    <w:p w:rsidR="006A6453" w:rsidRDefault="006A6453" w:rsidP="006A6453">
      <w:pPr>
        <w:pStyle w:val="FootnoteText"/>
      </w:pPr>
      <w:r>
        <w:rPr>
          <w:rStyle w:val="FootnoteReference"/>
        </w:rPr>
        <w:footnoteRef/>
      </w:r>
      <w:r>
        <w:t xml:space="preserve"> </w:t>
      </w:r>
      <w:r>
        <w:tab/>
      </w:r>
      <w:r w:rsidRPr="00746498">
        <w:t xml:space="preserve">AEMC, </w:t>
      </w:r>
      <w:r w:rsidRPr="00877187">
        <w:rPr>
          <w:rStyle w:val="AERtextitalic"/>
        </w:rPr>
        <w:t>Rule Determination, National Electricity Amendment (Demand Management Incentive Sc</w:t>
      </w:r>
      <w:r w:rsidR="00FB611C" w:rsidRPr="00877187">
        <w:rPr>
          <w:rStyle w:val="AERtextitalic"/>
        </w:rPr>
        <w:t>heme) Rule 2015</w:t>
      </w:r>
      <w:r w:rsidR="00FB611C">
        <w:t>, 20 August 2015</w:t>
      </w:r>
      <w:r w:rsidRPr="00746498">
        <w:t>:</w:t>
      </w:r>
      <w:r w:rsidRPr="00E57A97">
        <w:t xml:space="preserve"> </w:t>
      </w:r>
      <w:hyperlink r:id="rId1" w:history="1">
        <w:r w:rsidRPr="002A02EC">
          <w:rPr>
            <w:rStyle w:val="Hyperlink"/>
            <w:sz w:val="16"/>
          </w:rPr>
          <w:t>http://www.aemc.gov.au/getattachment/f866b41b-753b-471c-91cf-4f558ca130b2/Final-rule-determination.aspx</w:t>
        </w:r>
      </w:hyperlink>
      <w: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4C752B7"/>
    <w:multiLevelType w:val="multilevel"/>
    <w:tmpl w:val="950A1C52"/>
    <w:numStyleLink w:val="AERHeadings"/>
  </w:abstractNum>
  <w:abstractNum w:abstractNumId="13">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4">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41317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8">
    <w:nsid w:val="2A7A4051"/>
    <w:multiLevelType w:val="multilevel"/>
    <w:tmpl w:val="C04EFA60"/>
    <w:lvl w:ilvl="0">
      <w:start w:val="1"/>
      <w:numFmt w:val="upperLetter"/>
      <w:lvlText w:val="%1"/>
      <w:lvlJc w:val="left"/>
      <w:pPr>
        <w:ind w:left="340" w:hanging="340"/>
      </w:pPr>
      <w:rPr>
        <w:rFonts w:hint="default"/>
      </w:rPr>
    </w:lvl>
    <w:lvl w:ilvl="1">
      <w:start w:val="1"/>
      <w:numFmt w:val="decimal"/>
      <w:lvlRestart w:val="0"/>
      <w:lvlText w:val="%1.%2"/>
      <w:lvlJc w:val="left"/>
      <w:pPr>
        <w:tabs>
          <w:tab w:val="num" w:pos="1021"/>
        </w:tabs>
        <w:ind w:left="1021" w:hanging="102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9">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2"/>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0">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41412A8D"/>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nsid w:val="443F74CB"/>
    <w:multiLevelType w:val="hybridMultilevel"/>
    <w:tmpl w:val="5FB40038"/>
    <w:lvl w:ilvl="0" w:tplc="921A7DDA">
      <w:start w:val="1"/>
      <w:numFmt w:val="decimal"/>
      <w:lvlText w:val="%1."/>
      <w:lvlJc w:val="left"/>
      <w:pPr>
        <w:tabs>
          <w:tab w:val="num" w:pos="357"/>
        </w:tabs>
        <w:ind w:left="357" w:hanging="357"/>
      </w:pPr>
      <w:rPr>
        <w:rFonts w:ascii="Gautami" w:hAnsi="Gautami" w:hint="default"/>
        <w:b w:val="0"/>
        <w:i w:val="0"/>
        <w:sz w:val="22"/>
      </w:rPr>
    </w:lvl>
    <w:lvl w:ilvl="1" w:tplc="6A7A61AE">
      <w:start w:val="1"/>
      <w:numFmt w:val="bullet"/>
      <w:lvlText w:val=""/>
      <w:lvlJc w:val="left"/>
      <w:pPr>
        <w:tabs>
          <w:tab w:val="num" w:pos="4498"/>
        </w:tabs>
        <w:ind w:left="4498" w:hanging="358"/>
      </w:pPr>
      <w:rPr>
        <w:rFonts w:ascii="Wingdings" w:hAnsi="Wingdings" w:hint="default"/>
        <w:b w:val="0"/>
        <w:i w:val="0"/>
        <w:sz w:val="22"/>
      </w:rPr>
    </w:lvl>
    <w:lvl w:ilvl="2" w:tplc="0C090005" w:tentative="1">
      <w:start w:val="1"/>
      <w:numFmt w:val="lowerRoman"/>
      <w:lvlText w:val="%3."/>
      <w:lvlJc w:val="right"/>
      <w:pPr>
        <w:tabs>
          <w:tab w:val="num" w:pos="5220"/>
        </w:tabs>
        <w:ind w:left="5220" w:hanging="180"/>
      </w:pPr>
    </w:lvl>
    <w:lvl w:ilvl="3" w:tplc="0C090001" w:tentative="1">
      <w:start w:val="1"/>
      <w:numFmt w:val="decimal"/>
      <w:lvlText w:val="%4."/>
      <w:lvlJc w:val="left"/>
      <w:pPr>
        <w:tabs>
          <w:tab w:val="num" w:pos="5940"/>
        </w:tabs>
        <w:ind w:left="5940" w:hanging="360"/>
      </w:pPr>
    </w:lvl>
    <w:lvl w:ilvl="4" w:tplc="0C090003">
      <w:start w:val="1"/>
      <w:numFmt w:val="lowerLetter"/>
      <w:lvlText w:val="%5."/>
      <w:lvlJc w:val="left"/>
      <w:pPr>
        <w:tabs>
          <w:tab w:val="num" w:pos="6660"/>
        </w:tabs>
        <w:ind w:left="6660" w:hanging="360"/>
      </w:pPr>
    </w:lvl>
    <w:lvl w:ilvl="5" w:tplc="0C090005">
      <w:start w:val="1"/>
      <w:numFmt w:val="lowerRoman"/>
      <w:lvlText w:val="%6."/>
      <w:lvlJc w:val="right"/>
      <w:pPr>
        <w:tabs>
          <w:tab w:val="num" w:pos="7380"/>
        </w:tabs>
        <w:ind w:left="7380" w:hanging="180"/>
      </w:pPr>
    </w:lvl>
    <w:lvl w:ilvl="6" w:tplc="0C090001" w:tentative="1">
      <w:start w:val="1"/>
      <w:numFmt w:val="decimal"/>
      <w:lvlText w:val="%7."/>
      <w:lvlJc w:val="left"/>
      <w:pPr>
        <w:tabs>
          <w:tab w:val="num" w:pos="8100"/>
        </w:tabs>
        <w:ind w:left="8100" w:hanging="360"/>
      </w:pPr>
    </w:lvl>
    <w:lvl w:ilvl="7" w:tplc="0C090003" w:tentative="1">
      <w:start w:val="1"/>
      <w:numFmt w:val="lowerLetter"/>
      <w:lvlText w:val="%8."/>
      <w:lvlJc w:val="left"/>
      <w:pPr>
        <w:tabs>
          <w:tab w:val="num" w:pos="8820"/>
        </w:tabs>
        <w:ind w:left="8820" w:hanging="360"/>
      </w:pPr>
    </w:lvl>
    <w:lvl w:ilvl="8" w:tplc="0C090005" w:tentative="1">
      <w:start w:val="1"/>
      <w:numFmt w:val="lowerRoman"/>
      <w:lvlText w:val="%9."/>
      <w:lvlJc w:val="right"/>
      <w:pPr>
        <w:tabs>
          <w:tab w:val="num" w:pos="9540"/>
        </w:tabs>
        <w:ind w:left="9540" w:hanging="180"/>
      </w:pPr>
    </w:lvl>
  </w:abstractNum>
  <w:abstractNum w:abstractNumId="24">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7">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9">
    <w:nsid w:val="5ECE4384"/>
    <w:multiLevelType w:val="multilevel"/>
    <w:tmpl w:val="2180786A"/>
    <w:lvl w:ilvl="0">
      <w:start w:val="12"/>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0">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1">
    <w:nsid w:val="6DE36827"/>
    <w:multiLevelType w:val="multilevel"/>
    <w:tmpl w:val="950A1C52"/>
    <w:numStyleLink w:val="AERHeadings"/>
  </w:abstractNum>
  <w:abstractNum w:abstractNumId="32">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71964B0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34"/>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0"/>
  </w:num>
  <w:num w:numId="13">
    <w:abstractNumId w:val="21"/>
  </w:num>
  <w:num w:numId="14">
    <w:abstractNumId w:val="10"/>
  </w:num>
  <w:num w:numId="15">
    <w:abstractNumId w:val="13"/>
  </w:num>
  <w:num w:numId="16">
    <w:abstractNumId w:val="24"/>
  </w:num>
  <w:num w:numId="17">
    <w:abstractNumId w:val="9"/>
  </w:num>
  <w:num w:numId="18">
    <w:abstractNumId w:val="17"/>
  </w:num>
  <w:num w:numId="19">
    <w:abstractNumId w:val="25"/>
  </w:num>
  <w:num w:numId="20">
    <w:abstractNumId w:val="32"/>
  </w:num>
  <w:num w:numId="21">
    <w:abstractNumId w:val="14"/>
  </w:num>
  <w:num w:numId="22">
    <w:abstractNumId w:val="28"/>
  </w:num>
  <w:num w:numId="23">
    <w:abstractNumId w:val="26"/>
  </w:num>
  <w:num w:numId="24">
    <w:abstractNumId w:val="19"/>
  </w:num>
  <w:num w:numId="25">
    <w:abstractNumId w:val="27"/>
  </w:num>
  <w:num w:numId="26">
    <w:abstractNumId w:val="29"/>
  </w:num>
  <w:num w:numId="27">
    <w:abstractNumId w:val="20"/>
  </w:num>
  <w:num w:numId="28">
    <w:abstractNumId w:val="18"/>
  </w:num>
  <w:num w:numId="29">
    <w:abstractNumId w:val="16"/>
  </w:num>
  <w:num w:numId="30">
    <w:abstractNumId w:val="33"/>
  </w:num>
  <w:num w:numId="31">
    <w:abstractNumId w:val="15"/>
  </w:num>
  <w:num w:numId="32">
    <w:abstractNumId w:val="22"/>
  </w:num>
  <w:num w:numId="33">
    <w:abstractNumId w:val="19"/>
    <w:lvlOverride w:ilvl="0">
      <w:lvl w:ilvl="0">
        <w:start w:val="1"/>
        <w:numFmt w:val="none"/>
        <w:lvlText w:val="%1"/>
        <w:lvlJc w:val="left"/>
        <w:pPr>
          <w:tabs>
            <w:tab w:val="num" w:pos="0"/>
          </w:tabs>
          <w:ind w:left="0" w:firstLine="0"/>
        </w:pPr>
        <w:rPr>
          <w:rFonts w:hint="default"/>
        </w:rPr>
      </w:lvl>
    </w:lvlOverride>
    <w:lvlOverride w:ilvl="1">
      <w:lvl w:ilvl="1">
        <w:start w:val="7"/>
        <w:numFmt w:val="decimal"/>
        <w:lvlText w:val="%2"/>
        <w:lvlJc w:val="left"/>
        <w:pPr>
          <w:tabs>
            <w:tab w:val="num" w:pos="0"/>
          </w:tabs>
          <w:ind w:left="0" w:hanging="851"/>
        </w:pPr>
        <w:rPr>
          <w:rFonts w:ascii="Gautami" w:eastAsia="Times New Roman" w:hAnsi="Gautami" w:cs="Times New Roman"/>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4">
    <w:abstractNumId w:val="19"/>
    <w:lvlOverride w:ilvl="0">
      <w:startOverride w:val="1"/>
      <w:lvl w:ilvl="0">
        <w:start w:val="1"/>
        <w:numFmt w:val="none"/>
        <w:lvlText w:val="%1"/>
        <w:lvlJc w:val="left"/>
        <w:pPr>
          <w:tabs>
            <w:tab w:val="num" w:pos="0"/>
          </w:tabs>
          <w:ind w:left="0" w:firstLine="0"/>
        </w:pPr>
        <w:rPr>
          <w:rFonts w:hint="default"/>
        </w:rPr>
      </w:lvl>
    </w:lvlOverride>
    <w:lvlOverride w:ilvl="1">
      <w:startOverride w:val="16"/>
      <w:lvl w:ilvl="1">
        <w:start w:val="16"/>
        <w:numFmt w:val="decimal"/>
        <w:lvlText w:val="%2"/>
        <w:lvlJc w:val="left"/>
        <w:pPr>
          <w:tabs>
            <w:tab w:val="num" w:pos="0"/>
          </w:tabs>
          <w:ind w:left="0" w:hanging="851"/>
        </w:pPr>
        <w:rPr>
          <w:rFonts w:ascii="Gautami" w:eastAsia="Times New Roman" w:hAnsi="Gautami" w:cs="Times New Roman"/>
        </w:rPr>
      </w:lvl>
    </w:lvlOverride>
  </w:num>
  <w:num w:numId="35">
    <w:abstractNumId w:val="19"/>
    <w:lvlOverride w:ilvl="0">
      <w:startOverride w:val="1"/>
      <w:lvl w:ilvl="0">
        <w:start w:val="1"/>
        <w:numFmt w:val="none"/>
        <w:lvlText w:val="%1"/>
        <w:lvlJc w:val="left"/>
        <w:pPr>
          <w:tabs>
            <w:tab w:val="num" w:pos="0"/>
          </w:tabs>
          <w:ind w:left="0" w:firstLine="0"/>
        </w:pPr>
        <w:rPr>
          <w:rFonts w:hint="default"/>
        </w:rPr>
      </w:lvl>
    </w:lvlOverride>
    <w:lvlOverride w:ilvl="1">
      <w:startOverride w:val="18"/>
      <w:lvl w:ilvl="1">
        <w:start w:val="18"/>
        <w:numFmt w:val="decimal"/>
        <w:lvlText w:val="%2"/>
        <w:lvlJc w:val="left"/>
        <w:pPr>
          <w:tabs>
            <w:tab w:val="num" w:pos="0"/>
          </w:tabs>
          <w:ind w:left="0" w:hanging="851"/>
        </w:pPr>
        <w:rPr>
          <w:rFonts w:ascii="Gautami" w:eastAsia="Times New Roman" w:hAnsi="Gautami" w:cs="Times New Roman"/>
        </w:rPr>
      </w:lvl>
    </w:lvlOverride>
  </w:num>
  <w:num w:numId="36">
    <w:abstractNumId w:val="31"/>
  </w:num>
  <w:num w:numId="37">
    <w:abstractNumId w:val="12"/>
  </w:num>
  <w:num w:numId="38">
    <w:abstractNumId w:val="23"/>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trackRevisions/>
  <w:documentProtection w:formatting="1" w:enforcement="1" w:spinCount="100000" w:hashValue="tOVqAPUU8iWBmbFtr7FQdUzNPGo2KZjnVrJ/A1dlW9k=" w:saltValue="F1QEYPMn6vIsX7dk9fxWvg==" w:algorithmName="SHA-256"/>
  <w:defaultTabStop w:val="340"/>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7604\AER15 186  DOC FINALISED - NO CHANGES - NEW - Energex - prelim decision - Attach 12 - DMIS.DOCX"/>
  </w:docVars>
  <w:rsids>
    <w:rsidRoot w:val="00961A4A"/>
    <w:rsid w:val="00021202"/>
    <w:rsid w:val="0002517F"/>
    <w:rsid w:val="000321C8"/>
    <w:rsid w:val="0003578C"/>
    <w:rsid w:val="00063247"/>
    <w:rsid w:val="00070F9F"/>
    <w:rsid w:val="0007137B"/>
    <w:rsid w:val="00085663"/>
    <w:rsid w:val="00085EBF"/>
    <w:rsid w:val="000A3020"/>
    <w:rsid w:val="000A6C7B"/>
    <w:rsid w:val="000B10B2"/>
    <w:rsid w:val="000D122C"/>
    <w:rsid w:val="000D34FE"/>
    <w:rsid w:val="000E1819"/>
    <w:rsid w:val="000E4821"/>
    <w:rsid w:val="000E6C72"/>
    <w:rsid w:val="000F7E58"/>
    <w:rsid w:val="00110279"/>
    <w:rsid w:val="00111CB4"/>
    <w:rsid w:val="00116EB2"/>
    <w:rsid w:val="001201F1"/>
    <w:rsid w:val="00121E62"/>
    <w:rsid w:val="00124239"/>
    <w:rsid w:val="00124609"/>
    <w:rsid w:val="00126A4C"/>
    <w:rsid w:val="0014573B"/>
    <w:rsid w:val="001523CB"/>
    <w:rsid w:val="001573E4"/>
    <w:rsid w:val="00160756"/>
    <w:rsid w:val="00161CA9"/>
    <w:rsid w:val="001621A0"/>
    <w:rsid w:val="00171304"/>
    <w:rsid w:val="0017232E"/>
    <w:rsid w:val="00174102"/>
    <w:rsid w:val="00180157"/>
    <w:rsid w:val="00185CB9"/>
    <w:rsid w:val="00186F77"/>
    <w:rsid w:val="00187459"/>
    <w:rsid w:val="001926A4"/>
    <w:rsid w:val="00192AD5"/>
    <w:rsid w:val="001B45A0"/>
    <w:rsid w:val="001D055E"/>
    <w:rsid w:val="001E3E0E"/>
    <w:rsid w:val="001F492E"/>
    <w:rsid w:val="001F6DA3"/>
    <w:rsid w:val="002010BC"/>
    <w:rsid w:val="00202E03"/>
    <w:rsid w:val="0020492C"/>
    <w:rsid w:val="00211AD0"/>
    <w:rsid w:val="00224DB9"/>
    <w:rsid w:val="00233775"/>
    <w:rsid w:val="00243F37"/>
    <w:rsid w:val="00251745"/>
    <w:rsid w:val="00263AC0"/>
    <w:rsid w:val="00264264"/>
    <w:rsid w:val="0026772D"/>
    <w:rsid w:val="00286874"/>
    <w:rsid w:val="00290C63"/>
    <w:rsid w:val="00294861"/>
    <w:rsid w:val="00296B65"/>
    <w:rsid w:val="002A4FE4"/>
    <w:rsid w:val="002A5200"/>
    <w:rsid w:val="002A6EFE"/>
    <w:rsid w:val="002A7DEF"/>
    <w:rsid w:val="002C214E"/>
    <w:rsid w:val="002D410F"/>
    <w:rsid w:val="002E7B22"/>
    <w:rsid w:val="002F7986"/>
    <w:rsid w:val="00301B40"/>
    <w:rsid w:val="003029EE"/>
    <w:rsid w:val="00305CC8"/>
    <w:rsid w:val="00307F6D"/>
    <w:rsid w:val="00310624"/>
    <w:rsid w:val="003177A2"/>
    <w:rsid w:val="003271B5"/>
    <w:rsid w:val="00327A1E"/>
    <w:rsid w:val="00331264"/>
    <w:rsid w:val="00334C8D"/>
    <w:rsid w:val="00343560"/>
    <w:rsid w:val="00343A18"/>
    <w:rsid w:val="003518B3"/>
    <w:rsid w:val="003846F1"/>
    <w:rsid w:val="003B33EB"/>
    <w:rsid w:val="003B484F"/>
    <w:rsid w:val="003E29D5"/>
    <w:rsid w:val="003F174D"/>
    <w:rsid w:val="00402207"/>
    <w:rsid w:val="0045777E"/>
    <w:rsid w:val="004630BF"/>
    <w:rsid w:val="00466E2F"/>
    <w:rsid w:val="00480B4B"/>
    <w:rsid w:val="00485DC4"/>
    <w:rsid w:val="004A43D1"/>
    <w:rsid w:val="004B4412"/>
    <w:rsid w:val="004C348C"/>
    <w:rsid w:val="004D55BA"/>
    <w:rsid w:val="004E22EC"/>
    <w:rsid w:val="00522AF3"/>
    <w:rsid w:val="00530128"/>
    <w:rsid w:val="00532467"/>
    <w:rsid w:val="00540600"/>
    <w:rsid w:val="00564A4D"/>
    <w:rsid w:val="00567BA5"/>
    <w:rsid w:val="00570B83"/>
    <w:rsid w:val="00571B35"/>
    <w:rsid w:val="00571D57"/>
    <w:rsid w:val="00577A09"/>
    <w:rsid w:val="005829C2"/>
    <w:rsid w:val="00584D8F"/>
    <w:rsid w:val="00591E34"/>
    <w:rsid w:val="005A404D"/>
    <w:rsid w:val="005B1E3C"/>
    <w:rsid w:val="005C26CC"/>
    <w:rsid w:val="005D7BA2"/>
    <w:rsid w:val="005E36C2"/>
    <w:rsid w:val="00615C6B"/>
    <w:rsid w:val="00621DCE"/>
    <w:rsid w:val="00632D6D"/>
    <w:rsid w:val="00642C3E"/>
    <w:rsid w:val="0066104A"/>
    <w:rsid w:val="0066284E"/>
    <w:rsid w:val="00663DAD"/>
    <w:rsid w:val="00672D65"/>
    <w:rsid w:val="00675E20"/>
    <w:rsid w:val="00676679"/>
    <w:rsid w:val="00683C89"/>
    <w:rsid w:val="0069449D"/>
    <w:rsid w:val="006A6453"/>
    <w:rsid w:val="006B2395"/>
    <w:rsid w:val="006B4CF9"/>
    <w:rsid w:val="006B6B62"/>
    <w:rsid w:val="006B7AC8"/>
    <w:rsid w:val="006D550F"/>
    <w:rsid w:val="00701CAB"/>
    <w:rsid w:val="00707563"/>
    <w:rsid w:val="0072348C"/>
    <w:rsid w:val="00724A37"/>
    <w:rsid w:val="007303C3"/>
    <w:rsid w:val="007429BE"/>
    <w:rsid w:val="00743223"/>
    <w:rsid w:val="00746E01"/>
    <w:rsid w:val="00757BDF"/>
    <w:rsid w:val="00763E5D"/>
    <w:rsid w:val="00767740"/>
    <w:rsid w:val="00777EE6"/>
    <w:rsid w:val="00782EEA"/>
    <w:rsid w:val="007835B7"/>
    <w:rsid w:val="007B2C72"/>
    <w:rsid w:val="007C1C53"/>
    <w:rsid w:val="007C3E02"/>
    <w:rsid w:val="007C74BB"/>
    <w:rsid w:val="007E4904"/>
    <w:rsid w:val="007E4CB5"/>
    <w:rsid w:val="007F066B"/>
    <w:rsid w:val="008033C4"/>
    <w:rsid w:val="00806C88"/>
    <w:rsid w:val="0081034E"/>
    <w:rsid w:val="008344F6"/>
    <w:rsid w:val="0083510F"/>
    <w:rsid w:val="00851209"/>
    <w:rsid w:val="00867111"/>
    <w:rsid w:val="00877187"/>
    <w:rsid w:val="008837AC"/>
    <w:rsid w:val="008A587D"/>
    <w:rsid w:val="008B35CD"/>
    <w:rsid w:val="008B5FCC"/>
    <w:rsid w:val="008C5486"/>
    <w:rsid w:val="008C6411"/>
    <w:rsid w:val="008D1661"/>
    <w:rsid w:val="008E7031"/>
    <w:rsid w:val="008E77DE"/>
    <w:rsid w:val="008F07A3"/>
    <w:rsid w:val="00900E1B"/>
    <w:rsid w:val="009233EE"/>
    <w:rsid w:val="00937125"/>
    <w:rsid w:val="009460AA"/>
    <w:rsid w:val="00947066"/>
    <w:rsid w:val="00951978"/>
    <w:rsid w:val="0095747F"/>
    <w:rsid w:val="00961A4A"/>
    <w:rsid w:val="009661DE"/>
    <w:rsid w:val="009736D6"/>
    <w:rsid w:val="00983C25"/>
    <w:rsid w:val="009856B7"/>
    <w:rsid w:val="00985C86"/>
    <w:rsid w:val="00986CDD"/>
    <w:rsid w:val="009A0480"/>
    <w:rsid w:val="009A5FC3"/>
    <w:rsid w:val="009B74B0"/>
    <w:rsid w:val="009C02C6"/>
    <w:rsid w:val="009D285B"/>
    <w:rsid w:val="009D6B46"/>
    <w:rsid w:val="009F4940"/>
    <w:rsid w:val="009F5BA1"/>
    <w:rsid w:val="00A02A88"/>
    <w:rsid w:val="00A0562E"/>
    <w:rsid w:val="00A0726D"/>
    <w:rsid w:val="00A07BC3"/>
    <w:rsid w:val="00A27E65"/>
    <w:rsid w:val="00A32FBB"/>
    <w:rsid w:val="00A428EE"/>
    <w:rsid w:val="00A4478A"/>
    <w:rsid w:val="00A44852"/>
    <w:rsid w:val="00A44E84"/>
    <w:rsid w:val="00A5528F"/>
    <w:rsid w:val="00A57D04"/>
    <w:rsid w:val="00A60A26"/>
    <w:rsid w:val="00A61598"/>
    <w:rsid w:val="00A84A99"/>
    <w:rsid w:val="00A84F46"/>
    <w:rsid w:val="00A871F4"/>
    <w:rsid w:val="00A9021D"/>
    <w:rsid w:val="00AC1B2C"/>
    <w:rsid w:val="00AC3264"/>
    <w:rsid w:val="00AC4AA0"/>
    <w:rsid w:val="00AD2DDE"/>
    <w:rsid w:val="00AE1BF1"/>
    <w:rsid w:val="00AE4815"/>
    <w:rsid w:val="00AF0DD2"/>
    <w:rsid w:val="00B13048"/>
    <w:rsid w:val="00B1716D"/>
    <w:rsid w:val="00B17A1D"/>
    <w:rsid w:val="00B17CE0"/>
    <w:rsid w:val="00B207A0"/>
    <w:rsid w:val="00B369D9"/>
    <w:rsid w:val="00B514DD"/>
    <w:rsid w:val="00B52AF0"/>
    <w:rsid w:val="00B561BD"/>
    <w:rsid w:val="00B56E03"/>
    <w:rsid w:val="00B665A4"/>
    <w:rsid w:val="00B8080B"/>
    <w:rsid w:val="00B80DAD"/>
    <w:rsid w:val="00B87BA5"/>
    <w:rsid w:val="00B87C39"/>
    <w:rsid w:val="00BA1CC3"/>
    <w:rsid w:val="00BA2E8A"/>
    <w:rsid w:val="00BA4665"/>
    <w:rsid w:val="00BB1214"/>
    <w:rsid w:val="00BB2FB2"/>
    <w:rsid w:val="00BB3304"/>
    <w:rsid w:val="00BD0E5C"/>
    <w:rsid w:val="00BD3446"/>
    <w:rsid w:val="00BD3A38"/>
    <w:rsid w:val="00BE1F1B"/>
    <w:rsid w:val="00BE47B5"/>
    <w:rsid w:val="00C15D56"/>
    <w:rsid w:val="00C25FA6"/>
    <w:rsid w:val="00C46469"/>
    <w:rsid w:val="00C506A0"/>
    <w:rsid w:val="00C538A9"/>
    <w:rsid w:val="00C53B5A"/>
    <w:rsid w:val="00C54F5A"/>
    <w:rsid w:val="00C569B4"/>
    <w:rsid w:val="00C6490C"/>
    <w:rsid w:val="00C67A92"/>
    <w:rsid w:val="00C8270C"/>
    <w:rsid w:val="00C83CED"/>
    <w:rsid w:val="00C86679"/>
    <w:rsid w:val="00CA489E"/>
    <w:rsid w:val="00CB0279"/>
    <w:rsid w:val="00CB666B"/>
    <w:rsid w:val="00CC7F1D"/>
    <w:rsid w:val="00D006AE"/>
    <w:rsid w:val="00D01CF0"/>
    <w:rsid w:val="00D0442A"/>
    <w:rsid w:val="00D35EA5"/>
    <w:rsid w:val="00D61388"/>
    <w:rsid w:val="00D61A54"/>
    <w:rsid w:val="00D64DEA"/>
    <w:rsid w:val="00D67509"/>
    <w:rsid w:val="00D7168E"/>
    <w:rsid w:val="00D71E57"/>
    <w:rsid w:val="00D80893"/>
    <w:rsid w:val="00D83FF0"/>
    <w:rsid w:val="00D84854"/>
    <w:rsid w:val="00D92CF1"/>
    <w:rsid w:val="00D92D38"/>
    <w:rsid w:val="00D950F5"/>
    <w:rsid w:val="00DA4752"/>
    <w:rsid w:val="00DA61F3"/>
    <w:rsid w:val="00DB0F93"/>
    <w:rsid w:val="00DB1A67"/>
    <w:rsid w:val="00DB5074"/>
    <w:rsid w:val="00DC7981"/>
    <w:rsid w:val="00DE1093"/>
    <w:rsid w:val="00DE4EFA"/>
    <w:rsid w:val="00DE5520"/>
    <w:rsid w:val="00DE563D"/>
    <w:rsid w:val="00E04818"/>
    <w:rsid w:val="00E06442"/>
    <w:rsid w:val="00E14389"/>
    <w:rsid w:val="00E23993"/>
    <w:rsid w:val="00E25B8C"/>
    <w:rsid w:val="00E444E7"/>
    <w:rsid w:val="00E463BF"/>
    <w:rsid w:val="00E65C85"/>
    <w:rsid w:val="00E66199"/>
    <w:rsid w:val="00E755EC"/>
    <w:rsid w:val="00E7624D"/>
    <w:rsid w:val="00EA3D42"/>
    <w:rsid w:val="00EA6B1B"/>
    <w:rsid w:val="00EC1DD1"/>
    <w:rsid w:val="00ED7323"/>
    <w:rsid w:val="00EE1407"/>
    <w:rsid w:val="00EE28F3"/>
    <w:rsid w:val="00EF5110"/>
    <w:rsid w:val="00F10411"/>
    <w:rsid w:val="00F15882"/>
    <w:rsid w:val="00F171E0"/>
    <w:rsid w:val="00F20BD3"/>
    <w:rsid w:val="00F373A5"/>
    <w:rsid w:val="00F47559"/>
    <w:rsid w:val="00F64C7B"/>
    <w:rsid w:val="00F676DD"/>
    <w:rsid w:val="00F705BD"/>
    <w:rsid w:val="00F7512B"/>
    <w:rsid w:val="00F75A26"/>
    <w:rsid w:val="00F76706"/>
    <w:rsid w:val="00F83123"/>
    <w:rsid w:val="00F83FAD"/>
    <w:rsid w:val="00F952A0"/>
    <w:rsid w:val="00FA3C7F"/>
    <w:rsid w:val="00FB611C"/>
    <w:rsid w:val="00FB74E2"/>
    <w:rsid w:val="00FC10C4"/>
    <w:rsid w:val="00FD5614"/>
    <w:rsid w:val="00FE0BE1"/>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39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69449D"/>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semiHidden/>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69449D"/>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semiHidden/>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www.aemc.gov.au/getattachment/f866b41b-753b-471c-91cf-4f558ca130b2/Final-rule-determination.aspx"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DD08DA4-ED3C-44D5-BF8F-B38C35145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917430E</Template>
  <TotalTime>0</TotalTime>
  <Pages>10</Pages>
  <Words>1602</Words>
  <Characters>9132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AER - Final decision distribution determination - Attachment 12 - DMIS - October 2015</dc:title>
  <dc:subject/>
  <dc:creator/>
  <cp:lastModifiedBy/>
  <cp:revision>1</cp:revision>
  <dcterms:created xsi:type="dcterms:W3CDTF">2015-10-23T07:03:00Z</dcterms:created>
  <dcterms:modified xsi:type="dcterms:W3CDTF">2015-10-23T07:04:00Z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8427658</vt:lpwstr>
  </property>
  <property fmtid="{D5CDD505-2E9C-101B-9397-08002B2CF9AE}" pid="3" name="_MarkAsFinal">
    <vt:bool>true</vt:bool>
  </property>
</Properties>
</file>