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509D029" wp14:editId="64836452">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750FDB" w:rsidP="008F07A3">
          <w:pPr>
            <w:pStyle w:val="ReportSubtitle"/>
          </w:pPr>
          <w:r>
            <w:t>FINAL</w:t>
          </w:r>
          <w:r w:rsidR="00DA4752">
            <w:t xml:space="preserve"> DECISION</w:t>
          </w:r>
        </w:p>
        <w:p w:rsidR="000A6C7B" w:rsidRDefault="001201F1"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DA078F">
            <w:t>2</w:t>
          </w:r>
          <w:r>
            <w:t xml:space="preserve"> </w:t>
          </w:r>
          <w:r>
            <w:rPr>
              <w:rFonts w:cs="Arial"/>
            </w:rPr>
            <w:t>−</w:t>
          </w:r>
          <w:r>
            <w:t xml:space="preserve"> </w:t>
          </w:r>
          <w:r w:rsidR="00DA078F">
            <w:t>Regulatory asset base</w:t>
          </w:r>
        </w:p>
        <w:p w:rsidR="000A6C7B" w:rsidRPr="00327A1E" w:rsidRDefault="00750FDB"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rsidRPr="00A700AB">
        <w:rPr>
          <w:rStyle w:val="AERbody"/>
        </w:rPr>
        <w:t>the</w:t>
      </w:r>
      <w:r>
        <w:t xml:space="preserv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DA61F3" w:rsidP="008F07A3">
      <w:pPr>
        <w:pStyle w:val="UnnumberedHeading"/>
        <w:numPr>
          <w:ilvl w:val="0"/>
          <w:numId w:val="24"/>
        </w:numPr>
      </w:pPr>
      <w:bookmarkStart w:id="0" w:name="_Toc404354899"/>
      <w:bookmarkStart w:id="1" w:name="_Toc404353070"/>
      <w:bookmarkStart w:id="2" w:name="_Toc404684201"/>
      <w:bookmarkStart w:id="3" w:name="_Toc404700923"/>
      <w:bookmarkStart w:id="4" w:name="_Toc425950471"/>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w:t>
      </w:r>
      <w:r w:rsidR="00750FDB">
        <w:t>final</w:t>
      </w:r>
      <w:r>
        <w:t xml:space="preserve"> decision on </w:t>
      </w:r>
      <w:r w:rsidR="001201F1">
        <w:t>Energex's</w:t>
      </w:r>
      <w:r>
        <w:t xml:space="preserve"> 2015–20 distribution determination. It should be read with </w:t>
      </w:r>
      <w:r w:rsidR="00A700AB">
        <w:t xml:space="preserve">all </w:t>
      </w:r>
      <w:r>
        <w:t xml:space="preserve">other parts of the </w:t>
      </w:r>
      <w:r w:rsidR="00750FDB">
        <w:t xml:space="preserve">final </w:t>
      </w:r>
      <w:r>
        <w:t>decision.</w:t>
      </w:r>
    </w:p>
    <w:p w:rsidR="008F07A3" w:rsidRDefault="008F07A3" w:rsidP="008F07A3">
      <w:pPr>
        <w:numPr>
          <w:ilvl w:val="0"/>
          <w:numId w:val="25"/>
        </w:numPr>
      </w:pPr>
      <w:r>
        <w:t xml:space="preserve">The </w:t>
      </w:r>
      <w:r w:rsidR="00750FDB">
        <w:t>final</w:t>
      </w:r>
      <w:r>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Attachment 18 – Connectio</w:t>
      </w:r>
      <w:bookmarkStart w:id="5" w:name="_GoBack"/>
      <w:bookmarkEnd w:id="5"/>
      <w:r>
        <w:t xml:space="preserve">n </w:t>
      </w:r>
      <w:r w:rsidR="00E60A0B">
        <w:t>policy</w:t>
      </w:r>
    </w:p>
    <w:p w:rsidR="008F07A3" w:rsidRPr="008F07A3" w:rsidRDefault="008F07A3" w:rsidP="008F07A3">
      <w:pPr>
        <w:sectPr w:rsidR="008F07A3" w:rsidRPr="008F07A3" w:rsidSect="00EE5F6C">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25950472"/>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B575E6"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25950471" w:history="1">
            <w:r w:rsidR="00B575E6" w:rsidRPr="00D67AB9">
              <w:rPr>
                <w:rStyle w:val="Hyperlink"/>
              </w:rPr>
              <w:t>Note</w:t>
            </w:r>
            <w:r w:rsidR="00B575E6">
              <w:rPr>
                <w:webHidden/>
              </w:rPr>
              <w:tab/>
            </w:r>
            <w:r w:rsidR="00B575E6">
              <w:rPr>
                <w:webHidden/>
              </w:rPr>
              <w:fldChar w:fldCharType="begin"/>
            </w:r>
            <w:r w:rsidR="00B575E6">
              <w:rPr>
                <w:webHidden/>
              </w:rPr>
              <w:instrText xml:space="preserve"> PAGEREF _Toc425950471 \h </w:instrText>
            </w:r>
            <w:r w:rsidR="00B575E6">
              <w:rPr>
                <w:webHidden/>
              </w:rPr>
            </w:r>
            <w:r w:rsidR="00B575E6">
              <w:rPr>
                <w:webHidden/>
              </w:rPr>
              <w:fldChar w:fldCharType="separate"/>
            </w:r>
            <w:r w:rsidR="00EE5F6C">
              <w:rPr>
                <w:webHidden/>
              </w:rPr>
              <w:t>2-2</w:t>
            </w:r>
            <w:r w:rsidR="00B575E6">
              <w:rPr>
                <w:webHidden/>
              </w:rPr>
              <w:fldChar w:fldCharType="end"/>
            </w:r>
          </w:hyperlink>
        </w:p>
        <w:p w:rsidR="00B575E6" w:rsidRDefault="00EB1228">
          <w:pPr>
            <w:pStyle w:val="TOC1"/>
            <w:rPr>
              <w:rFonts w:asciiTheme="minorHAnsi" w:eastAsiaTheme="minorEastAsia" w:hAnsiTheme="minorHAnsi"/>
              <w:b w:val="0"/>
              <w:color w:val="auto"/>
              <w:sz w:val="22"/>
              <w:lang w:val="en-AU" w:eastAsia="en-AU"/>
            </w:rPr>
          </w:pPr>
          <w:hyperlink w:anchor="_Toc425950472" w:history="1">
            <w:r w:rsidR="00B575E6" w:rsidRPr="00D67AB9">
              <w:rPr>
                <w:rStyle w:val="Hyperlink"/>
              </w:rPr>
              <w:t>Contents</w:t>
            </w:r>
            <w:r w:rsidR="00B575E6">
              <w:rPr>
                <w:webHidden/>
              </w:rPr>
              <w:tab/>
            </w:r>
            <w:r w:rsidR="00B575E6">
              <w:rPr>
                <w:webHidden/>
              </w:rPr>
              <w:fldChar w:fldCharType="begin"/>
            </w:r>
            <w:r w:rsidR="00B575E6">
              <w:rPr>
                <w:webHidden/>
              </w:rPr>
              <w:instrText xml:space="preserve"> PAGEREF _Toc425950472 \h </w:instrText>
            </w:r>
            <w:r w:rsidR="00B575E6">
              <w:rPr>
                <w:webHidden/>
              </w:rPr>
            </w:r>
            <w:r w:rsidR="00B575E6">
              <w:rPr>
                <w:webHidden/>
              </w:rPr>
              <w:fldChar w:fldCharType="separate"/>
            </w:r>
            <w:r w:rsidR="00EE5F6C">
              <w:rPr>
                <w:webHidden/>
              </w:rPr>
              <w:t>2-3</w:t>
            </w:r>
            <w:r w:rsidR="00B575E6">
              <w:rPr>
                <w:webHidden/>
              </w:rPr>
              <w:fldChar w:fldCharType="end"/>
            </w:r>
          </w:hyperlink>
        </w:p>
        <w:p w:rsidR="00B575E6" w:rsidRDefault="00EB1228">
          <w:pPr>
            <w:pStyle w:val="TOC1"/>
            <w:rPr>
              <w:rFonts w:asciiTheme="minorHAnsi" w:eastAsiaTheme="minorEastAsia" w:hAnsiTheme="minorHAnsi"/>
              <w:b w:val="0"/>
              <w:color w:val="auto"/>
              <w:sz w:val="22"/>
              <w:lang w:val="en-AU" w:eastAsia="en-AU"/>
            </w:rPr>
          </w:pPr>
          <w:hyperlink w:anchor="_Toc425950473" w:history="1">
            <w:r w:rsidR="00B575E6" w:rsidRPr="00D67AB9">
              <w:rPr>
                <w:rStyle w:val="Hyperlink"/>
              </w:rPr>
              <w:t>Shortened forms</w:t>
            </w:r>
            <w:r w:rsidR="00B575E6">
              <w:rPr>
                <w:webHidden/>
              </w:rPr>
              <w:tab/>
            </w:r>
            <w:r w:rsidR="00B575E6">
              <w:rPr>
                <w:webHidden/>
              </w:rPr>
              <w:fldChar w:fldCharType="begin"/>
            </w:r>
            <w:r w:rsidR="00B575E6">
              <w:rPr>
                <w:webHidden/>
              </w:rPr>
              <w:instrText xml:space="preserve"> PAGEREF _Toc425950473 \h </w:instrText>
            </w:r>
            <w:r w:rsidR="00B575E6">
              <w:rPr>
                <w:webHidden/>
              </w:rPr>
            </w:r>
            <w:r w:rsidR="00B575E6">
              <w:rPr>
                <w:webHidden/>
              </w:rPr>
              <w:fldChar w:fldCharType="separate"/>
            </w:r>
            <w:r w:rsidR="00EE5F6C">
              <w:rPr>
                <w:webHidden/>
              </w:rPr>
              <w:t>2-4</w:t>
            </w:r>
            <w:r w:rsidR="00B575E6">
              <w:rPr>
                <w:webHidden/>
              </w:rPr>
              <w:fldChar w:fldCharType="end"/>
            </w:r>
          </w:hyperlink>
        </w:p>
        <w:p w:rsidR="00B575E6" w:rsidRDefault="00EB1228">
          <w:pPr>
            <w:pStyle w:val="TOC1"/>
            <w:rPr>
              <w:rFonts w:asciiTheme="minorHAnsi" w:eastAsiaTheme="minorEastAsia" w:hAnsiTheme="minorHAnsi"/>
              <w:b w:val="0"/>
              <w:color w:val="auto"/>
              <w:sz w:val="22"/>
              <w:lang w:val="en-AU" w:eastAsia="en-AU"/>
            </w:rPr>
          </w:pPr>
          <w:hyperlink w:anchor="_Toc425950474" w:history="1">
            <w:r w:rsidR="00B575E6" w:rsidRPr="00D67AB9">
              <w:rPr>
                <w:rStyle w:val="Hyperlink"/>
              </w:rPr>
              <w:t>2</w:t>
            </w:r>
            <w:r w:rsidR="00B575E6">
              <w:rPr>
                <w:rFonts w:asciiTheme="minorHAnsi" w:eastAsiaTheme="minorEastAsia" w:hAnsiTheme="minorHAnsi"/>
                <w:b w:val="0"/>
                <w:color w:val="auto"/>
                <w:sz w:val="22"/>
                <w:lang w:val="en-AU" w:eastAsia="en-AU"/>
              </w:rPr>
              <w:tab/>
            </w:r>
            <w:r w:rsidR="00B575E6" w:rsidRPr="00D67AB9">
              <w:rPr>
                <w:rStyle w:val="Hyperlink"/>
              </w:rPr>
              <w:t>Regulatory asset base</w:t>
            </w:r>
            <w:r w:rsidR="00B575E6">
              <w:rPr>
                <w:webHidden/>
              </w:rPr>
              <w:tab/>
            </w:r>
            <w:r w:rsidR="00B575E6">
              <w:rPr>
                <w:webHidden/>
              </w:rPr>
              <w:fldChar w:fldCharType="begin"/>
            </w:r>
            <w:r w:rsidR="00B575E6">
              <w:rPr>
                <w:webHidden/>
              </w:rPr>
              <w:instrText xml:space="preserve"> PAGEREF _Toc425950474 \h </w:instrText>
            </w:r>
            <w:r w:rsidR="00B575E6">
              <w:rPr>
                <w:webHidden/>
              </w:rPr>
            </w:r>
            <w:r w:rsidR="00B575E6">
              <w:rPr>
                <w:webHidden/>
              </w:rPr>
              <w:fldChar w:fldCharType="separate"/>
            </w:r>
            <w:r w:rsidR="00EE5F6C">
              <w:rPr>
                <w:webHidden/>
              </w:rPr>
              <w:t>2-6</w:t>
            </w:r>
            <w:r w:rsidR="00B575E6">
              <w:rPr>
                <w:webHidden/>
              </w:rPr>
              <w:fldChar w:fldCharType="end"/>
            </w:r>
          </w:hyperlink>
        </w:p>
        <w:p w:rsidR="00B575E6" w:rsidRDefault="00EB1228">
          <w:pPr>
            <w:pStyle w:val="TOC2"/>
            <w:rPr>
              <w:rFonts w:asciiTheme="minorHAnsi" w:eastAsiaTheme="minorEastAsia" w:hAnsiTheme="minorHAnsi"/>
              <w:b w:val="0"/>
              <w:color w:val="auto"/>
              <w:sz w:val="22"/>
              <w:lang w:eastAsia="en-AU"/>
            </w:rPr>
          </w:pPr>
          <w:hyperlink w:anchor="_Toc425950475" w:history="1">
            <w:r w:rsidR="00B575E6" w:rsidRPr="00D67AB9">
              <w:rPr>
                <w:rStyle w:val="Hyperlink"/>
              </w:rPr>
              <w:t>2.1</w:t>
            </w:r>
            <w:r w:rsidR="00B575E6">
              <w:rPr>
                <w:rFonts w:asciiTheme="minorHAnsi" w:eastAsiaTheme="minorEastAsia" w:hAnsiTheme="minorHAnsi"/>
                <w:b w:val="0"/>
                <w:color w:val="auto"/>
                <w:sz w:val="22"/>
                <w:lang w:eastAsia="en-AU"/>
              </w:rPr>
              <w:tab/>
            </w:r>
            <w:r w:rsidR="00B575E6" w:rsidRPr="00D67AB9">
              <w:rPr>
                <w:rStyle w:val="Hyperlink"/>
              </w:rPr>
              <w:t>Final decision</w:t>
            </w:r>
            <w:r w:rsidR="00B575E6">
              <w:rPr>
                <w:webHidden/>
              </w:rPr>
              <w:tab/>
            </w:r>
            <w:r w:rsidR="00B575E6">
              <w:rPr>
                <w:webHidden/>
              </w:rPr>
              <w:fldChar w:fldCharType="begin"/>
            </w:r>
            <w:r w:rsidR="00B575E6">
              <w:rPr>
                <w:webHidden/>
              </w:rPr>
              <w:instrText xml:space="preserve"> PAGEREF _Toc425950475 \h </w:instrText>
            </w:r>
            <w:r w:rsidR="00B575E6">
              <w:rPr>
                <w:webHidden/>
              </w:rPr>
            </w:r>
            <w:r w:rsidR="00B575E6">
              <w:rPr>
                <w:webHidden/>
              </w:rPr>
              <w:fldChar w:fldCharType="separate"/>
            </w:r>
            <w:r w:rsidR="00EE5F6C">
              <w:rPr>
                <w:webHidden/>
              </w:rPr>
              <w:t>2-6</w:t>
            </w:r>
            <w:r w:rsidR="00B575E6">
              <w:rPr>
                <w:webHidden/>
              </w:rPr>
              <w:fldChar w:fldCharType="end"/>
            </w:r>
          </w:hyperlink>
        </w:p>
        <w:p w:rsidR="00B575E6" w:rsidRDefault="00EB1228">
          <w:pPr>
            <w:pStyle w:val="TOC2"/>
            <w:rPr>
              <w:rFonts w:asciiTheme="minorHAnsi" w:eastAsiaTheme="minorEastAsia" w:hAnsiTheme="minorHAnsi"/>
              <w:b w:val="0"/>
              <w:color w:val="auto"/>
              <w:sz w:val="22"/>
              <w:lang w:eastAsia="en-AU"/>
            </w:rPr>
          </w:pPr>
          <w:hyperlink w:anchor="_Toc425950476" w:history="1">
            <w:r w:rsidR="00B575E6" w:rsidRPr="00D67AB9">
              <w:rPr>
                <w:rStyle w:val="Hyperlink"/>
              </w:rPr>
              <w:t>2.2</w:t>
            </w:r>
            <w:r w:rsidR="00B575E6">
              <w:rPr>
                <w:rFonts w:asciiTheme="minorHAnsi" w:eastAsiaTheme="minorEastAsia" w:hAnsiTheme="minorHAnsi"/>
                <w:b w:val="0"/>
                <w:color w:val="auto"/>
                <w:sz w:val="22"/>
                <w:lang w:eastAsia="en-AU"/>
              </w:rPr>
              <w:tab/>
            </w:r>
            <w:r w:rsidR="00B575E6" w:rsidRPr="00D67AB9">
              <w:rPr>
                <w:rStyle w:val="Hyperlink"/>
              </w:rPr>
              <w:t>Energex’s revised proposal</w:t>
            </w:r>
            <w:r w:rsidR="00B575E6">
              <w:rPr>
                <w:webHidden/>
              </w:rPr>
              <w:tab/>
            </w:r>
            <w:r w:rsidR="00B575E6">
              <w:rPr>
                <w:webHidden/>
              </w:rPr>
              <w:fldChar w:fldCharType="begin"/>
            </w:r>
            <w:r w:rsidR="00B575E6">
              <w:rPr>
                <w:webHidden/>
              </w:rPr>
              <w:instrText xml:space="preserve"> PAGEREF _Toc425950476 \h </w:instrText>
            </w:r>
            <w:r w:rsidR="00B575E6">
              <w:rPr>
                <w:webHidden/>
              </w:rPr>
            </w:r>
            <w:r w:rsidR="00B575E6">
              <w:rPr>
                <w:webHidden/>
              </w:rPr>
              <w:fldChar w:fldCharType="separate"/>
            </w:r>
            <w:r w:rsidR="00EE5F6C">
              <w:rPr>
                <w:webHidden/>
              </w:rPr>
              <w:t>2-7</w:t>
            </w:r>
            <w:r w:rsidR="00B575E6">
              <w:rPr>
                <w:webHidden/>
              </w:rPr>
              <w:fldChar w:fldCharType="end"/>
            </w:r>
          </w:hyperlink>
        </w:p>
        <w:p w:rsidR="00B575E6" w:rsidRDefault="00EB1228">
          <w:pPr>
            <w:pStyle w:val="TOC2"/>
            <w:rPr>
              <w:rFonts w:asciiTheme="minorHAnsi" w:eastAsiaTheme="minorEastAsia" w:hAnsiTheme="minorHAnsi"/>
              <w:b w:val="0"/>
              <w:color w:val="auto"/>
              <w:sz w:val="22"/>
              <w:lang w:eastAsia="en-AU"/>
            </w:rPr>
          </w:pPr>
          <w:hyperlink w:anchor="_Toc425950477" w:history="1">
            <w:r w:rsidR="00B575E6" w:rsidRPr="00D67AB9">
              <w:rPr>
                <w:rStyle w:val="Hyperlink"/>
              </w:rPr>
              <w:t>2.3</w:t>
            </w:r>
            <w:r w:rsidR="00B575E6">
              <w:rPr>
                <w:rFonts w:asciiTheme="minorHAnsi" w:eastAsiaTheme="minorEastAsia" w:hAnsiTheme="minorHAnsi"/>
                <w:b w:val="0"/>
                <w:color w:val="auto"/>
                <w:sz w:val="22"/>
                <w:lang w:eastAsia="en-AU"/>
              </w:rPr>
              <w:tab/>
            </w:r>
            <w:r w:rsidR="00B575E6" w:rsidRPr="00D67AB9">
              <w:rPr>
                <w:rStyle w:val="Hyperlink"/>
              </w:rPr>
              <w:t>AER’s assessment approach</w:t>
            </w:r>
            <w:r w:rsidR="00B575E6">
              <w:rPr>
                <w:webHidden/>
              </w:rPr>
              <w:tab/>
            </w:r>
            <w:r w:rsidR="00B575E6">
              <w:rPr>
                <w:webHidden/>
              </w:rPr>
              <w:fldChar w:fldCharType="begin"/>
            </w:r>
            <w:r w:rsidR="00B575E6">
              <w:rPr>
                <w:webHidden/>
              </w:rPr>
              <w:instrText xml:space="preserve"> PAGEREF _Toc425950477 \h </w:instrText>
            </w:r>
            <w:r w:rsidR="00B575E6">
              <w:rPr>
                <w:webHidden/>
              </w:rPr>
            </w:r>
            <w:r w:rsidR="00B575E6">
              <w:rPr>
                <w:webHidden/>
              </w:rPr>
              <w:fldChar w:fldCharType="separate"/>
            </w:r>
            <w:r w:rsidR="00EE5F6C">
              <w:rPr>
                <w:webHidden/>
              </w:rPr>
              <w:t>2-8</w:t>
            </w:r>
            <w:r w:rsidR="00B575E6">
              <w:rPr>
                <w:webHidden/>
              </w:rPr>
              <w:fldChar w:fldCharType="end"/>
            </w:r>
          </w:hyperlink>
        </w:p>
        <w:p w:rsidR="00B575E6" w:rsidRDefault="00EB1228">
          <w:pPr>
            <w:pStyle w:val="TOC2"/>
            <w:rPr>
              <w:rFonts w:asciiTheme="minorHAnsi" w:eastAsiaTheme="minorEastAsia" w:hAnsiTheme="minorHAnsi"/>
              <w:b w:val="0"/>
              <w:color w:val="auto"/>
              <w:sz w:val="22"/>
              <w:lang w:eastAsia="en-AU"/>
            </w:rPr>
          </w:pPr>
          <w:hyperlink w:anchor="_Toc425950478" w:history="1">
            <w:r w:rsidR="00B575E6" w:rsidRPr="00D67AB9">
              <w:rPr>
                <w:rStyle w:val="Hyperlink"/>
              </w:rPr>
              <w:t>2.4</w:t>
            </w:r>
            <w:r w:rsidR="00B575E6">
              <w:rPr>
                <w:rFonts w:asciiTheme="minorHAnsi" w:eastAsiaTheme="minorEastAsia" w:hAnsiTheme="minorHAnsi"/>
                <w:b w:val="0"/>
                <w:color w:val="auto"/>
                <w:sz w:val="22"/>
                <w:lang w:eastAsia="en-AU"/>
              </w:rPr>
              <w:tab/>
            </w:r>
            <w:r w:rsidR="00B575E6" w:rsidRPr="00D67AB9">
              <w:rPr>
                <w:rStyle w:val="Hyperlink"/>
              </w:rPr>
              <w:t>Reasons for final decision</w:t>
            </w:r>
            <w:r w:rsidR="00B575E6">
              <w:rPr>
                <w:webHidden/>
              </w:rPr>
              <w:tab/>
            </w:r>
            <w:r w:rsidR="00B575E6">
              <w:rPr>
                <w:webHidden/>
              </w:rPr>
              <w:fldChar w:fldCharType="begin"/>
            </w:r>
            <w:r w:rsidR="00B575E6">
              <w:rPr>
                <w:webHidden/>
              </w:rPr>
              <w:instrText xml:space="preserve"> PAGEREF _Toc425950478 \h </w:instrText>
            </w:r>
            <w:r w:rsidR="00B575E6">
              <w:rPr>
                <w:webHidden/>
              </w:rPr>
            </w:r>
            <w:r w:rsidR="00B575E6">
              <w:rPr>
                <w:webHidden/>
              </w:rPr>
              <w:fldChar w:fldCharType="separate"/>
            </w:r>
            <w:r w:rsidR="00EE5F6C">
              <w:rPr>
                <w:webHidden/>
              </w:rPr>
              <w:t>2-9</w:t>
            </w:r>
            <w:r w:rsidR="00B575E6">
              <w:rPr>
                <w:webHidden/>
              </w:rPr>
              <w:fldChar w:fldCharType="end"/>
            </w:r>
          </w:hyperlink>
        </w:p>
        <w:p w:rsidR="00B575E6" w:rsidRDefault="00EB1228">
          <w:pPr>
            <w:pStyle w:val="TOC3"/>
            <w:rPr>
              <w:rFonts w:asciiTheme="minorHAnsi" w:eastAsiaTheme="minorEastAsia" w:hAnsiTheme="minorHAnsi"/>
              <w:lang w:eastAsia="en-AU"/>
            </w:rPr>
          </w:pPr>
          <w:hyperlink w:anchor="_Toc425950479" w:history="1">
            <w:r w:rsidR="00B575E6" w:rsidRPr="00D67AB9">
              <w:rPr>
                <w:rStyle w:val="Hyperlink"/>
              </w:rPr>
              <w:t>2.4.1</w:t>
            </w:r>
            <w:r w:rsidR="00B575E6">
              <w:rPr>
                <w:rFonts w:asciiTheme="minorHAnsi" w:eastAsiaTheme="minorEastAsia" w:hAnsiTheme="minorHAnsi"/>
                <w:lang w:eastAsia="en-AU"/>
              </w:rPr>
              <w:tab/>
            </w:r>
            <w:r w:rsidR="00B575E6" w:rsidRPr="00D67AB9">
              <w:rPr>
                <w:rStyle w:val="Hyperlink"/>
              </w:rPr>
              <w:t>Opening RAB as at 1 July 2015</w:t>
            </w:r>
            <w:r w:rsidR="00B575E6">
              <w:rPr>
                <w:webHidden/>
              </w:rPr>
              <w:tab/>
            </w:r>
            <w:r w:rsidR="00B575E6">
              <w:rPr>
                <w:webHidden/>
              </w:rPr>
              <w:fldChar w:fldCharType="begin"/>
            </w:r>
            <w:r w:rsidR="00B575E6">
              <w:rPr>
                <w:webHidden/>
              </w:rPr>
              <w:instrText xml:space="preserve"> PAGEREF _Toc425950479 \h </w:instrText>
            </w:r>
            <w:r w:rsidR="00B575E6">
              <w:rPr>
                <w:webHidden/>
              </w:rPr>
            </w:r>
            <w:r w:rsidR="00B575E6">
              <w:rPr>
                <w:webHidden/>
              </w:rPr>
              <w:fldChar w:fldCharType="separate"/>
            </w:r>
            <w:r w:rsidR="00EE5F6C">
              <w:rPr>
                <w:webHidden/>
              </w:rPr>
              <w:t>2-9</w:t>
            </w:r>
            <w:r w:rsidR="00B575E6">
              <w:rPr>
                <w:webHidden/>
              </w:rPr>
              <w:fldChar w:fldCharType="end"/>
            </w:r>
          </w:hyperlink>
        </w:p>
        <w:p w:rsidR="00B575E6" w:rsidRDefault="00EB1228">
          <w:pPr>
            <w:pStyle w:val="TOC3"/>
            <w:rPr>
              <w:rFonts w:asciiTheme="minorHAnsi" w:eastAsiaTheme="minorEastAsia" w:hAnsiTheme="minorHAnsi"/>
              <w:lang w:eastAsia="en-AU"/>
            </w:rPr>
          </w:pPr>
          <w:hyperlink w:anchor="_Toc425950480" w:history="1">
            <w:r w:rsidR="00B575E6" w:rsidRPr="00D67AB9">
              <w:rPr>
                <w:rStyle w:val="Hyperlink"/>
              </w:rPr>
              <w:t>2.4.2</w:t>
            </w:r>
            <w:r w:rsidR="00B575E6">
              <w:rPr>
                <w:rFonts w:asciiTheme="minorHAnsi" w:eastAsiaTheme="minorEastAsia" w:hAnsiTheme="minorHAnsi"/>
                <w:lang w:eastAsia="en-AU"/>
              </w:rPr>
              <w:tab/>
            </w:r>
            <w:r w:rsidR="00B575E6" w:rsidRPr="00D67AB9">
              <w:rPr>
                <w:rStyle w:val="Hyperlink"/>
              </w:rPr>
              <w:t>Forecast closing RAB as at 30 June 2020</w:t>
            </w:r>
            <w:r w:rsidR="00B575E6">
              <w:rPr>
                <w:webHidden/>
              </w:rPr>
              <w:tab/>
            </w:r>
            <w:r w:rsidR="00B575E6">
              <w:rPr>
                <w:webHidden/>
              </w:rPr>
              <w:fldChar w:fldCharType="begin"/>
            </w:r>
            <w:r w:rsidR="00B575E6">
              <w:rPr>
                <w:webHidden/>
              </w:rPr>
              <w:instrText xml:space="preserve"> PAGEREF _Toc425950480 \h </w:instrText>
            </w:r>
            <w:r w:rsidR="00B575E6">
              <w:rPr>
                <w:webHidden/>
              </w:rPr>
            </w:r>
            <w:r w:rsidR="00B575E6">
              <w:rPr>
                <w:webHidden/>
              </w:rPr>
              <w:fldChar w:fldCharType="separate"/>
            </w:r>
            <w:r w:rsidR="00EE5F6C">
              <w:rPr>
                <w:webHidden/>
              </w:rPr>
              <w:t>2-10</w:t>
            </w:r>
            <w:r w:rsidR="00B575E6">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25950473"/>
      <w:r>
        <w:lastRenderedPageBreak/>
        <w:t>Shortened forms</w:t>
      </w:r>
      <w:bookmarkEnd w:id="8"/>
      <w:bookmarkEnd w:id="9"/>
    </w:p>
    <w:tbl>
      <w:tblPr>
        <w:tblStyle w:val="AERtable-numbers"/>
        <w:tblW w:w="0" w:type="auto"/>
        <w:tblLook w:val="04A0" w:firstRow="1" w:lastRow="0" w:firstColumn="1" w:lastColumn="0" w:noHBand="0" w:noVBand="1"/>
      </w:tblPr>
      <w:tblGrid>
        <w:gridCol w:w="4340"/>
        <w:gridCol w:w="4353"/>
      </w:tblGrid>
      <w:tr w:rsidR="00DE563D" w:rsidTr="00A700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B9704F" w:rsidTr="001C776B">
        <w:tc>
          <w:tcPr>
            <w:cnfStyle w:val="001000000000" w:firstRow="0" w:lastRow="0" w:firstColumn="1" w:lastColumn="0" w:oddVBand="0" w:evenVBand="0" w:oddHBand="0" w:evenHBand="0" w:firstRowFirstColumn="0" w:firstRowLastColumn="0" w:lastRowFirstColumn="0" w:lastRowLastColumn="0"/>
            <w:tcW w:w="4340" w:type="dxa"/>
          </w:tcPr>
          <w:p w:rsidR="00B9704F" w:rsidRPr="00123D6C" w:rsidRDefault="00B9704F" w:rsidP="00375552">
            <w:pPr>
              <w:pStyle w:val="AERtabletextleft"/>
              <w:rPr>
                <w:rStyle w:val="AERtextsize10"/>
              </w:rPr>
            </w:pPr>
            <w:r w:rsidRPr="00123D6C">
              <w:rPr>
                <w:rStyle w:val="AERtextsize10"/>
              </w:rPr>
              <w:t>ABS</w:t>
            </w:r>
          </w:p>
        </w:tc>
        <w:tc>
          <w:tcPr>
            <w:tcW w:w="4353" w:type="dxa"/>
          </w:tcPr>
          <w:p w:rsidR="00B9704F" w:rsidRPr="00123D6C" w:rsidRDefault="00B9704F" w:rsidP="0007702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123D6C">
              <w:rPr>
                <w:rStyle w:val="AERtextsize10"/>
              </w:rPr>
              <w:t>Australian Bureau of Statistics</w:t>
            </w:r>
          </w:p>
        </w:tc>
      </w:tr>
      <w:tr w:rsidR="00375552" w:rsidTr="001C7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375552" w:rsidRPr="00123D6C" w:rsidRDefault="00375552" w:rsidP="00375552">
            <w:pPr>
              <w:pStyle w:val="AERtabletextleft"/>
              <w:rPr>
                <w:rStyle w:val="AERtextsize10"/>
              </w:rPr>
            </w:pPr>
            <w:r w:rsidRPr="00123D6C">
              <w:rPr>
                <w:rStyle w:val="AERtextsize10"/>
              </w:rPr>
              <w:t>ACS</w:t>
            </w:r>
          </w:p>
        </w:tc>
        <w:tc>
          <w:tcPr>
            <w:tcW w:w="4353" w:type="dxa"/>
          </w:tcPr>
          <w:p w:rsidR="00375552" w:rsidRPr="00123D6C" w:rsidRDefault="00375552" w:rsidP="008B46F3">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123D6C">
              <w:rPr>
                <w:rStyle w:val="AERtextsize10"/>
              </w:rPr>
              <w:t>alternative control services</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AEMC</w:t>
            </w:r>
          </w:p>
        </w:tc>
        <w:tc>
          <w:tcPr>
            <w:tcW w:w="4353" w:type="dxa"/>
          </w:tcPr>
          <w:p w:rsidR="00DE563D" w:rsidRPr="00123D6C"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123D6C">
              <w:rPr>
                <w:rStyle w:val="AERtextsize10"/>
              </w:rPr>
              <w:t>Australian Energy Market Commission</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AEMO</w:t>
            </w:r>
          </w:p>
        </w:tc>
        <w:tc>
          <w:tcPr>
            <w:tcW w:w="4353" w:type="dxa"/>
          </w:tcPr>
          <w:p w:rsidR="00DE563D" w:rsidRPr="00123D6C"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123D6C">
              <w:rPr>
                <w:rStyle w:val="AERtextsize10"/>
              </w:rPr>
              <w:t>Australian Energy Market Operator</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AER</w:t>
            </w:r>
          </w:p>
        </w:tc>
        <w:tc>
          <w:tcPr>
            <w:tcW w:w="4353" w:type="dxa"/>
          </w:tcPr>
          <w:p w:rsidR="00DE563D" w:rsidRPr="00123D6C"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123D6C">
              <w:rPr>
                <w:rStyle w:val="AERtextsize10"/>
              </w:rPr>
              <w:t>Australian Energy Regulator</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proofErr w:type="spellStart"/>
            <w:r w:rsidRPr="00123D6C">
              <w:rPr>
                <w:rStyle w:val="AERtextsize10"/>
              </w:rPr>
              <w:t>augex</w:t>
            </w:r>
            <w:proofErr w:type="spellEnd"/>
          </w:p>
        </w:tc>
        <w:tc>
          <w:tcPr>
            <w:tcW w:w="4353" w:type="dxa"/>
          </w:tcPr>
          <w:p w:rsidR="00DE563D" w:rsidRPr="00123D6C"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123D6C">
              <w:rPr>
                <w:rStyle w:val="AERtextsize10"/>
              </w:rPr>
              <w:t>augmentation expenditure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capex</w:t>
            </w:r>
          </w:p>
        </w:tc>
        <w:tc>
          <w:tcPr>
            <w:tcW w:w="4353" w:type="dxa"/>
          </w:tcPr>
          <w:p w:rsidR="00DE563D" w:rsidRPr="00123D6C"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123D6C">
              <w:rPr>
                <w:rStyle w:val="AERtextsize10"/>
              </w:rPr>
              <w:t>capital expenditure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CCP</w:t>
            </w:r>
          </w:p>
        </w:tc>
        <w:tc>
          <w:tcPr>
            <w:tcW w:w="4353" w:type="dxa"/>
          </w:tcPr>
          <w:p w:rsidR="00DE563D" w:rsidRPr="00123D6C"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123D6C">
              <w:rPr>
                <w:rStyle w:val="AERtextsize10"/>
              </w:rPr>
              <w:t>Consumer Challenge Panel</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CESS</w:t>
            </w:r>
          </w:p>
        </w:tc>
        <w:tc>
          <w:tcPr>
            <w:tcW w:w="4353" w:type="dxa"/>
          </w:tcPr>
          <w:p w:rsidR="00DE563D" w:rsidRPr="00123D6C"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123D6C">
              <w:rPr>
                <w:rStyle w:val="AERtextsize10"/>
              </w:rPr>
              <w:t>capital expenditure sharing scheme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CPI</w:t>
            </w:r>
          </w:p>
        </w:tc>
        <w:tc>
          <w:tcPr>
            <w:tcW w:w="4353" w:type="dxa"/>
          </w:tcPr>
          <w:p w:rsidR="00DE563D" w:rsidRPr="00123D6C"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123D6C">
              <w:rPr>
                <w:rStyle w:val="AERtextsize10"/>
              </w:rPr>
              <w:t>consumer price index</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DRP</w:t>
            </w:r>
          </w:p>
        </w:tc>
        <w:tc>
          <w:tcPr>
            <w:tcW w:w="4353" w:type="dxa"/>
          </w:tcPr>
          <w:p w:rsidR="00DE563D" w:rsidRPr="00123D6C"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123D6C">
              <w:rPr>
                <w:rStyle w:val="AERtextsize10"/>
              </w:rPr>
              <w:t>debt risk premium</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DMIA</w:t>
            </w:r>
          </w:p>
        </w:tc>
        <w:tc>
          <w:tcPr>
            <w:tcW w:w="4353" w:type="dxa"/>
          </w:tcPr>
          <w:p w:rsidR="00DE563D" w:rsidRPr="00123D6C"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123D6C">
              <w:rPr>
                <w:rStyle w:val="AERtextsize10"/>
              </w:rPr>
              <w:t>demand management innovation allowance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DMIS</w:t>
            </w:r>
          </w:p>
        </w:tc>
        <w:tc>
          <w:tcPr>
            <w:tcW w:w="4353" w:type="dxa"/>
          </w:tcPr>
          <w:p w:rsidR="00DE563D" w:rsidRPr="00123D6C"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123D6C">
              <w:rPr>
                <w:rStyle w:val="AERtextsize10"/>
              </w:rPr>
              <w:t>demand management incentive scheme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distributor</w:t>
            </w:r>
          </w:p>
        </w:tc>
        <w:tc>
          <w:tcPr>
            <w:tcW w:w="4353" w:type="dxa"/>
          </w:tcPr>
          <w:p w:rsidR="00DE563D" w:rsidRPr="00123D6C"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123D6C">
              <w:rPr>
                <w:rStyle w:val="AERtextsize10"/>
              </w:rPr>
              <w:t>distribution network service provider</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proofErr w:type="spellStart"/>
            <w:r w:rsidRPr="00123D6C">
              <w:rPr>
                <w:rStyle w:val="AERtextsize10"/>
              </w:rPr>
              <w:t>DUoS</w:t>
            </w:r>
            <w:proofErr w:type="spellEnd"/>
          </w:p>
        </w:tc>
        <w:tc>
          <w:tcPr>
            <w:tcW w:w="4353" w:type="dxa"/>
          </w:tcPr>
          <w:p w:rsidR="00DE563D" w:rsidRPr="00123D6C"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123D6C">
              <w:rPr>
                <w:rStyle w:val="AERtextsize10"/>
              </w:rPr>
              <w:t>distribution use of system</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EBSS</w:t>
            </w:r>
          </w:p>
        </w:tc>
        <w:tc>
          <w:tcPr>
            <w:tcW w:w="4353" w:type="dxa"/>
          </w:tcPr>
          <w:p w:rsidR="00DE563D" w:rsidRPr="00123D6C"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123D6C">
              <w:rPr>
                <w:rStyle w:val="AERtextsize10"/>
              </w:rPr>
              <w:t>efficiency benefit sharing scheme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ERP</w:t>
            </w:r>
          </w:p>
        </w:tc>
        <w:tc>
          <w:tcPr>
            <w:tcW w:w="4353" w:type="dxa"/>
          </w:tcPr>
          <w:p w:rsidR="00DE563D" w:rsidRPr="00123D6C"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123D6C">
              <w:rPr>
                <w:rStyle w:val="AERtextsize10"/>
              </w:rPr>
              <w:t>equity risk premium</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A546B4" w:rsidP="00A546B4">
            <w:pPr>
              <w:pStyle w:val="AERtabletextleft"/>
              <w:rPr>
                <w:rStyle w:val="AERtextsize10"/>
              </w:rPr>
            </w:pPr>
            <w:r w:rsidRPr="00123D6C">
              <w:rPr>
                <w:rStyle w:val="AERtextsize10"/>
              </w:rPr>
              <w:t>E</w:t>
            </w:r>
            <w:r w:rsidR="00DE563D" w:rsidRPr="00123D6C">
              <w:rPr>
                <w:rStyle w:val="AERtextsize10"/>
              </w:rPr>
              <w:t xml:space="preserve">xpenditure </w:t>
            </w:r>
            <w:r w:rsidRPr="00123D6C">
              <w:rPr>
                <w:rStyle w:val="AERtextsize10"/>
              </w:rPr>
              <w:t>A</w:t>
            </w:r>
            <w:r w:rsidR="00DE563D" w:rsidRPr="00123D6C">
              <w:rPr>
                <w:rStyle w:val="AERtextsize10"/>
              </w:rPr>
              <w:t xml:space="preserve">ssessment </w:t>
            </w:r>
            <w:r w:rsidRPr="00123D6C">
              <w:rPr>
                <w:rStyle w:val="AERtextsize10"/>
              </w:rPr>
              <w:t>G</w:t>
            </w:r>
            <w:r w:rsidR="00DE563D" w:rsidRPr="00123D6C">
              <w:rPr>
                <w:rStyle w:val="AERtextsize10"/>
              </w:rPr>
              <w:t>uideline</w:t>
            </w:r>
          </w:p>
        </w:tc>
        <w:tc>
          <w:tcPr>
            <w:tcW w:w="4353" w:type="dxa"/>
          </w:tcPr>
          <w:p w:rsidR="00DE563D" w:rsidRPr="00123D6C" w:rsidRDefault="00750FDB"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123D6C">
              <w:rPr>
                <w:rStyle w:val="AERtextsize10"/>
              </w:rPr>
              <w:t>Expenditure Forecast A</w:t>
            </w:r>
            <w:r w:rsidR="00DE563D" w:rsidRPr="00123D6C">
              <w:rPr>
                <w:rStyle w:val="AERtextsize10"/>
              </w:rPr>
              <w:t xml:space="preserve">ssessment </w:t>
            </w:r>
            <w:r w:rsidR="00A546B4" w:rsidRPr="00123D6C">
              <w:rPr>
                <w:rStyle w:val="AERtextsize10"/>
              </w:rPr>
              <w:t>G</w:t>
            </w:r>
            <w:r w:rsidR="00DE563D" w:rsidRPr="00123D6C">
              <w:rPr>
                <w:rStyle w:val="AERtextsize10"/>
              </w:rPr>
              <w:t>uideline for electricity distribution</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F&amp;A</w:t>
            </w:r>
          </w:p>
        </w:tc>
        <w:tc>
          <w:tcPr>
            <w:tcW w:w="4353" w:type="dxa"/>
          </w:tcPr>
          <w:p w:rsidR="00DE563D" w:rsidRPr="00123D6C"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123D6C">
              <w:rPr>
                <w:rStyle w:val="AERtextsize10"/>
              </w:rPr>
              <w:t>framework and approach</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MRP</w:t>
            </w:r>
          </w:p>
        </w:tc>
        <w:tc>
          <w:tcPr>
            <w:tcW w:w="4353" w:type="dxa"/>
          </w:tcPr>
          <w:p w:rsidR="00DE563D" w:rsidRPr="00123D6C"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123D6C">
              <w:rPr>
                <w:rStyle w:val="AERtextsize10"/>
              </w:rPr>
              <w:t>market risk premium</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NEL</w:t>
            </w:r>
          </w:p>
        </w:tc>
        <w:tc>
          <w:tcPr>
            <w:tcW w:w="4353" w:type="dxa"/>
          </w:tcPr>
          <w:p w:rsidR="00DE563D" w:rsidRPr="00123D6C"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123D6C">
              <w:rPr>
                <w:rStyle w:val="AERtextsize10"/>
              </w:rPr>
              <w:t>national electricity law</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NEM</w:t>
            </w:r>
          </w:p>
        </w:tc>
        <w:tc>
          <w:tcPr>
            <w:tcW w:w="4353" w:type="dxa"/>
          </w:tcPr>
          <w:p w:rsidR="00DE563D" w:rsidRPr="00123D6C"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123D6C">
              <w:rPr>
                <w:rStyle w:val="AERtextsize10"/>
              </w:rPr>
              <w:t>national electricity market</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NEO</w:t>
            </w:r>
          </w:p>
        </w:tc>
        <w:tc>
          <w:tcPr>
            <w:tcW w:w="4353" w:type="dxa"/>
          </w:tcPr>
          <w:p w:rsidR="00DE563D" w:rsidRPr="00123D6C"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123D6C">
              <w:rPr>
                <w:rStyle w:val="AERtextsize10"/>
              </w:rPr>
              <w:t>national electricity objective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NER</w:t>
            </w:r>
          </w:p>
        </w:tc>
        <w:tc>
          <w:tcPr>
            <w:tcW w:w="4353" w:type="dxa"/>
          </w:tcPr>
          <w:p w:rsidR="00DE563D" w:rsidRPr="00123D6C"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123D6C">
              <w:rPr>
                <w:rStyle w:val="AERtextsize10"/>
              </w:rPr>
              <w:t>national electricity rules</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NSP</w:t>
            </w:r>
          </w:p>
        </w:tc>
        <w:tc>
          <w:tcPr>
            <w:tcW w:w="4353" w:type="dxa"/>
          </w:tcPr>
          <w:p w:rsidR="00DE563D" w:rsidRPr="00123D6C"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123D6C">
              <w:rPr>
                <w:rStyle w:val="AERtextsize10"/>
              </w:rPr>
              <w:t>network service provider</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proofErr w:type="spellStart"/>
            <w:r w:rsidRPr="00123D6C">
              <w:rPr>
                <w:rStyle w:val="AERtextsize10"/>
              </w:rPr>
              <w:lastRenderedPageBreak/>
              <w:t>opex</w:t>
            </w:r>
            <w:proofErr w:type="spellEnd"/>
          </w:p>
        </w:tc>
        <w:tc>
          <w:tcPr>
            <w:tcW w:w="4353" w:type="dxa"/>
          </w:tcPr>
          <w:p w:rsidR="00DE563D" w:rsidRPr="00123D6C"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123D6C">
              <w:rPr>
                <w:rStyle w:val="AERtextsize10"/>
              </w:rPr>
              <w:t>operating expenditure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PPI</w:t>
            </w:r>
          </w:p>
        </w:tc>
        <w:tc>
          <w:tcPr>
            <w:tcW w:w="4353" w:type="dxa"/>
          </w:tcPr>
          <w:p w:rsidR="00DE563D" w:rsidRPr="00123D6C"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123D6C">
              <w:rPr>
                <w:rStyle w:val="AERtextsize10"/>
              </w:rPr>
              <w:t>partial performance indicators</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PTRM</w:t>
            </w:r>
          </w:p>
        </w:tc>
        <w:tc>
          <w:tcPr>
            <w:tcW w:w="4353" w:type="dxa"/>
          </w:tcPr>
          <w:p w:rsidR="00DE563D" w:rsidRPr="00123D6C"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123D6C">
              <w:rPr>
                <w:rStyle w:val="AERtextsize10"/>
              </w:rPr>
              <w:t>post-tax revenue model</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RAB</w:t>
            </w:r>
          </w:p>
        </w:tc>
        <w:tc>
          <w:tcPr>
            <w:tcW w:w="4353" w:type="dxa"/>
          </w:tcPr>
          <w:p w:rsidR="00DE563D" w:rsidRPr="00123D6C"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123D6C">
              <w:rPr>
                <w:rStyle w:val="AERtextsize10"/>
              </w:rPr>
              <w:t>regulatory asset base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RBA</w:t>
            </w:r>
          </w:p>
        </w:tc>
        <w:tc>
          <w:tcPr>
            <w:tcW w:w="4353" w:type="dxa"/>
          </w:tcPr>
          <w:p w:rsidR="00DE563D" w:rsidRPr="00123D6C"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123D6C">
              <w:rPr>
                <w:rStyle w:val="AERtextsize10"/>
              </w:rPr>
              <w:t>Reserve Bank of Australia</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proofErr w:type="spellStart"/>
            <w:r w:rsidRPr="00123D6C">
              <w:rPr>
                <w:rStyle w:val="AERtextsize10"/>
              </w:rPr>
              <w:t>repex</w:t>
            </w:r>
            <w:proofErr w:type="spellEnd"/>
          </w:p>
        </w:tc>
        <w:tc>
          <w:tcPr>
            <w:tcW w:w="4353" w:type="dxa"/>
          </w:tcPr>
          <w:p w:rsidR="00DE563D" w:rsidRPr="00123D6C"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123D6C">
              <w:rPr>
                <w:rStyle w:val="AERtextsize10"/>
              </w:rPr>
              <w:t>replacement expenditure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RFM</w:t>
            </w:r>
          </w:p>
        </w:tc>
        <w:tc>
          <w:tcPr>
            <w:tcW w:w="4353" w:type="dxa"/>
          </w:tcPr>
          <w:p w:rsidR="00DE563D" w:rsidRPr="00123D6C"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123D6C">
              <w:rPr>
                <w:rStyle w:val="AERtextsize10"/>
              </w:rPr>
              <w:t>roll forward model</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RIN</w:t>
            </w:r>
          </w:p>
        </w:tc>
        <w:tc>
          <w:tcPr>
            <w:tcW w:w="4353" w:type="dxa"/>
          </w:tcPr>
          <w:p w:rsidR="00DE563D" w:rsidRPr="00123D6C"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123D6C">
              <w:rPr>
                <w:rStyle w:val="AERtextsize10"/>
              </w:rPr>
              <w:t>regulatory information notice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RPP</w:t>
            </w:r>
          </w:p>
        </w:tc>
        <w:tc>
          <w:tcPr>
            <w:tcW w:w="4353" w:type="dxa"/>
          </w:tcPr>
          <w:p w:rsidR="00DE563D" w:rsidRPr="00123D6C"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123D6C">
              <w:rPr>
                <w:rStyle w:val="AERtextsize10"/>
              </w:rPr>
              <w:t xml:space="preserve">revenue </w:t>
            </w:r>
            <w:r w:rsidR="00A546B4" w:rsidRPr="00123D6C">
              <w:rPr>
                <w:rStyle w:val="AERtextsize10"/>
              </w:rPr>
              <w:t xml:space="preserve">and </w:t>
            </w:r>
            <w:r w:rsidRPr="00123D6C">
              <w:rPr>
                <w:rStyle w:val="AERtextsize10"/>
              </w:rPr>
              <w:t>pricing principles</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SAIDI</w:t>
            </w:r>
          </w:p>
        </w:tc>
        <w:tc>
          <w:tcPr>
            <w:tcW w:w="4353" w:type="dxa"/>
          </w:tcPr>
          <w:p w:rsidR="00DE563D" w:rsidRPr="00123D6C"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123D6C">
              <w:rPr>
                <w:rStyle w:val="AERtextsize10"/>
              </w:rPr>
              <w:t>system average interruption duration index</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SAIFI</w:t>
            </w:r>
          </w:p>
        </w:tc>
        <w:tc>
          <w:tcPr>
            <w:tcW w:w="4353" w:type="dxa"/>
          </w:tcPr>
          <w:p w:rsidR="00DE563D" w:rsidRPr="00123D6C" w:rsidRDefault="00DE563D" w:rsidP="00465039">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123D6C">
              <w:rPr>
                <w:rStyle w:val="AERtextsize10"/>
              </w:rPr>
              <w:t>system average interruption frequency index</w:t>
            </w:r>
          </w:p>
        </w:tc>
      </w:tr>
      <w:tr w:rsidR="0007702D" w:rsidTr="00A700AB">
        <w:tc>
          <w:tcPr>
            <w:cnfStyle w:val="001000000000" w:firstRow="0" w:lastRow="0" w:firstColumn="1" w:lastColumn="0" w:oddVBand="0" w:evenVBand="0" w:oddHBand="0" w:evenHBand="0" w:firstRowFirstColumn="0" w:firstRowLastColumn="0" w:lastRowFirstColumn="0" w:lastRowLastColumn="0"/>
            <w:tcW w:w="4340" w:type="dxa"/>
          </w:tcPr>
          <w:p w:rsidR="0007702D" w:rsidRPr="00123D6C" w:rsidRDefault="0007702D" w:rsidP="00DE563D">
            <w:pPr>
              <w:pStyle w:val="AERtabletextleft"/>
              <w:rPr>
                <w:rStyle w:val="AERtextsize10"/>
              </w:rPr>
            </w:pPr>
            <w:r w:rsidRPr="00123D6C">
              <w:rPr>
                <w:rStyle w:val="AERtextsize10"/>
              </w:rPr>
              <w:t>SCS</w:t>
            </w:r>
          </w:p>
        </w:tc>
        <w:tc>
          <w:tcPr>
            <w:tcW w:w="4353" w:type="dxa"/>
          </w:tcPr>
          <w:p w:rsidR="0007702D" w:rsidRPr="00123D6C" w:rsidRDefault="0007702D" w:rsidP="0007702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123D6C">
              <w:rPr>
                <w:rStyle w:val="AERtextsize10"/>
              </w:rPr>
              <w:t>standard control services</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SLCAPM</w:t>
            </w:r>
          </w:p>
        </w:tc>
        <w:tc>
          <w:tcPr>
            <w:tcW w:w="4353" w:type="dxa"/>
          </w:tcPr>
          <w:p w:rsidR="00DE563D" w:rsidRPr="00123D6C"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123D6C">
              <w:rPr>
                <w:rStyle w:val="AERtextsize10"/>
              </w:rPr>
              <w:t>Sharpe-</w:t>
            </w:r>
            <w:proofErr w:type="spellStart"/>
            <w:r w:rsidRPr="00123D6C">
              <w:rPr>
                <w:rStyle w:val="AERtextsize10"/>
              </w:rPr>
              <w:t>Lintner</w:t>
            </w:r>
            <w:proofErr w:type="spellEnd"/>
            <w:r w:rsidRPr="00123D6C">
              <w:rPr>
                <w:rStyle w:val="AERtextsize10"/>
              </w:rPr>
              <w:t xml:space="preserve"> capital asset pricing model</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STPIS</w:t>
            </w:r>
          </w:p>
        </w:tc>
        <w:tc>
          <w:tcPr>
            <w:tcW w:w="4353" w:type="dxa"/>
          </w:tcPr>
          <w:p w:rsidR="00DE563D" w:rsidRPr="00123D6C" w:rsidRDefault="00DE563D" w:rsidP="00465039">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123D6C">
              <w:rPr>
                <w:rStyle w:val="AERtextsize10"/>
              </w:rPr>
              <w:t>service target performance incentive scheme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123D6C" w:rsidRDefault="00DE563D" w:rsidP="00DE563D">
            <w:pPr>
              <w:pStyle w:val="AERtabletextleft"/>
              <w:rPr>
                <w:rStyle w:val="AERtextsize10"/>
              </w:rPr>
            </w:pPr>
            <w:r w:rsidRPr="00123D6C">
              <w:rPr>
                <w:rStyle w:val="AERtextsize10"/>
              </w:rPr>
              <w:t>WACC</w:t>
            </w:r>
          </w:p>
        </w:tc>
        <w:tc>
          <w:tcPr>
            <w:tcW w:w="4353" w:type="dxa"/>
          </w:tcPr>
          <w:p w:rsidR="00DE563D" w:rsidRPr="00123D6C"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123D6C">
              <w:rPr>
                <w:rStyle w:val="AERtextsize10"/>
              </w:rP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0F67F7" w:rsidRDefault="000F67F7" w:rsidP="00E60A0B">
      <w:pPr>
        <w:pStyle w:val="Heading1"/>
      </w:pPr>
      <w:bookmarkStart w:id="10" w:name="_Toc425950474"/>
      <w:r w:rsidRPr="00E60A0B">
        <w:lastRenderedPageBreak/>
        <w:t>Regulatory asset base</w:t>
      </w:r>
      <w:bookmarkEnd w:id="10"/>
    </w:p>
    <w:p w:rsidR="0045662C" w:rsidRPr="0045662C" w:rsidRDefault="0045662C" w:rsidP="0045662C">
      <w:r w:rsidRPr="0045662C">
        <w:t xml:space="preserve">We are required to make a decision on </w:t>
      </w:r>
      <w:r>
        <w:t>Energex's</w:t>
      </w:r>
      <w:r w:rsidRPr="0045662C">
        <w:t xml:space="preserve"> opening regulatory asset base (RAB) as at 1 July 201</w:t>
      </w:r>
      <w:r>
        <w:t>5</w:t>
      </w:r>
      <w:r w:rsidRPr="0045662C">
        <w:t>.</w:t>
      </w:r>
      <w:r w:rsidRPr="0045662C">
        <w:rPr>
          <w:rStyle w:val="FootnoteReference"/>
        </w:rPr>
        <w:footnoteReference w:id="1"/>
      </w:r>
      <w:r w:rsidRPr="0045662C">
        <w:t xml:space="preserve"> We use the RAB at the start of each regulatory year to determine the return of capital (regulatory depreciation) and return on capital building block allowances. This attachment presents our final decision on the opening RAB value as at 1 July 201</w:t>
      </w:r>
      <w:r>
        <w:t>5</w:t>
      </w:r>
      <w:r w:rsidRPr="0045662C">
        <w:t xml:space="preserve"> for </w:t>
      </w:r>
      <w:r>
        <w:t>Energex</w:t>
      </w:r>
      <w:r w:rsidRPr="0045662C">
        <w:t xml:space="preserve"> and roll forward of the forecast RAB values over the 201</w:t>
      </w:r>
      <w:r>
        <w:t>5</w:t>
      </w:r>
      <w:r w:rsidRPr="0045662C">
        <w:t>–</w:t>
      </w:r>
      <w:r>
        <w:t>20</w:t>
      </w:r>
      <w:r w:rsidRPr="0045662C">
        <w:t xml:space="preserve"> </w:t>
      </w:r>
      <w:r>
        <w:t xml:space="preserve">regulatory control </w:t>
      </w:r>
      <w:r w:rsidRPr="0045662C">
        <w:t>period.</w:t>
      </w:r>
    </w:p>
    <w:p w:rsidR="000F67F7" w:rsidRDefault="00750FDB" w:rsidP="00E60A0B">
      <w:pPr>
        <w:pStyle w:val="Heading2"/>
      </w:pPr>
      <w:bookmarkStart w:id="11" w:name="_Toc403060801"/>
      <w:bookmarkStart w:id="12" w:name="_Toc425950475"/>
      <w:r>
        <w:t>Final</w:t>
      </w:r>
      <w:r w:rsidR="000F67F7" w:rsidRPr="00E60A0B">
        <w:t xml:space="preserve"> decision</w:t>
      </w:r>
      <w:bookmarkEnd w:id="11"/>
      <w:bookmarkEnd w:id="12"/>
    </w:p>
    <w:p w:rsidR="0045662C" w:rsidRDefault="0045662C" w:rsidP="0045662C">
      <w:r>
        <w:t>We determine an opening RAB value of $</w:t>
      </w:r>
      <w:r w:rsidR="00415CF9">
        <w:t>11 172.5</w:t>
      </w:r>
      <w:r>
        <w:t> million ($ nominal) as at 1 July 2015 for Energex. Energex adopted our preliminary decision amendments in its revised proposal.</w:t>
      </w:r>
      <w:r>
        <w:rPr>
          <w:rStyle w:val="FootnoteReference"/>
        </w:rPr>
        <w:footnoteReference w:id="2"/>
      </w:r>
      <w:r>
        <w:t xml:space="preserve"> We made two changes to the preliminary decision:</w:t>
      </w:r>
    </w:p>
    <w:p w:rsidR="0045662C" w:rsidRDefault="0045662C" w:rsidP="00FB6C86">
      <w:pPr>
        <w:pStyle w:val="ListNumber"/>
      </w:pPr>
      <w:r>
        <w:t>updating 2014–15 capex with more recent estimates</w:t>
      </w:r>
    </w:p>
    <w:p w:rsidR="0045662C" w:rsidRDefault="0045662C" w:rsidP="00FB6C86">
      <w:pPr>
        <w:pStyle w:val="ListNumber"/>
      </w:pPr>
      <w:r>
        <w:t>updatin</w:t>
      </w:r>
      <w:r w:rsidR="00FB6C86">
        <w:t>g the RAB roll forward with the actual inflation input for 2014–15</w:t>
      </w:r>
      <w:r>
        <w:t>.</w:t>
      </w:r>
    </w:p>
    <w:p w:rsidR="0045662C" w:rsidRDefault="00415CF9" w:rsidP="0045662C">
      <w:r>
        <w:t xml:space="preserve">For this final decision, we maintain our preliminary decision position on the use of forecast depreciation for establishing the RAB at the commencement of the regulatory control period from 1 July 2020. </w:t>
      </w:r>
      <w:r w:rsidR="0045662C">
        <w:t xml:space="preserve">We note Energex's revised proposal </w:t>
      </w:r>
      <w:r>
        <w:t>did not discuss this issue</w:t>
      </w:r>
      <w:r w:rsidR="0045662C">
        <w:t xml:space="preserve">. </w:t>
      </w:r>
    </w:p>
    <w:p w:rsidR="0045662C" w:rsidRDefault="003C4E41" w:rsidP="0045662C">
      <w:r>
        <w:fldChar w:fldCharType="begin"/>
      </w:r>
      <w:r>
        <w:instrText xml:space="preserve"> REF _Ref416938074 \h </w:instrText>
      </w:r>
      <w:r>
        <w:fldChar w:fldCharType="separate"/>
      </w:r>
      <w:r w:rsidRPr="00415CF9">
        <w:t>Table 2.1</w:t>
      </w:r>
      <w:r>
        <w:fldChar w:fldCharType="end"/>
      </w:r>
      <w:r>
        <w:t xml:space="preserve"> </w:t>
      </w:r>
      <w:r w:rsidR="0045662C" w:rsidRPr="003805CA">
        <w:t xml:space="preserve">sets out our </w:t>
      </w:r>
      <w:r w:rsidR="0045662C">
        <w:t>final</w:t>
      </w:r>
      <w:r w:rsidR="0045662C" w:rsidRPr="003805CA">
        <w:t xml:space="preserve"> decision on the roll forward of the RAB values for the </w:t>
      </w:r>
      <w:r w:rsidR="0045662C">
        <w:br/>
      </w:r>
      <w:r w:rsidR="0045662C" w:rsidRPr="003805CA">
        <w:t>20</w:t>
      </w:r>
      <w:r w:rsidR="0045662C">
        <w:t>10</w:t>
      </w:r>
      <w:r w:rsidR="0045662C" w:rsidRPr="003805CA">
        <w:t>–</w:t>
      </w:r>
      <w:r w:rsidR="0045662C">
        <w:t>15</w:t>
      </w:r>
      <w:r w:rsidR="00FB6C86">
        <w:t xml:space="preserve"> </w:t>
      </w:r>
      <w:r w:rsidR="0045662C" w:rsidRPr="003805CA">
        <w:t>regulatory control period.</w:t>
      </w:r>
      <w:r w:rsidR="0045662C" w:rsidRPr="004B2F5F">
        <w:t xml:space="preserve"> </w:t>
      </w:r>
    </w:p>
    <w:p w:rsidR="0045662C" w:rsidRDefault="0045662C" w:rsidP="0045662C">
      <w:r w:rsidRPr="003805CA">
        <w:t>We determine a forecast closing RAB value at 30 June 20</w:t>
      </w:r>
      <w:r w:rsidR="00415CF9">
        <w:t>20</w:t>
      </w:r>
      <w:r w:rsidRPr="003805CA">
        <w:t xml:space="preserve"> of $</w:t>
      </w:r>
      <w:r w:rsidR="00A53E9D">
        <w:t>13 5</w:t>
      </w:r>
      <w:r w:rsidR="00717EE2">
        <w:t>91.5</w:t>
      </w:r>
      <w:r w:rsidR="00A53E9D">
        <w:t>.</w:t>
      </w:r>
      <w:r>
        <w:t> </w:t>
      </w:r>
      <w:r w:rsidRPr="003805CA">
        <w:t>million ($</w:t>
      </w:r>
      <w:r>
        <w:t> </w:t>
      </w:r>
      <w:r w:rsidRPr="003805CA">
        <w:t>nominal). This is</w:t>
      </w:r>
      <w:r>
        <w:t xml:space="preserve"> </w:t>
      </w:r>
      <w:r w:rsidRPr="003805CA">
        <w:t>$</w:t>
      </w:r>
      <w:r w:rsidR="00A53E9D">
        <w:t>1</w:t>
      </w:r>
      <w:r w:rsidR="00ED3AB8">
        <w:t>2</w:t>
      </w:r>
      <w:r w:rsidR="00717EE2">
        <w:t>0</w:t>
      </w:r>
      <w:r w:rsidR="00ED3AB8">
        <w:t>.</w:t>
      </w:r>
      <w:r w:rsidR="00717EE2">
        <w:t>5</w:t>
      </w:r>
      <w:r>
        <w:t> </w:t>
      </w:r>
      <w:r w:rsidRPr="003805CA">
        <w:t xml:space="preserve">million (or </w:t>
      </w:r>
      <w:r w:rsidR="00A53E9D">
        <w:t>0</w:t>
      </w:r>
      <w:r w:rsidR="00ED3AB8">
        <w:t>.9</w:t>
      </w:r>
      <w:r>
        <w:t> </w:t>
      </w:r>
      <w:r w:rsidRPr="003805CA">
        <w:t>per cent) lower than the amount of $</w:t>
      </w:r>
      <w:r w:rsidR="00415CF9">
        <w:t>13</w:t>
      </w:r>
      <w:r w:rsidR="00A53E9D">
        <w:t> </w:t>
      </w:r>
      <w:r w:rsidR="00415CF9">
        <w:t>712</w:t>
      </w:r>
      <w:r>
        <w:t>.</w:t>
      </w:r>
      <w:r w:rsidR="00415CF9">
        <w:t>0</w:t>
      </w:r>
      <w:r w:rsidRPr="003805CA">
        <w:t xml:space="preserve"> million ($</w:t>
      </w:r>
      <w:r>
        <w:t> </w:t>
      </w:r>
      <w:r w:rsidRPr="003805CA">
        <w:t xml:space="preserve">nominal) </w:t>
      </w:r>
      <w:r>
        <w:t xml:space="preserve">in </w:t>
      </w:r>
      <w:r w:rsidRPr="003805CA">
        <w:t>En</w:t>
      </w:r>
      <w:r w:rsidR="00415CF9">
        <w:t>ergex</w:t>
      </w:r>
      <w:r>
        <w:t>'s revised proposal</w:t>
      </w:r>
      <w:r w:rsidRPr="003805CA">
        <w:t xml:space="preserve">. Our </w:t>
      </w:r>
      <w:r>
        <w:t xml:space="preserve">final </w:t>
      </w:r>
      <w:r w:rsidRPr="003805CA">
        <w:t xml:space="preserve">decision on the forecast closing RAB reflects our </w:t>
      </w:r>
      <w:r>
        <w:t>adjustments to</w:t>
      </w:r>
      <w:r w:rsidRPr="003805CA">
        <w:t xml:space="preserve"> </w:t>
      </w:r>
      <w:r>
        <w:t>En</w:t>
      </w:r>
      <w:r w:rsidR="00415CF9">
        <w:t>ergex</w:t>
      </w:r>
      <w:r>
        <w:t xml:space="preserve">'s </w:t>
      </w:r>
      <w:r w:rsidR="00415CF9">
        <w:t>opening RAB as at 1 July 2015, forecast capex (attachment 6),</w:t>
      </w:r>
      <w:r w:rsidR="00A53E9D">
        <w:t xml:space="preserve"> and</w:t>
      </w:r>
      <w:r w:rsidR="00415CF9">
        <w:t xml:space="preserve"> </w:t>
      </w:r>
      <w:r w:rsidRPr="003805CA">
        <w:t>forecast</w:t>
      </w:r>
      <w:r>
        <w:t xml:space="preserve"> regulatory </w:t>
      </w:r>
      <w:r w:rsidRPr="003805CA">
        <w:t>depreciation (attachment 5)</w:t>
      </w:r>
      <w:r>
        <w:t>.</w:t>
      </w:r>
    </w:p>
    <w:p w:rsidR="0045662C" w:rsidRDefault="003A343E" w:rsidP="0045662C">
      <w:r>
        <w:fldChar w:fldCharType="begin"/>
      </w:r>
      <w:r>
        <w:instrText xml:space="preserve"> REF _Ref406144543 \h </w:instrText>
      </w:r>
      <w:r>
        <w:fldChar w:fldCharType="separate"/>
      </w:r>
      <w:r w:rsidRPr="003A343E">
        <w:t>Table 2.2</w:t>
      </w:r>
      <w:r>
        <w:fldChar w:fldCharType="end"/>
      </w:r>
      <w:r>
        <w:t xml:space="preserve"> </w:t>
      </w:r>
      <w:r w:rsidRPr="003805CA">
        <w:t>sets out</w:t>
      </w:r>
      <w:r w:rsidRPr="001B7707">
        <w:t xml:space="preserve"> </w:t>
      </w:r>
      <w:r w:rsidR="0045662C" w:rsidRPr="001B7707">
        <w:t xml:space="preserve">our </w:t>
      </w:r>
      <w:r w:rsidR="0045662C">
        <w:t xml:space="preserve">final </w:t>
      </w:r>
      <w:r w:rsidR="0045662C" w:rsidRPr="001B7707">
        <w:t xml:space="preserve">decision on the forecast RAB values for </w:t>
      </w:r>
      <w:r w:rsidR="0045662C">
        <w:t>En</w:t>
      </w:r>
      <w:r w:rsidR="00415CF9">
        <w:t>ergex</w:t>
      </w:r>
      <w:r w:rsidR="0045662C">
        <w:t xml:space="preserve"> over the 201</w:t>
      </w:r>
      <w:r w:rsidR="00415CF9">
        <w:t>5</w:t>
      </w:r>
      <w:r w:rsidR="0045662C" w:rsidRPr="001B7707">
        <w:t>–</w:t>
      </w:r>
      <w:r w:rsidR="00415CF9">
        <w:t>20</w:t>
      </w:r>
      <w:r w:rsidR="0045662C" w:rsidRPr="001B7707">
        <w:t xml:space="preserve"> </w:t>
      </w:r>
      <w:r w:rsidR="00415CF9">
        <w:t xml:space="preserve">regulatory control </w:t>
      </w:r>
      <w:proofErr w:type="gramStart"/>
      <w:r w:rsidR="0045662C" w:rsidRPr="001B7707">
        <w:t>period</w:t>
      </w:r>
      <w:proofErr w:type="gramEnd"/>
      <w:r w:rsidR="0045662C" w:rsidRPr="001B7707">
        <w:t>.</w:t>
      </w:r>
    </w:p>
    <w:p w:rsidR="003A343E" w:rsidRDefault="003A343E" w:rsidP="0045662C"/>
    <w:p w:rsidR="003A343E" w:rsidRDefault="003A343E" w:rsidP="0045662C"/>
    <w:p w:rsidR="000954C8" w:rsidRDefault="000954C8" w:rsidP="0045662C"/>
    <w:p w:rsidR="0045662C" w:rsidRPr="00415CF9" w:rsidRDefault="0045662C" w:rsidP="00415CF9">
      <w:pPr>
        <w:pStyle w:val="Caption"/>
        <w:rPr>
          <w:rStyle w:val="AERtexthighlight"/>
          <w:shd w:val="clear" w:color="auto" w:fill="auto"/>
        </w:rPr>
      </w:pPr>
      <w:bookmarkStart w:id="13" w:name="_Ref416938074"/>
      <w:r w:rsidRPr="00415CF9">
        <w:lastRenderedPageBreak/>
        <w:t xml:space="preserve">Table </w:t>
      </w:r>
      <w:fldSimple w:instr=" STYLEREF 1 \s ">
        <w:r w:rsidRPr="00415CF9">
          <w:t>2</w:t>
        </w:r>
      </w:fldSimple>
      <w:r w:rsidRPr="00415CF9">
        <w:t>.</w:t>
      </w:r>
      <w:fldSimple w:instr=" SEQ Table \* ARABIC \s 1 ">
        <w:r w:rsidRPr="00415CF9">
          <w:t>1</w:t>
        </w:r>
      </w:fldSimple>
      <w:bookmarkEnd w:id="13"/>
      <w:r w:rsidRPr="00415CF9">
        <w:tab/>
      </w:r>
      <w:r w:rsidR="00415CF9" w:rsidRPr="00415CF9">
        <w:rPr>
          <w:rStyle w:val="AERtexthighlight"/>
          <w:shd w:val="clear" w:color="auto" w:fill="auto"/>
        </w:rPr>
        <w:t>AER's final</w:t>
      </w:r>
      <w:r w:rsidRPr="00415CF9">
        <w:rPr>
          <w:rStyle w:val="AERtexthighlight"/>
          <w:shd w:val="clear" w:color="auto" w:fill="auto"/>
        </w:rPr>
        <w:t xml:space="preserve"> decision on Energex's RAB for the 2010–15 regulatory control period ($ million, nominal)</w:t>
      </w:r>
    </w:p>
    <w:tbl>
      <w:tblPr>
        <w:tblStyle w:val="AERtable-numbers"/>
        <w:tblW w:w="5036" w:type="pct"/>
        <w:tblLayout w:type="fixed"/>
        <w:tblLook w:val="04A0" w:firstRow="1" w:lastRow="0" w:firstColumn="1" w:lastColumn="0" w:noHBand="0" w:noVBand="1"/>
      </w:tblPr>
      <w:tblGrid>
        <w:gridCol w:w="3796"/>
        <w:gridCol w:w="992"/>
        <w:gridCol w:w="991"/>
        <w:gridCol w:w="993"/>
        <w:gridCol w:w="991"/>
        <w:gridCol w:w="993"/>
      </w:tblGrid>
      <w:tr w:rsidR="0045662C" w:rsidRPr="00237902" w:rsidTr="0002378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7" w:type="pct"/>
            <w:noWrap/>
            <w:hideMark/>
          </w:tcPr>
          <w:p w:rsidR="0045662C" w:rsidRPr="0045662C" w:rsidRDefault="0045662C" w:rsidP="0045662C">
            <w:r w:rsidRPr="00237902">
              <w:t> </w:t>
            </w:r>
          </w:p>
        </w:tc>
        <w:tc>
          <w:tcPr>
            <w:tcW w:w="566" w:type="pct"/>
            <w:noWrap/>
            <w:hideMark/>
          </w:tcPr>
          <w:p w:rsidR="0045662C" w:rsidRPr="0045662C" w:rsidRDefault="0045662C" w:rsidP="0045662C">
            <w:pPr>
              <w:cnfStyle w:val="100000000000" w:firstRow="1" w:lastRow="0" w:firstColumn="0" w:lastColumn="0" w:oddVBand="0" w:evenVBand="0" w:oddHBand="0" w:evenHBand="0" w:firstRowFirstColumn="0" w:firstRowLastColumn="0" w:lastRowFirstColumn="0" w:lastRowLastColumn="0"/>
            </w:pPr>
            <w:r w:rsidRPr="00237902">
              <w:t>2010–11</w:t>
            </w:r>
          </w:p>
        </w:tc>
        <w:tc>
          <w:tcPr>
            <w:tcW w:w="566" w:type="pct"/>
            <w:noWrap/>
            <w:hideMark/>
          </w:tcPr>
          <w:p w:rsidR="0045662C" w:rsidRPr="0045662C" w:rsidRDefault="0045662C" w:rsidP="0045662C">
            <w:pPr>
              <w:cnfStyle w:val="100000000000" w:firstRow="1" w:lastRow="0" w:firstColumn="0" w:lastColumn="0" w:oddVBand="0" w:evenVBand="0" w:oddHBand="0" w:evenHBand="0" w:firstRowFirstColumn="0" w:firstRowLastColumn="0" w:lastRowFirstColumn="0" w:lastRowLastColumn="0"/>
            </w:pPr>
            <w:r w:rsidRPr="00237902">
              <w:t>2011–12</w:t>
            </w:r>
          </w:p>
        </w:tc>
        <w:tc>
          <w:tcPr>
            <w:tcW w:w="567" w:type="pct"/>
            <w:noWrap/>
            <w:hideMark/>
          </w:tcPr>
          <w:p w:rsidR="0045662C" w:rsidRPr="0045662C" w:rsidRDefault="0045662C" w:rsidP="0045662C">
            <w:pPr>
              <w:cnfStyle w:val="100000000000" w:firstRow="1" w:lastRow="0" w:firstColumn="0" w:lastColumn="0" w:oddVBand="0" w:evenVBand="0" w:oddHBand="0" w:evenHBand="0" w:firstRowFirstColumn="0" w:firstRowLastColumn="0" w:lastRowFirstColumn="0" w:lastRowLastColumn="0"/>
            </w:pPr>
            <w:r w:rsidRPr="00237902">
              <w:t>2012–13</w:t>
            </w:r>
          </w:p>
        </w:tc>
        <w:tc>
          <w:tcPr>
            <w:tcW w:w="566" w:type="pct"/>
            <w:noWrap/>
            <w:hideMark/>
          </w:tcPr>
          <w:p w:rsidR="0045662C" w:rsidRPr="0045662C" w:rsidRDefault="0045662C" w:rsidP="0045662C">
            <w:pPr>
              <w:cnfStyle w:val="100000000000" w:firstRow="1" w:lastRow="0" w:firstColumn="0" w:lastColumn="0" w:oddVBand="0" w:evenVBand="0" w:oddHBand="0" w:evenHBand="0" w:firstRowFirstColumn="0" w:firstRowLastColumn="0" w:lastRowFirstColumn="0" w:lastRowLastColumn="0"/>
            </w:pPr>
            <w:r w:rsidRPr="00237902">
              <w:t>2013–14</w:t>
            </w:r>
          </w:p>
        </w:tc>
        <w:tc>
          <w:tcPr>
            <w:tcW w:w="567" w:type="pct"/>
            <w:noWrap/>
            <w:hideMark/>
          </w:tcPr>
          <w:p w:rsidR="0045662C" w:rsidRPr="0045662C" w:rsidRDefault="0045662C" w:rsidP="0045662C">
            <w:pPr>
              <w:cnfStyle w:val="100000000000" w:firstRow="1" w:lastRow="0" w:firstColumn="0" w:lastColumn="0" w:oddVBand="0" w:evenVBand="0" w:oddHBand="0" w:evenHBand="0" w:firstRowFirstColumn="0" w:firstRowLastColumn="0" w:lastRowFirstColumn="0" w:lastRowLastColumn="0"/>
            </w:pPr>
            <w:r w:rsidRPr="00237902">
              <w:t>2014–15</w:t>
            </w:r>
            <w:r w:rsidRPr="0045662C">
              <w:rPr>
                <w:rStyle w:val="AERsuperscript"/>
              </w:rPr>
              <w:t>a</w:t>
            </w:r>
          </w:p>
        </w:tc>
      </w:tr>
      <w:tr w:rsidR="0045662C" w:rsidRPr="00237902" w:rsidTr="0002378B">
        <w:trPr>
          <w:trHeight w:val="340"/>
        </w:trPr>
        <w:tc>
          <w:tcPr>
            <w:cnfStyle w:val="001000000000" w:firstRow="0" w:lastRow="0" w:firstColumn="1" w:lastColumn="0" w:oddVBand="0" w:evenVBand="0" w:oddHBand="0" w:evenHBand="0" w:firstRowFirstColumn="0" w:firstRowLastColumn="0" w:lastRowFirstColumn="0" w:lastRowLastColumn="0"/>
            <w:tcW w:w="2167" w:type="pct"/>
            <w:noWrap/>
            <w:hideMark/>
          </w:tcPr>
          <w:p w:rsidR="0045662C" w:rsidRPr="0045662C" w:rsidRDefault="0045662C" w:rsidP="0045662C">
            <w:r w:rsidRPr="00237902">
              <w:t>Opening RAB</w:t>
            </w:r>
          </w:p>
        </w:tc>
        <w:tc>
          <w:tcPr>
            <w:tcW w:w="566" w:type="pct"/>
            <w:noWrap/>
            <w:vAlign w:val="top"/>
          </w:tcPr>
          <w:p w:rsidR="0045662C" w:rsidRPr="0045662C" w:rsidRDefault="0045662C" w:rsidP="0045662C">
            <w:pPr>
              <w:cnfStyle w:val="000000000000" w:firstRow="0" w:lastRow="0" w:firstColumn="0" w:lastColumn="0" w:oddVBand="0" w:evenVBand="0" w:oddHBand="0" w:evenHBand="0" w:firstRowFirstColumn="0" w:firstRowLastColumn="0" w:lastRowFirstColumn="0" w:lastRowLastColumn="0"/>
            </w:pPr>
            <w:r w:rsidRPr="00237902">
              <w:t xml:space="preserve"> 7867.3 </w:t>
            </w:r>
          </w:p>
        </w:tc>
        <w:tc>
          <w:tcPr>
            <w:tcW w:w="566" w:type="pct"/>
            <w:noWrap/>
            <w:vAlign w:val="top"/>
          </w:tcPr>
          <w:p w:rsidR="0045662C" w:rsidRPr="0045662C" w:rsidRDefault="0045662C" w:rsidP="0045662C">
            <w:pPr>
              <w:cnfStyle w:val="000000000000" w:firstRow="0" w:lastRow="0" w:firstColumn="0" w:lastColumn="0" w:oddVBand="0" w:evenVBand="0" w:oddHBand="0" w:evenHBand="0" w:firstRowFirstColumn="0" w:firstRowLastColumn="0" w:lastRowFirstColumn="0" w:lastRowLastColumn="0"/>
            </w:pPr>
            <w:r w:rsidRPr="00237902">
              <w:t xml:space="preserve"> 8856.5 </w:t>
            </w:r>
          </w:p>
        </w:tc>
        <w:tc>
          <w:tcPr>
            <w:tcW w:w="567" w:type="pct"/>
            <w:noWrap/>
            <w:vAlign w:val="top"/>
          </w:tcPr>
          <w:p w:rsidR="0045662C" w:rsidRPr="0045662C" w:rsidRDefault="0045662C" w:rsidP="0045662C">
            <w:pPr>
              <w:cnfStyle w:val="000000000000" w:firstRow="0" w:lastRow="0" w:firstColumn="0" w:lastColumn="0" w:oddVBand="0" w:evenVBand="0" w:oddHBand="0" w:evenHBand="0" w:firstRowFirstColumn="0" w:firstRowLastColumn="0" w:lastRowFirstColumn="0" w:lastRowLastColumn="0"/>
            </w:pPr>
            <w:r w:rsidRPr="00237902">
              <w:t xml:space="preserve"> 9645.6 </w:t>
            </w:r>
          </w:p>
        </w:tc>
        <w:tc>
          <w:tcPr>
            <w:tcW w:w="566" w:type="pct"/>
            <w:noWrap/>
            <w:vAlign w:val="top"/>
          </w:tcPr>
          <w:p w:rsidR="0045662C" w:rsidRPr="0045662C" w:rsidRDefault="0045662C" w:rsidP="0045662C">
            <w:pPr>
              <w:cnfStyle w:val="000000000000" w:firstRow="0" w:lastRow="0" w:firstColumn="0" w:lastColumn="0" w:oddVBand="0" w:evenVBand="0" w:oddHBand="0" w:evenHBand="0" w:firstRowFirstColumn="0" w:firstRowLastColumn="0" w:lastRowFirstColumn="0" w:lastRowLastColumn="0"/>
            </w:pPr>
            <w:r w:rsidRPr="00237902">
              <w:t xml:space="preserve"> 10462.1 </w:t>
            </w:r>
          </w:p>
        </w:tc>
        <w:tc>
          <w:tcPr>
            <w:tcW w:w="567" w:type="pct"/>
            <w:noWrap/>
            <w:vAlign w:val="top"/>
          </w:tcPr>
          <w:p w:rsidR="0045662C" w:rsidRPr="0045662C" w:rsidRDefault="0045662C" w:rsidP="0045662C">
            <w:pPr>
              <w:cnfStyle w:val="000000000000" w:firstRow="0" w:lastRow="0" w:firstColumn="0" w:lastColumn="0" w:oddVBand="0" w:evenVBand="0" w:oddHBand="0" w:evenHBand="0" w:firstRowFirstColumn="0" w:firstRowLastColumn="0" w:lastRowFirstColumn="0" w:lastRowLastColumn="0"/>
            </w:pPr>
            <w:r w:rsidRPr="00237902">
              <w:t xml:space="preserve"> 11178.3 </w:t>
            </w:r>
          </w:p>
        </w:tc>
      </w:tr>
      <w:tr w:rsidR="0045662C" w:rsidRPr="00237902" w:rsidTr="0002378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7" w:type="pct"/>
            <w:noWrap/>
            <w:hideMark/>
          </w:tcPr>
          <w:p w:rsidR="0045662C" w:rsidRPr="0045662C" w:rsidRDefault="0045662C" w:rsidP="0045662C">
            <w:r w:rsidRPr="00237902">
              <w:t>Capital expenditure</w:t>
            </w:r>
            <w:r w:rsidRPr="0045662C">
              <w:rPr>
                <w:rStyle w:val="AERsuperscript"/>
              </w:rPr>
              <w:t>b</w:t>
            </w:r>
          </w:p>
        </w:tc>
        <w:tc>
          <w:tcPr>
            <w:tcW w:w="566" w:type="pct"/>
            <w:noWrap/>
            <w:vAlign w:val="top"/>
          </w:tcPr>
          <w:p w:rsidR="0045662C" w:rsidRPr="0045662C" w:rsidRDefault="0045662C" w:rsidP="0045662C">
            <w:pPr>
              <w:cnfStyle w:val="000000010000" w:firstRow="0" w:lastRow="0" w:firstColumn="0" w:lastColumn="0" w:oddVBand="0" w:evenVBand="0" w:oddHBand="0" w:evenHBand="1" w:firstRowFirstColumn="0" w:firstRowLastColumn="0" w:lastRowFirstColumn="0" w:lastRowLastColumn="0"/>
            </w:pPr>
            <w:r w:rsidRPr="00237902">
              <w:t xml:space="preserve"> 1004.9 </w:t>
            </w:r>
          </w:p>
        </w:tc>
        <w:tc>
          <w:tcPr>
            <w:tcW w:w="566" w:type="pct"/>
            <w:noWrap/>
            <w:vAlign w:val="top"/>
          </w:tcPr>
          <w:p w:rsidR="0045662C" w:rsidRPr="0045662C" w:rsidRDefault="0045662C" w:rsidP="0045662C">
            <w:pPr>
              <w:cnfStyle w:val="000000010000" w:firstRow="0" w:lastRow="0" w:firstColumn="0" w:lastColumn="0" w:oddVBand="0" w:evenVBand="0" w:oddHBand="0" w:evenHBand="1" w:firstRowFirstColumn="0" w:firstRowLastColumn="0" w:lastRowFirstColumn="0" w:lastRowLastColumn="0"/>
            </w:pPr>
            <w:r w:rsidRPr="00237902">
              <w:t xml:space="preserve"> 965.7 </w:t>
            </w:r>
          </w:p>
        </w:tc>
        <w:tc>
          <w:tcPr>
            <w:tcW w:w="567" w:type="pct"/>
            <w:noWrap/>
            <w:vAlign w:val="top"/>
          </w:tcPr>
          <w:p w:rsidR="0045662C" w:rsidRPr="0045662C" w:rsidRDefault="0045662C" w:rsidP="0045662C">
            <w:pPr>
              <w:cnfStyle w:val="000000010000" w:firstRow="0" w:lastRow="0" w:firstColumn="0" w:lastColumn="0" w:oddVBand="0" w:evenVBand="0" w:oddHBand="0" w:evenHBand="1" w:firstRowFirstColumn="0" w:firstRowLastColumn="0" w:lastRowFirstColumn="0" w:lastRowLastColumn="0"/>
            </w:pPr>
            <w:r w:rsidRPr="00237902">
              <w:t xml:space="preserve"> 921.9 </w:t>
            </w:r>
          </w:p>
        </w:tc>
        <w:tc>
          <w:tcPr>
            <w:tcW w:w="566" w:type="pct"/>
            <w:noWrap/>
            <w:vAlign w:val="top"/>
          </w:tcPr>
          <w:p w:rsidR="0045662C" w:rsidRPr="0045662C" w:rsidRDefault="0045662C" w:rsidP="0045662C">
            <w:pPr>
              <w:cnfStyle w:val="000000010000" w:firstRow="0" w:lastRow="0" w:firstColumn="0" w:lastColumn="0" w:oddVBand="0" w:evenVBand="0" w:oddHBand="0" w:evenHBand="1" w:firstRowFirstColumn="0" w:firstRowLastColumn="0" w:lastRowFirstColumn="0" w:lastRowLastColumn="0"/>
            </w:pPr>
            <w:r w:rsidRPr="00237902">
              <w:t xml:space="preserve"> 789.0 </w:t>
            </w:r>
          </w:p>
        </w:tc>
        <w:tc>
          <w:tcPr>
            <w:tcW w:w="567" w:type="pct"/>
            <w:noWrap/>
            <w:vAlign w:val="top"/>
          </w:tcPr>
          <w:p w:rsidR="0045662C" w:rsidRPr="0045662C" w:rsidRDefault="0045662C" w:rsidP="00C0223C">
            <w:pPr>
              <w:cnfStyle w:val="000000010000" w:firstRow="0" w:lastRow="0" w:firstColumn="0" w:lastColumn="0" w:oddVBand="0" w:evenVBand="0" w:oddHBand="0" w:evenHBand="1" w:firstRowFirstColumn="0" w:firstRowLastColumn="0" w:lastRowFirstColumn="0" w:lastRowLastColumn="0"/>
            </w:pPr>
            <w:r w:rsidRPr="00237902">
              <w:t xml:space="preserve"> </w:t>
            </w:r>
            <w:r w:rsidR="00C0223C">
              <w:t>758.1</w:t>
            </w:r>
            <w:r w:rsidRPr="00237902">
              <w:t xml:space="preserve"> </w:t>
            </w:r>
          </w:p>
        </w:tc>
      </w:tr>
      <w:tr w:rsidR="0045662C" w:rsidRPr="00237902" w:rsidTr="0002378B">
        <w:trPr>
          <w:trHeight w:val="340"/>
        </w:trPr>
        <w:tc>
          <w:tcPr>
            <w:cnfStyle w:val="001000000000" w:firstRow="0" w:lastRow="0" w:firstColumn="1" w:lastColumn="0" w:oddVBand="0" w:evenVBand="0" w:oddHBand="0" w:evenHBand="0" w:firstRowFirstColumn="0" w:firstRowLastColumn="0" w:lastRowFirstColumn="0" w:lastRowLastColumn="0"/>
            <w:tcW w:w="2167" w:type="pct"/>
            <w:noWrap/>
            <w:hideMark/>
          </w:tcPr>
          <w:p w:rsidR="0045662C" w:rsidRPr="0045662C" w:rsidRDefault="0045662C" w:rsidP="0045662C">
            <w:r w:rsidRPr="00237902">
              <w:t>Inflation indexation on opening RAB</w:t>
            </w:r>
          </w:p>
        </w:tc>
        <w:tc>
          <w:tcPr>
            <w:tcW w:w="566" w:type="pct"/>
            <w:noWrap/>
            <w:vAlign w:val="top"/>
          </w:tcPr>
          <w:p w:rsidR="0045662C" w:rsidRPr="0045662C" w:rsidRDefault="0045662C" w:rsidP="0045662C">
            <w:pPr>
              <w:cnfStyle w:val="000000000000" w:firstRow="0" w:lastRow="0" w:firstColumn="0" w:lastColumn="0" w:oddVBand="0" w:evenVBand="0" w:oddHBand="0" w:evenHBand="0" w:firstRowFirstColumn="0" w:firstRowLastColumn="0" w:lastRowFirstColumn="0" w:lastRowLastColumn="0"/>
            </w:pPr>
            <w:r w:rsidRPr="00237902">
              <w:t>277.7</w:t>
            </w:r>
          </w:p>
        </w:tc>
        <w:tc>
          <w:tcPr>
            <w:tcW w:w="566" w:type="pct"/>
            <w:noWrap/>
            <w:vAlign w:val="top"/>
          </w:tcPr>
          <w:p w:rsidR="0045662C" w:rsidRPr="0045662C" w:rsidRDefault="0045662C" w:rsidP="0045662C">
            <w:pPr>
              <w:cnfStyle w:val="000000000000" w:firstRow="0" w:lastRow="0" w:firstColumn="0" w:lastColumn="0" w:oddVBand="0" w:evenVBand="0" w:oddHBand="0" w:evenHBand="0" w:firstRowFirstColumn="0" w:firstRowLastColumn="0" w:lastRowFirstColumn="0" w:lastRowLastColumn="0"/>
            </w:pPr>
            <w:r w:rsidRPr="00237902">
              <w:t>316.5</w:t>
            </w:r>
          </w:p>
        </w:tc>
        <w:tc>
          <w:tcPr>
            <w:tcW w:w="567" w:type="pct"/>
            <w:noWrap/>
            <w:vAlign w:val="top"/>
          </w:tcPr>
          <w:p w:rsidR="0045662C" w:rsidRPr="0045662C" w:rsidRDefault="0045662C" w:rsidP="0045662C">
            <w:pPr>
              <w:cnfStyle w:val="000000000000" w:firstRow="0" w:lastRow="0" w:firstColumn="0" w:lastColumn="0" w:oddVBand="0" w:evenVBand="0" w:oddHBand="0" w:evenHBand="0" w:firstRowFirstColumn="0" w:firstRowLastColumn="0" w:lastRowFirstColumn="0" w:lastRowLastColumn="0"/>
            </w:pPr>
            <w:r w:rsidRPr="00237902">
              <w:t>346.6</w:t>
            </w:r>
          </w:p>
        </w:tc>
        <w:tc>
          <w:tcPr>
            <w:tcW w:w="566" w:type="pct"/>
            <w:noWrap/>
            <w:vAlign w:val="top"/>
          </w:tcPr>
          <w:p w:rsidR="0045662C" w:rsidRPr="0045662C" w:rsidRDefault="0045662C" w:rsidP="0045662C">
            <w:pPr>
              <w:cnfStyle w:val="000000000000" w:firstRow="0" w:lastRow="0" w:firstColumn="0" w:lastColumn="0" w:oddVBand="0" w:evenVBand="0" w:oddHBand="0" w:evenHBand="0" w:firstRowFirstColumn="0" w:firstRowLastColumn="0" w:lastRowFirstColumn="0" w:lastRowLastColumn="0"/>
            </w:pPr>
            <w:r w:rsidRPr="00237902">
              <w:t xml:space="preserve">379.3 </w:t>
            </w:r>
          </w:p>
        </w:tc>
        <w:tc>
          <w:tcPr>
            <w:tcW w:w="567" w:type="pct"/>
            <w:noWrap/>
            <w:vAlign w:val="top"/>
          </w:tcPr>
          <w:p w:rsidR="0045662C" w:rsidRPr="0045662C" w:rsidRDefault="0045662C" w:rsidP="0045662C">
            <w:pPr>
              <w:cnfStyle w:val="000000000000" w:firstRow="0" w:lastRow="0" w:firstColumn="0" w:lastColumn="0" w:oddVBand="0" w:evenVBand="0" w:oddHBand="0" w:evenHBand="0" w:firstRowFirstColumn="0" w:firstRowLastColumn="0" w:lastRowFirstColumn="0" w:lastRowLastColumn="0"/>
            </w:pPr>
            <w:r>
              <w:t>403.7</w:t>
            </w:r>
            <w:r w:rsidRPr="0045662C">
              <w:t xml:space="preserve"> </w:t>
            </w:r>
          </w:p>
        </w:tc>
      </w:tr>
      <w:tr w:rsidR="0045662C" w:rsidRPr="00237902" w:rsidTr="0002378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7" w:type="pct"/>
            <w:noWrap/>
            <w:hideMark/>
          </w:tcPr>
          <w:p w:rsidR="0045662C" w:rsidRPr="0045662C" w:rsidRDefault="0045662C" w:rsidP="0045662C">
            <w:r w:rsidRPr="00237902">
              <w:rPr>
                <w:rStyle w:val="AERtextitalic"/>
              </w:rPr>
              <w:t>Less</w:t>
            </w:r>
            <w:r w:rsidRPr="0045662C">
              <w:t>: straight-line depreciation</w:t>
            </w:r>
          </w:p>
        </w:tc>
        <w:tc>
          <w:tcPr>
            <w:tcW w:w="566" w:type="pct"/>
            <w:noWrap/>
            <w:vAlign w:val="top"/>
          </w:tcPr>
          <w:p w:rsidR="0045662C" w:rsidRPr="0045662C" w:rsidRDefault="0045662C" w:rsidP="0045662C">
            <w:pPr>
              <w:cnfStyle w:val="000000010000" w:firstRow="0" w:lastRow="0" w:firstColumn="0" w:lastColumn="0" w:oddVBand="0" w:evenVBand="0" w:oddHBand="0" w:evenHBand="1" w:firstRowFirstColumn="0" w:firstRowLastColumn="0" w:lastRowFirstColumn="0" w:lastRowLastColumn="0"/>
            </w:pPr>
            <w:r w:rsidRPr="00237902">
              <w:t xml:space="preserve"> 262.0 </w:t>
            </w:r>
          </w:p>
        </w:tc>
        <w:tc>
          <w:tcPr>
            <w:tcW w:w="566" w:type="pct"/>
            <w:noWrap/>
            <w:vAlign w:val="top"/>
          </w:tcPr>
          <w:p w:rsidR="0045662C" w:rsidRPr="0045662C" w:rsidRDefault="0045662C" w:rsidP="0045662C">
            <w:pPr>
              <w:cnfStyle w:val="000000010000" w:firstRow="0" w:lastRow="0" w:firstColumn="0" w:lastColumn="0" w:oddVBand="0" w:evenVBand="0" w:oddHBand="0" w:evenHBand="1" w:firstRowFirstColumn="0" w:firstRowLastColumn="0" w:lastRowFirstColumn="0" w:lastRowLastColumn="0"/>
            </w:pPr>
            <w:r w:rsidRPr="00237902">
              <w:t xml:space="preserve"> 139.9 </w:t>
            </w:r>
          </w:p>
        </w:tc>
        <w:tc>
          <w:tcPr>
            <w:tcW w:w="567" w:type="pct"/>
            <w:noWrap/>
            <w:vAlign w:val="top"/>
          </w:tcPr>
          <w:p w:rsidR="0045662C" w:rsidRPr="0045662C" w:rsidRDefault="0045662C" w:rsidP="0045662C">
            <w:pPr>
              <w:cnfStyle w:val="000000010000" w:firstRow="0" w:lastRow="0" w:firstColumn="0" w:lastColumn="0" w:oddVBand="0" w:evenVBand="0" w:oddHBand="0" w:evenHBand="1" w:firstRowFirstColumn="0" w:firstRowLastColumn="0" w:lastRowFirstColumn="0" w:lastRowLastColumn="0"/>
            </w:pPr>
            <w:r w:rsidRPr="00237902">
              <w:t xml:space="preserve"> 241.1 </w:t>
            </w:r>
          </w:p>
        </w:tc>
        <w:tc>
          <w:tcPr>
            <w:tcW w:w="566" w:type="pct"/>
            <w:noWrap/>
            <w:vAlign w:val="top"/>
          </w:tcPr>
          <w:p w:rsidR="0045662C" w:rsidRPr="0045662C" w:rsidRDefault="0045662C" w:rsidP="0045662C">
            <w:pPr>
              <w:cnfStyle w:val="000000010000" w:firstRow="0" w:lastRow="0" w:firstColumn="0" w:lastColumn="0" w:oddVBand="0" w:evenVBand="0" w:oddHBand="0" w:evenHBand="1" w:firstRowFirstColumn="0" w:firstRowLastColumn="0" w:lastRowFirstColumn="0" w:lastRowLastColumn="0"/>
            </w:pPr>
            <w:r w:rsidRPr="00237902">
              <w:t xml:space="preserve"> 306.5 </w:t>
            </w:r>
          </w:p>
        </w:tc>
        <w:tc>
          <w:tcPr>
            <w:tcW w:w="567" w:type="pct"/>
            <w:noWrap/>
            <w:vAlign w:val="top"/>
          </w:tcPr>
          <w:p w:rsidR="0045662C" w:rsidRPr="0045662C" w:rsidRDefault="0045662C" w:rsidP="00C0223C">
            <w:pPr>
              <w:cnfStyle w:val="000000010000" w:firstRow="0" w:lastRow="0" w:firstColumn="0" w:lastColumn="0" w:oddVBand="0" w:evenVBand="0" w:oddHBand="0" w:evenHBand="1" w:firstRowFirstColumn="0" w:firstRowLastColumn="0" w:lastRowFirstColumn="0" w:lastRowLastColumn="0"/>
            </w:pPr>
            <w:r w:rsidRPr="00237902">
              <w:t xml:space="preserve"> </w:t>
            </w:r>
            <w:r w:rsidR="00C0223C">
              <w:t>148.7</w:t>
            </w:r>
            <w:r w:rsidRPr="00237902">
              <w:t xml:space="preserve"> </w:t>
            </w:r>
          </w:p>
        </w:tc>
      </w:tr>
      <w:tr w:rsidR="0045662C" w:rsidRPr="00237902" w:rsidTr="0002378B">
        <w:trPr>
          <w:trHeight w:val="340"/>
        </w:trPr>
        <w:tc>
          <w:tcPr>
            <w:cnfStyle w:val="001000000000" w:firstRow="0" w:lastRow="0" w:firstColumn="1" w:lastColumn="0" w:oddVBand="0" w:evenVBand="0" w:oddHBand="0" w:evenHBand="0" w:firstRowFirstColumn="0" w:firstRowLastColumn="0" w:lastRowFirstColumn="0" w:lastRowLastColumn="0"/>
            <w:tcW w:w="2167" w:type="pct"/>
            <w:noWrap/>
            <w:hideMark/>
          </w:tcPr>
          <w:p w:rsidR="0045662C" w:rsidRPr="0045662C" w:rsidRDefault="0045662C" w:rsidP="0045662C">
            <w:r w:rsidRPr="00237902">
              <w:t>Closing RAB</w:t>
            </w:r>
          </w:p>
        </w:tc>
        <w:tc>
          <w:tcPr>
            <w:tcW w:w="566" w:type="pct"/>
            <w:noWrap/>
            <w:vAlign w:val="top"/>
          </w:tcPr>
          <w:p w:rsidR="0045662C" w:rsidRPr="0045662C" w:rsidRDefault="0045662C" w:rsidP="0045662C">
            <w:pPr>
              <w:cnfStyle w:val="000000000000" w:firstRow="0" w:lastRow="0" w:firstColumn="0" w:lastColumn="0" w:oddVBand="0" w:evenVBand="0" w:oddHBand="0" w:evenHBand="0" w:firstRowFirstColumn="0" w:firstRowLastColumn="0" w:lastRowFirstColumn="0" w:lastRowLastColumn="0"/>
            </w:pPr>
            <w:r w:rsidRPr="00237902">
              <w:t xml:space="preserve"> 8856.5</w:t>
            </w:r>
          </w:p>
        </w:tc>
        <w:tc>
          <w:tcPr>
            <w:tcW w:w="566" w:type="pct"/>
            <w:noWrap/>
            <w:vAlign w:val="top"/>
          </w:tcPr>
          <w:p w:rsidR="0045662C" w:rsidRPr="0045662C" w:rsidRDefault="0045662C" w:rsidP="0045662C">
            <w:pPr>
              <w:cnfStyle w:val="000000000000" w:firstRow="0" w:lastRow="0" w:firstColumn="0" w:lastColumn="0" w:oddVBand="0" w:evenVBand="0" w:oddHBand="0" w:evenHBand="0" w:firstRowFirstColumn="0" w:firstRowLastColumn="0" w:lastRowFirstColumn="0" w:lastRowLastColumn="0"/>
            </w:pPr>
            <w:r w:rsidRPr="00237902">
              <w:t xml:space="preserve"> 9645.6</w:t>
            </w:r>
          </w:p>
        </w:tc>
        <w:tc>
          <w:tcPr>
            <w:tcW w:w="567" w:type="pct"/>
            <w:noWrap/>
            <w:vAlign w:val="top"/>
          </w:tcPr>
          <w:p w:rsidR="0045662C" w:rsidRPr="0045662C" w:rsidRDefault="0045662C" w:rsidP="0045662C">
            <w:pPr>
              <w:cnfStyle w:val="000000000000" w:firstRow="0" w:lastRow="0" w:firstColumn="0" w:lastColumn="0" w:oddVBand="0" w:evenVBand="0" w:oddHBand="0" w:evenHBand="0" w:firstRowFirstColumn="0" w:firstRowLastColumn="0" w:lastRowFirstColumn="0" w:lastRowLastColumn="0"/>
            </w:pPr>
            <w:r w:rsidRPr="00237902">
              <w:t xml:space="preserve"> 10462.1 </w:t>
            </w:r>
          </w:p>
        </w:tc>
        <w:tc>
          <w:tcPr>
            <w:tcW w:w="566" w:type="pct"/>
            <w:noWrap/>
            <w:vAlign w:val="top"/>
          </w:tcPr>
          <w:p w:rsidR="0045662C" w:rsidRPr="0045662C" w:rsidRDefault="0045662C" w:rsidP="0045662C">
            <w:pPr>
              <w:cnfStyle w:val="000000000000" w:firstRow="0" w:lastRow="0" w:firstColumn="0" w:lastColumn="0" w:oddVBand="0" w:evenVBand="0" w:oddHBand="0" w:evenHBand="0" w:firstRowFirstColumn="0" w:firstRowLastColumn="0" w:lastRowFirstColumn="0" w:lastRowLastColumn="0"/>
            </w:pPr>
            <w:r w:rsidRPr="00237902">
              <w:t xml:space="preserve"> 11178.3 </w:t>
            </w:r>
          </w:p>
        </w:tc>
        <w:tc>
          <w:tcPr>
            <w:tcW w:w="567" w:type="pct"/>
            <w:noWrap/>
            <w:vAlign w:val="top"/>
          </w:tcPr>
          <w:p w:rsidR="0045662C" w:rsidRPr="0045662C" w:rsidRDefault="0045662C" w:rsidP="00C0223C">
            <w:pPr>
              <w:cnfStyle w:val="000000000000" w:firstRow="0" w:lastRow="0" w:firstColumn="0" w:lastColumn="0" w:oddVBand="0" w:evenVBand="0" w:oddHBand="0" w:evenHBand="0" w:firstRowFirstColumn="0" w:firstRowLastColumn="0" w:lastRowFirstColumn="0" w:lastRowLastColumn="0"/>
            </w:pPr>
            <w:r w:rsidRPr="00237902">
              <w:t xml:space="preserve"> 11</w:t>
            </w:r>
            <w:r w:rsidR="00C0223C">
              <w:t>6</w:t>
            </w:r>
            <w:r w:rsidRPr="00237902">
              <w:t>8</w:t>
            </w:r>
            <w:r w:rsidR="00C0223C">
              <w:t>1</w:t>
            </w:r>
            <w:r w:rsidRPr="0045662C">
              <w:t>.</w:t>
            </w:r>
            <w:r w:rsidR="00C0223C">
              <w:t>4</w:t>
            </w:r>
            <w:r w:rsidRPr="0045662C">
              <w:t xml:space="preserve"> </w:t>
            </w:r>
          </w:p>
        </w:tc>
      </w:tr>
      <w:tr w:rsidR="0045662C" w:rsidRPr="00237902" w:rsidTr="0002378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7" w:type="pct"/>
            <w:hideMark/>
          </w:tcPr>
          <w:p w:rsidR="0045662C" w:rsidRPr="0045662C" w:rsidRDefault="0045662C" w:rsidP="0045662C">
            <w:r w:rsidRPr="00237902">
              <w:t xml:space="preserve">Difference between estimated and actual </w:t>
            </w:r>
            <w:r w:rsidRPr="0045662C">
              <w:t>2009–10 capex (1 July 2009 to 30 June 2010)</w:t>
            </w:r>
          </w:p>
        </w:tc>
        <w:tc>
          <w:tcPr>
            <w:tcW w:w="566" w:type="pct"/>
            <w:noWrap/>
            <w:vAlign w:val="bottom"/>
            <w:hideMark/>
          </w:tcPr>
          <w:p w:rsidR="0045662C" w:rsidRPr="00237902" w:rsidRDefault="0045662C" w:rsidP="0045662C">
            <w:pPr>
              <w:cnfStyle w:val="000000010000" w:firstRow="0" w:lastRow="0" w:firstColumn="0" w:lastColumn="0" w:oddVBand="0" w:evenVBand="0" w:oddHBand="0" w:evenHBand="1" w:firstRowFirstColumn="0" w:firstRowLastColumn="0" w:lastRowFirstColumn="0" w:lastRowLastColumn="0"/>
            </w:pPr>
          </w:p>
        </w:tc>
        <w:tc>
          <w:tcPr>
            <w:tcW w:w="566" w:type="pct"/>
            <w:noWrap/>
            <w:vAlign w:val="bottom"/>
            <w:hideMark/>
          </w:tcPr>
          <w:p w:rsidR="0045662C" w:rsidRPr="00237902" w:rsidRDefault="0045662C" w:rsidP="0045662C">
            <w:pPr>
              <w:cnfStyle w:val="000000010000" w:firstRow="0" w:lastRow="0" w:firstColumn="0" w:lastColumn="0" w:oddVBand="0" w:evenVBand="0" w:oddHBand="0" w:evenHBand="1" w:firstRowFirstColumn="0" w:firstRowLastColumn="0" w:lastRowFirstColumn="0" w:lastRowLastColumn="0"/>
            </w:pPr>
          </w:p>
        </w:tc>
        <w:tc>
          <w:tcPr>
            <w:tcW w:w="567" w:type="pct"/>
            <w:noWrap/>
            <w:vAlign w:val="bottom"/>
            <w:hideMark/>
          </w:tcPr>
          <w:p w:rsidR="0045662C" w:rsidRPr="0045662C" w:rsidRDefault="0045662C" w:rsidP="0045662C">
            <w:pPr>
              <w:cnfStyle w:val="000000010000" w:firstRow="0" w:lastRow="0" w:firstColumn="0" w:lastColumn="0" w:oddVBand="0" w:evenVBand="0" w:oddHBand="0" w:evenHBand="1" w:firstRowFirstColumn="0" w:firstRowLastColumn="0" w:lastRowFirstColumn="0" w:lastRowLastColumn="0"/>
            </w:pPr>
            <w:r w:rsidRPr="00237902">
              <w:t> </w:t>
            </w:r>
          </w:p>
        </w:tc>
        <w:tc>
          <w:tcPr>
            <w:tcW w:w="566" w:type="pct"/>
            <w:noWrap/>
            <w:vAlign w:val="bottom"/>
            <w:hideMark/>
          </w:tcPr>
          <w:p w:rsidR="0045662C" w:rsidRPr="0045662C" w:rsidRDefault="0045662C" w:rsidP="0045662C">
            <w:pPr>
              <w:cnfStyle w:val="000000010000" w:firstRow="0" w:lastRow="0" w:firstColumn="0" w:lastColumn="0" w:oddVBand="0" w:evenVBand="0" w:oddHBand="0" w:evenHBand="1" w:firstRowFirstColumn="0" w:firstRowLastColumn="0" w:lastRowFirstColumn="0" w:lastRowLastColumn="0"/>
            </w:pPr>
            <w:r w:rsidRPr="00237902">
              <w:t> </w:t>
            </w:r>
          </w:p>
        </w:tc>
        <w:tc>
          <w:tcPr>
            <w:tcW w:w="567" w:type="pct"/>
            <w:noWrap/>
            <w:vAlign w:val="bottom"/>
          </w:tcPr>
          <w:p w:rsidR="0045662C" w:rsidRPr="0045662C" w:rsidRDefault="0045662C" w:rsidP="0045662C">
            <w:pPr>
              <w:cnfStyle w:val="000000010000" w:firstRow="0" w:lastRow="0" w:firstColumn="0" w:lastColumn="0" w:oddVBand="0" w:evenVBand="0" w:oddHBand="0" w:evenHBand="1" w:firstRowFirstColumn="0" w:firstRowLastColumn="0" w:lastRowFirstColumn="0" w:lastRowLastColumn="0"/>
            </w:pPr>
            <w:r w:rsidRPr="00237902">
              <w:t>–</w:t>
            </w:r>
            <w:r w:rsidRPr="0045662C">
              <w:t>32.7</w:t>
            </w:r>
          </w:p>
        </w:tc>
      </w:tr>
      <w:tr w:rsidR="0045662C" w:rsidRPr="00237902" w:rsidTr="0002378B">
        <w:trPr>
          <w:trHeight w:val="340"/>
        </w:trPr>
        <w:tc>
          <w:tcPr>
            <w:cnfStyle w:val="001000000000" w:firstRow="0" w:lastRow="0" w:firstColumn="1" w:lastColumn="0" w:oddVBand="0" w:evenVBand="0" w:oddHBand="0" w:evenHBand="0" w:firstRowFirstColumn="0" w:firstRowLastColumn="0" w:lastRowFirstColumn="0" w:lastRowLastColumn="0"/>
            <w:tcW w:w="2167" w:type="pct"/>
            <w:hideMark/>
          </w:tcPr>
          <w:p w:rsidR="0045662C" w:rsidRPr="0045662C" w:rsidRDefault="0045662C" w:rsidP="0045662C">
            <w:r w:rsidRPr="00237902">
              <w:t>Return on difference for 2009–10 capex</w:t>
            </w:r>
          </w:p>
        </w:tc>
        <w:tc>
          <w:tcPr>
            <w:tcW w:w="566" w:type="pct"/>
            <w:noWrap/>
            <w:vAlign w:val="bottom"/>
            <w:hideMark/>
          </w:tcPr>
          <w:p w:rsidR="0045662C" w:rsidRPr="00237902" w:rsidRDefault="0045662C" w:rsidP="0045662C">
            <w:pPr>
              <w:cnfStyle w:val="000000000000" w:firstRow="0" w:lastRow="0" w:firstColumn="0" w:lastColumn="0" w:oddVBand="0" w:evenVBand="0" w:oddHBand="0" w:evenHBand="0" w:firstRowFirstColumn="0" w:firstRowLastColumn="0" w:lastRowFirstColumn="0" w:lastRowLastColumn="0"/>
            </w:pPr>
          </w:p>
        </w:tc>
        <w:tc>
          <w:tcPr>
            <w:tcW w:w="566" w:type="pct"/>
            <w:noWrap/>
            <w:vAlign w:val="bottom"/>
            <w:hideMark/>
          </w:tcPr>
          <w:p w:rsidR="0045662C" w:rsidRPr="00237902" w:rsidRDefault="0045662C" w:rsidP="0045662C">
            <w:pPr>
              <w:cnfStyle w:val="000000000000" w:firstRow="0" w:lastRow="0" w:firstColumn="0" w:lastColumn="0" w:oddVBand="0" w:evenVBand="0" w:oddHBand="0" w:evenHBand="0" w:firstRowFirstColumn="0" w:firstRowLastColumn="0" w:lastRowFirstColumn="0" w:lastRowLastColumn="0"/>
            </w:pPr>
          </w:p>
        </w:tc>
        <w:tc>
          <w:tcPr>
            <w:tcW w:w="567" w:type="pct"/>
            <w:noWrap/>
            <w:vAlign w:val="bottom"/>
            <w:hideMark/>
          </w:tcPr>
          <w:p w:rsidR="0045662C" w:rsidRPr="00237902" w:rsidRDefault="0045662C" w:rsidP="0045662C">
            <w:pPr>
              <w:cnfStyle w:val="000000000000" w:firstRow="0" w:lastRow="0" w:firstColumn="0" w:lastColumn="0" w:oddVBand="0" w:evenVBand="0" w:oddHBand="0" w:evenHBand="0" w:firstRowFirstColumn="0" w:firstRowLastColumn="0" w:lastRowFirstColumn="0" w:lastRowLastColumn="0"/>
            </w:pPr>
          </w:p>
        </w:tc>
        <w:tc>
          <w:tcPr>
            <w:tcW w:w="566" w:type="pct"/>
            <w:noWrap/>
            <w:vAlign w:val="bottom"/>
            <w:hideMark/>
          </w:tcPr>
          <w:p w:rsidR="0045662C" w:rsidRPr="00237902" w:rsidRDefault="0045662C" w:rsidP="0045662C">
            <w:pPr>
              <w:cnfStyle w:val="000000000000" w:firstRow="0" w:lastRow="0" w:firstColumn="0" w:lastColumn="0" w:oddVBand="0" w:evenVBand="0" w:oddHBand="0" w:evenHBand="0" w:firstRowFirstColumn="0" w:firstRowLastColumn="0" w:lastRowFirstColumn="0" w:lastRowLastColumn="0"/>
            </w:pPr>
          </w:p>
        </w:tc>
        <w:tc>
          <w:tcPr>
            <w:tcW w:w="567" w:type="pct"/>
            <w:noWrap/>
            <w:vAlign w:val="bottom"/>
          </w:tcPr>
          <w:p w:rsidR="0045662C" w:rsidRPr="0045662C" w:rsidRDefault="0045662C" w:rsidP="00C0223C">
            <w:pPr>
              <w:cnfStyle w:val="000000000000" w:firstRow="0" w:lastRow="0" w:firstColumn="0" w:lastColumn="0" w:oddVBand="0" w:evenVBand="0" w:oddHBand="0" w:evenHBand="0" w:firstRowFirstColumn="0" w:firstRowLastColumn="0" w:lastRowFirstColumn="0" w:lastRowLastColumn="0"/>
            </w:pPr>
            <w:r w:rsidRPr="00237902">
              <w:t>–</w:t>
            </w:r>
            <w:r w:rsidRPr="0045662C">
              <w:t>1</w:t>
            </w:r>
            <w:r w:rsidR="00C0223C">
              <w:t>8.8</w:t>
            </w:r>
          </w:p>
        </w:tc>
      </w:tr>
      <w:tr w:rsidR="0045662C" w:rsidRPr="00237902" w:rsidTr="0002378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7" w:type="pct"/>
            <w:noWrap/>
            <w:hideMark/>
          </w:tcPr>
          <w:p w:rsidR="0045662C" w:rsidRPr="0045662C" w:rsidRDefault="0045662C" w:rsidP="0045662C">
            <w:r w:rsidRPr="00237902">
              <w:t xml:space="preserve">Closing </w:t>
            </w:r>
            <w:r w:rsidRPr="0045662C">
              <w:t>RAB as at 30 June 2015</w:t>
            </w:r>
          </w:p>
        </w:tc>
        <w:tc>
          <w:tcPr>
            <w:tcW w:w="566" w:type="pct"/>
            <w:noWrap/>
            <w:vAlign w:val="bottom"/>
            <w:hideMark/>
          </w:tcPr>
          <w:p w:rsidR="0045662C" w:rsidRPr="00237902" w:rsidRDefault="0045662C" w:rsidP="0045662C">
            <w:pPr>
              <w:cnfStyle w:val="000000010000" w:firstRow="0" w:lastRow="0" w:firstColumn="0" w:lastColumn="0" w:oddVBand="0" w:evenVBand="0" w:oddHBand="0" w:evenHBand="1" w:firstRowFirstColumn="0" w:firstRowLastColumn="0" w:lastRowFirstColumn="0" w:lastRowLastColumn="0"/>
            </w:pPr>
          </w:p>
        </w:tc>
        <w:tc>
          <w:tcPr>
            <w:tcW w:w="566" w:type="pct"/>
            <w:noWrap/>
            <w:vAlign w:val="bottom"/>
            <w:hideMark/>
          </w:tcPr>
          <w:p w:rsidR="0045662C" w:rsidRPr="00237902" w:rsidRDefault="0045662C" w:rsidP="0045662C">
            <w:pPr>
              <w:cnfStyle w:val="000000010000" w:firstRow="0" w:lastRow="0" w:firstColumn="0" w:lastColumn="0" w:oddVBand="0" w:evenVBand="0" w:oddHBand="0" w:evenHBand="1" w:firstRowFirstColumn="0" w:firstRowLastColumn="0" w:lastRowFirstColumn="0" w:lastRowLastColumn="0"/>
            </w:pPr>
          </w:p>
        </w:tc>
        <w:tc>
          <w:tcPr>
            <w:tcW w:w="567" w:type="pct"/>
            <w:noWrap/>
            <w:vAlign w:val="bottom"/>
            <w:hideMark/>
          </w:tcPr>
          <w:p w:rsidR="0045662C" w:rsidRPr="00237902" w:rsidRDefault="0045662C" w:rsidP="0045662C">
            <w:pPr>
              <w:cnfStyle w:val="000000010000" w:firstRow="0" w:lastRow="0" w:firstColumn="0" w:lastColumn="0" w:oddVBand="0" w:evenVBand="0" w:oddHBand="0" w:evenHBand="1" w:firstRowFirstColumn="0" w:firstRowLastColumn="0" w:lastRowFirstColumn="0" w:lastRowLastColumn="0"/>
            </w:pPr>
          </w:p>
        </w:tc>
        <w:tc>
          <w:tcPr>
            <w:tcW w:w="566" w:type="pct"/>
            <w:noWrap/>
            <w:vAlign w:val="bottom"/>
            <w:hideMark/>
          </w:tcPr>
          <w:p w:rsidR="0045662C" w:rsidRPr="00237902" w:rsidRDefault="0045662C" w:rsidP="0045662C">
            <w:pPr>
              <w:cnfStyle w:val="000000010000" w:firstRow="0" w:lastRow="0" w:firstColumn="0" w:lastColumn="0" w:oddVBand="0" w:evenVBand="0" w:oddHBand="0" w:evenHBand="1" w:firstRowFirstColumn="0" w:firstRowLastColumn="0" w:lastRowFirstColumn="0" w:lastRowLastColumn="0"/>
            </w:pPr>
          </w:p>
        </w:tc>
        <w:tc>
          <w:tcPr>
            <w:tcW w:w="567" w:type="pct"/>
            <w:noWrap/>
            <w:vAlign w:val="bottom"/>
          </w:tcPr>
          <w:p w:rsidR="0045662C" w:rsidRPr="0045662C" w:rsidRDefault="00C0223C" w:rsidP="00C0223C">
            <w:pPr>
              <w:cnfStyle w:val="000000010000" w:firstRow="0" w:lastRow="0" w:firstColumn="0" w:lastColumn="0" w:oddVBand="0" w:evenVBand="0" w:oddHBand="0" w:evenHBand="1" w:firstRowFirstColumn="0" w:firstRowLastColumn="0" w:lastRowFirstColumn="0" w:lastRowLastColumn="0"/>
            </w:pPr>
            <w:r>
              <w:t>116</w:t>
            </w:r>
            <w:r w:rsidR="0045662C" w:rsidRPr="00237902">
              <w:t>2</w:t>
            </w:r>
            <w:r>
              <w:t>9</w:t>
            </w:r>
            <w:r w:rsidR="0045662C" w:rsidRPr="0045662C">
              <w:t>.</w:t>
            </w:r>
            <w:r>
              <w:t>8</w:t>
            </w:r>
          </w:p>
        </w:tc>
      </w:tr>
      <w:tr w:rsidR="0045662C" w:rsidRPr="00237902" w:rsidTr="0002378B">
        <w:trPr>
          <w:trHeight w:val="340"/>
        </w:trPr>
        <w:tc>
          <w:tcPr>
            <w:cnfStyle w:val="001000000000" w:firstRow="0" w:lastRow="0" w:firstColumn="1" w:lastColumn="0" w:oddVBand="0" w:evenVBand="0" w:oddHBand="0" w:evenHBand="0" w:firstRowFirstColumn="0" w:firstRowLastColumn="0" w:lastRowFirstColumn="0" w:lastRowLastColumn="0"/>
            <w:tcW w:w="2167" w:type="pct"/>
            <w:noWrap/>
          </w:tcPr>
          <w:p w:rsidR="0045662C" w:rsidRPr="0045662C" w:rsidRDefault="0045662C" w:rsidP="0045662C">
            <w:r>
              <w:t>Assets</w:t>
            </w:r>
            <w:r w:rsidRPr="0045662C">
              <w:t xml:space="preserve"> moved to ACS and unregulated assets removed</w:t>
            </w:r>
          </w:p>
        </w:tc>
        <w:tc>
          <w:tcPr>
            <w:tcW w:w="566" w:type="pct"/>
            <w:noWrap/>
            <w:vAlign w:val="bottom"/>
          </w:tcPr>
          <w:p w:rsidR="0045662C" w:rsidRPr="00237902" w:rsidRDefault="0045662C" w:rsidP="0045662C">
            <w:pPr>
              <w:cnfStyle w:val="000000000000" w:firstRow="0" w:lastRow="0" w:firstColumn="0" w:lastColumn="0" w:oddVBand="0" w:evenVBand="0" w:oddHBand="0" w:evenHBand="0" w:firstRowFirstColumn="0" w:firstRowLastColumn="0" w:lastRowFirstColumn="0" w:lastRowLastColumn="0"/>
            </w:pPr>
          </w:p>
        </w:tc>
        <w:tc>
          <w:tcPr>
            <w:tcW w:w="566" w:type="pct"/>
            <w:noWrap/>
            <w:vAlign w:val="bottom"/>
          </w:tcPr>
          <w:p w:rsidR="0045662C" w:rsidRPr="00237902" w:rsidRDefault="0045662C" w:rsidP="0045662C">
            <w:pPr>
              <w:cnfStyle w:val="000000000000" w:firstRow="0" w:lastRow="0" w:firstColumn="0" w:lastColumn="0" w:oddVBand="0" w:evenVBand="0" w:oddHBand="0" w:evenHBand="0" w:firstRowFirstColumn="0" w:firstRowLastColumn="0" w:lastRowFirstColumn="0" w:lastRowLastColumn="0"/>
            </w:pPr>
          </w:p>
        </w:tc>
        <w:tc>
          <w:tcPr>
            <w:tcW w:w="567" w:type="pct"/>
            <w:noWrap/>
            <w:vAlign w:val="bottom"/>
          </w:tcPr>
          <w:p w:rsidR="0045662C" w:rsidRPr="00237902" w:rsidRDefault="0045662C" w:rsidP="0045662C">
            <w:pPr>
              <w:cnfStyle w:val="000000000000" w:firstRow="0" w:lastRow="0" w:firstColumn="0" w:lastColumn="0" w:oddVBand="0" w:evenVBand="0" w:oddHBand="0" w:evenHBand="0" w:firstRowFirstColumn="0" w:firstRowLastColumn="0" w:lastRowFirstColumn="0" w:lastRowLastColumn="0"/>
            </w:pPr>
          </w:p>
        </w:tc>
        <w:tc>
          <w:tcPr>
            <w:tcW w:w="566" w:type="pct"/>
            <w:noWrap/>
            <w:vAlign w:val="bottom"/>
          </w:tcPr>
          <w:p w:rsidR="0045662C" w:rsidRPr="00237902" w:rsidRDefault="0045662C" w:rsidP="0045662C">
            <w:pPr>
              <w:cnfStyle w:val="000000000000" w:firstRow="0" w:lastRow="0" w:firstColumn="0" w:lastColumn="0" w:oddVBand="0" w:evenVBand="0" w:oddHBand="0" w:evenHBand="0" w:firstRowFirstColumn="0" w:firstRowLastColumn="0" w:lastRowFirstColumn="0" w:lastRowLastColumn="0"/>
            </w:pPr>
          </w:p>
        </w:tc>
        <w:tc>
          <w:tcPr>
            <w:tcW w:w="567" w:type="pct"/>
            <w:noWrap/>
            <w:vAlign w:val="bottom"/>
          </w:tcPr>
          <w:p w:rsidR="0045662C" w:rsidRPr="0045662C" w:rsidRDefault="0045662C" w:rsidP="00C0223C">
            <w:pPr>
              <w:cnfStyle w:val="000000000000" w:firstRow="0" w:lastRow="0" w:firstColumn="0" w:lastColumn="0" w:oddVBand="0" w:evenVBand="0" w:oddHBand="0" w:evenHBand="0" w:firstRowFirstColumn="0" w:firstRowLastColumn="0" w:lastRowFirstColumn="0" w:lastRowLastColumn="0"/>
            </w:pPr>
            <w:r w:rsidRPr="00237902">
              <w:t>–</w:t>
            </w:r>
            <w:r w:rsidRPr="0045662C">
              <w:t>4</w:t>
            </w:r>
            <w:r w:rsidR="00C0223C">
              <w:t>57.3</w:t>
            </w:r>
          </w:p>
        </w:tc>
      </w:tr>
      <w:tr w:rsidR="0045662C" w:rsidRPr="00237902" w:rsidTr="0002378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7" w:type="pct"/>
            <w:noWrap/>
          </w:tcPr>
          <w:p w:rsidR="0045662C" w:rsidRPr="0045662C" w:rsidRDefault="0045662C" w:rsidP="0045662C">
            <w:pPr>
              <w:rPr>
                <w:rStyle w:val="Strong"/>
              </w:rPr>
            </w:pPr>
            <w:r w:rsidRPr="00237902">
              <w:rPr>
                <w:rStyle w:val="Strong"/>
              </w:rPr>
              <w:t>Opening RAB as at 1 July 2015</w:t>
            </w:r>
          </w:p>
        </w:tc>
        <w:tc>
          <w:tcPr>
            <w:tcW w:w="566" w:type="pct"/>
            <w:noWrap/>
            <w:vAlign w:val="bottom"/>
          </w:tcPr>
          <w:p w:rsidR="0045662C" w:rsidRPr="00237902" w:rsidRDefault="0045662C" w:rsidP="0045662C">
            <w:pPr>
              <w:cnfStyle w:val="000000010000" w:firstRow="0" w:lastRow="0" w:firstColumn="0" w:lastColumn="0" w:oddVBand="0" w:evenVBand="0" w:oddHBand="0" w:evenHBand="1" w:firstRowFirstColumn="0" w:firstRowLastColumn="0" w:lastRowFirstColumn="0" w:lastRowLastColumn="0"/>
              <w:rPr>
                <w:rStyle w:val="Strong"/>
              </w:rPr>
            </w:pPr>
          </w:p>
        </w:tc>
        <w:tc>
          <w:tcPr>
            <w:tcW w:w="566" w:type="pct"/>
            <w:noWrap/>
            <w:vAlign w:val="bottom"/>
          </w:tcPr>
          <w:p w:rsidR="0045662C" w:rsidRPr="00237902" w:rsidRDefault="0045662C" w:rsidP="0045662C">
            <w:pPr>
              <w:cnfStyle w:val="000000010000" w:firstRow="0" w:lastRow="0" w:firstColumn="0" w:lastColumn="0" w:oddVBand="0" w:evenVBand="0" w:oddHBand="0" w:evenHBand="1" w:firstRowFirstColumn="0" w:firstRowLastColumn="0" w:lastRowFirstColumn="0" w:lastRowLastColumn="0"/>
              <w:rPr>
                <w:rStyle w:val="Strong"/>
              </w:rPr>
            </w:pPr>
          </w:p>
        </w:tc>
        <w:tc>
          <w:tcPr>
            <w:tcW w:w="567" w:type="pct"/>
            <w:noWrap/>
            <w:vAlign w:val="bottom"/>
          </w:tcPr>
          <w:p w:rsidR="0045662C" w:rsidRPr="00237902" w:rsidRDefault="0045662C" w:rsidP="0045662C">
            <w:pPr>
              <w:cnfStyle w:val="000000010000" w:firstRow="0" w:lastRow="0" w:firstColumn="0" w:lastColumn="0" w:oddVBand="0" w:evenVBand="0" w:oddHBand="0" w:evenHBand="1" w:firstRowFirstColumn="0" w:firstRowLastColumn="0" w:lastRowFirstColumn="0" w:lastRowLastColumn="0"/>
              <w:rPr>
                <w:rStyle w:val="Strong"/>
              </w:rPr>
            </w:pPr>
          </w:p>
        </w:tc>
        <w:tc>
          <w:tcPr>
            <w:tcW w:w="566" w:type="pct"/>
            <w:noWrap/>
            <w:vAlign w:val="bottom"/>
          </w:tcPr>
          <w:p w:rsidR="0045662C" w:rsidRPr="00237902" w:rsidRDefault="0045662C" w:rsidP="0045662C">
            <w:pPr>
              <w:cnfStyle w:val="000000010000" w:firstRow="0" w:lastRow="0" w:firstColumn="0" w:lastColumn="0" w:oddVBand="0" w:evenVBand="0" w:oddHBand="0" w:evenHBand="1" w:firstRowFirstColumn="0" w:firstRowLastColumn="0" w:lastRowFirstColumn="0" w:lastRowLastColumn="0"/>
              <w:rPr>
                <w:rStyle w:val="Strong"/>
              </w:rPr>
            </w:pPr>
          </w:p>
        </w:tc>
        <w:tc>
          <w:tcPr>
            <w:tcW w:w="567" w:type="pct"/>
            <w:noWrap/>
            <w:vAlign w:val="bottom"/>
          </w:tcPr>
          <w:p w:rsidR="0045662C" w:rsidRPr="0045662C" w:rsidRDefault="0045662C" w:rsidP="00C0223C">
            <w:pPr>
              <w:cnfStyle w:val="000000010000" w:firstRow="0" w:lastRow="0" w:firstColumn="0" w:lastColumn="0" w:oddVBand="0" w:evenVBand="0" w:oddHBand="0" w:evenHBand="1" w:firstRowFirstColumn="0" w:firstRowLastColumn="0" w:lastRowFirstColumn="0" w:lastRowLastColumn="0"/>
              <w:rPr>
                <w:rStyle w:val="Strong"/>
              </w:rPr>
            </w:pPr>
            <w:r w:rsidRPr="00237902">
              <w:rPr>
                <w:rStyle w:val="Strong"/>
              </w:rPr>
              <w:t>11</w:t>
            </w:r>
            <w:r w:rsidR="00C0223C">
              <w:rPr>
                <w:rStyle w:val="Strong"/>
              </w:rPr>
              <w:t>172</w:t>
            </w:r>
            <w:r w:rsidRPr="0045662C">
              <w:rPr>
                <w:rStyle w:val="Strong"/>
              </w:rPr>
              <w:t>.</w:t>
            </w:r>
            <w:r w:rsidR="00C0223C">
              <w:rPr>
                <w:rStyle w:val="Strong"/>
              </w:rPr>
              <w:t>5</w:t>
            </w:r>
          </w:p>
        </w:tc>
      </w:tr>
    </w:tbl>
    <w:p w:rsidR="0045662C" w:rsidRPr="006001AB" w:rsidRDefault="0045662C" w:rsidP="0045662C">
      <w:pPr>
        <w:pStyle w:val="AERtablesource"/>
      </w:pPr>
      <w:r w:rsidRPr="006001AB">
        <w:t>Source:</w:t>
      </w:r>
      <w:r w:rsidRPr="006001AB">
        <w:tab/>
        <w:t>AER analysis.</w:t>
      </w:r>
    </w:p>
    <w:p w:rsidR="0045662C" w:rsidRPr="006001AB" w:rsidRDefault="0045662C" w:rsidP="0045662C">
      <w:pPr>
        <w:pStyle w:val="AERtablesource"/>
      </w:pPr>
      <w:r w:rsidRPr="006001AB">
        <w:t>(a):</w:t>
      </w:r>
      <w:r w:rsidRPr="006001AB">
        <w:tab/>
        <w:t xml:space="preserve">Based on </w:t>
      </w:r>
      <w:r w:rsidR="00415CF9">
        <w:t xml:space="preserve">revised </w:t>
      </w:r>
      <w:r w:rsidRPr="006001AB">
        <w:t xml:space="preserve">estimated capex. We will update </w:t>
      </w:r>
      <w:r w:rsidR="00415CF9">
        <w:t>for actual capex at the next reset</w:t>
      </w:r>
      <w:r w:rsidRPr="006001AB">
        <w:t>.</w:t>
      </w:r>
    </w:p>
    <w:p w:rsidR="0045662C" w:rsidRPr="006001AB" w:rsidRDefault="0045662C" w:rsidP="0045662C">
      <w:pPr>
        <w:pStyle w:val="AERtablesource"/>
      </w:pPr>
      <w:r w:rsidRPr="006001AB">
        <w:t>(b):</w:t>
      </w:r>
      <w:r w:rsidRPr="006001AB">
        <w:tab/>
        <w:t>Net of disposals and adjusted for CPI.</w:t>
      </w:r>
    </w:p>
    <w:p w:rsidR="0045662C" w:rsidRPr="003A343E" w:rsidRDefault="0045662C" w:rsidP="003A343E">
      <w:pPr>
        <w:pStyle w:val="Caption"/>
      </w:pPr>
      <w:bookmarkStart w:id="14" w:name="_Ref406144543"/>
      <w:r w:rsidRPr="003A343E">
        <w:t xml:space="preserve">Table </w:t>
      </w:r>
      <w:fldSimple w:instr=" STYLEREF 1 \s ">
        <w:r w:rsidRPr="003A343E">
          <w:t>2</w:t>
        </w:r>
      </w:fldSimple>
      <w:r w:rsidRPr="003A343E">
        <w:t>.</w:t>
      </w:r>
      <w:fldSimple w:instr=" SEQ Table \* ARABIC \s 1 ">
        <w:r w:rsidRPr="003A343E">
          <w:t>2</w:t>
        </w:r>
      </w:fldSimple>
      <w:bookmarkEnd w:id="14"/>
      <w:r w:rsidRPr="003A343E">
        <w:tab/>
        <w:t xml:space="preserve">AER's </w:t>
      </w:r>
      <w:r w:rsidR="0029204C" w:rsidRPr="003A343E">
        <w:t xml:space="preserve">final </w:t>
      </w:r>
      <w:r w:rsidRPr="003A343E">
        <w:t>decision on Energex's RAB for the 2015–20 regulatory control period ($ million, nominal)</w:t>
      </w:r>
    </w:p>
    <w:tbl>
      <w:tblPr>
        <w:tblStyle w:val="AERtable-numbers"/>
        <w:tblW w:w="5000" w:type="pct"/>
        <w:tblLook w:val="04A0" w:firstRow="1" w:lastRow="0" w:firstColumn="1" w:lastColumn="0" w:noHBand="0" w:noVBand="1"/>
      </w:tblPr>
      <w:tblGrid>
        <w:gridCol w:w="3458"/>
        <w:gridCol w:w="1047"/>
        <w:gridCol w:w="1047"/>
        <w:gridCol w:w="1047"/>
        <w:gridCol w:w="1047"/>
        <w:gridCol w:w="1047"/>
      </w:tblGrid>
      <w:tr w:rsidR="0045662C" w:rsidRPr="00237902" w:rsidTr="0002378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45662C" w:rsidRPr="0045662C" w:rsidRDefault="0045662C" w:rsidP="0045662C">
            <w:r w:rsidRPr="00237902">
              <w:t> </w:t>
            </w:r>
          </w:p>
        </w:tc>
        <w:tc>
          <w:tcPr>
            <w:tcW w:w="602" w:type="pct"/>
            <w:noWrap/>
            <w:hideMark/>
          </w:tcPr>
          <w:p w:rsidR="0045662C" w:rsidRPr="0045662C" w:rsidRDefault="0045662C" w:rsidP="0045662C">
            <w:pPr>
              <w:cnfStyle w:val="100000000000" w:firstRow="1" w:lastRow="0" w:firstColumn="0" w:lastColumn="0" w:oddVBand="0" w:evenVBand="0" w:oddHBand="0" w:evenHBand="0" w:firstRowFirstColumn="0" w:firstRowLastColumn="0" w:lastRowFirstColumn="0" w:lastRowLastColumn="0"/>
            </w:pPr>
            <w:r w:rsidRPr="00237902">
              <w:t>2015–16</w:t>
            </w:r>
          </w:p>
        </w:tc>
        <w:tc>
          <w:tcPr>
            <w:tcW w:w="602" w:type="pct"/>
            <w:noWrap/>
            <w:hideMark/>
          </w:tcPr>
          <w:p w:rsidR="0045662C" w:rsidRPr="0045662C" w:rsidRDefault="0045662C" w:rsidP="0045662C">
            <w:pPr>
              <w:cnfStyle w:val="100000000000" w:firstRow="1" w:lastRow="0" w:firstColumn="0" w:lastColumn="0" w:oddVBand="0" w:evenVBand="0" w:oddHBand="0" w:evenHBand="0" w:firstRowFirstColumn="0" w:firstRowLastColumn="0" w:lastRowFirstColumn="0" w:lastRowLastColumn="0"/>
            </w:pPr>
            <w:r w:rsidRPr="00237902">
              <w:t>2016–17</w:t>
            </w:r>
          </w:p>
        </w:tc>
        <w:tc>
          <w:tcPr>
            <w:tcW w:w="602" w:type="pct"/>
            <w:noWrap/>
            <w:hideMark/>
          </w:tcPr>
          <w:p w:rsidR="0045662C" w:rsidRPr="0045662C" w:rsidRDefault="0045662C" w:rsidP="0045662C">
            <w:pPr>
              <w:cnfStyle w:val="100000000000" w:firstRow="1" w:lastRow="0" w:firstColumn="0" w:lastColumn="0" w:oddVBand="0" w:evenVBand="0" w:oddHBand="0" w:evenHBand="0" w:firstRowFirstColumn="0" w:firstRowLastColumn="0" w:lastRowFirstColumn="0" w:lastRowLastColumn="0"/>
            </w:pPr>
            <w:r w:rsidRPr="00237902">
              <w:t>2017–18</w:t>
            </w:r>
          </w:p>
        </w:tc>
        <w:tc>
          <w:tcPr>
            <w:tcW w:w="602" w:type="pct"/>
            <w:noWrap/>
            <w:hideMark/>
          </w:tcPr>
          <w:p w:rsidR="0045662C" w:rsidRPr="0045662C" w:rsidRDefault="0045662C" w:rsidP="0045662C">
            <w:pPr>
              <w:cnfStyle w:val="100000000000" w:firstRow="1" w:lastRow="0" w:firstColumn="0" w:lastColumn="0" w:oddVBand="0" w:evenVBand="0" w:oddHBand="0" w:evenHBand="0" w:firstRowFirstColumn="0" w:firstRowLastColumn="0" w:lastRowFirstColumn="0" w:lastRowLastColumn="0"/>
            </w:pPr>
            <w:r w:rsidRPr="00237902">
              <w:t>2018–19</w:t>
            </w:r>
          </w:p>
        </w:tc>
        <w:tc>
          <w:tcPr>
            <w:tcW w:w="602" w:type="pct"/>
            <w:noWrap/>
            <w:hideMark/>
          </w:tcPr>
          <w:p w:rsidR="0045662C" w:rsidRPr="0045662C" w:rsidRDefault="0045662C" w:rsidP="0045662C">
            <w:pPr>
              <w:cnfStyle w:val="100000000000" w:firstRow="1" w:lastRow="0" w:firstColumn="0" w:lastColumn="0" w:oddVBand="0" w:evenVBand="0" w:oddHBand="0" w:evenHBand="0" w:firstRowFirstColumn="0" w:firstRowLastColumn="0" w:lastRowFirstColumn="0" w:lastRowLastColumn="0"/>
            </w:pPr>
            <w:r w:rsidRPr="00237902">
              <w:t>2019–20</w:t>
            </w:r>
          </w:p>
        </w:tc>
      </w:tr>
      <w:tr w:rsidR="00A53E9D" w:rsidRPr="00237902" w:rsidTr="0002378B">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A53E9D" w:rsidRPr="00A53E9D" w:rsidRDefault="00A53E9D" w:rsidP="00A53E9D">
            <w:r w:rsidRPr="00A53E9D">
              <w:t>Opening RAB</w:t>
            </w:r>
          </w:p>
        </w:tc>
        <w:tc>
          <w:tcPr>
            <w:tcW w:w="602" w:type="pct"/>
            <w:noWrap/>
            <w:vAlign w:val="bottom"/>
          </w:tcPr>
          <w:p w:rsidR="00A53E9D" w:rsidRPr="00A53E9D" w:rsidRDefault="00A53E9D" w:rsidP="00A53E9D">
            <w:pPr>
              <w:cnfStyle w:val="000000000000" w:firstRow="0" w:lastRow="0" w:firstColumn="0" w:lastColumn="0" w:oddVBand="0" w:evenVBand="0" w:oddHBand="0" w:evenHBand="0" w:firstRowFirstColumn="0" w:firstRowLastColumn="0" w:lastRowFirstColumn="0" w:lastRowLastColumn="0"/>
            </w:pPr>
            <w:r w:rsidRPr="00A53E9D">
              <w:t>11172.5</w:t>
            </w:r>
          </w:p>
        </w:tc>
        <w:tc>
          <w:tcPr>
            <w:tcW w:w="602" w:type="pct"/>
            <w:noWrap/>
            <w:vAlign w:val="bottom"/>
          </w:tcPr>
          <w:p w:rsidR="00A53E9D" w:rsidRPr="00A53E9D" w:rsidRDefault="00A53E9D" w:rsidP="00717EE2">
            <w:pPr>
              <w:cnfStyle w:val="000000000000" w:firstRow="0" w:lastRow="0" w:firstColumn="0" w:lastColumn="0" w:oddVBand="0" w:evenVBand="0" w:oddHBand="0" w:evenHBand="0" w:firstRowFirstColumn="0" w:firstRowLastColumn="0" w:lastRowFirstColumn="0" w:lastRowLastColumn="0"/>
            </w:pPr>
            <w:r w:rsidRPr="00A53E9D">
              <w:t>1167</w:t>
            </w:r>
            <w:r w:rsidR="00717EE2">
              <w:t>8</w:t>
            </w:r>
            <w:r w:rsidRPr="00A53E9D">
              <w:t>.</w:t>
            </w:r>
            <w:r w:rsidR="00717EE2">
              <w:t>7</w:t>
            </w:r>
          </w:p>
        </w:tc>
        <w:tc>
          <w:tcPr>
            <w:tcW w:w="602" w:type="pct"/>
            <w:noWrap/>
            <w:vAlign w:val="bottom"/>
          </w:tcPr>
          <w:p w:rsidR="00A53E9D" w:rsidRPr="00A53E9D" w:rsidRDefault="00A53E9D" w:rsidP="00717EE2">
            <w:pPr>
              <w:cnfStyle w:val="000000000000" w:firstRow="0" w:lastRow="0" w:firstColumn="0" w:lastColumn="0" w:oddVBand="0" w:evenVBand="0" w:oddHBand="0" w:evenHBand="0" w:firstRowFirstColumn="0" w:firstRowLastColumn="0" w:lastRowFirstColumn="0" w:lastRowLastColumn="0"/>
            </w:pPr>
            <w:r w:rsidRPr="00A53E9D">
              <w:t>12</w:t>
            </w:r>
            <w:r w:rsidR="00717EE2">
              <w:t>189</w:t>
            </w:r>
            <w:r w:rsidRPr="00A53E9D">
              <w:t>.</w:t>
            </w:r>
            <w:r w:rsidR="00717EE2">
              <w:t>4</w:t>
            </w:r>
          </w:p>
        </w:tc>
        <w:tc>
          <w:tcPr>
            <w:tcW w:w="602" w:type="pct"/>
            <w:noWrap/>
            <w:vAlign w:val="bottom"/>
          </w:tcPr>
          <w:p w:rsidR="00A53E9D" w:rsidRPr="00A53E9D" w:rsidRDefault="00A53E9D" w:rsidP="00717EE2">
            <w:pPr>
              <w:cnfStyle w:val="000000000000" w:firstRow="0" w:lastRow="0" w:firstColumn="0" w:lastColumn="0" w:oddVBand="0" w:evenVBand="0" w:oddHBand="0" w:evenHBand="0" w:firstRowFirstColumn="0" w:firstRowLastColumn="0" w:lastRowFirstColumn="0" w:lastRowLastColumn="0"/>
            </w:pPr>
            <w:r w:rsidRPr="00A53E9D">
              <w:t>126</w:t>
            </w:r>
            <w:r w:rsidR="00717EE2">
              <w:t>50</w:t>
            </w:r>
            <w:r w:rsidRPr="00A53E9D">
              <w:t>.</w:t>
            </w:r>
            <w:r w:rsidR="00717EE2">
              <w:t>7</w:t>
            </w:r>
          </w:p>
        </w:tc>
        <w:tc>
          <w:tcPr>
            <w:tcW w:w="602" w:type="pct"/>
            <w:noWrap/>
            <w:vAlign w:val="bottom"/>
          </w:tcPr>
          <w:p w:rsidR="00A53E9D" w:rsidRPr="00A53E9D" w:rsidRDefault="00A53E9D" w:rsidP="00717EE2">
            <w:pPr>
              <w:cnfStyle w:val="000000000000" w:firstRow="0" w:lastRow="0" w:firstColumn="0" w:lastColumn="0" w:oddVBand="0" w:evenVBand="0" w:oddHBand="0" w:evenHBand="0" w:firstRowFirstColumn="0" w:firstRowLastColumn="0" w:lastRowFirstColumn="0" w:lastRowLastColumn="0"/>
            </w:pPr>
            <w:r w:rsidRPr="00A53E9D">
              <w:t>131</w:t>
            </w:r>
            <w:r w:rsidR="00717EE2">
              <w:t>19</w:t>
            </w:r>
            <w:r w:rsidRPr="00A53E9D">
              <w:t>.</w:t>
            </w:r>
            <w:r w:rsidR="00717EE2">
              <w:t>0</w:t>
            </w:r>
          </w:p>
        </w:tc>
      </w:tr>
      <w:tr w:rsidR="00A53E9D" w:rsidRPr="00237902" w:rsidTr="0002378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A53E9D" w:rsidRPr="00A53E9D" w:rsidRDefault="00A53E9D" w:rsidP="00A53E9D">
            <w:r w:rsidRPr="00A53E9D">
              <w:t>Capital expenditure</w:t>
            </w:r>
            <w:r w:rsidRPr="00A53E9D">
              <w:rPr>
                <w:rStyle w:val="AERsuperscript"/>
              </w:rPr>
              <w:t>a</w:t>
            </w:r>
          </w:p>
        </w:tc>
        <w:tc>
          <w:tcPr>
            <w:tcW w:w="602" w:type="pct"/>
            <w:noWrap/>
            <w:vAlign w:val="bottom"/>
          </w:tcPr>
          <w:p w:rsidR="00A53E9D" w:rsidRPr="00A53E9D" w:rsidRDefault="00A53E9D" w:rsidP="00717EE2">
            <w:pPr>
              <w:cnfStyle w:val="000000010000" w:firstRow="0" w:lastRow="0" w:firstColumn="0" w:lastColumn="0" w:oddVBand="0" w:evenVBand="0" w:oddHBand="0" w:evenHBand="1" w:firstRowFirstColumn="0" w:firstRowLastColumn="0" w:lastRowFirstColumn="0" w:lastRowLastColumn="0"/>
            </w:pPr>
            <w:r w:rsidRPr="00A53E9D">
              <w:t>57</w:t>
            </w:r>
            <w:r w:rsidR="00717EE2">
              <w:t>8</w:t>
            </w:r>
            <w:r w:rsidRPr="00A53E9D">
              <w:t>.</w:t>
            </w:r>
            <w:r w:rsidR="00717EE2">
              <w:t>1</w:t>
            </w:r>
          </w:p>
        </w:tc>
        <w:tc>
          <w:tcPr>
            <w:tcW w:w="602" w:type="pct"/>
            <w:noWrap/>
            <w:vAlign w:val="bottom"/>
          </w:tcPr>
          <w:p w:rsidR="00A53E9D" w:rsidRPr="00A53E9D" w:rsidRDefault="00A53E9D" w:rsidP="00717EE2">
            <w:pPr>
              <w:cnfStyle w:val="000000010000" w:firstRow="0" w:lastRow="0" w:firstColumn="0" w:lastColumn="0" w:oddVBand="0" w:evenVBand="0" w:oddHBand="0" w:evenHBand="1" w:firstRowFirstColumn="0" w:firstRowLastColumn="0" w:lastRowFirstColumn="0" w:lastRowLastColumn="0"/>
            </w:pPr>
            <w:r w:rsidRPr="00A53E9D">
              <w:t>5</w:t>
            </w:r>
            <w:r w:rsidR="00717EE2">
              <w:t>95</w:t>
            </w:r>
            <w:r w:rsidRPr="00A53E9D">
              <w:t>.</w:t>
            </w:r>
            <w:r w:rsidR="00717EE2">
              <w:t>3</w:t>
            </w:r>
          </w:p>
        </w:tc>
        <w:tc>
          <w:tcPr>
            <w:tcW w:w="602" w:type="pct"/>
            <w:noWrap/>
            <w:vAlign w:val="bottom"/>
          </w:tcPr>
          <w:p w:rsidR="00A53E9D" w:rsidRPr="00A53E9D" w:rsidRDefault="00A53E9D" w:rsidP="00717EE2">
            <w:pPr>
              <w:cnfStyle w:val="000000010000" w:firstRow="0" w:lastRow="0" w:firstColumn="0" w:lastColumn="0" w:oddVBand="0" w:evenVBand="0" w:oddHBand="0" w:evenHBand="1" w:firstRowFirstColumn="0" w:firstRowLastColumn="0" w:lastRowFirstColumn="0" w:lastRowLastColumn="0"/>
            </w:pPr>
            <w:r w:rsidRPr="00A53E9D">
              <w:t>55</w:t>
            </w:r>
            <w:r w:rsidR="00717EE2">
              <w:t>8</w:t>
            </w:r>
            <w:r w:rsidRPr="00A53E9D">
              <w:t>.</w:t>
            </w:r>
            <w:r w:rsidR="00717EE2">
              <w:t>6</w:t>
            </w:r>
          </w:p>
        </w:tc>
        <w:tc>
          <w:tcPr>
            <w:tcW w:w="602" w:type="pct"/>
            <w:noWrap/>
            <w:vAlign w:val="bottom"/>
          </w:tcPr>
          <w:p w:rsidR="00A53E9D" w:rsidRPr="00A53E9D" w:rsidRDefault="00A53E9D" w:rsidP="00717EE2">
            <w:pPr>
              <w:cnfStyle w:val="000000010000" w:firstRow="0" w:lastRow="0" w:firstColumn="0" w:lastColumn="0" w:oddVBand="0" w:evenVBand="0" w:oddHBand="0" w:evenHBand="1" w:firstRowFirstColumn="0" w:firstRowLastColumn="0" w:lastRowFirstColumn="0" w:lastRowLastColumn="0"/>
            </w:pPr>
            <w:r w:rsidRPr="00A53E9D">
              <w:t>5</w:t>
            </w:r>
            <w:r w:rsidR="00717EE2">
              <w:t>7</w:t>
            </w:r>
            <w:r w:rsidR="00ED3AB8">
              <w:t>2</w:t>
            </w:r>
            <w:r w:rsidRPr="00A53E9D">
              <w:t>.</w:t>
            </w:r>
            <w:r w:rsidR="00717EE2">
              <w:t>5</w:t>
            </w:r>
          </w:p>
        </w:tc>
        <w:tc>
          <w:tcPr>
            <w:tcW w:w="602" w:type="pct"/>
            <w:noWrap/>
            <w:vAlign w:val="bottom"/>
          </w:tcPr>
          <w:p w:rsidR="00A53E9D" w:rsidRPr="00A53E9D" w:rsidRDefault="00A53E9D" w:rsidP="00717EE2">
            <w:pPr>
              <w:cnfStyle w:val="000000010000" w:firstRow="0" w:lastRow="0" w:firstColumn="0" w:lastColumn="0" w:oddVBand="0" w:evenVBand="0" w:oddHBand="0" w:evenHBand="1" w:firstRowFirstColumn="0" w:firstRowLastColumn="0" w:lastRowFirstColumn="0" w:lastRowLastColumn="0"/>
            </w:pPr>
            <w:r w:rsidRPr="00A53E9D">
              <w:t>5</w:t>
            </w:r>
            <w:r w:rsidR="00717EE2">
              <w:t>90</w:t>
            </w:r>
            <w:r w:rsidRPr="00A53E9D">
              <w:t>.</w:t>
            </w:r>
            <w:r w:rsidR="00717EE2">
              <w:t>7</w:t>
            </w:r>
          </w:p>
        </w:tc>
      </w:tr>
      <w:tr w:rsidR="00A53E9D" w:rsidRPr="00237902" w:rsidTr="0002378B">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A53E9D" w:rsidRPr="00A53E9D" w:rsidRDefault="00A53E9D" w:rsidP="00A53E9D">
            <w:r w:rsidRPr="00A53E9D">
              <w:t>Inflation indexation on opening RAB</w:t>
            </w:r>
          </w:p>
        </w:tc>
        <w:tc>
          <w:tcPr>
            <w:tcW w:w="602" w:type="pct"/>
            <w:noWrap/>
            <w:vAlign w:val="bottom"/>
          </w:tcPr>
          <w:p w:rsidR="00A53E9D" w:rsidRPr="00A53E9D" w:rsidRDefault="00A53E9D" w:rsidP="00A53E9D">
            <w:pPr>
              <w:cnfStyle w:val="000000000000" w:firstRow="0" w:lastRow="0" w:firstColumn="0" w:lastColumn="0" w:oddVBand="0" w:evenVBand="0" w:oddHBand="0" w:evenHBand="0" w:firstRowFirstColumn="0" w:firstRowLastColumn="0" w:lastRowFirstColumn="0" w:lastRowLastColumn="0"/>
            </w:pPr>
            <w:r w:rsidRPr="00A53E9D">
              <w:t>279.3</w:t>
            </w:r>
          </w:p>
        </w:tc>
        <w:tc>
          <w:tcPr>
            <w:tcW w:w="602" w:type="pct"/>
            <w:noWrap/>
            <w:vAlign w:val="bottom"/>
          </w:tcPr>
          <w:p w:rsidR="00A53E9D" w:rsidRPr="00A53E9D" w:rsidRDefault="00A53E9D" w:rsidP="00717EE2">
            <w:pPr>
              <w:cnfStyle w:val="000000000000" w:firstRow="0" w:lastRow="0" w:firstColumn="0" w:lastColumn="0" w:oddVBand="0" w:evenVBand="0" w:oddHBand="0" w:evenHBand="0" w:firstRowFirstColumn="0" w:firstRowLastColumn="0" w:lastRowFirstColumn="0" w:lastRowLastColumn="0"/>
            </w:pPr>
            <w:r w:rsidRPr="00A53E9D">
              <w:t>29</w:t>
            </w:r>
            <w:r w:rsidR="00717EE2">
              <w:t>2</w:t>
            </w:r>
            <w:r w:rsidRPr="00A53E9D">
              <w:t>.</w:t>
            </w:r>
            <w:r w:rsidR="00717EE2">
              <w:t>0</w:t>
            </w:r>
          </w:p>
        </w:tc>
        <w:tc>
          <w:tcPr>
            <w:tcW w:w="602" w:type="pct"/>
            <w:noWrap/>
            <w:vAlign w:val="bottom"/>
          </w:tcPr>
          <w:p w:rsidR="00A53E9D" w:rsidRPr="00A53E9D" w:rsidRDefault="00A53E9D" w:rsidP="00717EE2">
            <w:pPr>
              <w:cnfStyle w:val="000000000000" w:firstRow="0" w:lastRow="0" w:firstColumn="0" w:lastColumn="0" w:oddVBand="0" w:evenVBand="0" w:oddHBand="0" w:evenHBand="0" w:firstRowFirstColumn="0" w:firstRowLastColumn="0" w:lastRowFirstColumn="0" w:lastRowLastColumn="0"/>
            </w:pPr>
            <w:r w:rsidRPr="00A53E9D">
              <w:t>30</w:t>
            </w:r>
            <w:r w:rsidR="00717EE2">
              <w:t>4</w:t>
            </w:r>
            <w:r w:rsidRPr="00A53E9D">
              <w:t>.</w:t>
            </w:r>
            <w:r w:rsidR="00717EE2">
              <w:t>7</w:t>
            </w:r>
          </w:p>
        </w:tc>
        <w:tc>
          <w:tcPr>
            <w:tcW w:w="602" w:type="pct"/>
            <w:noWrap/>
            <w:vAlign w:val="bottom"/>
          </w:tcPr>
          <w:p w:rsidR="00A53E9D" w:rsidRPr="00A53E9D" w:rsidRDefault="00A53E9D" w:rsidP="00717EE2">
            <w:pPr>
              <w:cnfStyle w:val="000000000000" w:firstRow="0" w:lastRow="0" w:firstColumn="0" w:lastColumn="0" w:oddVBand="0" w:evenVBand="0" w:oddHBand="0" w:evenHBand="0" w:firstRowFirstColumn="0" w:firstRowLastColumn="0" w:lastRowFirstColumn="0" w:lastRowLastColumn="0"/>
            </w:pPr>
            <w:r w:rsidRPr="00A53E9D">
              <w:t>316.</w:t>
            </w:r>
            <w:r w:rsidR="00717EE2">
              <w:t>3</w:t>
            </w:r>
          </w:p>
        </w:tc>
        <w:tc>
          <w:tcPr>
            <w:tcW w:w="602" w:type="pct"/>
            <w:noWrap/>
            <w:vAlign w:val="bottom"/>
          </w:tcPr>
          <w:p w:rsidR="00A53E9D" w:rsidRPr="00A53E9D" w:rsidRDefault="00A53E9D" w:rsidP="00A53E9D">
            <w:pPr>
              <w:cnfStyle w:val="000000000000" w:firstRow="0" w:lastRow="0" w:firstColumn="0" w:lastColumn="0" w:oddVBand="0" w:evenVBand="0" w:oddHBand="0" w:evenHBand="0" w:firstRowFirstColumn="0" w:firstRowLastColumn="0" w:lastRowFirstColumn="0" w:lastRowLastColumn="0"/>
            </w:pPr>
            <w:r w:rsidRPr="00A53E9D">
              <w:t>328.0</w:t>
            </w:r>
          </w:p>
        </w:tc>
      </w:tr>
      <w:tr w:rsidR="00A53E9D" w:rsidRPr="00237902" w:rsidTr="0002378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A53E9D" w:rsidRPr="00A53E9D" w:rsidRDefault="00A53E9D" w:rsidP="00A53E9D">
            <w:r w:rsidRPr="00A53E9D">
              <w:rPr>
                <w:rStyle w:val="AERtextitalic"/>
              </w:rPr>
              <w:t>Less</w:t>
            </w:r>
            <w:r w:rsidRPr="00A53E9D">
              <w:t>: straight-line depreciation</w:t>
            </w:r>
          </w:p>
        </w:tc>
        <w:tc>
          <w:tcPr>
            <w:tcW w:w="602" w:type="pct"/>
            <w:noWrap/>
            <w:vAlign w:val="bottom"/>
          </w:tcPr>
          <w:p w:rsidR="00A53E9D" w:rsidRPr="00A53E9D" w:rsidRDefault="00A53E9D" w:rsidP="00A53E9D">
            <w:pPr>
              <w:cnfStyle w:val="000000010000" w:firstRow="0" w:lastRow="0" w:firstColumn="0" w:lastColumn="0" w:oddVBand="0" w:evenVBand="0" w:oddHBand="0" w:evenHBand="1" w:firstRowFirstColumn="0" w:firstRowLastColumn="0" w:lastRowFirstColumn="0" w:lastRowLastColumn="0"/>
            </w:pPr>
            <w:r w:rsidRPr="00A53E9D">
              <w:t>351.2</w:t>
            </w:r>
          </w:p>
        </w:tc>
        <w:tc>
          <w:tcPr>
            <w:tcW w:w="602" w:type="pct"/>
            <w:noWrap/>
            <w:vAlign w:val="bottom"/>
          </w:tcPr>
          <w:p w:rsidR="00A53E9D" w:rsidRPr="00A53E9D" w:rsidRDefault="00A53E9D" w:rsidP="00717EE2">
            <w:pPr>
              <w:cnfStyle w:val="000000010000" w:firstRow="0" w:lastRow="0" w:firstColumn="0" w:lastColumn="0" w:oddVBand="0" w:evenVBand="0" w:oddHBand="0" w:evenHBand="1" w:firstRowFirstColumn="0" w:firstRowLastColumn="0" w:lastRowFirstColumn="0" w:lastRowLastColumn="0"/>
            </w:pPr>
            <w:r w:rsidRPr="00A53E9D">
              <w:t>376.</w:t>
            </w:r>
            <w:r w:rsidR="00717EE2">
              <w:t>6</w:t>
            </w:r>
          </w:p>
        </w:tc>
        <w:tc>
          <w:tcPr>
            <w:tcW w:w="602" w:type="pct"/>
            <w:noWrap/>
            <w:vAlign w:val="bottom"/>
          </w:tcPr>
          <w:p w:rsidR="00A53E9D" w:rsidRPr="00A53E9D" w:rsidRDefault="00A53E9D" w:rsidP="00717EE2">
            <w:pPr>
              <w:cnfStyle w:val="000000010000" w:firstRow="0" w:lastRow="0" w:firstColumn="0" w:lastColumn="0" w:oddVBand="0" w:evenVBand="0" w:oddHBand="0" w:evenHBand="1" w:firstRowFirstColumn="0" w:firstRowLastColumn="0" w:lastRowFirstColumn="0" w:lastRowLastColumn="0"/>
            </w:pPr>
            <w:r w:rsidRPr="00A53E9D">
              <w:t>402.</w:t>
            </w:r>
            <w:r w:rsidR="00717EE2">
              <w:t>0</w:t>
            </w:r>
          </w:p>
        </w:tc>
        <w:tc>
          <w:tcPr>
            <w:tcW w:w="602" w:type="pct"/>
            <w:noWrap/>
            <w:vAlign w:val="bottom"/>
          </w:tcPr>
          <w:p w:rsidR="00A53E9D" w:rsidRPr="00A53E9D" w:rsidRDefault="00A53E9D" w:rsidP="00717EE2">
            <w:pPr>
              <w:cnfStyle w:val="000000010000" w:firstRow="0" w:lastRow="0" w:firstColumn="0" w:lastColumn="0" w:oddVBand="0" w:evenVBand="0" w:oddHBand="0" w:evenHBand="1" w:firstRowFirstColumn="0" w:firstRowLastColumn="0" w:lastRowFirstColumn="0" w:lastRowLastColumn="0"/>
            </w:pPr>
            <w:r w:rsidRPr="00A53E9D">
              <w:t>420.</w:t>
            </w:r>
            <w:r w:rsidR="00717EE2">
              <w:t>4</w:t>
            </w:r>
          </w:p>
        </w:tc>
        <w:tc>
          <w:tcPr>
            <w:tcW w:w="602" w:type="pct"/>
            <w:noWrap/>
            <w:vAlign w:val="bottom"/>
          </w:tcPr>
          <w:p w:rsidR="00A53E9D" w:rsidRPr="00A53E9D" w:rsidRDefault="00A53E9D" w:rsidP="00A53E9D">
            <w:pPr>
              <w:cnfStyle w:val="000000010000" w:firstRow="0" w:lastRow="0" w:firstColumn="0" w:lastColumn="0" w:oddVBand="0" w:evenVBand="0" w:oddHBand="0" w:evenHBand="1" w:firstRowFirstColumn="0" w:firstRowLastColumn="0" w:lastRowFirstColumn="0" w:lastRowLastColumn="0"/>
            </w:pPr>
            <w:r w:rsidRPr="00A53E9D">
              <w:t>446.2</w:t>
            </w:r>
          </w:p>
        </w:tc>
      </w:tr>
      <w:tr w:rsidR="00A53E9D" w:rsidRPr="001F53FB" w:rsidTr="0002378B">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A53E9D" w:rsidRPr="001F53FB" w:rsidRDefault="00A53E9D" w:rsidP="001F53FB">
            <w:r w:rsidRPr="001F53FB">
              <w:t>Closing RAB</w:t>
            </w:r>
          </w:p>
        </w:tc>
        <w:tc>
          <w:tcPr>
            <w:tcW w:w="602" w:type="pct"/>
            <w:noWrap/>
            <w:vAlign w:val="bottom"/>
          </w:tcPr>
          <w:p w:rsidR="00A53E9D" w:rsidRPr="001F53FB" w:rsidRDefault="00A53E9D" w:rsidP="00717EE2">
            <w:pPr>
              <w:cnfStyle w:val="000000000000" w:firstRow="0" w:lastRow="0" w:firstColumn="0" w:lastColumn="0" w:oddVBand="0" w:evenVBand="0" w:oddHBand="0" w:evenHBand="0" w:firstRowFirstColumn="0" w:firstRowLastColumn="0" w:lastRowFirstColumn="0" w:lastRowLastColumn="0"/>
            </w:pPr>
            <w:r w:rsidRPr="001F53FB">
              <w:t>1167</w:t>
            </w:r>
            <w:r w:rsidR="00717EE2">
              <w:t>8</w:t>
            </w:r>
            <w:r w:rsidRPr="001F53FB">
              <w:t>.</w:t>
            </w:r>
            <w:r w:rsidR="00717EE2">
              <w:t>7</w:t>
            </w:r>
          </w:p>
        </w:tc>
        <w:tc>
          <w:tcPr>
            <w:tcW w:w="602" w:type="pct"/>
            <w:noWrap/>
            <w:vAlign w:val="bottom"/>
          </w:tcPr>
          <w:p w:rsidR="00A53E9D" w:rsidRPr="001F53FB" w:rsidRDefault="00A53E9D" w:rsidP="00717EE2">
            <w:pPr>
              <w:cnfStyle w:val="000000000000" w:firstRow="0" w:lastRow="0" w:firstColumn="0" w:lastColumn="0" w:oddVBand="0" w:evenVBand="0" w:oddHBand="0" w:evenHBand="0" w:firstRowFirstColumn="0" w:firstRowLastColumn="0" w:lastRowFirstColumn="0" w:lastRowLastColumn="0"/>
            </w:pPr>
            <w:r w:rsidRPr="001F53FB">
              <w:t>12</w:t>
            </w:r>
            <w:r w:rsidR="00717EE2">
              <w:t>189</w:t>
            </w:r>
            <w:r w:rsidRPr="001F53FB">
              <w:t>.</w:t>
            </w:r>
            <w:r w:rsidR="00717EE2">
              <w:t>4</w:t>
            </w:r>
          </w:p>
        </w:tc>
        <w:tc>
          <w:tcPr>
            <w:tcW w:w="602" w:type="pct"/>
            <w:noWrap/>
            <w:vAlign w:val="bottom"/>
          </w:tcPr>
          <w:p w:rsidR="00A53E9D" w:rsidRPr="001F53FB" w:rsidRDefault="00A53E9D" w:rsidP="00717EE2">
            <w:pPr>
              <w:cnfStyle w:val="000000000000" w:firstRow="0" w:lastRow="0" w:firstColumn="0" w:lastColumn="0" w:oddVBand="0" w:evenVBand="0" w:oddHBand="0" w:evenHBand="0" w:firstRowFirstColumn="0" w:firstRowLastColumn="0" w:lastRowFirstColumn="0" w:lastRowLastColumn="0"/>
            </w:pPr>
            <w:r w:rsidRPr="001F53FB">
              <w:t>126</w:t>
            </w:r>
            <w:r w:rsidR="00717EE2">
              <w:t>50</w:t>
            </w:r>
            <w:r w:rsidRPr="001F53FB">
              <w:t>.</w:t>
            </w:r>
            <w:r w:rsidR="00717EE2">
              <w:t>7</w:t>
            </w:r>
          </w:p>
        </w:tc>
        <w:tc>
          <w:tcPr>
            <w:tcW w:w="602" w:type="pct"/>
            <w:noWrap/>
            <w:vAlign w:val="bottom"/>
          </w:tcPr>
          <w:p w:rsidR="00A53E9D" w:rsidRPr="001F53FB" w:rsidRDefault="00A53E9D" w:rsidP="00717EE2">
            <w:pPr>
              <w:cnfStyle w:val="000000000000" w:firstRow="0" w:lastRow="0" w:firstColumn="0" w:lastColumn="0" w:oddVBand="0" w:evenVBand="0" w:oddHBand="0" w:evenHBand="0" w:firstRowFirstColumn="0" w:firstRowLastColumn="0" w:lastRowFirstColumn="0" w:lastRowLastColumn="0"/>
            </w:pPr>
            <w:r w:rsidRPr="001F53FB">
              <w:t>131</w:t>
            </w:r>
            <w:r w:rsidR="00717EE2">
              <w:t>19</w:t>
            </w:r>
            <w:r w:rsidRPr="001F53FB">
              <w:t>.</w:t>
            </w:r>
            <w:r w:rsidR="00717EE2">
              <w:t>0</w:t>
            </w:r>
          </w:p>
        </w:tc>
        <w:tc>
          <w:tcPr>
            <w:tcW w:w="602" w:type="pct"/>
            <w:noWrap/>
            <w:vAlign w:val="bottom"/>
          </w:tcPr>
          <w:p w:rsidR="00A53E9D" w:rsidRPr="001F53FB" w:rsidRDefault="00A53E9D" w:rsidP="00717EE2">
            <w:pPr>
              <w:cnfStyle w:val="000000000000" w:firstRow="0" w:lastRow="0" w:firstColumn="0" w:lastColumn="0" w:oddVBand="0" w:evenVBand="0" w:oddHBand="0" w:evenHBand="0" w:firstRowFirstColumn="0" w:firstRowLastColumn="0" w:lastRowFirstColumn="0" w:lastRowLastColumn="0"/>
            </w:pPr>
            <w:r w:rsidRPr="001F53FB">
              <w:t>135</w:t>
            </w:r>
            <w:r w:rsidR="00717EE2">
              <w:t>91</w:t>
            </w:r>
            <w:r w:rsidRPr="001F53FB">
              <w:t>.</w:t>
            </w:r>
            <w:r w:rsidR="00717EE2">
              <w:t>5</w:t>
            </w:r>
          </w:p>
        </w:tc>
      </w:tr>
    </w:tbl>
    <w:p w:rsidR="0045662C" w:rsidRPr="006001AB" w:rsidRDefault="0045662C" w:rsidP="0045662C">
      <w:pPr>
        <w:pStyle w:val="AERtablesource"/>
      </w:pPr>
      <w:r w:rsidRPr="006001AB">
        <w:t>Source:</w:t>
      </w:r>
      <w:r w:rsidRPr="006001AB">
        <w:tab/>
        <w:t>AER analysis.</w:t>
      </w:r>
    </w:p>
    <w:p w:rsidR="0045662C" w:rsidRPr="006001AB" w:rsidRDefault="0045662C" w:rsidP="0045662C">
      <w:pPr>
        <w:pStyle w:val="AERtablesource"/>
      </w:pPr>
      <w:r w:rsidRPr="006001AB">
        <w:t>(a):</w:t>
      </w:r>
      <w:r w:rsidRPr="006001AB">
        <w:tab/>
        <w:t>Net of forecast disposals and capital contributions.</w:t>
      </w:r>
    </w:p>
    <w:p w:rsidR="000F67F7" w:rsidRDefault="000F67F7" w:rsidP="00E60A0B">
      <w:pPr>
        <w:pStyle w:val="Heading2"/>
      </w:pPr>
      <w:bookmarkStart w:id="15" w:name="_Toc403060802"/>
      <w:bookmarkStart w:id="16" w:name="_Toc425950476"/>
      <w:r w:rsidRPr="00E60A0B">
        <w:t xml:space="preserve">Energex’s </w:t>
      </w:r>
      <w:r w:rsidR="00750FDB">
        <w:t xml:space="preserve">revised </w:t>
      </w:r>
      <w:r w:rsidRPr="00E60A0B">
        <w:t>proposal</w:t>
      </w:r>
      <w:bookmarkEnd w:id="15"/>
      <w:bookmarkEnd w:id="16"/>
    </w:p>
    <w:p w:rsidR="0002378B" w:rsidRDefault="0002378B" w:rsidP="0002378B">
      <w:r w:rsidRPr="00C10CB5">
        <w:t>En</w:t>
      </w:r>
      <w:r w:rsidR="003C4E41">
        <w:t>ergex's</w:t>
      </w:r>
      <w:r w:rsidRPr="00C10CB5">
        <w:t xml:space="preserve"> </w:t>
      </w:r>
      <w:r>
        <w:t xml:space="preserve">revised proposal submitted </w:t>
      </w:r>
      <w:r w:rsidRPr="00C10CB5">
        <w:t xml:space="preserve">an opening RAB value as at </w:t>
      </w:r>
      <w:r w:rsidRPr="00FD28E1">
        <w:t>1 July 201</w:t>
      </w:r>
      <w:r w:rsidR="003C4E41">
        <w:t>5</w:t>
      </w:r>
      <w:r w:rsidRPr="00FD28E1">
        <w:t xml:space="preserve"> of $</w:t>
      </w:r>
      <w:r w:rsidR="003C4E41">
        <w:t>11 333.7</w:t>
      </w:r>
      <w:r w:rsidRPr="00FD28E1">
        <w:t> million ($ nominal)</w:t>
      </w:r>
      <w:r w:rsidR="003C4E41">
        <w:t>, which is consistent with our preliminary decision</w:t>
      </w:r>
      <w:r w:rsidRPr="00FD28E1">
        <w:t>.</w:t>
      </w:r>
      <w:r>
        <w:t xml:space="preserve"> </w:t>
      </w:r>
      <w:r>
        <w:lastRenderedPageBreak/>
        <w:t>Energ</w:t>
      </w:r>
      <w:r w:rsidR="003C4E41">
        <w:t>ex</w:t>
      </w:r>
      <w:r>
        <w:t xml:space="preserve"> </w:t>
      </w:r>
      <w:r w:rsidRPr="00FD28E1">
        <w:t xml:space="preserve">adopted all our </w:t>
      </w:r>
      <w:r w:rsidR="003C4E41">
        <w:t>preliminary</w:t>
      </w:r>
      <w:r w:rsidRPr="00FD28E1">
        <w:t xml:space="preserve"> decision adjustments to roll forward the opening RAB from 1 July 20</w:t>
      </w:r>
      <w:r w:rsidR="003C4E41">
        <w:t>10</w:t>
      </w:r>
      <w:r w:rsidRPr="00FD28E1">
        <w:t xml:space="preserve"> to </w:t>
      </w:r>
      <w:r>
        <w:t>30 June</w:t>
      </w:r>
      <w:r w:rsidRPr="00FD28E1">
        <w:t xml:space="preserve"> 201</w:t>
      </w:r>
      <w:r w:rsidR="003C4E41">
        <w:t>5</w:t>
      </w:r>
      <w:r>
        <w:t>.</w:t>
      </w:r>
      <w:r>
        <w:rPr>
          <w:rStyle w:val="FootnoteReference"/>
        </w:rPr>
        <w:footnoteReference w:id="3"/>
      </w:r>
      <w:r>
        <w:t xml:space="preserve"> </w:t>
      </w:r>
    </w:p>
    <w:p w:rsidR="0002378B" w:rsidRDefault="0002378B" w:rsidP="0002378B">
      <w:r w:rsidRPr="001F7F38">
        <w:t>Energ</w:t>
      </w:r>
      <w:r w:rsidR="003C4E41">
        <w:t>ex</w:t>
      </w:r>
      <w:r>
        <w:t>'s</w:t>
      </w:r>
      <w:r w:rsidRPr="001F7F38">
        <w:t xml:space="preserve"> </w:t>
      </w:r>
      <w:r>
        <w:t xml:space="preserve">revised proposal submitted </w:t>
      </w:r>
      <w:r w:rsidRPr="001F7F38">
        <w:t xml:space="preserve">a </w:t>
      </w:r>
      <w:r>
        <w:t xml:space="preserve">forecast </w:t>
      </w:r>
      <w:r w:rsidRPr="001F7F38">
        <w:t>closing RAB as at 30 June 20</w:t>
      </w:r>
      <w:r w:rsidR="003C4E41">
        <w:t>20</w:t>
      </w:r>
      <w:r w:rsidRPr="001F7F38">
        <w:t xml:space="preserve"> of $</w:t>
      </w:r>
      <w:r w:rsidR="003C4E41">
        <w:t>13 712.0</w:t>
      </w:r>
      <w:r>
        <w:t> </w:t>
      </w:r>
      <w:r w:rsidRPr="001F7F38">
        <w:t>million</w:t>
      </w:r>
      <w:r>
        <w:t xml:space="preserve"> </w:t>
      </w:r>
      <w:r w:rsidRPr="001F7F38">
        <w:t xml:space="preserve">($ nominal). This value reflects its </w:t>
      </w:r>
      <w:r>
        <w:t xml:space="preserve">revised </w:t>
      </w:r>
      <w:r w:rsidRPr="001F7F38">
        <w:t>forecast capex</w:t>
      </w:r>
      <w:r>
        <w:t xml:space="preserve"> and</w:t>
      </w:r>
      <w:r w:rsidRPr="001F7F38">
        <w:t xml:space="preserve"> forecast depreciation (based on forecast capex) over the 201</w:t>
      </w:r>
      <w:r w:rsidR="003C4E41">
        <w:t>5</w:t>
      </w:r>
      <w:r w:rsidRPr="001F7F38">
        <w:t>–</w:t>
      </w:r>
      <w:r w:rsidR="003C4E41">
        <w:t xml:space="preserve">20 regulatory control </w:t>
      </w:r>
      <w:r w:rsidRPr="001F7F38">
        <w:t xml:space="preserve">period. </w:t>
      </w:r>
      <w:r>
        <w:t>Energ</w:t>
      </w:r>
      <w:r w:rsidR="003C4E41">
        <w:t>ex</w:t>
      </w:r>
      <w:r>
        <w:t>'s</w:t>
      </w:r>
      <w:r w:rsidRPr="001F7F38">
        <w:t xml:space="preserve"> projected RAB over the 201</w:t>
      </w:r>
      <w:r w:rsidR="003C4E41">
        <w:t>5</w:t>
      </w:r>
      <w:r w:rsidRPr="001F7F38">
        <w:t>–</w:t>
      </w:r>
      <w:r w:rsidR="003C4E41">
        <w:t>20 regulatory control</w:t>
      </w:r>
      <w:r>
        <w:t xml:space="preserve"> </w:t>
      </w:r>
      <w:r w:rsidRPr="001F7F38">
        <w:t>period is shown in</w:t>
      </w:r>
      <w:r w:rsidR="00123D6C">
        <w:t xml:space="preserve"> table 2.3.</w:t>
      </w:r>
    </w:p>
    <w:p w:rsidR="0002378B" w:rsidRPr="00924046" w:rsidRDefault="0002378B" w:rsidP="0002378B">
      <w:pPr>
        <w:pStyle w:val="Caption"/>
      </w:pPr>
      <w:bookmarkStart w:id="17" w:name="_Ref393095900"/>
      <w:bookmarkStart w:id="18" w:name="_Toc403060803"/>
      <w:bookmarkStart w:id="19" w:name="_Ref413830588"/>
      <w:r w:rsidRPr="00924046">
        <w:t xml:space="preserve">Table </w:t>
      </w:r>
      <w:fldSimple w:instr=" STYLEREF 1 \s ">
        <w:r w:rsidR="003C4E41">
          <w:rPr>
            <w:noProof/>
          </w:rPr>
          <w:t>2</w:t>
        </w:r>
      </w:fldSimple>
      <w:r>
        <w:t>.</w:t>
      </w:r>
      <w:r w:rsidRPr="0002378B">
        <w:fldChar w:fldCharType="begin"/>
      </w:r>
      <w:r>
        <w:instrText xml:space="preserve"> SEQ Table \* ARABIC \s 1 </w:instrText>
      </w:r>
      <w:r w:rsidRPr="0002378B">
        <w:fldChar w:fldCharType="separate"/>
      </w:r>
      <w:r w:rsidR="003C4E41">
        <w:rPr>
          <w:noProof/>
        </w:rPr>
        <w:t>3</w:t>
      </w:r>
      <w:r w:rsidRPr="0002378B">
        <w:fldChar w:fldCharType="end"/>
      </w:r>
      <w:bookmarkEnd w:id="17"/>
      <w:r w:rsidRPr="00924046">
        <w:tab/>
      </w:r>
      <w:r>
        <w:t>Energex's</w:t>
      </w:r>
      <w:r w:rsidRPr="00924046">
        <w:t xml:space="preserve"> </w:t>
      </w:r>
      <w:r w:rsidR="003C4E41">
        <w:t xml:space="preserve">revised </w:t>
      </w:r>
      <w:r w:rsidRPr="00924046">
        <w:t>proposed RAB for the 2015–20</w:t>
      </w:r>
      <w:r>
        <w:t xml:space="preserve"> regulatory control</w:t>
      </w:r>
      <w:r w:rsidRPr="00924046">
        <w:t xml:space="preserve"> period ($million, nominal)</w:t>
      </w:r>
    </w:p>
    <w:tbl>
      <w:tblPr>
        <w:tblStyle w:val="AERtable-numbers"/>
        <w:tblW w:w="8755" w:type="dxa"/>
        <w:tblLayout w:type="fixed"/>
        <w:tblLook w:val="04A0" w:firstRow="1" w:lastRow="0" w:firstColumn="1" w:lastColumn="0" w:noHBand="0" w:noVBand="1"/>
      </w:tblPr>
      <w:tblGrid>
        <w:gridCol w:w="3416"/>
        <w:gridCol w:w="1067"/>
        <w:gridCol w:w="1068"/>
        <w:gridCol w:w="1068"/>
        <w:gridCol w:w="1068"/>
        <w:gridCol w:w="1068"/>
      </w:tblGrid>
      <w:tr w:rsidR="0002378B" w:rsidRPr="00237902" w:rsidTr="0002378B">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3416" w:type="dxa"/>
            <w:noWrap/>
            <w:hideMark/>
          </w:tcPr>
          <w:p w:rsidR="0002378B" w:rsidRPr="0002378B" w:rsidRDefault="0002378B" w:rsidP="0002378B">
            <w:r w:rsidRPr="00237902">
              <w:t> </w:t>
            </w:r>
          </w:p>
        </w:tc>
        <w:tc>
          <w:tcPr>
            <w:tcW w:w="1067" w:type="dxa"/>
            <w:noWrap/>
            <w:hideMark/>
          </w:tcPr>
          <w:p w:rsidR="0002378B" w:rsidRPr="0002378B" w:rsidRDefault="0002378B" w:rsidP="0002378B">
            <w:pPr>
              <w:cnfStyle w:val="100000000000" w:firstRow="1" w:lastRow="0" w:firstColumn="0" w:lastColumn="0" w:oddVBand="0" w:evenVBand="0" w:oddHBand="0" w:evenHBand="0" w:firstRowFirstColumn="0" w:firstRowLastColumn="0" w:lastRowFirstColumn="0" w:lastRowLastColumn="0"/>
            </w:pPr>
            <w:r w:rsidRPr="00237902">
              <w:t>2015–16</w:t>
            </w:r>
          </w:p>
        </w:tc>
        <w:tc>
          <w:tcPr>
            <w:tcW w:w="1068" w:type="dxa"/>
            <w:noWrap/>
            <w:hideMark/>
          </w:tcPr>
          <w:p w:rsidR="0002378B" w:rsidRPr="0002378B" w:rsidRDefault="0002378B" w:rsidP="0002378B">
            <w:pPr>
              <w:cnfStyle w:val="100000000000" w:firstRow="1" w:lastRow="0" w:firstColumn="0" w:lastColumn="0" w:oddVBand="0" w:evenVBand="0" w:oddHBand="0" w:evenHBand="0" w:firstRowFirstColumn="0" w:firstRowLastColumn="0" w:lastRowFirstColumn="0" w:lastRowLastColumn="0"/>
            </w:pPr>
            <w:r w:rsidRPr="00237902">
              <w:t>2016–17</w:t>
            </w:r>
          </w:p>
        </w:tc>
        <w:tc>
          <w:tcPr>
            <w:tcW w:w="1068" w:type="dxa"/>
            <w:noWrap/>
            <w:hideMark/>
          </w:tcPr>
          <w:p w:rsidR="0002378B" w:rsidRPr="0002378B" w:rsidRDefault="0002378B" w:rsidP="0002378B">
            <w:pPr>
              <w:cnfStyle w:val="100000000000" w:firstRow="1" w:lastRow="0" w:firstColumn="0" w:lastColumn="0" w:oddVBand="0" w:evenVBand="0" w:oddHBand="0" w:evenHBand="0" w:firstRowFirstColumn="0" w:firstRowLastColumn="0" w:lastRowFirstColumn="0" w:lastRowLastColumn="0"/>
            </w:pPr>
            <w:r w:rsidRPr="00237902">
              <w:t>2017–18</w:t>
            </w:r>
          </w:p>
        </w:tc>
        <w:tc>
          <w:tcPr>
            <w:tcW w:w="1068" w:type="dxa"/>
            <w:noWrap/>
            <w:hideMark/>
          </w:tcPr>
          <w:p w:rsidR="0002378B" w:rsidRPr="0002378B" w:rsidRDefault="0002378B" w:rsidP="0002378B">
            <w:pPr>
              <w:cnfStyle w:val="100000000000" w:firstRow="1" w:lastRow="0" w:firstColumn="0" w:lastColumn="0" w:oddVBand="0" w:evenVBand="0" w:oddHBand="0" w:evenHBand="0" w:firstRowFirstColumn="0" w:firstRowLastColumn="0" w:lastRowFirstColumn="0" w:lastRowLastColumn="0"/>
            </w:pPr>
            <w:r w:rsidRPr="00237902">
              <w:t>2018–19</w:t>
            </w:r>
          </w:p>
        </w:tc>
        <w:tc>
          <w:tcPr>
            <w:tcW w:w="1068" w:type="dxa"/>
            <w:noWrap/>
            <w:hideMark/>
          </w:tcPr>
          <w:p w:rsidR="0002378B" w:rsidRPr="0002378B" w:rsidRDefault="0002378B" w:rsidP="0002378B">
            <w:pPr>
              <w:cnfStyle w:val="100000000000" w:firstRow="1" w:lastRow="0" w:firstColumn="0" w:lastColumn="0" w:oddVBand="0" w:evenVBand="0" w:oddHBand="0" w:evenHBand="0" w:firstRowFirstColumn="0" w:firstRowLastColumn="0" w:lastRowFirstColumn="0" w:lastRowLastColumn="0"/>
            </w:pPr>
            <w:r w:rsidRPr="00237902">
              <w:t>2019–20</w:t>
            </w:r>
          </w:p>
        </w:tc>
      </w:tr>
      <w:tr w:rsidR="0002378B" w:rsidRPr="00237902" w:rsidTr="0002378B">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02378B" w:rsidRPr="0002378B" w:rsidRDefault="0002378B" w:rsidP="0002378B">
            <w:r w:rsidRPr="00237902">
              <w:t>Opening RAB</w:t>
            </w:r>
          </w:p>
        </w:tc>
        <w:tc>
          <w:tcPr>
            <w:tcW w:w="1067" w:type="dxa"/>
            <w:noWrap/>
            <w:vAlign w:val="bottom"/>
          </w:tcPr>
          <w:p w:rsidR="0002378B" w:rsidRPr="0002378B" w:rsidRDefault="0002378B" w:rsidP="003C4E41">
            <w:pPr>
              <w:cnfStyle w:val="000000000000" w:firstRow="0" w:lastRow="0" w:firstColumn="0" w:lastColumn="0" w:oddVBand="0" w:evenVBand="0" w:oddHBand="0" w:evenHBand="0" w:firstRowFirstColumn="0" w:firstRowLastColumn="0" w:lastRowFirstColumn="0" w:lastRowLastColumn="0"/>
            </w:pPr>
            <w:r w:rsidRPr="00237902">
              <w:t>113</w:t>
            </w:r>
            <w:r w:rsidR="003C4E41">
              <w:t>3</w:t>
            </w:r>
            <w:r w:rsidRPr="00237902">
              <w:t>3.</w:t>
            </w:r>
            <w:r w:rsidR="003C4E41">
              <w:t>7</w:t>
            </w:r>
          </w:p>
        </w:tc>
        <w:tc>
          <w:tcPr>
            <w:tcW w:w="1068" w:type="dxa"/>
            <w:noWrap/>
            <w:vAlign w:val="bottom"/>
          </w:tcPr>
          <w:p w:rsidR="0002378B" w:rsidRPr="0002378B" w:rsidRDefault="0002378B" w:rsidP="003C4E41">
            <w:pPr>
              <w:cnfStyle w:val="000000000000" w:firstRow="0" w:lastRow="0" w:firstColumn="0" w:lastColumn="0" w:oddVBand="0" w:evenVBand="0" w:oddHBand="0" w:evenHBand="0" w:firstRowFirstColumn="0" w:firstRowLastColumn="0" w:lastRowFirstColumn="0" w:lastRowLastColumn="0"/>
            </w:pPr>
            <w:r w:rsidRPr="00237902">
              <w:t>11</w:t>
            </w:r>
            <w:r w:rsidR="003C4E41">
              <w:t>845.7</w:t>
            </w:r>
          </w:p>
        </w:tc>
        <w:tc>
          <w:tcPr>
            <w:tcW w:w="1068" w:type="dxa"/>
            <w:noWrap/>
            <w:vAlign w:val="bottom"/>
          </w:tcPr>
          <w:p w:rsidR="0002378B" w:rsidRPr="0002378B" w:rsidRDefault="0002378B" w:rsidP="003C4E41">
            <w:pPr>
              <w:cnfStyle w:val="000000000000" w:firstRow="0" w:lastRow="0" w:firstColumn="0" w:lastColumn="0" w:oddVBand="0" w:evenVBand="0" w:oddHBand="0" w:evenHBand="0" w:firstRowFirstColumn="0" w:firstRowLastColumn="0" w:lastRowFirstColumn="0" w:lastRowLastColumn="0"/>
            </w:pPr>
            <w:r w:rsidRPr="00237902">
              <w:t>12</w:t>
            </w:r>
            <w:r w:rsidR="003C4E41">
              <w:t>361.5</w:t>
            </w:r>
          </w:p>
        </w:tc>
        <w:tc>
          <w:tcPr>
            <w:tcW w:w="1068" w:type="dxa"/>
            <w:noWrap/>
            <w:vAlign w:val="bottom"/>
          </w:tcPr>
          <w:p w:rsidR="0002378B" w:rsidRPr="0002378B" w:rsidRDefault="0002378B" w:rsidP="003C4E41">
            <w:pPr>
              <w:cnfStyle w:val="000000000000" w:firstRow="0" w:lastRow="0" w:firstColumn="0" w:lastColumn="0" w:oddVBand="0" w:evenVBand="0" w:oddHBand="0" w:evenHBand="0" w:firstRowFirstColumn="0" w:firstRowLastColumn="0" w:lastRowFirstColumn="0" w:lastRowLastColumn="0"/>
            </w:pPr>
            <w:r w:rsidRPr="00237902">
              <w:t>1</w:t>
            </w:r>
            <w:r w:rsidR="003C4E41">
              <w:t>2825</w:t>
            </w:r>
            <w:r w:rsidRPr="00237902">
              <w:t>.</w:t>
            </w:r>
            <w:r w:rsidR="003C4E41">
              <w:t>0</w:t>
            </w:r>
          </w:p>
        </w:tc>
        <w:tc>
          <w:tcPr>
            <w:tcW w:w="1068" w:type="dxa"/>
            <w:noWrap/>
            <w:vAlign w:val="bottom"/>
          </w:tcPr>
          <w:p w:rsidR="0002378B" w:rsidRPr="0002378B" w:rsidRDefault="0002378B" w:rsidP="003C4E41">
            <w:pPr>
              <w:cnfStyle w:val="000000000000" w:firstRow="0" w:lastRow="0" w:firstColumn="0" w:lastColumn="0" w:oddVBand="0" w:evenVBand="0" w:oddHBand="0" w:evenHBand="0" w:firstRowFirstColumn="0" w:firstRowLastColumn="0" w:lastRowFirstColumn="0" w:lastRowLastColumn="0"/>
            </w:pPr>
            <w:r w:rsidRPr="00237902">
              <w:t>13</w:t>
            </w:r>
            <w:r w:rsidR="003C4E41">
              <w:t>266.6</w:t>
            </w:r>
          </w:p>
        </w:tc>
      </w:tr>
      <w:tr w:rsidR="0002378B" w:rsidRPr="00237902" w:rsidTr="0002378B">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02378B" w:rsidRPr="0002378B" w:rsidRDefault="0002378B" w:rsidP="0002378B">
            <w:r w:rsidRPr="00237902">
              <w:t xml:space="preserve">Capital </w:t>
            </w:r>
            <w:r w:rsidRPr="0002378B">
              <w:t>expenditure</w:t>
            </w:r>
            <w:r w:rsidRPr="0002378B">
              <w:rPr>
                <w:rStyle w:val="AERsuperscript"/>
              </w:rPr>
              <w:t>a</w:t>
            </w:r>
          </w:p>
        </w:tc>
        <w:tc>
          <w:tcPr>
            <w:tcW w:w="1067" w:type="dxa"/>
            <w:noWrap/>
            <w:vAlign w:val="bottom"/>
          </w:tcPr>
          <w:p w:rsidR="0002378B" w:rsidRPr="0002378B" w:rsidRDefault="003C4E41" w:rsidP="003C4E41">
            <w:pPr>
              <w:cnfStyle w:val="000000010000" w:firstRow="0" w:lastRow="0" w:firstColumn="0" w:lastColumn="0" w:oddVBand="0" w:evenVBand="0" w:oddHBand="0" w:evenHBand="1" w:firstRowFirstColumn="0" w:firstRowLastColumn="0" w:lastRowFirstColumn="0" w:lastRowLastColumn="0"/>
            </w:pPr>
            <w:r>
              <w:t>583.2</w:t>
            </w:r>
          </w:p>
        </w:tc>
        <w:tc>
          <w:tcPr>
            <w:tcW w:w="1068" w:type="dxa"/>
            <w:noWrap/>
            <w:vAlign w:val="bottom"/>
          </w:tcPr>
          <w:p w:rsidR="0002378B" w:rsidRPr="0002378B" w:rsidRDefault="003C4E41" w:rsidP="003C4E41">
            <w:pPr>
              <w:cnfStyle w:val="000000010000" w:firstRow="0" w:lastRow="0" w:firstColumn="0" w:lastColumn="0" w:oddVBand="0" w:evenVBand="0" w:oddHBand="0" w:evenHBand="1" w:firstRowFirstColumn="0" w:firstRowLastColumn="0" w:lastRowFirstColumn="0" w:lastRowLastColumn="0"/>
            </w:pPr>
            <w:r>
              <w:t>599.7</w:t>
            </w:r>
          </w:p>
        </w:tc>
        <w:tc>
          <w:tcPr>
            <w:tcW w:w="1068" w:type="dxa"/>
            <w:noWrap/>
            <w:vAlign w:val="bottom"/>
          </w:tcPr>
          <w:p w:rsidR="0002378B" w:rsidRPr="0002378B" w:rsidRDefault="003C4E41" w:rsidP="003C4E41">
            <w:pPr>
              <w:cnfStyle w:val="000000010000" w:firstRow="0" w:lastRow="0" w:firstColumn="0" w:lastColumn="0" w:oddVBand="0" w:evenVBand="0" w:oddHBand="0" w:evenHBand="1" w:firstRowFirstColumn="0" w:firstRowLastColumn="0" w:lastRowFirstColumn="0" w:lastRowLastColumn="0"/>
            </w:pPr>
            <w:r>
              <w:t>5</w:t>
            </w:r>
            <w:r w:rsidR="0002378B" w:rsidRPr="00237902">
              <w:t>61.</w:t>
            </w:r>
            <w:r>
              <w:t>8</w:t>
            </w:r>
          </w:p>
        </w:tc>
        <w:tc>
          <w:tcPr>
            <w:tcW w:w="1068" w:type="dxa"/>
            <w:noWrap/>
            <w:vAlign w:val="bottom"/>
          </w:tcPr>
          <w:p w:rsidR="0002378B" w:rsidRPr="0002378B" w:rsidRDefault="003C4E41" w:rsidP="003C4E41">
            <w:pPr>
              <w:cnfStyle w:val="000000010000" w:firstRow="0" w:lastRow="0" w:firstColumn="0" w:lastColumn="0" w:oddVBand="0" w:evenVBand="0" w:oddHBand="0" w:evenHBand="1" w:firstRowFirstColumn="0" w:firstRowLastColumn="0" w:lastRowFirstColumn="0" w:lastRowLastColumn="0"/>
            </w:pPr>
            <w:r>
              <w:t>548.7</w:t>
            </w:r>
          </w:p>
        </w:tc>
        <w:tc>
          <w:tcPr>
            <w:tcW w:w="1068" w:type="dxa"/>
            <w:noWrap/>
            <w:vAlign w:val="bottom"/>
          </w:tcPr>
          <w:p w:rsidR="0002378B" w:rsidRPr="0002378B" w:rsidRDefault="003C4E41" w:rsidP="0002378B">
            <w:pPr>
              <w:cnfStyle w:val="000000010000" w:firstRow="0" w:lastRow="0" w:firstColumn="0" w:lastColumn="0" w:oddVBand="0" w:evenVBand="0" w:oddHBand="0" w:evenHBand="1" w:firstRowFirstColumn="0" w:firstRowLastColumn="0" w:lastRowFirstColumn="0" w:lastRowLastColumn="0"/>
            </w:pPr>
            <w:r>
              <w:t>564</w:t>
            </w:r>
            <w:r w:rsidR="0002378B" w:rsidRPr="00237902">
              <w:t>.8</w:t>
            </w:r>
          </w:p>
        </w:tc>
      </w:tr>
      <w:tr w:rsidR="0002378B" w:rsidRPr="00237902" w:rsidTr="0002378B">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02378B" w:rsidRPr="0002378B" w:rsidRDefault="0002378B" w:rsidP="0002378B">
            <w:r w:rsidRPr="00237902">
              <w:t>Inflation indexation on opening RAB</w:t>
            </w:r>
          </w:p>
        </w:tc>
        <w:tc>
          <w:tcPr>
            <w:tcW w:w="1067" w:type="dxa"/>
            <w:noWrap/>
            <w:vAlign w:val="bottom"/>
          </w:tcPr>
          <w:p w:rsidR="0002378B" w:rsidRPr="0002378B" w:rsidRDefault="0002378B" w:rsidP="0002378B">
            <w:pPr>
              <w:cnfStyle w:val="000000000000" w:firstRow="0" w:lastRow="0" w:firstColumn="0" w:lastColumn="0" w:oddVBand="0" w:evenVBand="0" w:oddHBand="0" w:evenHBand="0" w:firstRowFirstColumn="0" w:firstRowLastColumn="0" w:lastRowFirstColumn="0" w:lastRowLastColumn="0"/>
            </w:pPr>
            <w:r w:rsidRPr="00237902">
              <w:t>28</w:t>
            </w:r>
            <w:r w:rsidR="003C4E41">
              <w:t>3.3</w:t>
            </w:r>
          </w:p>
        </w:tc>
        <w:tc>
          <w:tcPr>
            <w:tcW w:w="1068" w:type="dxa"/>
            <w:noWrap/>
            <w:vAlign w:val="bottom"/>
          </w:tcPr>
          <w:p w:rsidR="0002378B" w:rsidRPr="0002378B" w:rsidRDefault="003C4E41" w:rsidP="003C4E41">
            <w:pPr>
              <w:cnfStyle w:val="000000000000" w:firstRow="0" w:lastRow="0" w:firstColumn="0" w:lastColumn="0" w:oddVBand="0" w:evenVBand="0" w:oddHBand="0" w:evenHBand="0" w:firstRowFirstColumn="0" w:firstRowLastColumn="0" w:lastRowFirstColumn="0" w:lastRowLastColumn="0"/>
            </w:pPr>
            <w:r>
              <w:t>296.1</w:t>
            </w:r>
          </w:p>
        </w:tc>
        <w:tc>
          <w:tcPr>
            <w:tcW w:w="1068" w:type="dxa"/>
            <w:noWrap/>
            <w:vAlign w:val="bottom"/>
          </w:tcPr>
          <w:p w:rsidR="0002378B" w:rsidRPr="0002378B" w:rsidRDefault="003C4E41" w:rsidP="003C4E41">
            <w:pPr>
              <w:cnfStyle w:val="000000000000" w:firstRow="0" w:lastRow="0" w:firstColumn="0" w:lastColumn="0" w:oddVBand="0" w:evenVBand="0" w:oddHBand="0" w:evenHBand="0" w:firstRowFirstColumn="0" w:firstRowLastColumn="0" w:lastRowFirstColumn="0" w:lastRowLastColumn="0"/>
            </w:pPr>
            <w:r>
              <w:t>309</w:t>
            </w:r>
            <w:r w:rsidR="0002378B" w:rsidRPr="00237902">
              <w:t>.</w:t>
            </w:r>
            <w:r>
              <w:t>0</w:t>
            </w:r>
          </w:p>
        </w:tc>
        <w:tc>
          <w:tcPr>
            <w:tcW w:w="1068" w:type="dxa"/>
            <w:noWrap/>
            <w:vAlign w:val="bottom"/>
          </w:tcPr>
          <w:p w:rsidR="0002378B" w:rsidRPr="0002378B" w:rsidRDefault="0002378B" w:rsidP="003C4E41">
            <w:pPr>
              <w:cnfStyle w:val="000000000000" w:firstRow="0" w:lastRow="0" w:firstColumn="0" w:lastColumn="0" w:oddVBand="0" w:evenVBand="0" w:oddHBand="0" w:evenHBand="0" w:firstRowFirstColumn="0" w:firstRowLastColumn="0" w:lastRowFirstColumn="0" w:lastRowLastColumn="0"/>
            </w:pPr>
            <w:r w:rsidRPr="00237902">
              <w:t>3</w:t>
            </w:r>
            <w:r w:rsidR="003C4E41">
              <w:t>2</w:t>
            </w:r>
            <w:r w:rsidRPr="00237902">
              <w:t>0.</w:t>
            </w:r>
            <w:r w:rsidR="003C4E41">
              <w:t>6</w:t>
            </w:r>
          </w:p>
        </w:tc>
        <w:tc>
          <w:tcPr>
            <w:tcW w:w="1068" w:type="dxa"/>
            <w:noWrap/>
            <w:vAlign w:val="bottom"/>
          </w:tcPr>
          <w:p w:rsidR="0002378B" w:rsidRPr="0002378B" w:rsidRDefault="003C4E41" w:rsidP="003C4E41">
            <w:pPr>
              <w:cnfStyle w:val="000000000000" w:firstRow="0" w:lastRow="0" w:firstColumn="0" w:lastColumn="0" w:oddVBand="0" w:evenVBand="0" w:oddHBand="0" w:evenHBand="0" w:firstRowFirstColumn="0" w:firstRowLastColumn="0" w:lastRowFirstColumn="0" w:lastRowLastColumn="0"/>
            </w:pPr>
            <w:r>
              <w:t>331</w:t>
            </w:r>
            <w:r w:rsidR="0002378B" w:rsidRPr="00237902">
              <w:t>.</w:t>
            </w:r>
            <w:r>
              <w:t>7</w:t>
            </w:r>
          </w:p>
        </w:tc>
      </w:tr>
      <w:tr w:rsidR="0002378B" w:rsidRPr="00237902" w:rsidTr="0002378B">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02378B" w:rsidRPr="0002378B" w:rsidRDefault="0002378B" w:rsidP="0002378B">
            <w:r w:rsidRPr="00237902">
              <w:rPr>
                <w:rStyle w:val="AERtextitalic"/>
              </w:rPr>
              <w:t>Less</w:t>
            </w:r>
            <w:r w:rsidRPr="0002378B">
              <w:t>: straight-line depreciation</w:t>
            </w:r>
          </w:p>
        </w:tc>
        <w:tc>
          <w:tcPr>
            <w:tcW w:w="1067" w:type="dxa"/>
            <w:noWrap/>
            <w:vAlign w:val="bottom"/>
          </w:tcPr>
          <w:p w:rsidR="0002378B" w:rsidRPr="0002378B" w:rsidRDefault="0002378B" w:rsidP="0002378B">
            <w:pPr>
              <w:cnfStyle w:val="000000010000" w:firstRow="0" w:lastRow="0" w:firstColumn="0" w:lastColumn="0" w:oddVBand="0" w:evenVBand="0" w:oddHBand="0" w:evenHBand="1" w:firstRowFirstColumn="0" w:firstRowLastColumn="0" w:lastRowFirstColumn="0" w:lastRowLastColumn="0"/>
            </w:pPr>
            <w:r w:rsidRPr="00237902">
              <w:t>35</w:t>
            </w:r>
            <w:r w:rsidR="003C4E41">
              <w:t>4.4</w:t>
            </w:r>
          </w:p>
        </w:tc>
        <w:tc>
          <w:tcPr>
            <w:tcW w:w="1068" w:type="dxa"/>
            <w:noWrap/>
            <w:vAlign w:val="bottom"/>
          </w:tcPr>
          <w:p w:rsidR="0002378B" w:rsidRPr="0002378B" w:rsidRDefault="0002378B" w:rsidP="0002378B">
            <w:pPr>
              <w:cnfStyle w:val="000000010000" w:firstRow="0" w:lastRow="0" w:firstColumn="0" w:lastColumn="0" w:oddVBand="0" w:evenVBand="0" w:oddHBand="0" w:evenHBand="1" w:firstRowFirstColumn="0" w:firstRowLastColumn="0" w:lastRowFirstColumn="0" w:lastRowLastColumn="0"/>
            </w:pPr>
            <w:r w:rsidRPr="00237902">
              <w:t>38</w:t>
            </w:r>
            <w:r w:rsidR="003C4E41">
              <w:t>0.1</w:t>
            </w:r>
          </w:p>
        </w:tc>
        <w:tc>
          <w:tcPr>
            <w:tcW w:w="1068" w:type="dxa"/>
            <w:noWrap/>
            <w:vAlign w:val="bottom"/>
          </w:tcPr>
          <w:p w:rsidR="0002378B" w:rsidRPr="0002378B" w:rsidRDefault="003C4E41" w:rsidP="003C4E41">
            <w:pPr>
              <w:cnfStyle w:val="000000010000" w:firstRow="0" w:lastRow="0" w:firstColumn="0" w:lastColumn="0" w:oddVBand="0" w:evenVBand="0" w:oddHBand="0" w:evenHBand="1" w:firstRowFirstColumn="0" w:firstRowLastColumn="0" w:lastRowFirstColumn="0" w:lastRowLastColumn="0"/>
            </w:pPr>
            <w:r>
              <w:t>40</w:t>
            </w:r>
            <w:r w:rsidR="0002378B" w:rsidRPr="00237902">
              <w:t>7</w:t>
            </w:r>
            <w:r>
              <w:t>.4</w:t>
            </w:r>
          </w:p>
        </w:tc>
        <w:tc>
          <w:tcPr>
            <w:tcW w:w="1068" w:type="dxa"/>
            <w:noWrap/>
            <w:vAlign w:val="bottom"/>
          </w:tcPr>
          <w:p w:rsidR="0002378B" w:rsidRPr="0002378B" w:rsidRDefault="0002378B" w:rsidP="003C4E41">
            <w:pPr>
              <w:cnfStyle w:val="000000010000" w:firstRow="0" w:lastRow="0" w:firstColumn="0" w:lastColumn="0" w:oddVBand="0" w:evenVBand="0" w:oddHBand="0" w:evenHBand="1" w:firstRowFirstColumn="0" w:firstRowLastColumn="0" w:lastRowFirstColumn="0" w:lastRowLastColumn="0"/>
            </w:pPr>
            <w:r w:rsidRPr="00237902">
              <w:t>4</w:t>
            </w:r>
            <w:r w:rsidR="003C4E41">
              <w:t>27.7</w:t>
            </w:r>
          </w:p>
        </w:tc>
        <w:tc>
          <w:tcPr>
            <w:tcW w:w="1068" w:type="dxa"/>
            <w:noWrap/>
            <w:vAlign w:val="bottom"/>
          </w:tcPr>
          <w:p w:rsidR="0002378B" w:rsidRPr="0002378B" w:rsidRDefault="003C4E41" w:rsidP="003C4E41">
            <w:pPr>
              <w:cnfStyle w:val="000000010000" w:firstRow="0" w:lastRow="0" w:firstColumn="0" w:lastColumn="0" w:oddVBand="0" w:evenVBand="0" w:oddHBand="0" w:evenHBand="1" w:firstRowFirstColumn="0" w:firstRowLastColumn="0" w:lastRowFirstColumn="0" w:lastRowLastColumn="0"/>
            </w:pPr>
            <w:r>
              <w:t>45</w:t>
            </w:r>
            <w:r w:rsidR="0002378B" w:rsidRPr="00237902">
              <w:t>1.</w:t>
            </w:r>
            <w:r>
              <w:t>1</w:t>
            </w:r>
          </w:p>
        </w:tc>
      </w:tr>
      <w:tr w:rsidR="0002378B" w:rsidRPr="00622754" w:rsidTr="0002378B">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02378B" w:rsidRPr="00622754" w:rsidRDefault="0002378B" w:rsidP="00622754">
            <w:r w:rsidRPr="00622754">
              <w:t>Closing RAB</w:t>
            </w:r>
          </w:p>
        </w:tc>
        <w:tc>
          <w:tcPr>
            <w:tcW w:w="1067" w:type="dxa"/>
            <w:noWrap/>
            <w:vAlign w:val="bottom"/>
          </w:tcPr>
          <w:p w:rsidR="0002378B" w:rsidRPr="00622754" w:rsidRDefault="0002378B" w:rsidP="00622754">
            <w:pPr>
              <w:cnfStyle w:val="000000000000" w:firstRow="0" w:lastRow="0" w:firstColumn="0" w:lastColumn="0" w:oddVBand="0" w:evenVBand="0" w:oddHBand="0" w:evenHBand="0" w:firstRowFirstColumn="0" w:firstRowLastColumn="0" w:lastRowFirstColumn="0" w:lastRowLastColumn="0"/>
            </w:pPr>
            <w:r w:rsidRPr="00622754">
              <w:t>11</w:t>
            </w:r>
            <w:r w:rsidR="003C4E41" w:rsidRPr="00622754">
              <w:t>845.7</w:t>
            </w:r>
          </w:p>
        </w:tc>
        <w:tc>
          <w:tcPr>
            <w:tcW w:w="1068" w:type="dxa"/>
            <w:noWrap/>
            <w:vAlign w:val="bottom"/>
          </w:tcPr>
          <w:p w:rsidR="0002378B" w:rsidRPr="00622754" w:rsidRDefault="0002378B" w:rsidP="00622754">
            <w:pPr>
              <w:cnfStyle w:val="000000000000" w:firstRow="0" w:lastRow="0" w:firstColumn="0" w:lastColumn="0" w:oddVBand="0" w:evenVBand="0" w:oddHBand="0" w:evenHBand="0" w:firstRowFirstColumn="0" w:firstRowLastColumn="0" w:lastRowFirstColumn="0" w:lastRowLastColumn="0"/>
            </w:pPr>
            <w:r w:rsidRPr="00622754">
              <w:t>123</w:t>
            </w:r>
            <w:r w:rsidR="003C4E41" w:rsidRPr="00622754">
              <w:t>61</w:t>
            </w:r>
            <w:r w:rsidRPr="00622754">
              <w:t>.</w:t>
            </w:r>
            <w:r w:rsidR="003C4E41" w:rsidRPr="00622754">
              <w:t>5</w:t>
            </w:r>
          </w:p>
        </w:tc>
        <w:tc>
          <w:tcPr>
            <w:tcW w:w="1068" w:type="dxa"/>
            <w:noWrap/>
            <w:vAlign w:val="bottom"/>
          </w:tcPr>
          <w:p w:rsidR="0002378B" w:rsidRPr="00622754" w:rsidRDefault="0002378B" w:rsidP="00622754">
            <w:pPr>
              <w:cnfStyle w:val="000000000000" w:firstRow="0" w:lastRow="0" w:firstColumn="0" w:lastColumn="0" w:oddVBand="0" w:evenVBand="0" w:oddHBand="0" w:evenHBand="0" w:firstRowFirstColumn="0" w:firstRowLastColumn="0" w:lastRowFirstColumn="0" w:lastRowLastColumn="0"/>
            </w:pPr>
            <w:r w:rsidRPr="00622754">
              <w:t>1</w:t>
            </w:r>
            <w:r w:rsidR="003C4E41" w:rsidRPr="00622754">
              <w:t>28</w:t>
            </w:r>
            <w:r w:rsidRPr="00622754">
              <w:t>2</w:t>
            </w:r>
            <w:r w:rsidR="003C4E41" w:rsidRPr="00622754">
              <w:t>5</w:t>
            </w:r>
            <w:r w:rsidRPr="00622754">
              <w:t>.</w:t>
            </w:r>
            <w:r w:rsidR="003C4E41" w:rsidRPr="00622754">
              <w:t>0</w:t>
            </w:r>
          </w:p>
        </w:tc>
        <w:tc>
          <w:tcPr>
            <w:tcW w:w="1068" w:type="dxa"/>
            <w:noWrap/>
            <w:vAlign w:val="bottom"/>
          </w:tcPr>
          <w:p w:rsidR="0002378B" w:rsidRPr="00622754" w:rsidRDefault="0002378B" w:rsidP="00622754">
            <w:pPr>
              <w:cnfStyle w:val="000000000000" w:firstRow="0" w:lastRow="0" w:firstColumn="0" w:lastColumn="0" w:oddVBand="0" w:evenVBand="0" w:oddHBand="0" w:evenHBand="0" w:firstRowFirstColumn="0" w:firstRowLastColumn="0" w:lastRowFirstColumn="0" w:lastRowLastColumn="0"/>
            </w:pPr>
            <w:r w:rsidRPr="00622754">
              <w:t>13</w:t>
            </w:r>
            <w:r w:rsidR="003C4E41" w:rsidRPr="00622754">
              <w:t>266.6</w:t>
            </w:r>
          </w:p>
        </w:tc>
        <w:tc>
          <w:tcPr>
            <w:tcW w:w="1068" w:type="dxa"/>
            <w:noWrap/>
            <w:vAlign w:val="bottom"/>
          </w:tcPr>
          <w:p w:rsidR="0002378B" w:rsidRPr="00622754" w:rsidRDefault="0002378B" w:rsidP="00622754">
            <w:pPr>
              <w:cnfStyle w:val="000000000000" w:firstRow="0" w:lastRow="0" w:firstColumn="0" w:lastColumn="0" w:oddVBand="0" w:evenVBand="0" w:oddHBand="0" w:evenHBand="0" w:firstRowFirstColumn="0" w:firstRowLastColumn="0" w:lastRowFirstColumn="0" w:lastRowLastColumn="0"/>
            </w:pPr>
            <w:r w:rsidRPr="00622754">
              <w:t>1</w:t>
            </w:r>
            <w:r w:rsidR="003C4E41" w:rsidRPr="00622754">
              <w:t>3712.0</w:t>
            </w:r>
          </w:p>
        </w:tc>
      </w:tr>
    </w:tbl>
    <w:p w:rsidR="0002378B" w:rsidRPr="00924046" w:rsidRDefault="0002378B" w:rsidP="0002378B">
      <w:pPr>
        <w:pStyle w:val="AERtablesource"/>
      </w:pPr>
      <w:r w:rsidRPr="00924046">
        <w:t>Source:</w:t>
      </w:r>
      <w:r w:rsidRPr="00924046">
        <w:tab/>
      </w:r>
      <w:r>
        <w:t xml:space="preserve">Energex, </w:t>
      </w:r>
      <w:r w:rsidR="003C4E41">
        <w:rPr>
          <w:rStyle w:val="AERtextitalic"/>
        </w:rPr>
        <w:t>Revised p</w:t>
      </w:r>
      <w:r w:rsidRPr="00237902">
        <w:rPr>
          <w:rStyle w:val="AERtextitalic"/>
        </w:rPr>
        <w:t>roposed PTRM</w:t>
      </w:r>
      <w:r>
        <w:t xml:space="preserve">, </w:t>
      </w:r>
      <w:r w:rsidR="003C4E41">
        <w:t>July</w:t>
      </w:r>
      <w:r w:rsidRPr="00924046">
        <w:t xml:space="preserve"> 201</w:t>
      </w:r>
      <w:r w:rsidR="003C4E41">
        <w:t>5</w:t>
      </w:r>
      <w:r w:rsidRPr="00924046">
        <w:t>.</w:t>
      </w:r>
    </w:p>
    <w:p w:rsidR="0002378B" w:rsidRPr="00924046" w:rsidRDefault="0002378B" w:rsidP="0002378B">
      <w:pPr>
        <w:pStyle w:val="AERtablesource"/>
      </w:pPr>
      <w:r>
        <w:t>(a)</w:t>
      </w:r>
      <w:r w:rsidRPr="00924046">
        <w:tab/>
        <w:t>Net of disposals and capital contributions.</w:t>
      </w:r>
    </w:p>
    <w:p w:rsidR="000F67F7" w:rsidRDefault="000F67F7" w:rsidP="00E60A0B">
      <w:pPr>
        <w:pStyle w:val="Heading2"/>
      </w:pPr>
      <w:bookmarkStart w:id="20" w:name="_Toc425950477"/>
      <w:r w:rsidRPr="00E60A0B">
        <w:t>AER’s assessment approach</w:t>
      </w:r>
      <w:bookmarkEnd w:id="18"/>
      <w:bookmarkEnd w:id="19"/>
      <w:bookmarkEnd w:id="20"/>
    </w:p>
    <w:p w:rsidR="00F31BCE" w:rsidRDefault="00B42161" w:rsidP="00F31BCE">
      <w:r w:rsidRPr="00CA062D">
        <w:t xml:space="preserve">We </w:t>
      </w:r>
      <w:r w:rsidR="003F5DD2">
        <w:t>have</w:t>
      </w:r>
      <w:r w:rsidR="003F5DD2" w:rsidRPr="00CA062D">
        <w:t xml:space="preserve"> </w:t>
      </w:r>
      <w:r w:rsidRPr="00CA062D">
        <w:t>not change</w:t>
      </w:r>
      <w:r w:rsidR="003F5DD2">
        <w:t>d</w:t>
      </w:r>
      <w:r w:rsidRPr="00CA062D">
        <w:t xml:space="preserve"> our assessment approach for the </w:t>
      </w:r>
      <w:r>
        <w:t>RAB</w:t>
      </w:r>
      <w:r w:rsidRPr="00CA062D">
        <w:t xml:space="preserve"> from our </w:t>
      </w:r>
      <w:r>
        <w:t>preliminary</w:t>
      </w:r>
      <w:r w:rsidRPr="00CA062D">
        <w:t xml:space="preserve"> decision. Section </w:t>
      </w:r>
      <w:r>
        <w:t>2</w:t>
      </w:r>
      <w:r w:rsidRPr="00CA062D">
        <w:t xml:space="preserve">.3 of our </w:t>
      </w:r>
      <w:r>
        <w:t>preliminary</w:t>
      </w:r>
      <w:r w:rsidRPr="00CA062D">
        <w:t xml:space="preserve"> decision details that approach.</w:t>
      </w:r>
      <w:r>
        <w:rPr>
          <w:rStyle w:val="FootnoteReference"/>
        </w:rPr>
        <w:footnoteReference w:id="4"/>
      </w:r>
    </w:p>
    <w:p w:rsidR="00EA22D6" w:rsidRPr="00F31BCE" w:rsidRDefault="00EA22D6" w:rsidP="00F31BCE">
      <w:r>
        <w:rPr>
          <w:rStyle w:val="AERbody"/>
        </w:rPr>
        <w:t xml:space="preserve">The CCP has raised concerns with having both the </w:t>
      </w:r>
      <w:r w:rsidR="00123D6C">
        <w:rPr>
          <w:rStyle w:val="AERbody"/>
        </w:rPr>
        <w:t>weighted average cost of capital (</w:t>
      </w:r>
      <w:r>
        <w:rPr>
          <w:rStyle w:val="AERbody"/>
        </w:rPr>
        <w:t>WACC</w:t>
      </w:r>
      <w:r w:rsidR="00123D6C">
        <w:rPr>
          <w:rStyle w:val="AERbody"/>
        </w:rPr>
        <w:t>)</w:t>
      </w:r>
      <w:r>
        <w:rPr>
          <w:rStyle w:val="AERbody"/>
        </w:rPr>
        <w:t xml:space="preserve"> and RAB measured in nominal terms.</w:t>
      </w:r>
      <w:r>
        <w:rPr>
          <w:rStyle w:val="FootnoteReference"/>
        </w:rPr>
        <w:footnoteReference w:id="5"/>
      </w:r>
      <w:r>
        <w:rPr>
          <w:rStyle w:val="AERbody"/>
        </w:rPr>
        <w:t xml:space="preserve"> It appears to question whether inflation is accounted for twice in the building block framework. This matter was addressed in our preliminary decision for Energex.</w:t>
      </w:r>
      <w:r>
        <w:rPr>
          <w:rStyle w:val="FootnoteReference"/>
        </w:rPr>
        <w:footnoteReference w:id="6"/>
      </w:r>
      <w:r>
        <w:rPr>
          <w:rStyle w:val="AERbody"/>
        </w:rPr>
        <w:t xml:space="preserve"> </w:t>
      </w:r>
      <w:r w:rsidRPr="00736555">
        <w:t>Maintaining the RAB in real terms by adding inflation is required by the NER</w:t>
      </w:r>
      <w:r>
        <w:rPr>
          <w:rStyle w:val="FootnoteReference"/>
        </w:rPr>
        <w:footnoteReference w:id="7"/>
      </w:r>
      <w:r w:rsidRPr="00736555">
        <w:t xml:space="preserve"> and generally helps to promote smoother prices over the life of an asset. </w:t>
      </w:r>
      <w:r>
        <w:t xml:space="preserve">The regulatory depreciation building block is adjusted for the inflation indexed component of the RAB so that there is no double counting of inflation. </w:t>
      </w:r>
      <w:r w:rsidRPr="00736555">
        <w:t xml:space="preserve">If the RAB was unindexed for inflation, the offsetting indexation adjustment applied to </w:t>
      </w:r>
      <w:r w:rsidRPr="00736555">
        <w:lastRenderedPageBreak/>
        <w:t xml:space="preserve">depreciation would also have to be removed. On balance, this means more depreciation would be returned to the </w:t>
      </w:r>
      <w:r w:rsidR="00123D6C">
        <w:t>distributor</w:t>
      </w:r>
      <w:r w:rsidRPr="00736555">
        <w:t xml:space="preserve"> resulting in higher prices early in an asset life and lower prices later in its life.</w:t>
      </w:r>
      <w:r>
        <w:rPr>
          <w:rStyle w:val="FootnoteReference"/>
        </w:rPr>
        <w:footnoteReference w:id="8"/>
      </w:r>
      <w:r w:rsidRPr="00736555">
        <w:t xml:space="preserve"> Even if allowed under the NER, moving to an unindexed RAB would lead to a price increase over the short to medium term and when new lumpy assets are added to the RAB.</w:t>
      </w:r>
      <w:r>
        <w:rPr>
          <w:rStyle w:val="FootnoteReference"/>
        </w:rPr>
        <w:footnoteReference w:id="9"/>
      </w:r>
    </w:p>
    <w:p w:rsidR="00DE563D" w:rsidRDefault="00DE563D" w:rsidP="00DE563D">
      <w:pPr>
        <w:pStyle w:val="Heading2"/>
      </w:pPr>
      <w:bookmarkStart w:id="21" w:name="_Toc403144140"/>
      <w:bookmarkStart w:id="22" w:name="_Toc425950478"/>
      <w:r w:rsidRPr="00E60A0B">
        <w:t xml:space="preserve">Reasons for </w:t>
      </w:r>
      <w:r w:rsidR="00750FDB">
        <w:t>final</w:t>
      </w:r>
      <w:r w:rsidRPr="00E60A0B">
        <w:t xml:space="preserve"> decision</w:t>
      </w:r>
      <w:bookmarkEnd w:id="21"/>
      <w:bookmarkEnd w:id="22"/>
      <w:r w:rsidRPr="00E60A0B">
        <w:t xml:space="preserve"> </w:t>
      </w:r>
    </w:p>
    <w:p w:rsidR="0071202E" w:rsidRDefault="00B42161" w:rsidP="00B42161">
      <w:r w:rsidRPr="00BA6440">
        <w:t xml:space="preserve">We </w:t>
      </w:r>
      <w:r w:rsidR="0071202E">
        <w:t>determine</w:t>
      </w:r>
      <w:r>
        <w:t xml:space="preserve"> </w:t>
      </w:r>
      <w:r w:rsidR="0071202E">
        <w:t>E</w:t>
      </w:r>
      <w:r>
        <w:t>nerg</w:t>
      </w:r>
      <w:r w:rsidR="0071202E">
        <w:t>ex</w:t>
      </w:r>
      <w:r>
        <w:t xml:space="preserve">'s </w:t>
      </w:r>
      <w:r w:rsidRPr="00BA6440">
        <w:t xml:space="preserve">opening RAB value </w:t>
      </w:r>
      <w:r w:rsidR="0071202E">
        <w:t>to be</w:t>
      </w:r>
      <w:r w:rsidRPr="00BA6440">
        <w:t xml:space="preserve"> </w:t>
      </w:r>
      <w:r w:rsidR="0071202E">
        <w:t>$11 172.5 million</w:t>
      </w:r>
      <w:r w:rsidR="0071202E" w:rsidRPr="00BA6440">
        <w:t xml:space="preserve"> </w:t>
      </w:r>
      <w:r w:rsidRPr="00BA6440">
        <w:t>($</w:t>
      </w:r>
      <w:r>
        <w:t> </w:t>
      </w:r>
      <w:r w:rsidRPr="00BA6440">
        <w:t>nominal) as</w:t>
      </w:r>
      <w:r>
        <w:t xml:space="preserve"> </w:t>
      </w:r>
      <w:r w:rsidRPr="00BA6440">
        <w:t>at 1 July 201</w:t>
      </w:r>
      <w:r w:rsidR="0071202E">
        <w:t>5</w:t>
      </w:r>
      <w:r w:rsidRPr="00BA6440">
        <w:t>.</w:t>
      </w:r>
      <w:r>
        <w:t xml:space="preserve"> </w:t>
      </w:r>
      <w:r w:rsidR="0071202E">
        <w:t xml:space="preserve">This amount is </w:t>
      </w:r>
      <w:r w:rsidR="0071202E" w:rsidRPr="00BA6440">
        <w:t>$</w:t>
      </w:r>
      <w:r w:rsidR="0071202E">
        <w:t xml:space="preserve">161.2 million (or 1.4 per cent) lower than the opening RAB in Energex's revised proposal. This difference is due to our update of the </w:t>
      </w:r>
      <w:r w:rsidR="004C6A99">
        <w:br/>
        <w:t xml:space="preserve">2014–15 </w:t>
      </w:r>
      <w:r w:rsidR="0071202E">
        <w:t xml:space="preserve">inputs </w:t>
      </w:r>
      <w:r w:rsidR="004C6A99">
        <w:t xml:space="preserve">in the RAB roll forward </w:t>
      </w:r>
      <w:r w:rsidR="0071202E">
        <w:t xml:space="preserve">for </w:t>
      </w:r>
      <w:r w:rsidR="004C6A99">
        <w:t xml:space="preserve">a </w:t>
      </w:r>
      <w:r w:rsidR="0071202E">
        <w:t>revised estimate of capex and actual inflation.</w:t>
      </w:r>
    </w:p>
    <w:p w:rsidR="00B42161" w:rsidRDefault="00B42161" w:rsidP="00B42161">
      <w:r>
        <w:t xml:space="preserve">Based on the approved opening RAB we </w:t>
      </w:r>
      <w:r w:rsidRPr="00BA6440">
        <w:t>forecast a closing RAB value of $</w:t>
      </w:r>
      <w:r w:rsidR="00A53E9D">
        <w:t>13 5</w:t>
      </w:r>
      <w:r w:rsidR="00717EE2">
        <w:t>91</w:t>
      </w:r>
      <w:r w:rsidR="00A53E9D">
        <w:t>.</w:t>
      </w:r>
      <w:r w:rsidR="00717EE2">
        <w:t>5</w:t>
      </w:r>
      <w:r>
        <w:t> </w:t>
      </w:r>
      <w:r w:rsidRPr="00BA6440">
        <w:t xml:space="preserve">million </w:t>
      </w:r>
      <w:r>
        <w:t xml:space="preserve">($ nominal) </w:t>
      </w:r>
      <w:r w:rsidRPr="00BA6440">
        <w:t>by 30 June 20</w:t>
      </w:r>
      <w:r w:rsidR="0071202E">
        <w:t>20</w:t>
      </w:r>
      <w:r w:rsidRPr="00BA6440">
        <w:t>. This represents a reduction of</w:t>
      </w:r>
      <w:r>
        <w:t xml:space="preserve"> $</w:t>
      </w:r>
      <w:r w:rsidR="00A53E9D">
        <w:t>1</w:t>
      </w:r>
      <w:r w:rsidR="00ED3AB8">
        <w:t>2</w:t>
      </w:r>
      <w:r w:rsidR="00717EE2">
        <w:t>0</w:t>
      </w:r>
      <w:r w:rsidR="00ED3AB8">
        <w:t>.</w:t>
      </w:r>
      <w:r w:rsidR="00717EE2">
        <w:t>5</w:t>
      </w:r>
      <w:r w:rsidRPr="00BA6440">
        <w:t xml:space="preserve"> million, or </w:t>
      </w:r>
      <w:r w:rsidR="00A53E9D">
        <w:t>0</w:t>
      </w:r>
      <w:r w:rsidR="00ED3AB8">
        <w:t>.9</w:t>
      </w:r>
      <w:r w:rsidRPr="00BA6440">
        <w:t xml:space="preserve"> per cent compared to the</w:t>
      </w:r>
      <w:r>
        <w:t xml:space="preserve"> revised</w:t>
      </w:r>
      <w:r w:rsidRPr="00BA6440">
        <w:t xml:space="preserve"> proposal. The reasons for our decision are discussed</w:t>
      </w:r>
      <w:r>
        <w:t xml:space="preserve"> </w:t>
      </w:r>
      <w:r w:rsidRPr="00BA6440">
        <w:t>below.</w:t>
      </w:r>
    </w:p>
    <w:p w:rsidR="00B42161" w:rsidRDefault="00B42161" w:rsidP="00B42161">
      <w:pPr>
        <w:pStyle w:val="Heading3"/>
      </w:pPr>
      <w:bookmarkStart w:id="23" w:name="_Toc413851796"/>
      <w:bookmarkStart w:id="24" w:name="_Ref425948113"/>
      <w:bookmarkStart w:id="25" w:name="_Toc425950479"/>
      <w:r w:rsidRPr="00BA6440">
        <w:t>Opening RAB as at 1 July 201</w:t>
      </w:r>
      <w:r w:rsidR="004C6A99">
        <w:t>5</w:t>
      </w:r>
      <w:bookmarkEnd w:id="23"/>
      <w:bookmarkEnd w:id="24"/>
      <w:bookmarkEnd w:id="25"/>
      <w:r>
        <w:t xml:space="preserve"> </w:t>
      </w:r>
    </w:p>
    <w:p w:rsidR="00EE107D" w:rsidRDefault="00B42161" w:rsidP="00B42161">
      <w:r w:rsidRPr="00BA6440">
        <w:t xml:space="preserve">We </w:t>
      </w:r>
      <w:r w:rsidR="0071202E">
        <w:t>determine</w:t>
      </w:r>
      <w:r>
        <w:t xml:space="preserve"> En</w:t>
      </w:r>
      <w:r w:rsidR="0071202E">
        <w:t>ergex</w:t>
      </w:r>
      <w:r>
        <w:t xml:space="preserve">'s </w:t>
      </w:r>
      <w:r w:rsidRPr="00BA6440">
        <w:t>opening RAB value as</w:t>
      </w:r>
      <w:r>
        <w:t xml:space="preserve"> </w:t>
      </w:r>
      <w:r w:rsidR="004C6A99">
        <w:t>at 1 July 2015 to be $11 172.5 million ($</w:t>
      </w:r>
      <w:r w:rsidR="000D2C07">
        <w:t xml:space="preserve"> </w:t>
      </w:r>
      <w:r w:rsidR="004C6A99">
        <w:t>nominal)</w:t>
      </w:r>
      <w:r w:rsidRPr="00BA6440">
        <w:t>.</w:t>
      </w:r>
      <w:r>
        <w:t xml:space="preserve"> </w:t>
      </w:r>
      <w:r w:rsidR="004C6A99">
        <w:t xml:space="preserve">This amount is </w:t>
      </w:r>
      <w:r w:rsidR="004C6A99" w:rsidRPr="00BA6440">
        <w:t>$</w:t>
      </w:r>
      <w:r w:rsidR="004C6A99">
        <w:t>161.</w:t>
      </w:r>
      <w:r w:rsidR="000360BB">
        <w:t>1</w:t>
      </w:r>
      <w:r w:rsidR="004C6A99">
        <w:t xml:space="preserve"> million (or 1.4 per cent) lower than Energex's value of $11 333.7 million in its revised proposal.</w:t>
      </w:r>
      <w:r w:rsidR="00EE107D">
        <w:t xml:space="preserve"> This is because we updated:</w:t>
      </w:r>
    </w:p>
    <w:p w:rsidR="00EE107D" w:rsidRDefault="00EE107D" w:rsidP="00EE107D">
      <w:pPr>
        <w:pStyle w:val="AERbulletlistfirststyle"/>
      </w:pPr>
      <w:r>
        <w:t>The inflation input for 2014–15 using actual March 2015 consumer price index (CPI) published by the Australian Bureau of Statistics.</w:t>
      </w:r>
      <w:r>
        <w:rPr>
          <w:rStyle w:val="FootnoteReference"/>
        </w:rPr>
        <w:footnoteReference w:id="10"/>
      </w:r>
    </w:p>
    <w:p w:rsidR="00EE107D" w:rsidRDefault="00EE107D" w:rsidP="00EE107D">
      <w:pPr>
        <w:pStyle w:val="AERbulletlistfirststyle"/>
      </w:pPr>
      <w:r>
        <w:t>The capex inputs for 2014–15 using revised estimates from Energex.</w:t>
      </w:r>
    </w:p>
    <w:p w:rsidR="00B42161" w:rsidRDefault="00B42161" w:rsidP="00B42161">
      <w:r w:rsidRPr="003415D8">
        <w:t xml:space="preserve">In the </w:t>
      </w:r>
      <w:r w:rsidR="00EE107D">
        <w:t xml:space="preserve">preliminary </w:t>
      </w:r>
      <w:r w:rsidRPr="003415D8">
        <w:t xml:space="preserve">decision, we made </w:t>
      </w:r>
      <w:r w:rsidR="00EE107D">
        <w:t>certain amendments to</w:t>
      </w:r>
      <w:r>
        <w:t xml:space="preserve"> En</w:t>
      </w:r>
      <w:r w:rsidR="00EE107D">
        <w:t>ergex</w:t>
      </w:r>
      <w:r w:rsidRPr="003415D8">
        <w:t xml:space="preserve">'s </w:t>
      </w:r>
      <w:r w:rsidR="00EE107D">
        <w:t xml:space="preserve">proposed </w:t>
      </w:r>
      <w:r w:rsidRPr="003415D8">
        <w:t xml:space="preserve">roll forward of its </w:t>
      </w:r>
      <w:r>
        <w:t>RAB</w:t>
      </w:r>
      <w:r w:rsidR="00EE107D">
        <w:t xml:space="preserve"> over the 2010</w:t>
      </w:r>
      <w:r w:rsidRPr="003415D8">
        <w:t>–1</w:t>
      </w:r>
      <w:r w:rsidR="00EE107D">
        <w:t>5</w:t>
      </w:r>
      <w:r w:rsidRPr="003415D8">
        <w:t xml:space="preserve"> regulatory control period</w:t>
      </w:r>
      <w:r w:rsidR="00EE107D">
        <w:t xml:space="preserve"> including corrections for input errors in remaining asset lives and adjustments for capitalised provisions </w:t>
      </w:r>
      <w:r w:rsidR="00511F8F">
        <w:t>and</w:t>
      </w:r>
      <w:r w:rsidR="00EE107D">
        <w:t xml:space="preserve"> other asset classification changes</w:t>
      </w:r>
      <w:r w:rsidRPr="003415D8">
        <w:t xml:space="preserve">. </w:t>
      </w:r>
      <w:r>
        <w:t>We noted the roll for</w:t>
      </w:r>
      <w:r w:rsidR="00511F8F">
        <w:t xml:space="preserve">ward of </w:t>
      </w:r>
      <w:r>
        <w:t>Energ</w:t>
      </w:r>
      <w:r w:rsidR="00511F8F">
        <w:t>ex</w:t>
      </w:r>
      <w:r>
        <w:t>'s RAB included an estimated capex value for 201</w:t>
      </w:r>
      <w:r w:rsidR="00511F8F">
        <w:t>4</w:t>
      </w:r>
      <w:r>
        <w:t>–1</w:t>
      </w:r>
      <w:r w:rsidR="00511F8F">
        <w:t>5</w:t>
      </w:r>
      <w:r>
        <w:t xml:space="preserve">. </w:t>
      </w:r>
      <w:r w:rsidRPr="009477A6">
        <w:t xml:space="preserve">We </w:t>
      </w:r>
      <w:r>
        <w:t xml:space="preserve">stated we </w:t>
      </w:r>
      <w:r w:rsidRPr="009477A6">
        <w:t>would update</w:t>
      </w:r>
      <w:r>
        <w:t xml:space="preserve"> the </w:t>
      </w:r>
      <w:r w:rsidR="00511F8F">
        <w:br/>
      </w:r>
      <w:r>
        <w:t>201</w:t>
      </w:r>
      <w:r w:rsidR="00511F8F">
        <w:t>4</w:t>
      </w:r>
      <w:r>
        <w:t>–1</w:t>
      </w:r>
      <w:r w:rsidR="00511F8F">
        <w:t>5</w:t>
      </w:r>
      <w:r>
        <w:t xml:space="preserve"> estimated capex value for the final decision</w:t>
      </w:r>
      <w:r w:rsidRPr="009477A6">
        <w:t>.</w:t>
      </w:r>
    </w:p>
    <w:p w:rsidR="00B42161" w:rsidRDefault="00B42161" w:rsidP="00B42161">
      <w:r>
        <w:t>Energ</w:t>
      </w:r>
      <w:r w:rsidR="00511F8F">
        <w:t>ex</w:t>
      </w:r>
      <w:r>
        <w:t xml:space="preserve">'s </w:t>
      </w:r>
      <w:r w:rsidRPr="003415D8">
        <w:t xml:space="preserve">revised proposal adopted our </w:t>
      </w:r>
      <w:r w:rsidR="00511F8F">
        <w:t xml:space="preserve">preliminary </w:t>
      </w:r>
      <w:r w:rsidRPr="003415D8">
        <w:t>decision adjustments to roll forward the opening RAB from 1 July 20</w:t>
      </w:r>
      <w:r w:rsidR="00511F8F">
        <w:t>1</w:t>
      </w:r>
      <w:r w:rsidRPr="003415D8">
        <w:t>0 to 1 July 201</w:t>
      </w:r>
      <w:r w:rsidR="00511F8F">
        <w:t>5</w:t>
      </w:r>
      <w:r w:rsidRPr="003415D8">
        <w:t xml:space="preserve">. </w:t>
      </w:r>
      <w:r w:rsidR="00511F8F">
        <w:t xml:space="preserve">Following an information </w:t>
      </w:r>
      <w:r w:rsidR="00511F8F">
        <w:lastRenderedPageBreak/>
        <w:t xml:space="preserve">request from us, </w:t>
      </w:r>
      <w:r>
        <w:t>Energ</w:t>
      </w:r>
      <w:r w:rsidR="00511F8F">
        <w:t xml:space="preserve">ex provided a revised estimate of capex for </w:t>
      </w:r>
      <w:r w:rsidRPr="003415D8">
        <w:t>201</w:t>
      </w:r>
      <w:r w:rsidR="00511F8F">
        <w:t>4</w:t>
      </w:r>
      <w:r w:rsidRPr="003415D8">
        <w:t>–1</w:t>
      </w:r>
      <w:r w:rsidR="00511F8F">
        <w:t>5 (net of disposals).</w:t>
      </w:r>
      <w:r w:rsidR="00511F8F">
        <w:rPr>
          <w:rStyle w:val="FootnoteReference"/>
        </w:rPr>
        <w:footnoteReference w:id="11"/>
      </w:r>
      <w:r w:rsidR="00C41AC7">
        <w:t xml:space="preserve"> </w:t>
      </w:r>
    </w:p>
    <w:p w:rsidR="00511F8F" w:rsidRDefault="00511F8F" w:rsidP="00B42161">
      <w:r>
        <w:t>We accept Energex's revision to the net capex estimate for 2014–15 of $</w:t>
      </w:r>
      <w:r w:rsidR="00C41AC7">
        <w:t>728 million.</w:t>
      </w:r>
      <w:r w:rsidR="00C41AC7">
        <w:rPr>
          <w:rStyle w:val="FootnoteReference"/>
        </w:rPr>
        <w:footnoteReference w:id="12"/>
      </w:r>
      <w:r w:rsidR="00C41AC7">
        <w:t xml:space="preserve"> This amount is lower than in the initial proposal and reflects</w:t>
      </w:r>
      <w:r w:rsidR="009B6BB6">
        <w:t xml:space="preserve"> more up-to-date</w:t>
      </w:r>
      <w:r w:rsidR="00C41AC7">
        <w:t xml:space="preserve"> data, and therefore is the best forecast available.</w:t>
      </w:r>
      <w:r w:rsidR="00B575E6" w:rsidRPr="00B575E6">
        <w:t xml:space="preserve"> </w:t>
      </w:r>
      <w:r w:rsidR="00B575E6">
        <w:t>We note that the financial impact of any difference between actual and estimated capex for 2014–15 will be accounted for at the next reset.</w:t>
      </w:r>
      <w:r w:rsidR="00B575E6">
        <w:rPr>
          <w:rStyle w:val="FootnoteReference"/>
        </w:rPr>
        <w:footnoteReference w:id="13"/>
      </w:r>
    </w:p>
    <w:p w:rsidR="00B42161" w:rsidRDefault="006B34BC" w:rsidP="00123D6C">
      <w:r>
        <w:t xml:space="preserve">Several submissions </w:t>
      </w:r>
      <w:r w:rsidR="007C38F3">
        <w:t xml:space="preserve">on </w:t>
      </w:r>
      <w:r>
        <w:t xml:space="preserve">the preliminary decision </w:t>
      </w:r>
      <w:r w:rsidR="00B42161">
        <w:t xml:space="preserve">raised </w:t>
      </w:r>
      <w:r w:rsidR="00B42161" w:rsidRPr="00376D68">
        <w:t xml:space="preserve">concerns with the size of </w:t>
      </w:r>
      <w:r w:rsidR="00B42161">
        <w:t>En</w:t>
      </w:r>
      <w:r>
        <w:t>ergex'</w:t>
      </w:r>
      <w:r w:rsidR="00B42161">
        <w:t>s</w:t>
      </w:r>
      <w:r w:rsidR="00B42161" w:rsidRPr="00376D68">
        <w:t xml:space="preserve"> opening RAB</w:t>
      </w:r>
      <w:r w:rsidR="00B42161">
        <w:t>.</w:t>
      </w:r>
      <w:r w:rsidR="00B42161" w:rsidRPr="00376D68">
        <w:rPr>
          <w:rStyle w:val="FootnoteReference"/>
        </w:rPr>
        <w:footnoteReference w:id="14"/>
      </w:r>
      <w:r w:rsidR="00B42161">
        <w:t xml:space="preserve"> </w:t>
      </w:r>
      <w:r>
        <w:t>The</w:t>
      </w:r>
      <w:r w:rsidR="00B42161">
        <w:t xml:space="preserve"> submission</w:t>
      </w:r>
      <w:r>
        <w:t>s</w:t>
      </w:r>
      <w:r w:rsidR="00B42161">
        <w:t xml:space="preserve"> suggested </w:t>
      </w:r>
      <w:r w:rsidR="007C38F3">
        <w:t xml:space="preserve">that there was </w:t>
      </w:r>
      <w:r w:rsidR="00B42161">
        <w:t xml:space="preserve">potential for </w:t>
      </w:r>
      <w:r w:rsidR="00B42161" w:rsidRPr="00854664">
        <w:t xml:space="preserve">writing off some parts of the </w:t>
      </w:r>
      <w:r w:rsidR="00B42161">
        <w:t>RAB</w:t>
      </w:r>
      <w:r w:rsidR="00B42161" w:rsidRPr="00376D68">
        <w:t xml:space="preserve">. </w:t>
      </w:r>
      <w:r w:rsidR="00B42161">
        <w:t>We note that t</w:t>
      </w:r>
      <w:r w:rsidR="00B42161" w:rsidRPr="00376D68">
        <w:t xml:space="preserve">he opening RAB reflects the capex incurred during the previous regulatory control periods. In the previous two regulatory control periods there was a significant increase in capex that only began to tail off in more recent years. </w:t>
      </w:r>
      <w:r w:rsidR="00B42161">
        <w:t>W</w:t>
      </w:r>
      <w:r w:rsidR="00B42161" w:rsidRPr="00376D68">
        <w:t>e have no ability to adjust for past capex or to optimise/write down the opening RAB</w:t>
      </w:r>
      <w:r w:rsidR="00B42161">
        <w:t xml:space="preserve"> for efficiency considerations</w:t>
      </w:r>
      <w:r w:rsidR="00B42161" w:rsidRPr="00376D68">
        <w:t xml:space="preserve">. </w:t>
      </w:r>
      <w:r w:rsidR="00B42161">
        <w:t>Under</w:t>
      </w:r>
      <w:r w:rsidR="00B42161" w:rsidRPr="000F67F7">
        <w:t xml:space="preserve"> the transitional rules, the review of past</w:t>
      </w:r>
      <w:r w:rsidR="00B42161">
        <w:t xml:space="preserve"> capex does not apply to Energ</w:t>
      </w:r>
      <w:r w:rsidR="00BD62B3">
        <w:t>ex</w:t>
      </w:r>
      <w:r w:rsidR="00B42161" w:rsidRPr="000F67F7">
        <w:t xml:space="preserve"> prior to 1 July 2015.</w:t>
      </w:r>
      <w:r w:rsidR="00B42161" w:rsidRPr="000F67F7">
        <w:rPr>
          <w:rStyle w:val="FootnoteReference"/>
        </w:rPr>
        <w:footnoteReference w:id="15"/>
      </w:r>
      <w:r w:rsidR="00B42161" w:rsidRPr="000F67F7">
        <w:t xml:space="preserve"> Therefore, for the purposes of this </w:t>
      </w:r>
      <w:r w:rsidR="00B42161">
        <w:t>final</w:t>
      </w:r>
      <w:r w:rsidR="00B42161" w:rsidRPr="000F67F7">
        <w:t xml:space="preserve"> decision, we </w:t>
      </w:r>
      <w:r w:rsidR="00B42161">
        <w:t xml:space="preserve">are required to </w:t>
      </w:r>
      <w:r w:rsidR="00B42161" w:rsidRPr="000F67F7">
        <w:t xml:space="preserve">add </w:t>
      </w:r>
      <w:r w:rsidR="00B42161">
        <w:t>Energ</w:t>
      </w:r>
      <w:r w:rsidR="00BD62B3">
        <w:t>ex</w:t>
      </w:r>
      <w:r w:rsidR="00B42161">
        <w:t>'</w:t>
      </w:r>
      <w:r w:rsidR="00B42161" w:rsidRPr="000F67F7">
        <w:t>s actual</w:t>
      </w:r>
      <w:r w:rsidR="00BD62B3">
        <w:t xml:space="preserve"> capex from the 2010</w:t>
      </w:r>
      <w:r w:rsidR="00B42161" w:rsidRPr="000F67F7">
        <w:t>–</w:t>
      </w:r>
      <w:r w:rsidR="00B42161">
        <w:t>1</w:t>
      </w:r>
      <w:r w:rsidR="00BD62B3">
        <w:t>5</w:t>
      </w:r>
      <w:r w:rsidR="00B42161" w:rsidRPr="000F67F7">
        <w:t xml:space="preserve"> regulatory control period to the RAB. </w:t>
      </w:r>
      <w:r w:rsidR="00B42161" w:rsidRPr="00376D68">
        <w:t>However, with rule changes in 2012, we will have the ability to exclude inefficient capex incurred during the 201</w:t>
      </w:r>
      <w:r w:rsidR="00B42161">
        <w:t>5</w:t>
      </w:r>
      <w:r w:rsidR="00B42161" w:rsidRPr="00376D68">
        <w:t>–</w:t>
      </w:r>
      <w:r w:rsidR="00BD62B3">
        <w:t>20</w:t>
      </w:r>
      <w:r w:rsidR="00B42161" w:rsidRPr="00376D68">
        <w:t xml:space="preserve"> </w:t>
      </w:r>
      <w:r w:rsidR="00B42161">
        <w:t xml:space="preserve">regulatory control </w:t>
      </w:r>
      <w:r w:rsidR="00B42161" w:rsidRPr="00376D68">
        <w:t>period</w:t>
      </w:r>
      <w:r w:rsidR="00B42161">
        <w:t xml:space="preserve"> in future resets</w:t>
      </w:r>
      <w:r w:rsidR="00B42161" w:rsidRPr="00376D68">
        <w:t xml:space="preserve"> </w:t>
      </w:r>
      <w:r w:rsidR="00B42161">
        <w:t xml:space="preserve">if it exceeds the approved forecast and </w:t>
      </w:r>
      <w:r w:rsidR="00B42161" w:rsidRPr="00376D68">
        <w:t xml:space="preserve">if we consider it does not reasonably reflect the </w:t>
      </w:r>
      <w:r w:rsidR="00123D6C">
        <w:t>capex</w:t>
      </w:r>
      <w:r w:rsidR="00B42161" w:rsidRPr="00376D68">
        <w:t xml:space="preserve"> criteria.</w:t>
      </w:r>
      <w:r w:rsidR="00B42161" w:rsidRPr="00376D68">
        <w:rPr>
          <w:rStyle w:val="FootnoteReference"/>
        </w:rPr>
        <w:footnoteReference w:id="16"/>
      </w:r>
      <w:r w:rsidR="00B42161" w:rsidRPr="00376D68">
        <w:t xml:space="preserve"> The details of our assessment approach for inefficient capex are set out in the </w:t>
      </w:r>
      <w:r w:rsidR="00123D6C">
        <w:t>Capital E</w:t>
      </w:r>
      <w:r w:rsidR="00B42161" w:rsidRPr="00123D6C">
        <w:t xml:space="preserve">xpenditure </w:t>
      </w:r>
      <w:r w:rsidR="00123D6C">
        <w:t>Incentive G</w:t>
      </w:r>
      <w:r w:rsidR="00B42161" w:rsidRPr="00123D6C">
        <w:t>uideline</w:t>
      </w:r>
      <w:r w:rsidR="00B42161" w:rsidRPr="00376D68">
        <w:t>.</w:t>
      </w:r>
      <w:r w:rsidR="00B42161" w:rsidRPr="00376D68">
        <w:rPr>
          <w:rStyle w:val="FootnoteReference"/>
        </w:rPr>
        <w:footnoteReference w:id="17"/>
      </w:r>
    </w:p>
    <w:p w:rsidR="00B42161" w:rsidRDefault="00B42161" w:rsidP="00B42161">
      <w:pPr>
        <w:pStyle w:val="Heading3"/>
      </w:pPr>
      <w:bookmarkStart w:id="26" w:name="_Toc413851797"/>
      <w:bookmarkStart w:id="27" w:name="_Toc425950480"/>
      <w:r w:rsidRPr="00BA6440">
        <w:t>Forecast closing RAB as at 30 June 20</w:t>
      </w:r>
      <w:r w:rsidR="00B575E6">
        <w:t>20</w:t>
      </w:r>
      <w:bookmarkEnd w:id="26"/>
      <w:bookmarkEnd w:id="27"/>
      <w:r>
        <w:t xml:space="preserve"> </w:t>
      </w:r>
    </w:p>
    <w:p w:rsidR="00B42161" w:rsidRDefault="00B42161" w:rsidP="00B42161">
      <w:r w:rsidRPr="0064602F">
        <w:t>We forecast a closing RAB value of $</w:t>
      </w:r>
      <w:r w:rsidR="00A53E9D">
        <w:t>13 5</w:t>
      </w:r>
      <w:r w:rsidR="00717EE2">
        <w:t>91</w:t>
      </w:r>
      <w:r w:rsidR="00A53E9D">
        <w:t>.</w:t>
      </w:r>
      <w:r w:rsidR="00717EE2">
        <w:t>5</w:t>
      </w:r>
      <w:r>
        <w:t xml:space="preserve"> </w:t>
      </w:r>
      <w:r w:rsidRPr="0064602F">
        <w:t>million by 3</w:t>
      </w:r>
      <w:r w:rsidR="004C6A99">
        <w:t>0 June 2020 for Energex</w:t>
      </w:r>
      <w:r w:rsidRPr="0064602F">
        <w:t>. This</w:t>
      </w:r>
      <w:r>
        <w:t xml:space="preserve"> </w:t>
      </w:r>
      <w:r w:rsidRPr="0064602F">
        <w:t xml:space="preserve">represents a reduction of </w:t>
      </w:r>
      <w:r>
        <w:t>$</w:t>
      </w:r>
      <w:r w:rsidR="00A53E9D">
        <w:t>1</w:t>
      </w:r>
      <w:r w:rsidR="00ED3AB8">
        <w:t>2</w:t>
      </w:r>
      <w:r w:rsidR="00717EE2">
        <w:t>0</w:t>
      </w:r>
      <w:r w:rsidR="00ED3AB8">
        <w:t>.</w:t>
      </w:r>
      <w:r w:rsidR="00717EE2">
        <w:t>5</w:t>
      </w:r>
      <w:r w:rsidRPr="0064602F">
        <w:t xml:space="preserve"> million, or </w:t>
      </w:r>
      <w:r w:rsidR="00A53E9D">
        <w:t>0</w:t>
      </w:r>
      <w:r w:rsidR="00ED3AB8">
        <w:t>.9</w:t>
      </w:r>
      <w:r w:rsidRPr="0064602F">
        <w:t xml:space="preserve"> per cent to Energ</w:t>
      </w:r>
      <w:r w:rsidR="004C6A99">
        <w:t>ex'</w:t>
      </w:r>
      <w:r w:rsidRPr="0064602F">
        <w:t xml:space="preserve">s </w:t>
      </w:r>
      <w:r>
        <w:t xml:space="preserve">revised </w:t>
      </w:r>
      <w:r w:rsidRPr="0064602F">
        <w:t>proposal. This</w:t>
      </w:r>
      <w:r>
        <w:t xml:space="preserve"> </w:t>
      </w:r>
      <w:r w:rsidRPr="0064602F">
        <w:t xml:space="preserve">reduction reflects our </w:t>
      </w:r>
      <w:r>
        <w:t>final</w:t>
      </w:r>
      <w:r w:rsidRPr="0064602F">
        <w:t xml:space="preserve"> decision on the required inputs for determining the forecast RAB in the</w:t>
      </w:r>
      <w:r>
        <w:t xml:space="preserve"> post-tax revenue model (</w:t>
      </w:r>
      <w:r w:rsidRPr="0064602F">
        <w:t>PTRM</w:t>
      </w:r>
      <w:r>
        <w:t>)</w:t>
      </w:r>
      <w:r w:rsidRPr="0064602F">
        <w:t xml:space="preserve">. To determine the forecast RAB value, we </w:t>
      </w:r>
      <w:r w:rsidR="00352F3F">
        <w:t xml:space="preserve">have </w:t>
      </w:r>
      <w:r w:rsidRPr="0064602F">
        <w:t>amended the PTRM inputs</w:t>
      </w:r>
      <w:r w:rsidR="00F63483">
        <w:t xml:space="preserve"> as a result of </w:t>
      </w:r>
      <w:r w:rsidR="00352F3F">
        <w:t xml:space="preserve">the following </w:t>
      </w:r>
      <w:r w:rsidR="00F63483">
        <w:t>changes</w:t>
      </w:r>
      <w:r w:rsidRPr="0064602F">
        <w:t>:</w:t>
      </w:r>
    </w:p>
    <w:p w:rsidR="004C6A99" w:rsidRDefault="004C6A99" w:rsidP="00B42161">
      <w:pPr>
        <w:pStyle w:val="AERbulletlistfirststyle"/>
      </w:pPr>
      <w:r>
        <w:lastRenderedPageBreak/>
        <w:t>We reduced Energex's revised proposed opening RAB as at 1 July 2015 by $161.</w:t>
      </w:r>
      <w:r w:rsidR="00931ACD">
        <w:t>1</w:t>
      </w:r>
      <w:r>
        <w:t xml:space="preserve"> million or 1.4 per cent (section </w:t>
      </w:r>
      <w:r>
        <w:fldChar w:fldCharType="begin"/>
      </w:r>
      <w:r>
        <w:instrText xml:space="preserve"> REF _Ref425948113 \r \h </w:instrText>
      </w:r>
      <w:r>
        <w:fldChar w:fldCharType="separate"/>
      </w:r>
      <w:r>
        <w:t>2.4.1</w:t>
      </w:r>
      <w:r>
        <w:fldChar w:fldCharType="end"/>
      </w:r>
      <w:r>
        <w:t>).</w:t>
      </w:r>
    </w:p>
    <w:p w:rsidR="004C6A99" w:rsidRDefault="004C6A99" w:rsidP="00B42161">
      <w:pPr>
        <w:pStyle w:val="AERbulletlistfirststyle"/>
      </w:pPr>
      <w:r>
        <w:t xml:space="preserve">We </w:t>
      </w:r>
      <w:r w:rsidR="00480D53">
        <w:t xml:space="preserve">decreased </w:t>
      </w:r>
      <w:r>
        <w:t>Energex's revised proposed forecast capex for the 2015–20 regulatory control period by $</w:t>
      </w:r>
      <w:r w:rsidR="00480D53">
        <w:t>1</w:t>
      </w:r>
      <w:r w:rsidR="008B0D66">
        <w:t>34.3</w:t>
      </w:r>
      <w:r>
        <w:t xml:space="preserve"> million ($</w:t>
      </w:r>
      <w:r w:rsidR="00D80CDA">
        <w:t xml:space="preserve"> </w:t>
      </w:r>
      <w:r w:rsidR="00480D53">
        <w:t>2014–15</w:t>
      </w:r>
      <w:r>
        <w:t xml:space="preserve">) or </w:t>
      </w:r>
      <w:r w:rsidR="00480D53">
        <w:t>4.</w:t>
      </w:r>
      <w:r w:rsidR="008B0D66">
        <w:t>6</w:t>
      </w:r>
      <w:r w:rsidR="00ED3AB8">
        <w:t xml:space="preserve"> </w:t>
      </w:r>
      <w:r>
        <w:t>per cent (attachment</w:t>
      </w:r>
      <w:r w:rsidR="000954C8">
        <w:t> </w:t>
      </w:r>
      <w:r>
        <w:t>6).</w:t>
      </w:r>
    </w:p>
    <w:p w:rsidR="00B42161" w:rsidRDefault="00B42161" w:rsidP="00B42161">
      <w:pPr>
        <w:pStyle w:val="AERbulletlistfirststyle"/>
      </w:pPr>
      <w:r w:rsidRPr="0064602F">
        <w:t xml:space="preserve">We </w:t>
      </w:r>
      <w:r w:rsidR="004C6A99">
        <w:t>reduced</w:t>
      </w:r>
      <w:r w:rsidRPr="0064602F">
        <w:t xml:space="preserve"> Energ</w:t>
      </w:r>
      <w:r w:rsidR="004C6A99">
        <w:t>ex</w:t>
      </w:r>
      <w:r w:rsidRPr="0064602F">
        <w:t xml:space="preserve">'s </w:t>
      </w:r>
      <w:r>
        <w:t xml:space="preserve">revised </w:t>
      </w:r>
      <w:r w:rsidRPr="0064602F">
        <w:t>propos</w:t>
      </w:r>
      <w:r w:rsidR="00D67158">
        <w:t>ed</w:t>
      </w:r>
      <w:r w:rsidRPr="0064602F">
        <w:t xml:space="preserve"> forecast </w:t>
      </w:r>
      <w:r>
        <w:t>regulatory depreciation</w:t>
      </w:r>
      <w:r w:rsidR="004C6A99">
        <w:t xml:space="preserve"> for the 2015</w:t>
      </w:r>
      <w:r w:rsidRPr="0064602F">
        <w:t>–</w:t>
      </w:r>
      <w:r w:rsidR="004C6A99">
        <w:t>20 regulatory control</w:t>
      </w:r>
      <w:r w:rsidRPr="0064602F">
        <w:t xml:space="preserve"> period by</w:t>
      </w:r>
      <w:r>
        <w:t xml:space="preserve"> </w:t>
      </w:r>
      <w:r w:rsidRPr="0064602F">
        <w:t>$</w:t>
      </w:r>
      <w:r w:rsidR="00ED3AB8">
        <w:t>3.8</w:t>
      </w:r>
      <w:r w:rsidRPr="0064602F">
        <w:t xml:space="preserve"> million </w:t>
      </w:r>
      <w:r w:rsidR="00D80CDA">
        <w:t xml:space="preserve">($ nominal) </w:t>
      </w:r>
      <w:r w:rsidRPr="0064602F">
        <w:t xml:space="preserve">or </w:t>
      </w:r>
      <w:r w:rsidR="00ED3AB8">
        <w:t>0.8</w:t>
      </w:r>
      <w:r w:rsidRPr="0064602F">
        <w:t xml:space="preserve"> per cent (attachment </w:t>
      </w:r>
      <w:r>
        <w:t>5</w:t>
      </w:r>
      <w:r w:rsidRPr="0064602F">
        <w:t>).</w:t>
      </w:r>
    </w:p>
    <w:p w:rsidR="00B42161" w:rsidRPr="00B42161" w:rsidRDefault="00B42161" w:rsidP="00B42161"/>
    <w:sectPr w:rsidR="00B42161" w:rsidRPr="00B42161" w:rsidSect="00EE5F6C">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AB8" w:rsidRPr="00290C63" w:rsidRDefault="00ED3AB8" w:rsidP="00290C63">
      <w:r>
        <w:separator/>
      </w:r>
    </w:p>
    <w:p w:rsidR="00ED3AB8" w:rsidRDefault="00ED3AB8"/>
  </w:endnote>
  <w:endnote w:type="continuationSeparator" w:id="0">
    <w:p w:rsidR="00ED3AB8" w:rsidRPr="00290C63" w:rsidRDefault="00ED3AB8" w:rsidP="00290C63">
      <w:r>
        <w:continuationSeparator/>
      </w:r>
    </w:p>
    <w:p w:rsidR="00ED3AB8" w:rsidRDefault="00ED3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B8" w:rsidRPr="00290C63" w:rsidRDefault="00ED3AB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D3AB8" w:rsidRDefault="00ED3AB8"/>
  <w:p w:rsidR="00ED3AB8" w:rsidRDefault="00ED3AB8"/>
  <w:p w:rsidR="00ED3AB8" w:rsidRDefault="00ED3AB8"/>
  <w:p w:rsidR="00ED3AB8" w:rsidRDefault="00ED3AB8"/>
  <w:p w:rsidR="00ED3AB8" w:rsidRDefault="00ED3AB8"/>
  <w:p w:rsidR="00ED3AB8" w:rsidRDefault="00ED3AB8"/>
  <w:p w:rsidR="00ED3AB8" w:rsidRDefault="00ED3A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ED3AB8" w:rsidRDefault="00ED3AB8">
        <w:pPr>
          <w:pStyle w:val="Footer"/>
        </w:pPr>
        <w:r>
          <w:fldChar w:fldCharType="begin"/>
        </w:r>
        <w:r>
          <w:instrText xml:space="preserve"> PAGE   \* MERGEFORMAT </w:instrText>
        </w:r>
        <w:r>
          <w:fldChar w:fldCharType="separate"/>
        </w:r>
        <w:r w:rsidR="00904BD4">
          <w:rPr>
            <w:noProof/>
          </w:rPr>
          <w:t>2-2</w:t>
        </w:r>
        <w:r>
          <w:rPr>
            <w:noProof/>
          </w:rPr>
          <w:fldChar w:fldCharType="end"/>
        </w:r>
        <w:r>
          <w:rPr>
            <w:noProof/>
          </w:rPr>
          <w:t xml:space="preserve">      </w:t>
        </w:r>
        <w:r>
          <w:t xml:space="preserve">           </w:t>
        </w:r>
        <w:r>
          <w:rPr>
            <w:noProof/>
          </w:rPr>
          <w:t xml:space="preserve"> </w:t>
        </w:r>
        <w:r>
          <w:t xml:space="preserve">                           </w:t>
        </w:r>
        <w:r>
          <w:rPr>
            <w:noProof/>
          </w:rPr>
          <w:t xml:space="preserve"> Attachment </w:t>
        </w:r>
        <w:r>
          <w:t>2</w:t>
        </w:r>
        <w:r>
          <w:rPr>
            <w:noProof/>
          </w:rPr>
          <w:t xml:space="preserve"> </w:t>
        </w:r>
        <w:r>
          <w:rPr>
            <w:rFonts w:cs="Gautami"/>
            <w:noProof/>
          </w:rPr>
          <w:t xml:space="preserve">– </w:t>
        </w:r>
        <w:r>
          <w:t>Regulatory asset base</w:t>
        </w:r>
        <w:r>
          <w:rPr>
            <w:rFonts w:cs="Gautami"/>
            <w:noProof/>
          </w:rPr>
          <w:t xml:space="preserve"> | </w:t>
        </w:r>
        <w:r>
          <w:t>Energex</w:t>
        </w:r>
        <w:r>
          <w:rPr>
            <w:rFonts w:cs="Gautami"/>
            <w:noProof/>
          </w:rPr>
          <w:t xml:space="preserve"> determination 2015–20</w:t>
        </w:r>
      </w:p>
    </w:sdtContent>
  </w:sdt>
  <w:p w:rsidR="00ED3AB8" w:rsidRDefault="00ED3A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B8" w:rsidRPr="00290C63" w:rsidRDefault="00ED3AB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D3AB8" w:rsidRDefault="00ED3AB8">
    <w:pPr>
      <w:pStyle w:val="Footer"/>
    </w:pPr>
  </w:p>
  <w:p w:rsidR="00ED3AB8" w:rsidRDefault="00ED3AB8"/>
  <w:p w:rsidR="00ED3AB8" w:rsidRDefault="00ED3AB8"/>
  <w:p w:rsidR="00ED3AB8" w:rsidRDefault="00ED3AB8"/>
  <w:p w:rsidR="00ED3AB8" w:rsidRDefault="00ED3AB8"/>
  <w:p w:rsidR="00ED3AB8" w:rsidRDefault="00ED3AB8"/>
  <w:p w:rsidR="00ED3AB8" w:rsidRDefault="00ED3AB8"/>
  <w:p w:rsidR="00ED3AB8" w:rsidRDefault="00ED3A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AB8" w:rsidRPr="00290C63" w:rsidRDefault="00ED3AB8" w:rsidP="00290C63">
      <w:r>
        <w:separator/>
      </w:r>
    </w:p>
    <w:p w:rsidR="00ED3AB8" w:rsidRDefault="00ED3AB8"/>
  </w:footnote>
  <w:footnote w:type="continuationSeparator" w:id="0">
    <w:p w:rsidR="00ED3AB8" w:rsidRPr="00290C63" w:rsidRDefault="00ED3AB8" w:rsidP="00290C63">
      <w:r>
        <w:continuationSeparator/>
      </w:r>
    </w:p>
    <w:p w:rsidR="00ED3AB8" w:rsidRDefault="00ED3AB8"/>
  </w:footnote>
  <w:footnote w:id="1">
    <w:p w:rsidR="00ED3AB8" w:rsidRDefault="00ED3AB8" w:rsidP="0045662C">
      <w:pPr>
        <w:pStyle w:val="FootnoteText"/>
      </w:pPr>
      <w:r>
        <w:rPr>
          <w:rStyle w:val="FootnoteReference"/>
        </w:rPr>
        <w:footnoteRef/>
      </w:r>
      <w:r>
        <w:t xml:space="preserve"> </w:t>
      </w:r>
      <w:r>
        <w:tab/>
        <w:t>NER, cl. 6.12.1(6).</w:t>
      </w:r>
    </w:p>
  </w:footnote>
  <w:footnote w:id="2">
    <w:p w:rsidR="00ED3AB8" w:rsidRDefault="00ED3AB8" w:rsidP="0045662C">
      <w:pPr>
        <w:pStyle w:val="FootnoteText"/>
      </w:pPr>
      <w:r>
        <w:rPr>
          <w:rStyle w:val="FootnoteReference"/>
        </w:rPr>
        <w:footnoteRef/>
      </w:r>
      <w:r>
        <w:t xml:space="preserve"> </w:t>
      </w:r>
      <w:r>
        <w:tab/>
        <w:t xml:space="preserve">Energex, </w:t>
      </w:r>
      <w:r w:rsidRPr="00374C7E">
        <w:rPr>
          <w:rStyle w:val="AERtextitalic"/>
        </w:rPr>
        <w:t>Revised regulatory proposal</w:t>
      </w:r>
      <w:r>
        <w:t>, July 2015, p. 75.</w:t>
      </w:r>
    </w:p>
  </w:footnote>
  <w:footnote w:id="3">
    <w:p w:rsidR="00ED3AB8" w:rsidRDefault="00ED3AB8" w:rsidP="0002378B">
      <w:pPr>
        <w:pStyle w:val="FootnoteText"/>
      </w:pPr>
      <w:r>
        <w:rPr>
          <w:rStyle w:val="FootnoteReference"/>
        </w:rPr>
        <w:footnoteRef/>
      </w:r>
      <w:r>
        <w:t xml:space="preserve"> </w:t>
      </w:r>
      <w:r>
        <w:tab/>
        <w:t xml:space="preserve">Energex, </w:t>
      </w:r>
      <w:r w:rsidRPr="00374C7E">
        <w:rPr>
          <w:rStyle w:val="AERtextitalic"/>
        </w:rPr>
        <w:t>Revised regulatory proposal</w:t>
      </w:r>
      <w:r>
        <w:t>, July 2015, p. 75.</w:t>
      </w:r>
    </w:p>
  </w:footnote>
  <w:footnote w:id="4">
    <w:p w:rsidR="00ED3AB8" w:rsidRDefault="00ED3AB8" w:rsidP="00B42161">
      <w:pPr>
        <w:pStyle w:val="FootnoteText"/>
      </w:pPr>
      <w:r>
        <w:rPr>
          <w:rStyle w:val="FootnoteReference"/>
        </w:rPr>
        <w:footnoteRef/>
      </w:r>
      <w:r>
        <w:t xml:space="preserve"> </w:t>
      </w:r>
      <w:r>
        <w:tab/>
        <w:t xml:space="preserve">AER, </w:t>
      </w:r>
      <w:r>
        <w:rPr>
          <w:rStyle w:val="AERtextitalic"/>
        </w:rPr>
        <w:t xml:space="preserve">Preliminary </w:t>
      </w:r>
      <w:r w:rsidRPr="005C78F1">
        <w:rPr>
          <w:rStyle w:val="AERtextitalic"/>
        </w:rPr>
        <w:t>decision</w:t>
      </w:r>
      <w:r>
        <w:rPr>
          <w:rStyle w:val="AERtextitalic"/>
        </w:rPr>
        <w:t>,</w:t>
      </w:r>
      <w:r w:rsidRPr="005C78F1">
        <w:rPr>
          <w:rStyle w:val="AERtextitalic"/>
        </w:rPr>
        <w:t xml:space="preserve"> </w:t>
      </w:r>
      <w:r>
        <w:rPr>
          <w:rStyle w:val="AERtextitalic"/>
        </w:rPr>
        <w:t xml:space="preserve">Energex </w:t>
      </w:r>
      <w:r w:rsidRPr="005C78F1">
        <w:rPr>
          <w:rStyle w:val="AERtextitalic"/>
        </w:rPr>
        <w:t xml:space="preserve">determination </w:t>
      </w:r>
      <w:r>
        <w:rPr>
          <w:rStyle w:val="AERtextitalic"/>
        </w:rPr>
        <w:t>2015–16 to 2019–20: A</w:t>
      </w:r>
      <w:r w:rsidRPr="005C78F1">
        <w:rPr>
          <w:rStyle w:val="AERtextitalic"/>
        </w:rPr>
        <w:t xml:space="preserve">ttachment 2 </w:t>
      </w:r>
      <w:r>
        <w:rPr>
          <w:rStyle w:val="AERtextitalic"/>
        </w:rPr>
        <w:t>–</w:t>
      </w:r>
      <w:r w:rsidRPr="005C78F1">
        <w:rPr>
          <w:rStyle w:val="AERtextitalic"/>
        </w:rPr>
        <w:t xml:space="preserve"> Regulatory asset base</w:t>
      </w:r>
      <w:r>
        <w:t>, April 2015, pp. 9–13.</w:t>
      </w:r>
    </w:p>
  </w:footnote>
  <w:footnote w:id="5">
    <w:p w:rsidR="00ED3AB8" w:rsidRDefault="00ED3AB8" w:rsidP="00EA22D6">
      <w:pPr>
        <w:pStyle w:val="FootnoteText"/>
      </w:pPr>
      <w:r>
        <w:rPr>
          <w:rStyle w:val="FootnoteReference"/>
        </w:rPr>
        <w:footnoteRef/>
      </w:r>
      <w:r>
        <w:t xml:space="preserve"> </w:t>
      </w:r>
      <w:r>
        <w:tab/>
        <w:t xml:space="preserve">CCP, </w:t>
      </w:r>
      <w:r w:rsidRPr="00C31EE9">
        <w:t xml:space="preserve">Mr Bruce Mountain CCP2, </w:t>
      </w:r>
      <w:r w:rsidRPr="00C31EE9">
        <w:rPr>
          <w:rStyle w:val="AERtextitalic"/>
        </w:rPr>
        <w:t>Advice on AER preliminary decisions and revised proposals from Energex, Ergon Energy and SA Power Networks</w:t>
      </w:r>
      <w:r w:rsidRPr="00C31EE9">
        <w:t>, July 2015</w:t>
      </w:r>
      <w:r>
        <w:t xml:space="preserve">, pp. 6–7; CCP, Mr Hugh Grant CCP2, </w:t>
      </w:r>
      <w:r w:rsidRPr="00946CEE">
        <w:rPr>
          <w:rStyle w:val="AERtextitalic"/>
        </w:rPr>
        <w:t>AER preliminary 2015–20 revenue determinations – Energex and Ergon Energy revised revenue proposals</w:t>
      </w:r>
      <w:r>
        <w:t>, September 2015, pp. 2, 9–11 .</w:t>
      </w:r>
    </w:p>
  </w:footnote>
  <w:footnote w:id="6">
    <w:p w:rsidR="00ED3AB8" w:rsidRDefault="00ED3AB8" w:rsidP="00EA22D6">
      <w:pPr>
        <w:pStyle w:val="FootnoteText"/>
      </w:pPr>
      <w:r>
        <w:rPr>
          <w:rStyle w:val="FootnoteReference"/>
        </w:rPr>
        <w:footnoteRef/>
      </w:r>
      <w:r>
        <w:t xml:space="preserve"> </w:t>
      </w:r>
      <w:r>
        <w:tab/>
        <w:t xml:space="preserve">AER, </w:t>
      </w:r>
      <w:r w:rsidRPr="00736555">
        <w:rPr>
          <w:rStyle w:val="AERtextitalic"/>
        </w:rPr>
        <w:t xml:space="preserve">Preliminary decision, </w:t>
      </w:r>
      <w:r>
        <w:rPr>
          <w:rStyle w:val="AERtextitalic"/>
        </w:rPr>
        <w:t>E</w:t>
      </w:r>
      <w:r w:rsidRPr="00736555">
        <w:rPr>
          <w:rStyle w:val="AERtextitalic"/>
        </w:rPr>
        <w:t>nerg</w:t>
      </w:r>
      <w:r>
        <w:rPr>
          <w:rStyle w:val="AERtextitalic"/>
        </w:rPr>
        <w:t>ex</w:t>
      </w:r>
      <w:r w:rsidRPr="00736555">
        <w:rPr>
          <w:rStyle w:val="AERtextitalic"/>
        </w:rPr>
        <w:t xml:space="preserve"> determination 2015−16 to 2019−20: Attachment 2 − Regulatory asset base</w:t>
      </w:r>
      <w:r>
        <w:t xml:space="preserve">, </w:t>
      </w:r>
      <w:r w:rsidRPr="00736555">
        <w:t>April 2015</w:t>
      </w:r>
      <w:r>
        <w:t>,</w:t>
      </w:r>
      <w:r w:rsidRPr="00736555">
        <w:t xml:space="preserve"> </w:t>
      </w:r>
      <w:r>
        <w:t>section 2.3.1.</w:t>
      </w:r>
    </w:p>
  </w:footnote>
  <w:footnote w:id="7">
    <w:p w:rsidR="00ED3AB8" w:rsidRDefault="00ED3AB8" w:rsidP="00EA22D6">
      <w:pPr>
        <w:pStyle w:val="FootnoteText"/>
      </w:pPr>
      <w:r>
        <w:rPr>
          <w:rStyle w:val="FootnoteReference"/>
        </w:rPr>
        <w:footnoteRef/>
      </w:r>
      <w:r>
        <w:t xml:space="preserve"> </w:t>
      </w:r>
      <w:r>
        <w:tab/>
        <w:t>NER, cl. 6.5.1(e)(3).</w:t>
      </w:r>
    </w:p>
  </w:footnote>
  <w:footnote w:id="8">
    <w:p w:rsidR="00ED3AB8" w:rsidRDefault="00ED3AB8" w:rsidP="00EA22D6">
      <w:pPr>
        <w:pStyle w:val="FootnoteText"/>
      </w:pPr>
      <w:r>
        <w:rPr>
          <w:rStyle w:val="FootnoteReference"/>
        </w:rPr>
        <w:footnoteRef/>
      </w:r>
      <w:r>
        <w:t xml:space="preserve"> </w:t>
      </w:r>
      <w:r>
        <w:tab/>
        <w:t>Such an impact would also be reflected if we were to switch methods midway through an asset's life.</w:t>
      </w:r>
    </w:p>
  </w:footnote>
  <w:footnote w:id="9">
    <w:p w:rsidR="00ED3AB8" w:rsidRDefault="00ED3AB8" w:rsidP="00EA22D6">
      <w:pPr>
        <w:pStyle w:val="FootnoteText"/>
      </w:pPr>
      <w:r>
        <w:rPr>
          <w:rStyle w:val="FootnoteReference"/>
        </w:rPr>
        <w:footnoteRef/>
      </w:r>
      <w:r>
        <w:t xml:space="preserve"> </w:t>
      </w:r>
      <w:r>
        <w:tab/>
        <w:t>The indexation of the RAB was a matter discussed extensively in the AER's final decision on APA GasNet's access arrangement. This matter also went before the Australian Competition Tribunal, who found in favour of the AER's reasoning in that final decision. See AER,</w:t>
      </w:r>
      <w:r w:rsidRPr="00DD6B4F">
        <w:t xml:space="preserve"> </w:t>
      </w:r>
      <w:r w:rsidRPr="00DD6B4F">
        <w:rPr>
          <w:rStyle w:val="AERtextitalic"/>
        </w:rPr>
        <w:t>Access arrangement final decision</w:t>
      </w:r>
      <w:r>
        <w:rPr>
          <w:rStyle w:val="AERtextitalic"/>
        </w:rPr>
        <w:t>,</w:t>
      </w:r>
      <w:r w:rsidRPr="00DD6B4F">
        <w:rPr>
          <w:rStyle w:val="AERtextitalic"/>
        </w:rPr>
        <w:t xml:space="preserve"> APA GasNet Australia (Operations) Pty Ltd</w:t>
      </w:r>
      <w:r>
        <w:rPr>
          <w:rStyle w:val="AERtextitalic"/>
        </w:rPr>
        <w:t>,</w:t>
      </w:r>
      <w:r w:rsidRPr="00DD6B4F">
        <w:rPr>
          <w:rStyle w:val="AERtextitalic"/>
        </w:rPr>
        <w:t xml:space="preserve"> 2013–17, Part 2: Attachments</w:t>
      </w:r>
      <w:r>
        <w:t>, 15 March 2013, pp.102–116.</w:t>
      </w:r>
    </w:p>
  </w:footnote>
  <w:footnote w:id="10">
    <w:p w:rsidR="00ED3AB8" w:rsidRDefault="00ED3AB8">
      <w:pPr>
        <w:pStyle w:val="FootnoteText"/>
      </w:pPr>
      <w:r>
        <w:rPr>
          <w:rStyle w:val="FootnoteReference"/>
        </w:rPr>
        <w:footnoteRef/>
      </w:r>
      <w:r>
        <w:t xml:space="preserve"> </w:t>
      </w:r>
      <w:r>
        <w:tab/>
      </w:r>
      <w:r w:rsidRPr="00EE107D">
        <w:t>The March quarter CPI is used as a proxy for the June financial year in the 20</w:t>
      </w:r>
      <w:r>
        <w:t>10</w:t>
      </w:r>
      <w:r w:rsidRPr="00EE107D">
        <w:t>–15 regulatory control peri</w:t>
      </w:r>
      <w:r>
        <w:t>od. As discussed in attachment 14</w:t>
      </w:r>
      <w:r w:rsidRPr="00EE107D">
        <w:t xml:space="preserve">, the December quarter CPI will be used as a proxy for the June financial year for the 2015–20 regulatory control period. </w:t>
      </w:r>
      <w:r>
        <w:t xml:space="preserve"> </w:t>
      </w:r>
    </w:p>
  </w:footnote>
  <w:footnote w:id="11">
    <w:p w:rsidR="00ED3AB8" w:rsidRDefault="00ED3AB8">
      <w:pPr>
        <w:pStyle w:val="FootnoteText"/>
      </w:pPr>
      <w:r>
        <w:rPr>
          <w:rStyle w:val="FootnoteReference"/>
        </w:rPr>
        <w:footnoteRef/>
      </w:r>
      <w:r>
        <w:t xml:space="preserve"> </w:t>
      </w:r>
      <w:r>
        <w:tab/>
        <w:t>Energex, E-mail:</w:t>
      </w:r>
      <w:r w:rsidRPr="004506C9">
        <w:rPr>
          <w:rStyle w:val="AERtextitalic"/>
        </w:rPr>
        <w:t xml:space="preserve"> AER Energex 0</w:t>
      </w:r>
      <w:r>
        <w:rPr>
          <w:rStyle w:val="AERtextitalic"/>
        </w:rPr>
        <w:t>58</w:t>
      </w:r>
      <w:r>
        <w:t>, 17 July 2015.</w:t>
      </w:r>
      <w:r w:rsidR="000360BB">
        <w:t xml:space="preserve"> </w:t>
      </w:r>
    </w:p>
  </w:footnote>
  <w:footnote w:id="12">
    <w:p w:rsidR="00ED3AB8" w:rsidRDefault="00ED3AB8">
      <w:pPr>
        <w:pStyle w:val="FootnoteText"/>
      </w:pPr>
      <w:r>
        <w:rPr>
          <w:rStyle w:val="FootnoteReference"/>
        </w:rPr>
        <w:footnoteRef/>
      </w:r>
      <w:r>
        <w:t xml:space="preserve"> </w:t>
      </w:r>
      <w:r>
        <w:tab/>
        <w:t xml:space="preserve">This amount is before adjusting for the half-WACC to account for the timing assumption in the PTRM. </w:t>
      </w:r>
    </w:p>
  </w:footnote>
  <w:footnote w:id="13">
    <w:p w:rsidR="00ED3AB8" w:rsidRDefault="00ED3AB8" w:rsidP="00B575E6">
      <w:pPr>
        <w:pStyle w:val="FootnoteText"/>
      </w:pPr>
      <w:r>
        <w:rPr>
          <w:rStyle w:val="FootnoteReference"/>
        </w:rPr>
        <w:footnoteRef/>
      </w:r>
      <w:r>
        <w:t xml:space="preserve"> </w:t>
      </w:r>
      <w:r>
        <w:tab/>
        <w:t>NER, cl. S6.2.1(e)(3).</w:t>
      </w:r>
    </w:p>
  </w:footnote>
  <w:footnote w:id="14">
    <w:p w:rsidR="00ED3AB8" w:rsidRPr="006A1A89" w:rsidRDefault="00ED3AB8" w:rsidP="00B42161">
      <w:pPr>
        <w:pStyle w:val="FootnoteText"/>
      </w:pPr>
      <w:r>
        <w:rPr>
          <w:rStyle w:val="FootnoteReference"/>
        </w:rPr>
        <w:footnoteRef/>
      </w:r>
      <w:r>
        <w:t xml:space="preserve"> </w:t>
      </w:r>
      <w:r>
        <w:tab/>
        <w:t xml:space="preserve">Alliance of Energy Consumers, </w:t>
      </w:r>
      <w:r w:rsidRPr="003A343E">
        <w:rPr>
          <w:rStyle w:val="AERtextitalic"/>
        </w:rPr>
        <w:t>Submission to the AER's preliminary decision (Queensland)</w:t>
      </w:r>
      <w:r>
        <w:t xml:space="preserve">; July 2015, p. 32; Energy Users Association of Australia, </w:t>
      </w:r>
      <w:r w:rsidRPr="003A343E">
        <w:rPr>
          <w:rStyle w:val="AERtextitalic"/>
        </w:rPr>
        <w:t>Submission to AER draft determination and Energex's revised revenue proposal 2015 to 2020</w:t>
      </w:r>
      <w:r>
        <w:t xml:space="preserve">, July 2015, p. 11; Queensland Farmers' Federation, </w:t>
      </w:r>
      <w:r w:rsidRPr="003A343E">
        <w:rPr>
          <w:rStyle w:val="AERtextitalic"/>
        </w:rPr>
        <w:t>Submission to AER on the preliminary determination for the Ergon Energy and Energex regulatory proposals for 2015–2012</w:t>
      </w:r>
      <w:r>
        <w:t>; July 2015, p. 2.</w:t>
      </w:r>
    </w:p>
  </w:footnote>
  <w:footnote w:id="15">
    <w:p w:rsidR="00ED3AB8" w:rsidRDefault="00ED3AB8" w:rsidP="00B42161">
      <w:pPr>
        <w:pStyle w:val="FootnoteText"/>
      </w:pPr>
      <w:r>
        <w:rPr>
          <w:rStyle w:val="FootnoteReference"/>
        </w:rPr>
        <w:footnoteRef/>
      </w:r>
      <w:r>
        <w:t xml:space="preserve"> </w:t>
      </w:r>
      <w:r>
        <w:tab/>
        <w:t>NER, cll. 11.60.5 and 11.62.</w:t>
      </w:r>
    </w:p>
  </w:footnote>
  <w:footnote w:id="16">
    <w:p w:rsidR="00ED3AB8" w:rsidRDefault="00ED3AB8" w:rsidP="00B42161">
      <w:pPr>
        <w:pStyle w:val="FootnoteText"/>
      </w:pPr>
      <w:r>
        <w:rPr>
          <w:rStyle w:val="FootnoteReference"/>
        </w:rPr>
        <w:footnoteRef/>
      </w:r>
      <w:r>
        <w:t xml:space="preserve"> </w:t>
      </w:r>
      <w:r>
        <w:tab/>
        <w:t xml:space="preserve">Under the NER, cl S6.2.2A(b), the exclusion of </w:t>
      </w:r>
      <w:r w:rsidRPr="00166EE4">
        <w:t>inefficient</w:t>
      </w:r>
      <w:r>
        <w:t xml:space="preserve"> capex could only come from three areas including overspend in capex , margin paid to third party and capitalisation of opex as defined in cl S6.2.2A(c), (d) and (e) of the NER. </w:t>
      </w:r>
    </w:p>
  </w:footnote>
  <w:footnote w:id="17">
    <w:p w:rsidR="00ED3AB8" w:rsidRDefault="00ED3AB8" w:rsidP="00B42161">
      <w:pPr>
        <w:pStyle w:val="FootnoteText"/>
      </w:pPr>
      <w:r>
        <w:rPr>
          <w:rStyle w:val="FootnoteReference"/>
        </w:rPr>
        <w:footnoteRef/>
      </w:r>
      <w:r>
        <w:t xml:space="preserve"> </w:t>
      </w:r>
      <w:r>
        <w:tab/>
        <w:t xml:space="preserve">AER, </w:t>
      </w:r>
      <w:r w:rsidRPr="00105346">
        <w:rPr>
          <w:rStyle w:val="AERtextitalic"/>
        </w:rPr>
        <w:t xml:space="preserve">Capital </w:t>
      </w:r>
      <w:r>
        <w:rPr>
          <w:rStyle w:val="AERtextitalic"/>
        </w:rPr>
        <w:t>e</w:t>
      </w:r>
      <w:r w:rsidRPr="00105346">
        <w:rPr>
          <w:rStyle w:val="AERtextitalic"/>
        </w:rPr>
        <w:t xml:space="preserve">xpenditure Incentive </w:t>
      </w:r>
      <w:r>
        <w:rPr>
          <w:rStyle w:val="AERtextitalic"/>
        </w:rPr>
        <w:t>g</w:t>
      </w:r>
      <w:r w:rsidRPr="00105346">
        <w:rPr>
          <w:rStyle w:val="AERtextitalic"/>
        </w:rPr>
        <w:t>uideline</w:t>
      </w:r>
      <w:r>
        <w:t>, November 2013, pp. 12–20.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2"/>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19B1745"/>
    <w:multiLevelType w:val="multilevel"/>
    <w:tmpl w:val="950A1C52"/>
    <w:numStyleLink w:val="AERHeadings"/>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BC8CED18"/>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0"/>
  </w:num>
  <w:num w:numId="15">
    <w:abstractNumId w:val="12"/>
  </w:num>
  <w:num w:numId="16">
    <w:abstractNumId w:val="25"/>
  </w:num>
  <w:num w:numId="17">
    <w:abstractNumId w:val="9"/>
  </w:num>
  <w:num w:numId="18">
    <w:abstractNumId w:val="16"/>
  </w:num>
  <w:num w:numId="19">
    <w:abstractNumId w:val="26"/>
  </w:num>
  <w:num w:numId="20">
    <w:abstractNumId w:val="33"/>
  </w:num>
  <w:num w:numId="21">
    <w:abstractNumId w:val="13"/>
  </w:num>
  <w:num w:numId="22">
    <w:abstractNumId w:val="29"/>
  </w:num>
  <w:num w:numId="23">
    <w:abstractNumId w:val="27"/>
  </w:num>
  <w:num w:numId="24">
    <w:abstractNumId w:val="18"/>
  </w:num>
  <w:num w:numId="25">
    <w:abstractNumId w:val="28"/>
  </w:num>
  <w:num w:numId="26">
    <w:abstractNumId w:val="30"/>
  </w:num>
  <w:num w:numId="27">
    <w:abstractNumId w:val="20"/>
  </w:num>
  <w:num w:numId="28">
    <w:abstractNumId w:val="17"/>
  </w:num>
  <w:num w:numId="29">
    <w:abstractNumId w:val="15"/>
  </w:num>
  <w:num w:numId="30">
    <w:abstractNumId w:val="34"/>
  </w:num>
  <w:num w:numId="31">
    <w:abstractNumId w:val="14"/>
  </w:num>
  <w:num w:numId="32">
    <w:abstractNumId w:val="23"/>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24"/>
  </w:num>
  <w:num w:numId="38">
    <w:abstractNumId w:val="22"/>
  </w:num>
  <w:num w:numId="39">
    <w:abstractNumId w:val="19"/>
  </w:num>
  <w:num w:numId="40">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tNgIWAMkDkmeR+/y6P6+hMNHL1Z0tEyKRYLFri+uxc0=" w:saltValue="KvluWOJo/7d+f/ArU2RX4Q==" w:algorithmName="SHA-256"/>
  <w:defaultTabStop w:val="34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24\AER15 197  DOC FINALISED - NO MORE CHANGES - NEW - Energex - prelim decision - Attach 2 - RAB.DOCX"/>
  </w:docVars>
  <w:rsids>
    <w:rsidRoot w:val="00961A4A"/>
    <w:rsid w:val="00000A6C"/>
    <w:rsid w:val="00021202"/>
    <w:rsid w:val="00022F42"/>
    <w:rsid w:val="0002378B"/>
    <w:rsid w:val="0002517F"/>
    <w:rsid w:val="00026E85"/>
    <w:rsid w:val="0003578C"/>
    <w:rsid w:val="000360BB"/>
    <w:rsid w:val="00051679"/>
    <w:rsid w:val="00055416"/>
    <w:rsid w:val="00056453"/>
    <w:rsid w:val="00063247"/>
    <w:rsid w:val="00070F9F"/>
    <w:rsid w:val="0007137B"/>
    <w:rsid w:val="0007702D"/>
    <w:rsid w:val="00080C59"/>
    <w:rsid w:val="00085663"/>
    <w:rsid w:val="00085EBF"/>
    <w:rsid w:val="000923C2"/>
    <w:rsid w:val="000954C8"/>
    <w:rsid w:val="000A3020"/>
    <w:rsid w:val="000A6C7B"/>
    <w:rsid w:val="000A792F"/>
    <w:rsid w:val="000B5ADF"/>
    <w:rsid w:val="000C2059"/>
    <w:rsid w:val="000C4E1F"/>
    <w:rsid w:val="000D122C"/>
    <w:rsid w:val="000D2C07"/>
    <w:rsid w:val="000D453F"/>
    <w:rsid w:val="000D7F26"/>
    <w:rsid w:val="000E1819"/>
    <w:rsid w:val="000E2112"/>
    <w:rsid w:val="000E4821"/>
    <w:rsid w:val="000E6C72"/>
    <w:rsid w:val="000F67F7"/>
    <w:rsid w:val="001026AE"/>
    <w:rsid w:val="00116EB2"/>
    <w:rsid w:val="00117175"/>
    <w:rsid w:val="001177F1"/>
    <w:rsid w:val="001201F1"/>
    <w:rsid w:val="00123D6C"/>
    <w:rsid w:val="00124609"/>
    <w:rsid w:val="00126A4C"/>
    <w:rsid w:val="0014573B"/>
    <w:rsid w:val="001510D7"/>
    <w:rsid w:val="00155389"/>
    <w:rsid w:val="001573E4"/>
    <w:rsid w:val="00160756"/>
    <w:rsid w:val="0017232E"/>
    <w:rsid w:val="00174102"/>
    <w:rsid w:val="00180157"/>
    <w:rsid w:val="00180E1B"/>
    <w:rsid w:val="00183690"/>
    <w:rsid w:val="00185CB9"/>
    <w:rsid w:val="00186F77"/>
    <w:rsid w:val="001926A4"/>
    <w:rsid w:val="00192AD5"/>
    <w:rsid w:val="001B029A"/>
    <w:rsid w:val="001B0FB7"/>
    <w:rsid w:val="001B45A0"/>
    <w:rsid w:val="001B6F76"/>
    <w:rsid w:val="001C0332"/>
    <w:rsid w:val="001C634B"/>
    <w:rsid w:val="001C776B"/>
    <w:rsid w:val="001D055E"/>
    <w:rsid w:val="001E624E"/>
    <w:rsid w:val="001E6C3F"/>
    <w:rsid w:val="001F492E"/>
    <w:rsid w:val="001F53FB"/>
    <w:rsid w:val="001F6DA3"/>
    <w:rsid w:val="002010BC"/>
    <w:rsid w:val="00202E03"/>
    <w:rsid w:val="0020492C"/>
    <w:rsid w:val="00224DB9"/>
    <w:rsid w:val="00233775"/>
    <w:rsid w:val="00237902"/>
    <w:rsid w:val="00251745"/>
    <w:rsid w:val="0025486B"/>
    <w:rsid w:val="00263AC0"/>
    <w:rsid w:val="00264264"/>
    <w:rsid w:val="0026669C"/>
    <w:rsid w:val="0026772D"/>
    <w:rsid w:val="00270D69"/>
    <w:rsid w:val="002758BA"/>
    <w:rsid w:val="00283FD8"/>
    <w:rsid w:val="00286551"/>
    <w:rsid w:val="00286874"/>
    <w:rsid w:val="00290C63"/>
    <w:rsid w:val="0029204C"/>
    <w:rsid w:val="00296B65"/>
    <w:rsid w:val="00297E93"/>
    <w:rsid w:val="002A22AC"/>
    <w:rsid w:val="002A7DEF"/>
    <w:rsid w:val="002D7CCD"/>
    <w:rsid w:val="002E1E54"/>
    <w:rsid w:val="002E5452"/>
    <w:rsid w:val="002E7B22"/>
    <w:rsid w:val="002F081A"/>
    <w:rsid w:val="002F5949"/>
    <w:rsid w:val="002F7986"/>
    <w:rsid w:val="00301B40"/>
    <w:rsid w:val="003029EE"/>
    <w:rsid w:val="00305CC8"/>
    <w:rsid w:val="00306F3E"/>
    <w:rsid w:val="00307F6D"/>
    <w:rsid w:val="003177A2"/>
    <w:rsid w:val="00320C20"/>
    <w:rsid w:val="003239DD"/>
    <w:rsid w:val="003271B5"/>
    <w:rsid w:val="00327A1E"/>
    <w:rsid w:val="00331264"/>
    <w:rsid w:val="00334C8D"/>
    <w:rsid w:val="00341192"/>
    <w:rsid w:val="00343A18"/>
    <w:rsid w:val="003518B3"/>
    <w:rsid w:val="00352F3F"/>
    <w:rsid w:val="00375552"/>
    <w:rsid w:val="003846F1"/>
    <w:rsid w:val="00396C17"/>
    <w:rsid w:val="003A343E"/>
    <w:rsid w:val="003A74A0"/>
    <w:rsid w:val="003B461F"/>
    <w:rsid w:val="003B484F"/>
    <w:rsid w:val="003C1C2A"/>
    <w:rsid w:val="003C4E41"/>
    <w:rsid w:val="003C77F1"/>
    <w:rsid w:val="003D6FE7"/>
    <w:rsid w:val="003E4E6C"/>
    <w:rsid w:val="003F174D"/>
    <w:rsid w:val="003F5DD2"/>
    <w:rsid w:val="003F720E"/>
    <w:rsid w:val="0040390C"/>
    <w:rsid w:val="00415CF9"/>
    <w:rsid w:val="00421CD4"/>
    <w:rsid w:val="0042625A"/>
    <w:rsid w:val="0042662C"/>
    <w:rsid w:val="0043452F"/>
    <w:rsid w:val="00437280"/>
    <w:rsid w:val="00442526"/>
    <w:rsid w:val="00445029"/>
    <w:rsid w:val="004506C9"/>
    <w:rsid w:val="00453138"/>
    <w:rsid w:val="0045662C"/>
    <w:rsid w:val="0045777E"/>
    <w:rsid w:val="00464860"/>
    <w:rsid w:val="00465039"/>
    <w:rsid w:val="00480B4B"/>
    <w:rsid w:val="00480D53"/>
    <w:rsid w:val="00485DC4"/>
    <w:rsid w:val="00486D86"/>
    <w:rsid w:val="00492BD7"/>
    <w:rsid w:val="004A25DA"/>
    <w:rsid w:val="004A43D1"/>
    <w:rsid w:val="004A4595"/>
    <w:rsid w:val="004A57D5"/>
    <w:rsid w:val="004B4412"/>
    <w:rsid w:val="004C348C"/>
    <w:rsid w:val="004C6A99"/>
    <w:rsid w:val="004C76ED"/>
    <w:rsid w:val="004D55BA"/>
    <w:rsid w:val="004D6AF5"/>
    <w:rsid w:val="004E20EB"/>
    <w:rsid w:val="004E22EC"/>
    <w:rsid w:val="00511F8F"/>
    <w:rsid w:val="005264E0"/>
    <w:rsid w:val="00530128"/>
    <w:rsid w:val="00532467"/>
    <w:rsid w:val="00542E8E"/>
    <w:rsid w:val="00551071"/>
    <w:rsid w:val="00551C18"/>
    <w:rsid w:val="00564A4D"/>
    <w:rsid w:val="00567BA5"/>
    <w:rsid w:val="00571B35"/>
    <w:rsid w:val="00571D57"/>
    <w:rsid w:val="00577A09"/>
    <w:rsid w:val="00577AC3"/>
    <w:rsid w:val="005829C2"/>
    <w:rsid w:val="00584D8F"/>
    <w:rsid w:val="0058657E"/>
    <w:rsid w:val="0058755C"/>
    <w:rsid w:val="005A35CF"/>
    <w:rsid w:val="005A404D"/>
    <w:rsid w:val="005B1940"/>
    <w:rsid w:val="005B1E3C"/>
    <w:rsid w:val="005B3C9D"/>
    <w:rsid w:val="005C26CC"/>
    <w:rsid w:val="005D6477"/>
    <w:rsid w:val="005D7BA2"/>
    <w:rsid w:val="005E36C2"/>
    <w:rsid w:val="005F477C"/>
    <w:rsid w:val="00615C6B"/>
    <w:rsid w:val="00621DCE"/>
    <w:rsid w:val="00622754"/>
    <w:rsid w:val="00623BCD"/>
    <w:rsid w:val="006311E4"/>
    <w:rsid w:val="00632D6D"/>
    <w:rsid w:val="00642C3E"/>
    <w:rsid w:val="0066104A"/>
    <w:rsid w:val="00663DAD"/>
    <w:rsid w:val="00673276"/>
    <w:rsid w:val="00675E20"/>
    <w:rsid w:val="00676679"/>
    <w:rsid w:val="00680890"/>
    <w:rsid w:val="00683C89"/>
    <w:rsid w:val="006857BD"/>
    <w:rsid w:val="00686A58"/>
    <w:rsid w:val="006B2395"/>
    <w:rsid w:val="006B34BC"/>
    <w:rsid w:val="006B4CF9"/>
    <w:rsid w:val="006B7AC8"/>
    <w:rsid w:val="006D18C5"/>
    <w:rsid w:val="006D550F"/>
    <w:rsid w:val="00701CAB"/>
    <w:rsid w:val="00707563"/>
    <w:rsid w:val="0071202E"/>
    <w:rsid w:val="00714554"/>
    <w:rsid w:val="00717EE2"/>
    <w:rsid w:val="00717FC3"/>
    <w:rsid w:val="00721D32"/>
    <w:rsid w:val="0072348C"/>
    <w:rsid w:val="00724588"/>
    <w:rsid w:val="00724A37"/>
    <w:rsid w:val="007303C3"/>
    <w:rsid w:val="00740832"/>
    <w:rsid w:val="007429BE"/>
    <w:rsid w:val="00743223"/>
    <w:rsid w:val="00746E01"/>
    <w:rsid w:val="00750FDB"/>
    <w:rsid w:val="00757BDF"/>
    <w:rsid w:val="00763E5D"/>
    <w:rsid w:val="007657A8"/>
    <w:rsid w:val="00767740"/>
    <w:rsid w:val="00777EE6"/>
    <w:rsid w:val="00782EEA"/>
    <w:rsid w:val="007B2C72"/>
    <w:rsid w:val="007C1C53"/>
    <w:rsid w:val="007C38F3"/>
    <w:rsid w:val="007C74BB"/>
    <w:rsid w:val="007D5D11"/>
    <w:rsid w:val="007D7182"/>
    <w:rsid w:val="007E0CAC"/>
    <w:rsid w:val="007E4904"/>
    <w:rsid w:val="007E4CB5"/>
    <w:rsid w:val="007E7A79"/>
    <w:rsid w:val="007F066B"/>
    <w:rsid w:val="00801A78"/>
    <w:rsid w:val="008033C4"/>
    <w:rsid w:val="00806C88"/>
    <w:rsid w:val="0081034E"/>
    <w:rsid w:val="00810A1F"/>
    <w:rsid w:val="00814035"/>
    <w:rsid w:val="00822730"/>
    <w:rsid w:val="008237CC"/>
    <w:rsid w:val="008344F6"/>
    <w:rsid w:val="0083510F"/>
    <w:rsid w:val="00837C71"/>
    <w:rsid w:val="00847FA0"/>
    <w:rsid w:val="00851209"/>
    <w:rsid w:val="00881163"/>
    <w:rsid w:val="008837AC"/>
    <w:rsid w:val="008A587D"/>
    <w:rsid w:val="008B0D66"/>
    <w:rsid w:val="008B35CD"/>
    <w:rsid w:val="008B46F3"/>
    <w:rsid w:val="008B5FCC"/>
    <w:rsid w:val="008C213E"/>
    <w:rsid w:val="008C4FBB"/>
    <w:rsid w:val="008C5486"/>
    <w:rsid w:val="008C63EE"/>
    <w:rsid w:val="008C76BC"/>
    <w:rsid w:val="008D1661"/>
    <w:rsid w:val="008D6A51"/>
    <w:rsid w:val="008D6FBE"/>
    <w:rsid w:val="008E3100"/>
    <w:rsid w:val="008E6E77"/>
    <w:rsid w:val="008E7031"/>
    <w:rsid w:val="008E77DE"/>
    <w:rsid w:val="008F07A3"/>
    <w:rsid w:val="008F4950"/>
    <w:rsid w:val="008F7754"/>
    <w:rsid w:val="009006CA"/>
    <w:rsid w:val="00900E1B"/>
    <w:rsid w:val="00904BD4"/>
    <w:rsid w:val="009233EE"/>
    <w:rsid w:val="00923709"/>
    <w:rsid w:val="00925F11"/>
    <w:rsid w:val="0093092A"/>
    <w:rsid w:val="00931ACD"/>
    <w:rsid w:val="00937B46"/>
    <w:rsid w:val="009460AA"/>
    <w:rsid w:val="00946CEE"/>
    <w:rsid w:val="00951978"/>
    <w:rsid w:val="00961A4A"/>
    <w:rsid w:val="009661DE"/>
    <w:rsid w:val="0096726E"/>
    <w:rsid w:val="00981F53"/>
    <w:rsid w:val="00983C25"/>
    <w:rsid w:val="009856B7"/>
    <w:rsid w:val="00985C86"/>
    <w:rsid w:val="009A5FC3"/>
    <w:rsid w:val="009B6BB6"/>
    <w:rsid w:val="009B74B0"/>
    <w:rsid w:val="009C48EC"/>
    <w:rsid w:val="009C57F2"/>
    <w:rsid w:val="009D6B46"/>
    <w:rsid w:val="009E311A"/>
    <w:rsid w:val="009E3A97"/>
    <w:rsid w:val="009F4940"/>
    <w:rsid w:val="009F5BA1"/>
    <w:rsid w:val="00A0051E"/>
    <w:rsid w:val="00A01361"/>
    <w:rsid w:val="00A0215D"/>
    <w:rsid w:val="00A02A88"/>
    <w:rsid w:val="00A04FBE"/>
    <w:rsid w:val="00A0523E"/>
    <w:rsid w:val="00A0562E"/>
    <w:rsid w:val="00A0726D"/>
    <w:rsid w:val="00A27998"/>
    <w:rsid w:val="00A31A72"/>
    <w:rsid w:val="00A32FBB"/>
    <w:rsid w:val="00A428EE"/>
    <w:rsid w:val="00A4295F"/>
    <w:rsid w:val="00A4478A"/>
    <w:rsid w:val="00A44852"/>
    <w:rsid w:val="00A53E9D"/>
    <w:rsid w:val="00A546B4"/>
    <w:rsid w:val="00A54C89"/>
    <w:rsid w:val="00A57D04"/>
    <w:rsid w:val="00A60A26"/>
    <w:rsid w:val="00A61598"/>
    <w:rsid w:val="00A62190"/>
    <w:rsid w:val="00A626E7"/>
    <w:rsid w:val="00A700AB"/>
    <w:rsid w:val="00A71699"/>
    <w:rsid w:val="00A84A99"/>
    <w:rsid w:val="00A84F46"/>
    <w:rsid w:val="00A871F4"/>
    <w:rsid w:val="00AA6F8E"/>
    <w:rsid w:val="00AC1B2C"/>
    <w:rsid w:val="00AC22DB"/>
    <w:rsid w:val="00AC3264"/>
    <w:rsid w:val="00AD40C3"/>
    <w:rsid w:val="00AE1BF1"/>
    <w:rsid w:val="00AF0DD2"/>
    <w:rsid w:val="00B11055"/>
    <w:rsid w:val="00B12663"/>
    <w:rsid w:val="00B13048"/>
    <w:rsid w:val="00B1716D"/>
    <w:rsid w:val="00B17A1D"/>
    <w:rsid w:val="00B207A0"/>
    <w:rsid w:val="00B21F6F"/>
    <w:rsid w:val="00B21F98"/>
    <w:rsid w:val="00B30560"/>
    <w:rsid w:val="00B35204"/>
    <w:rsid w:val="00B42161"/>
    <w:rsid w:val="00B514DD"/>
    <w:rsid w:val="00B52AF0"/>
    <w:rsid w:val="00B53516"/>
    <w:rsid w:val="00B561BD"/>
    <w:rsid w:val="00B56E03"/>
    <w:rsid w:val="00B575E6"/>
    <w:rsid w:val="00B61303"/>
    <w:rsid w:val="00B8080B"/>
    <w:rsid w:val="00B87BA5"/>
    <w:rsid w:val="00B87C39"/>
    <w:rsid w:val="00B9704F"/>
    <w:rsid w:val="00BA1A5D"/>
    <w:rsid w:val="00BA4665"/>
    <w:rsid w:val="00BA4A28"/>
    <w:rsid w:val="00BB2FB2"/>
    <w:rsid w:val="00BB3304"/>
    <w:rsid w:val="00BD297E"/>
    <w:rsid w:val="00BD3446"/>
    <w:rsid w:val="00BD62B3"/>
    <w:rsid w:val="00BE1F1B"/>
    <w:rsid w:val="00BE3794"/>
    <w:rsid w:val="00BE47B5"/>
    <w:rsid w:val="00BF2A16"/>
    <w:rsid w:val="00C01174"/>
    <w:rsid w:val="00C0223C"/>
    <w:rsid w:val="00C04DDC"/>
    <w:rsid w:val="00C25FA6"/>
    <w:rsid w:val="00C41AC7"/>
    <w:rsid w:val="00C41F00"/>
    <w:rsid w:val="00C538A9"/>
    <w:rsid w:val="00C53B5A"/>
    <w:rsid w:val="00C54F5A"/>
    <w:rsid w:val="00C569B4"/>
    <w:rsid w:val="00C63170"/>
    <w:rsid w:val="00C67A92"/>
    <w:rsid w:val="00C82CFB"/>
    <w:rsid w:val="00C86679"/>
    <w:rsid w:val="00C93102"/>
    <w:rsid w:val="00C94B89"/>
    <w:rsid w:val="00C97DA2"/>
    <w:rsid w:val="00CA489E"/>
    <w:rsid w:val="00CA5AEA"/>
    <w:rsid w:val="00CB0279"/>
    <w:rsid w:val="00CB666B"/>
    <w:rsid w:val="00CC7F1D"/>
    <w:rsid w:val="00CD5EC7"/>
    <w:rsid w:val="00D006AE"/>
    <w:rsid w:val="00D01CF0"/>
    <w:rsid w:val="00D0442A"/>
    <w:rsid w:val="00D56300"/>
    <w:rsid w:val="00D61388"/>
    <w:rsid w:val="00D61A54"/>
    <w:rsid w:val="00D64DEA"/>
    <w:rsid w:val="00D67158"/>
    <w:rsid w:val="00D67DD6"/>
    <w:rsid w:val="00D7168E"/>
    <w:rsid w:val="00D71E57"/>
    <w:rsid w:val="00D80893"/>
    <w:rsid w:val="00D80CDA"/>
    <w:rsid w:val="00D811AF"/>
    <w:rsid w:val="00D811DC"/>
    <w:rsid w:val="00D84854"/>
    <w:rsid w:val="00D92CF1"/>
    <w:rsid w:val="00D92D38"/>
    <w:rsid w:val="00D950F5"/>
    <w:rsid w:val="00D96EE1"/>
    <w:rsid w:val="00D97A57"/>
    <w:rsid w:val="00DA078F"/>
    <w:rsid w:val="00DA4752"/>
    <w:rsid w:val="00DA61F3"/>
    <w:rsid w:val="00DB0F93"/>
    <w:rsid w:val="00DB1A67"/>
    <w:rsid w:val="00DB5074"/>
    <w:rsid w:val="00DC7981"/>
    <w:rsid w:val="00DD6B4F"/>
    <w:rsid w:val="00DE1093"/>
    <w:rsid w:val="00DE351E"/>
    <w:rsid w:val="00DE4EFA"/>
    <w:rsid w:val="00DE5520"/>
    <w:rsid w:val="00DE563D"/>
    <w:rsid w:val="00DE6C6D"/>
    <w:rsid w:val="00E00467"/>
    <w:rsid w:val="00E04818"/>
    <w:rsid w:val="00E06442"/>
    <w:rsid w:val="00E11FD7"/>
    <w:rsid w:val="00E12880"/>
    <w:rsid w:val="00E13096"/>
    <w:rsid w:val="00E23993"/>
    <w:rsid w:val="00E25B8C"/>
    <w:rsid w:val="00E27834"/>
    <w:rsid w:val="00E4623E"/>
    <w:rsid w:val="00E571F6"/>
    <w:rsid w:val="00E60A0B"/>
    <w:rsid w:val="00E65C85"/>
    <w:rsid w:val="00E66199"/>
    <w:rsid w:val="00E755EC"/>
    <w:rsid w:val="00E7624D"/>
    <w:rsid w:val="00E86998"/>
    <w:rsid w:val="00E9105B"/>
    <w:rsid w:val="00EA1D6D"/>
    <w:rsid w:val="00EA22D6"/>
    <w:rsid w:val="00EA3D42"/>
    <w:rsid w:val="00EA41D6"/>
    <w:rsid w:val="00EA6B1B"/>
    <w:rsid w:val="00EB1228"/>
    <w:rsid w:val="00EC3EC2"/>
    <w:rsid w:val="00ED3AB8"/>
    <w:rsid w:val="00ED7323"/>
    <w:rsid w:val="00EE107D"/>
    <w:rsid w:val="00EE28F3"/>
    <w:rsid w:val="00EE2F66"/>
    <w:rsid w:val="00EE5F6C"/>
    <w:rsid w:val="00EF5110"/>
    <w:rsid w:val="00F10411"/>
    <w:rsid w:val="00F15882"/>
    <w:rsid w:val="00F171E0"/>
    <w:rsid w:val="00F20BD3"/>
    <w:rsid w:val="00F21D0E"/>
    <w:rsid w:val="00F30662"/>
    <w:rsid w:val="00F31BCE"/>
    <w:rsid w:val="00F31C16"/>
    <w:rsid w:val="00F36788"/>
    <w:rsid w:val="00F373A5"/>
    <w:rsid w:val="00F37D9F"/>
    <w:rsid w:val="00F47559"/>
    <w:rsid w:val="00F546DC"/>
    <w:rsid w:val="00F63483"/>
    <w:rsid w:val="00F64C7B"/>
    <w:rsid w:val="00F6614F"/>
    <w:rsid w:val="00F676DD"/>
    <w:rsid w:val="00F75A26"/>
    <w:rsid w:val="00F76706"/>
    <w:rsid w:val="00F83919"/>
    <w:rsid w:val="00F83FAD"/>
    <w:rsid w:val="00F85318"/>
    <w:rsid w:val="00F952A0"/>
    <w:rsid w:val="00FA3C7F"/>
    <w:rsid w:val="00FB6C86"/>
    <w:rsid w:val="00FB74E2"/>
    <w:rsid w:val="00FC10C4"/>
    <w:rsid w:val="00FD5614"/>
    <w:rsid w:val="00FE0BE1"/>
    <w:rsid w:val="00FE1DE9"/>
    <w:rsid w:val="00FE36AF"/>
    <w:rsid w:val="00FE39C2"/>
    <w:rsid w:val="00FE3C32"/>
    <w:rsid w:val="00FE64AE"/>
    <w:rsid w:val="00FF2CB7"/>
    <w:rsid w:val="00FF62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3E4E6C"/>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A078F"/>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3E4E6C"/>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A078F"/>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8147FA-F524-497F-8F9A-E7B88E3C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5726DA8E</Template>
  <TotalTime>0</TotalTime>
  <Pages>12</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2015-10-23T06:48:00Z</dcterms:created>
  <dcterms:modified xsi:type="dcterms:W3CDTF">2015-10-23T06:49:00Z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8427762</vt:lpwstr>
  </property>
  <property fmtid="{D5CDD505-2E9C-101B-9397-08002B2CF9AE}" pid="3" name="_MarkAsFinal">
    <vt:bool>true</vt:bool>
  </property>
</Properties>
</file>