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77777777" w:rsidR="009C0307" w:rsidRDefault="009C0307" w:rsidP="009C0307">
          <w:pPr>
            <w:pStyle w:val="ReportSubtitle"/>
          </w:pPr>
          <w:bookmarkStart w:id="0" w:name="_GoBack"/>
          <w:bookmarkEnd w:id="0"/>
          <w:r>
            <w:t>FINAL DECISION</w:t>
          </w:r>
        </w:p>
        <w:p w14:paraId="67FBD86B" w14:textId="1D221397" w:rsidR="009C0307" w:rsidRDefault="00471920" w:rsidP="009C0307">
          <w:pPr>
            <w:pStyle w:val="ReportSubtitle"/>
          </w:pPr>
          <w:r>
            <w:t>Energex</w:t>
          </w:r>
        </w:p>
        <w:p w14:paraId="43AA656D" w14:textId="50D28CAF" w:rsidR="003F2309" w:rsidRDefault="005276FD" w:rsidP="009C0307">
          <w:pPr>
            <w:pStyle w:val="ReportSubtitle"/>
          </w:pPr>
          <w:r>
            <w:t>determination</w:t>
          </w:r>
          <w:r w:rsidR="003F2309">
            <w:t xml:space="preserve"> </w:t>
          </w:r>
        </w:p>
        <w:p w14:paraId="7B01D74B" w14:textId="77777777" w:rsidR="009C0307" w:rsidRDefault="003F2309" w:rsidP="009C0307">
          <w:pPr>
            <w:pStyle w:val="ReportSubtitle"/>
          </w:pPr>
          <w:r>
            <w:t>2015-</w:t>
          </w:r>
          <w:r w:rsidR="005276FD">
            <w:t>16 to 2019</w:t>
          </w:r>
          <w:r>
            <w:t>-</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r>
        <w:t>or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r>
        <w:t>Melbourne  Vic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14:paraId="20CD4926" w14:textId="69885370" w:rsidR="008F07A3" w:rsidRPr="009D3906" w:rsidRDefault="0070011E" w:rsidP="00B9562D">
      <w:pPr>
        <w:pStyle w:val="Copyright"/>
      </w:pPr>
      <w:r>
        <w:t>AER reference:</w:t>
      </w:r>
      <w:r>
        <w:tab/>
      </w:r>
      <w:r w:rsidR="003F2309">
        <w:t>5</w:t>
      </w:r>
      <w:r w:rsidR="00471920">
        <w:t>4667</w:t>
      </w:r>
    </w:p>
    <w:p w14:paraId="7E7BF8AA" w14:textId="77777777" w:rsidR="009001B6" w:rsidRDefault="009001B6">
      <w:pPr>
        <w:spacing w:line="240" w:lineRule="auto"/>
      </w:pPr>
      <w:bookmarkStart w:id="1" w:name="_Toc404354899"/>
      <w:bookmarkStart w:id="2" w:name="_Toc404353070"/>
      <w:bookmarkStart w:id="3" w:name="_Toc404684201"/>
      <w:bookmarkStart w:id="4" w:name="_Toc404700923"/>
      <w:r>
        <w:br w:type="page"/>
      </w:r>
    </w:p>
    <w:p w14:paraId="74FF84FF" w14:textId="77777777" w:rsidR="00E6180D" w:rsidRDefault="00E6180D" w:rsidP="003D3D89">
      <w:pPr>
        <w:pStyle w:val="UnnumberedHeading"/>
      </w:pPr>
      <w:bookmarkStart w:id="5" w:name="_Toc408493480"/>
      <w:bookmarkStart w:id="6" w:name="_Toc433440663"/>
      <w:bookmarkEnd w:id="1"/>
      <w:bookmarkEnd w:id="2"/>
      <w:bookmarkEnd w:id="3"/>
      <w:bookmarkEnd w:id="4"/>
      <w:r w:rsidRPr="003D3D89">
        <w:lastRenderedPageBreak/>
        <w:t>Note</w:t>
      </w:r>
      <w:bookmarkEnd w:id="5"/>
      <w:bookmarkEnd w:id="6"/>
    </w:p>
    <w:p w14:paraId="2F0816E7" w14:textId="2DF5CD20" w:rsidR="0016622B" w:rsidRDefault="0016622B" w:rsidP="0016622B">
      <w:pPr>
        <w:numPr>
          <w:ilvl w:val="0"/>
          <w:numId w:val="25"/>
        </w:numPr>
      </w:pPr>
      <w:r>
        <w:t xml:space="preserve">This attachment forms part of the AER's final decision on </w:t>
      </w:r>
      <w:r w:rsidR="00471920">
        <w:t>Energex's</w:t>
      </w:r>
      <w:r>
        <w:t xml:space="preserve"> 2015–20 distribution determination. It should be read with all other parts of the final decision.</w:t>
      </w:r>
    </w:p>
    <w:p w14:paraId="646374EE" w14:textId="77777777" w:rsidR="0016622B" w:rsidRDefault="0016622B" w:rsidP="0016622B">
      <w:pPr>
        <w:numPr>
          <w:ilvl w:val="0"/>
          <w:numId w:val="25"/>
        </w:numPr>
      </w:pPr>
      <w:r>
        <w:t>The final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7335D3F0" w:rsidR="00BB1615" w:rsidRPr="008F07A3" w:rsidRDefault="0016622B" w:rsidP="00BB1615">
      <w:pPr>
        <w:sectPr w:rsidR="00BB1615"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r>
        <w:t>Attachment 18 – Connection policy</w:t>
      </w:r>
    </w:p>
    <w:p w14:paraId="2C5E6F2B" w14:textId="77777777" w:rsidR="00DE563D" w:rsidRPr="00A72B34" w:rsidRDefault="00DE563D" w:rsidP="00DE563D">
      <w:pPr>
        <w:pStyle w:val="UnnumberedHeading"/>
        <w:numPr>
          <w:ilvl w:val="0"/>
          <w:numId w:val="24"/>
        </w:numPr>
      </w:pPr>
      <w:bookmarkStart w:id="7" w:name="_Toc403144133"/>
      <w:bookmarkStart w:id="8" w:name="_Toc433440664"/>
      <w:r>
        <w:lastRenderedPageBreak/>
        <w:t>Contents</w:t>
      </w:r>
      <w:bookmarkEnd w:id="7"/>
      <w:bookmarkEnd w:id="8"/>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36D63B9D" w14:textId="77777777" w:rsidR="00EB3DA5"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3440663" w:history="1">
            <w:r w:rsidR="00EB3DA5" w:rsidRPr="00E80754">
              <w:rPr>
                <w:rStyle w:val="Hyperlink"/>
              </w:rPr>
              <w:t>Note</w:t>
            </w:r>
            <w:r w:rsidR="00EB3DA5">
              <w:rPr>
                <w:webHidden/>
              </w:rPr>
              <w:tab/>
            </w:r>
            <w:r w:rsidR="00EB3DA5">
              <w:rPr>
                <w:webHidden/>
              </w:rPr>
              <w:fldChar w:fldCharType="begin"/>
            </w:r>
            <w:r w:rsidR="00EB3DA5">
              <w:rPr>
                <w:webHidden/>
              </w:rPr>
              <w:instrText xml:space="preserve"> PAGEREF _Toc433440663 \h </w:instrText>
            </w:r>
            <w:r w:rsidR="00EB3DA5">
              <w:rPr>
                <w:webHidden/>
              </w:rPr>
            </w:r>
            <w:r w:rsidR="00EB3DA5">
              <w:rPr>
                <w:webHidden/>
              </w:rPr>
              <w:fldChar w:fldCharType="separate"/>
            </w:r>
            <w:r w:rsidR="00EB3DA5">
              <w:rPr>
                <w:webHidden/>
              </w:rPr>
              <w:t>4-2</w:t>
            </w:r>
            <w:r w:rsidR="00EB3DA5">
              <w:rPr>
                <w:webHidden/>
              </w:rPr>
              <w:fldChar w:fldCharType="end"/>
            </w:r>
          </w:hyperlink>
        </w:p>
        <w:p w14:paraId="53B9BA85" w14:textId="77777777" w:rsidR="00EB3DA5" w:rsidRDefault="00D07F12">
          <w:pPr>
            <w:pStyle w:val="TOC1"/>
            <w:rPr>
              <w:rFonts w:asciiTheme="minorHAnsi" w:eastAsiaTheme="minorEastAsia" w:hAnsiTheme="minorHAnsi"/>
              <w:b w:val="0"/>
              <w:color w:val="auto"/>
              <w:sz w:val="22"/>
              <w:lang w:val="en-AU" w:eastAsia="en-AU"/>
            </w:rPr>
          </w:pPr>
          <w:hyperlink w:anchor="_Toc433440664" w:history="1">
            <w:r w:rsidR="00EB3DA5" w:rsidRPr="00E80754">
              <w:rPr>
                <w:rStyle w:val="Hyperlink"/>
              </w:rPr>
              <w:t>Contents</w:t>
            </w:r>
            <w:r w:rsidR="00EB3DA5">
              <w:rPr>
                <w:webHidden/>
              </w:rPr>
              <w:tab/>
            </w:r>
            <w:r w:rsidR="00EB3DA5">
              <w:rPr>
                <w:webHidden/>
              </w:rPr>
              <w:fldChar w:fldCharType="begin"/>
            </w:r>
            <w:r w:rsidR="00EB3DA5">
              <w:rPr>
                <w:webHidden/>
              </w:rPr>
              <w:instrText xml:space="preserve"> PAGEREF _Toc433440664 \h </w:instrText>
            </w:r>
            <w:r w:rsidR="00EB3DA5">
              <w:rPr>
                <w:webHidden/>
              </w:rPr>
            </w:r>
            <w:r w:rsidR="00EB3DA5">
              <w:rPr>
                <w:webHidden/>
              </w:rPr>
              <w:fldChar w:fldCharType="separate"/>
            </w:r>
            <w:r w:rsidR="00EB3DA5">
              <w:rPr>
                <w:webHidden/>
              </w:rPr>
              <w:t>4-3</w:t>
            </w:r>
            <w:r w:rsidR="00EB3DA5">
              <w:rPr>
                <w:webHidden/>
              </w:rPr>
              <w:fldChar w:fldCharType="end"/>
            </w:r>
          </w:hyperlink>
        </w:p>
        <w:p w14:paraId="17355AE8" w14:textId="77777777" w:rsidR="00EB3DA5" w:rsidRDefault="00D07F12">
          <w:pPr>
            <w:pStyle w:val="TOC1"/>
            <w:rPr>
              <w:rFonts w:asciiTheme="minorHAnsi" w:eastAsiaTheme="minorEastAsia" w:hAnsiTheme="minorHAnsi"/>
              <w:b w:val="0"/>
              <w:color w:val="auto"/>
              <w:sz w:val="22"/>
              <w:lang w:val="en-AU" w:eastAsia="en-AU"/>
            </w:rPr>
          </w:pPr>
          <w:hyperlink w:anchor="_Toc433440665" w:history="1">
            <w:r w:rsidR="00EB3DA5" w:rsidRPr="00E80754">
              <w:rPr>
                <w:rStyle w:val="Hyperlink"/>
              </w:rPr>
              <w:t>Shortened forms</w:t>
            </w:r>
            <w:r w:rsidR="00EB3DA5">
              <w:rPr>
                <w:webHidden/>
              </w:rPr>
              <w:tab/>
            </w:r>
            <w:r w:rsidR="00EB3DA5">
              <w:rPr>
                <w:webHidden/>
              </w:rPr>
              <w:fldChar w:fldCharType="begin"/>
            </w:r>
            <w:r w:rsidR="00EB3DA5">
              <w:rPr>
                <w:webHidden/>
              </w:rPr>
              <w:instrText xml:space="preserve"> PAGEREF _Toc433440665 \h </w:instrText>
            </w:r>
            <w:r w:rsidR="00EB3DA5">
              <w:rPr>
                <w:webHidden/>
              </w:rPr>
            </w:r>
            <w:r w:rsidR="00EB3DA5">
              <w:rPr>
                <w:webHidden/>
              </w:rPr>
              <w:fldChar w:fldCharType="separate"/>
            </w:r>
            <w:r w:rsidR="00EB3DA5">
              <w:rPr>
                <w:webHidden/>
              </w:rPr>
              <w:t>4-5</w:t>
            </w:r>
            <w:r w:rsidR="00EB3DA5">
              <w:rPr>
                <w:webHidden/>
              </w:rPr>
              <w:fldChar w:fldCharType="end"/>
            </w:r>
          </w:hyperlink>
        </w:p>
        <w:p w14:paraId="74ED40E8" w14:textId="77777777" w:rsidR="00EB3DA5" w:rsidRDefault="00D07F12">
          <w:pPr>
            <w:pStyle w:val="TOC1"/>
            <w:rPr>
              <w:rFonts w:asciiTheme="minorHAnsi" w:eastAsiaTheme="minorEastAsia" w:hAnsiTheme="minorHAnsi"/>
              <w:b w:val="0"/>
              <w:color w:val="auto"/>
              <w:sz w:val="22"/>
              <w:lang w:val="en-AU" w:eastAsia="en-AU"/>
            </w:rPr>
          </w:pPr>
          <w:hyperlink w:anchor="_Toc433440666" w:history="1">
            <w:r w:rsidR="00EB3DA5" w:rsidRPr="00E80754">
              <w:rPr>
                <w:rStyle w:val="Hyperlink"/>
              </w:rPr>
              <w:t>4</w:t>
            </w:r>
            <w:r w:rsidR="00EB3DA5">
              <w:rPr>
                <w:rFonts w:asciiTheme="minorHAnsi" w:eastAsiaTheme="minorEastAsia" w:hAnsiTheme="minorHAnsi"/>
                <w:b w:val="0"/>
                <w:color w:val="auto"/>
                <w:sz w:val="22"/>
                <w:lang w:val="en-AU" w:eastAsia="en-AU"/>
              </w:rPr>
              <w:tab/>
            </w:r>
            <w:r w:rsidR="00EB3DA5" w:rsidRPr="00E80754">
              <w:rPr>
                <w:rStyle w:val="Hyperlink"/>
              </w:rPr>
              <w:t>Value of imputation credits</w:t>
            </w:r>
            <w:r w:rsidR="00EB3DA5">
              <w:rPr>
                <w:webHidden/>
              </w:rPr>
              <w:tab/>
            </w:r>
            <w:r w:rsidR="00EB3DA5">
              <w:rPr>
                <w:webHidden/>
              </w:rPr>
              <w:fldChar w:fldCharType="begin"/>
            </w:r>
            <w:r w:rsidR="00EB3DA5">
              <w:rPr>
                <w:webHidden/>
              </w:rPr>
              <w:instrText xml:space="preserve"> PAGEREF _Toc433440666 \h </w:instrText>
            </w:r>
            <w:r w:rsidR="00EB3DA5">
              <w:rPr>
                <w:webHidden/>
              </w:rPr>
            </w:r>
            <w:r w:rsidR="00EB3DA5">
              <w:rPr>
                <w:webHidden/>
              </w:rPr>
              <w:fldChar w:fldCharType="separate"/>
            </w:r>
            <w:r w:rsidR="00EB3DA5">
              <w:rPr>
                <w:webHidden/>
              </w:rPr>
              <w:t>4-6</w:t>
            </w:r>
            <w:r w:rsidR="00EB3DA5">
              <w:rPr>
                <w:webHidden/>
              </w:rPr>
              <w:fldChar w:fldCharType="end"/>
            </w:r>
          </w:hyperlink>
        </w:p>
        <w:p w14:paraId="4CE00130" w14:textId="77777777" w:rsidR="00EB3DA5" w:rsidRDefault="00D07F12">
          <w:pPr>
            <w:pStyle w:val="TOC2"/>
            <w:rPr>
              <w:rFonts w:asciiTheme="minorHAnsi" w:eastAsiaTheme="minorEastAsia" w:hAnsiTheme="minorHAnsi"/>
              <w:b w:val="0"/>
              <w:color w:val="auto"/>
              <w:sz w:val="22"/>
              <w:lang w:eastAsia="en-AU"/>
            </w:rPr>
          </w:pPr>
          <w:hyperlink w:anchor="_Toc433440667" w:history="1">
            <w:r w:rsidR="00EB3DA5" w:rsidRPr="00E80754">
              <w:rPr>
                <w:rStyle w:val="Hyperlink"/>
              </w:rPr>
              <w:t>4.1</w:t>
            </w:r>
            <w:r w:rsidR="00EB3DA5">
              <w:rPr>
                <w:rFonts w:asciiTheme="minorHAnsi" w:eastAsiaTheme="minorEastAsia" w:hAnsiTheme="minorHAnsi"/>
                <w:b w:val="0"/>
                <w:color w:val="auto"/>
                <w:sz w:val="22"/>
                <w:lang w:eastAsia="en-AU"/>
              </w:rPr>
              <w:tab/>
            </w:r>
            <w:r w:rsidR="00EB3DA5" w:rsidRPr="00E80754">
              <w:rPr>
                <w:rStyle w:val="Hyperlink"/>
              </w:rPr>
              <w:t>Final decision</w:t>
            </w:r>
            <w:r w:rsidR="00EB3DA5">
              <w:rPr>
                <w:webHidden/>
              </w:rPr>
              <w:tab/>
            </w:r>
            <w:r w:rsidR="00EB3DA5">
              <w:rPr>
                <w:webHidden/>
              </w:rPr>
              <w:fldChar w:fldCharType="begin"/>
            </w:r>
            <w:r w:rsidR="00EB3DA5">
              <w:rPr>
                <w:webHidden/>
              </w:rPr>
              <w:instrText xml:space="preserve"> PAGEREF _Toc433440667 \h </w:instrText>
            </w:r>
            <w:r w:rsidR="00EB3DA5">
              <w:rPr>
                <w:webHidden/>
              </w:rPr>
            </w:r>
            <w:r w:rsidR="00EB3DA5">
              <w:rPr>
                <w:webHidden/>
              </w:rPr>
              <w:fldChar w:fldCharType="separate"/>
            </w:r>
            <w:r w:rsidR="00EB3DA5">
              <w:rPr>
                <w:webHidden/>
              </w:rPr>
              <w:t>4-6</w:t>
            </w:r>
            <w:r w:rsidR="00EB3DA5">
              <w:rPr>
                <w:webHidden/>
              </w:rPr>
              <w:fldChar w:fldCharType="end"/>
            </w:r>
          </w:hyperlink>
        </w:p>
        <w:p w14:paraId="489A607C" w14:textId="77777777" w:rsidR="00EB3DA5" w:rsidRDefault="00D07F12">
          <w:pPr>
            <w:pStyle w:val="TOC2"/>
            <w:rPr>
              <w:rFonts w:asciiTheme="minorHAnsi" w:eastAsiaTheme="minorEastAsia" w:hAnsiTheme="minorHAnsi"/>
              <w:b w:val="0"/>
              <w:color w:val="auto"/>
              <w:sz w:val="22"/>
              <w:lang w:eastAsia="en-AU"/>
            </w:rPr>
          </w:pPr>
          <w:hyperlink w:anchor="_Toc433440668" w:history="1">
            <w:r w:rsidR="00EB3DA5" w:rsidRPr="00E80754">
              <w:rPr>
                <w:rStyle w:val="Hyperlink"/>
              </w:rPr>
              <w:t>4.2</w:t>
            </w:r>
            <w:r w:rsidR="00EB3DA5">
              <w:rPr>
                <w:rFonts w:asciiTheme="minorHAnsi" w:eastAsiaTheme="minorEastAsia" w:hAnsiTheme="minorHAnsi"/>
                <w:b w:val="0"/>
                <w:color w:val="auto"/>
                <w:sz w:val="22"/>
                <w:lang w:eastAsia="en-AU"/>
              </w:rPr>
              <w:tab/>
            </w:r>
            <w:r w:rsidR="00EB3DA5" w:rsidRPr="00E80754">
              <w:rPr>
                <w:rStyle w:val="Hyperlink"/>
              </w:rPr>
              <w:t>Energex's revised proposal</w:t>
            </w:r>
            <w:r w:rsidR="00EB3DA5">
              <w:rPr>
                <w:webHidden/>
              </w:rPr>
              <w:tab/>
            </w:r>
            <w:r w:rsidR="00EB3DA5">
              <w:rPr>
                <w:webHidden/>
              </w:rPr>
              <w:fldChar w:fldCharType="begin"/>
            </w:r>
            <w:r w:rsidR="00EB3DA5">
              <w:rPr>
                <w:webHidden/>
              </w:rPr>
              <w:instrText xml:space="preserve"> PAGEREF _Toc433440668 \h </w:instrText>
            </w:r>
            <w:r w:rsidR="00EB3DA5">
              <w:rPr>
                <w:webHidden/>
              </w:rPr>
            </w:r>
            <w:r w:rsidR="00EB3DA5">
              <w:rPr>
                <w:webHidden/>
              </w:rPr>
              <w:fldChar w:fldCharType="separate"/>
            </w:r>
            <w:r w:rsidR="00EB3DA5">
              <w:rPr>
                <w:webHidden/>
              </w:rPr>
              <w:t>4-7</w:t>
            </w:r>
            <w:r w:rsidR="00EB3DA5">
              <w:rPr>
                <w:webHidden/>
              </w:rPr>
              <w:fldChar w:fldCharType="end"/>
            </w:r>
          </w:hyperlink>
        </w:p>
        <w:p w14:paraId="65744AEA" w14:textId="77777777" w:rsidR="00EB3DA5" w:rsidRDefault="00D07F12">
          <w:pPr>
            <w:pStyle w:val="TOC2"/>
            <w:rPr>
              <w:rFonts w:asciiTheme="minorHAnsi" w:eastAsiaTheme="minorEastAsia" w:hAnsiTheme="minorHAnsi"/>
              <w:b w:val="0"/>
              <w:color w:val="auto"/>
              <w:sz w:val="22"/>
              <w:lang w:eastAsia="en-AU"/>
            </w:rPr>
          </w:pPr>
          <w:hyperlink w:anchor="_Toc433440669" w:history="1">
            <w:r w:rsidR="00EB3DA5" w:rsidRPr="00E80754">
              <w:rPr>
                <w:rStyle w:val="Hyperlink"/>
              </w:rPr>
              <w:t>4.3</w:t>
            </w:r>
            <w:r w:rsidR="00EB3DA5">
              <w:rPr>
                <w:rFonts w:asciiTheme="minorHAnsi" w:eastAsiaTheme="minorEastAsia" w:hAnsiTheme="minorHAnsi"/>
                <w:b w:val="0"/>
                <w:color w:val="auto"/>
                <w:sz w:val="22"/>
                <w:lang w:eastAsia="en-AU"/>
              </w:rPr>
              <w:tab/>
            </w:r>
            <w:r w:rsidR="00EB3DA5" w:rsidRPr="00E80754">
              <w:rPr>
                <w:rStyle w:val="Hyperlink"/>
              </w:rPr>
              <w:t>AER’s assessment approach</w:t>
            </w:r>
            <w:r w:rsidR="00EB3DA5">
              <w:rPr>
                <w:webHidden/>
              </w:rPr>
              <w:tab/>
            </w:r>
            <w:r w:rsidR="00EB3DA5">
              <w:rPr>
                <w:webHidden/>
              </w:rPr>
              <w:fldChar w:fldCharType="begin"/>
            </w:r>
            <w:r w:rsidR="00EB3DA5">
              <w:rPr>
                <w:webHidden/>
              </w:rPr>
              <w:instrText xml:space="preserve"> PAGEREF _Toc433440669 \h </w:instrText>
            </w:r>
            <w:r w:rsidR="00EB3DA5">
              <w:rPr>
                <w:webHidden/>
              </w:rPr>
            </w:r>
            <w:r w:rsidR="00EB3DA5">
              <w:rPr>
                <w:webHidden/>
              </w:rPr>
              <w:fldChar w:fldCharType="separate"/>
            </w:r>
            <w:r w:rsidR="00EB3DA5">
              <w:rPr>
                <w:webHidden/>
              </w:rPr>
              <w:t>4-9</w:t>
            </w:r>
            <w:r w:rsidR="00EB3DA5">
              <w:rPr>
                <w:webHidden/>
              </w:rPr>
              <w:fldChar w:fldCharType="end"/>
            </w:r>
          </w:hyperlink>
        </w:p>
        <w:p w14:paraId="396AD2FE" w14:textId="77777777" w:rsidR="00EB3DA5" w:rsidRDefault="00D07F12">
          <w:pPr>
            <w:pStyle w:val="TOC2"/>
            <w:rPr>
              <w:rFonts w:asciiTheme="minorHAnsi" w:eastAsiaTheme="minorEastAsia" w:hAnsiTheme="minorHAnsi"/>
              <w:b w:val="0"/>
              <w:color w:val="auto"/>
              <w:sz w:val="22"/>
              <w:lang w:eastAsia="en-AU"/>
            </w:rPr>
          </w:pPr>
          <w:hyperlink w:anchor="_Toc433440670" w:history="1">
            <w:r w:rsidR="00EB3DA5" w:rsidRPr="00E80754">
              <w:rPr>
                <w:rStyle w:val="Hyperlink"/>
              </w:rPr>
              <w:t>4.4</w:t>
            </w:r>
            <w:r w:rsidR="00EB3DA5">
              <w:rPr>
                <w:rFonts w:asciiTheme="minorHAnsi" w:eastAsiaTheme="minorEastAsia" w:hAnsiTheme="minorHAnsi"/>
                <w:b w:val="0"/>
                <w:color w:val="auto"/>
                <w:sz w:val="22"/>
                <w:lang w:eastAsia="en-AU"/>
              </w:rPr>
              <w:tab/>
            </w:r>
            <w:r w:rsidR="00EB3DA5" w:rsidRPr="00E80754">
              <w:rPr>
                <w:rStyle w:val="Hyperlink"/>
              </w:rPr>
              <w:t>Reasons for final decision</w:t>
            </w:r>
            <w:r w:rsidR="00EB3DA5">
              <w:rPr>
                <w:webHidden/>
              </w:rPr>
              <w:tab/>
            </w:r>
            <w:r w:rsidR="00EB3DA5">
              <w:rPr>
                <w:webHidden/>
              </w:rPr>
              <w:fldChar w:fldCharType="begin"/>
            </w:r>
            <w:r w:rsidR="00EB3DA5">
              <w:rPr>
                <w:webHidden/>
              </w:rPr>
              <w:instrText xml:space="preserve"> PAGEREF _Toc433440670 \h </w:instrText>
            </w:r>
            <w:r w:rsidR="00EB3DA5">
              <w:rPr>
                <w:webHidden/>
              </w:rPr>
            </w:r>
            <w:r w:rsidR="00EB3DA5">
              <w:rPr>
                <w:webHidden/>
              </w:rPr>
              <w:fldChar w:fldCharType="separate"/>
            </w:r>
            <w:r w:rsidR="00EB3DA5">
              <w:rPr>
                <w:webHidden/>
              </w:rPr>
              <w:t>4-16</w:t>
            </w:r>
            <w:r w:rsidR="00EB3DA5">
              <w:rPr>
                <w:webHidden/>
              </w:rPr>
              <w:fldChar w:fldCharType="end"/>
            </w:r>
          </w:hyperlink>
        </w:p>
        <w:p w14:paraId="522D27E6" w14:textId="77777777" w:rsidR="00EB3DA5" w:rsidRDefault="00D07F12">
          <w:pPr>
            <w:pStyle w:val="TOC1"/>
            <w:rPr>
              <w:rFonts w:asciiTheme="minorHAnsi" w:eastAsiaTheme="minorEastAsia" w:hAnsiTheme="minorHAnsi"/>
              <w:b w:val="0"/>
              <w:color w:val="auto"/>
              <w:sz w:val="22"/>
              <w:lang w:val="en-AU" w:eastAsia="en-AU"/>
            </w:rPr>
          </w:pPr>
          <w:hyperlink w:anchor="_Toc433440671" w:history="1">
            <w:r w:rsidR="00EB3DA5" w:rsidRPr="00E80754">
              <w:rPr>
                <w:rStyle w:val="Hyperlink"/>
              </w:rPr>
              <w:t>A</w:t>
            </w:r>
            <w:r w:rsidR="00EB3DA5">
              <w:rPr>
                <w:rFonts w:asciiTheme="minorHAnsi" w:eastAsiaTheme="minorEastAsia" w:hAnsiTheme="minorHAnsi"/>
                <w:b w:val="0"/>
                <w:color w:val="auto"/>
                <w:sz w:val="22"/>
                <w:lang w:val="en-AU" w:eastAsia="en-AU"/>
              </w:rPr>
              <w:tab/>
            </w:r>
            <w:r w:rsidR="00EB3DA5" w:rsidRPr="00E80754">
              <w:rPr>
                <w:rStyle w:val="Hyperlink"/>
              </w:rPr>
              <w:t>Value of imputation credits: Detailed analysis</w:t>
            </w:r>
            <w:r w:rsidR="00EB3DA5">
              <w:rPr>
                <w:webHidden/>
              </w:rPr>
              <w:tab/>
            </w:r>
            <w:r w:rsidR="00EB3DA5">
              <w:rPr>
                <w:webHidden/>
              </w:rPr>
              <w:fldChar w:fldCharType="begin"/>
            </w:r>
            <w:r w:rsidR="00EB3DA5">
              <w:rPr>
                <w:webHidden/>
              </w:rPr>
              <w:instrText xml:space="preserve"> PAGEREF _Toc433440671 \h </w:instrText>
            </w:r>
            <w:r w:rsidR="00EB3DA5">
              <w:rPr>
                <w:webHidden/>
              </w:rPr>
            </w:r>
            <w:r w:rsidR="00EB3DA5">
              <w:rPr>
                <w:webHidden/>
              </w:rPr>
              <w:fldChar w:fldCharType="separate"/>
            </w:r>
            <w:r w:rsidR="00EB3DA5">
              <w:rPr>
                <w:webHidden/>
              </w:rPr>
              <w:t>4-34</w:t>
            </w:r>
            <w:r w:rsidR="00EB3DA5">
              <w:rPr>
                <w:webHidden/>
              </w:rPr>
              <w:fldChar w:fldCharType="end"/>
            </w:r>
          </w:hyperlink>
        </w:p>
        <w:p w14:paraId="2960834A" w14:textId="77777777" w:rsidR="00EB3DA5" w:rsidRDefault="00D07F12">
          <w:pPr>
            <w:pStyle w:val="TOC2"/>
            <w:rPr>
              <w:rFonts w:asciiTheme="minorHAnsi" w:eastAsiaTheme="minorEastAsia" w:hAnsiTheme="minorHAnsi"/>
              <w:b w:val="0"/>
              <w:color w:val="auto"/>
              <w:sz w:val="22"/>
              <w:lang w:eastAsia="en-AU"/>
            </w:rPr>
          </w:pPr>
          <w:hyperlink w:anchor="_Toc433440672" w:history="1">
            <w:r w:rsidR="00EB3DA5" w:rsidRPr="00E80754">
              <w:rPr>
                <w:rStyle w:val="Hyperlink"/>
              </w:rPr>
              <w:t>A.1</w:t>
            </w:r>
            <w:r w:rsidR="00EB3DA5">
              <w:rPr>
                <w:rFonts w:asciiTheme="minorHAnsi" w:eastAsiaTheme="minorEastAsia" w:hAnsiTheme="minorHAnsi"/>
                <w:b w:val="0"/>
                <w:color w:val="auto"/>
                <w:sz w:val="22"/>
                <w:lang w:eastAsia="en-AU"/>
              </w:rPr>
              <w:tab/>
            </w:r>
            <w:r w:rsidR="00EB3DA5" w:rsidRPr="00E80754">
              <w:rPr>
                <w:rStyle w:val="Hyperlink"/>
              </w:rPr>
              <w:t>Expert views on the value of imputation credits</w:t>
            </w:r>
            <w:r w:rsidR="00EB3DA5">
              <w:rPr>
                <w:webHidden/>
              </w:rPr>
              <w:tab/>
            </w:r>
            <w:r w:rsidR="00EB3DA5">
              <w:rPr>
                <w:webHidden/>
              </w:rPr>
              <w:fldChar w:fldCharType="begin"/>
            </w:r>
            <w:r w:rsidR="00EB3DA5">
              <w:rPr>
                <w:webHidden/>
              </w:rPr>
              <w:instrText xml:space="preserve"> PAGEREF _Toc433440672 \h </w:instrText>
            </w:r>
            <w:r w:rsidR="00EB3DA5">
              <w:rPr>
                <w:webHidden/>
              </w:rPr>
            </w:r>
            <w:r w:rsidR="00EB3DA5">
              <w:rPr>
                <w:webHidden/>
              </w:rPr>
              <w:fldChar w:fldCharType="separate"/>
            </w:r>
            <w:r w:rsidR="00EB3DA5">
              <w:rPr>
                <w:webHidden/>
              </w:rPr>
              <w:t>4-34</w:t>
            </w:r>
            <w:r w:rsidR="00EB3DA5">
              <w:rPr>
                <w:webHidden/>
              </w:rPr>
              <w:fldChar w:fldCharType="end"/>
            </w:r>
          </w:hyperlink>
        </w:p>
        <w:p w14:paraId="76997476" w14:textId="77777777" w:rsidR="00EB3DA5" w:rsidRDefault="00D07F12">
          <w:pPr>
            <w:pStyle w:val="TOC2"/>
            <w:rPr>
              <w:rFonts w:asciiTheme="minorHAnsi" w:eastAsiaTheme="minorEastAsia" w:hAnsiTheme="minorHAnsi"/>
              <w:b w:val="0"/>
              <w:color w:val="auto"/>
              <w:sz w:val="22"/>
              <w:lang w:eastAsia="en-AU"/>
            </w:rPr>
          </w:pPr>
          <w:hyperlink w:anchor="_Toc433440673" w:history="1">
            <w:r w:rsidR="00EB3DA5" w:rsidRPr="00E80754">
              <w:rPr>
                <w:rStyle w:val="Hyperlink"/>
              </w:rPr>
              <w:t>A.2</w:t>
            </w:r>
            <w:r w:rsidR="00EB3DA5">
              <w:rPr>
                <w:rFonts w:asciiTheme="minorHAnsi" w:eastAsiaTheme="minorEastAsia" w:hAnsiTheme="minorHAnsi"/>
                <w:b w:val="0"/>
                <w:color w:val="auto"/>
                <w:sz w:val="22"/>
                <w:lang w:eastAsia="en-AU"/>
              </w:rPr>
              <w:tab/>
            </w:r>
            <w:r w:rsidR="00EB3DA5" w:rsidRPr="00E80754">
              <w:rPr>
                <w:rStyle w:val="Hyperlink"/>
              </w:rPr>
              <w:t>The value of imputation credits used by other regulators</w:t>
            </w:r>
            <w:r w:rsidR="00EB3DA5">
              <w:rPr>
                <w:webHidden/>
              </w:rPr>
              <w:tab/>
            </w:r>
            <w:r w:rsidR="00EB3DA5">
              <w:rPr>
                <w:webHidden/>
              </w:rPr>
              <w:fldChar w:fldCharType="begin"/>
            </w:r>
            <w:r w:rsidR="00EB3DA5">
              <w:rPr>
                <w:webHidden/>
              </w:rPr>
              <w:instrText xml:space="preserve"> PAGEREF _Toc433440673 \h </w:instrText>
            </w:r>
            <w:r w:rsidR="00EB3DA5">
              <w:rPr>
                <w:webHidden/>
              </w:rPr>
            </w:r>
            <w:r w:rsidR="00EB3DA5">
              <w:rPr>
                <w:webHidden/>
              </w:rPr>
              <w:fldChar w:fldCharType="separate"/>
            </w:r>
            <w:r w:rsidR="00EB3DA5">
              <w:rPr>
                <w:webHidden/>
              </w:rPr>
              <w:t>4-36</w:t>
            </w:r>
            <w:r w:rsidR="00EB3DA5">
              <w:rPr>
                <w:webHidden/>
              </w:rPr>
              <w:fldChar w:fldCharType="end"/>
            </w:r>
          </w:hyperlink>
        </w:p>
        <w:p w14:paraId="7815D71D" w14:textId="77777777" w:rsidR="00EB3DA5" w:rsidRDefault="00D07F12">
          <w:pPr>
            <w:pStyle w:val="TOC2"/>
            <w:rPr>
              <w:rFonts w:asciiTheme="minorHAnsi" w:eastAsiaTheme="minorEastAsia" w:hAnsiTheme="minorHAnsi"/>
              <w:b w:val="0"/>
              <w:color w:val="auto"/>
              <w:sz w:val="22"/>
              <w:lang w:eastAsia="en-AU"/>
            </w:rPr>
          </w:pPr>
          <w:hyperlink w:anchor="_Toc433440674" w:history="1">
            <w:r w:rsidR="00EB3DA5" w:rsidRPr="00E80754">
              <w:rPr>
                <w:rStyle w:val="Hyperlink"/>
              </w:rPr>
              <w:t>A.3</w:t>
            </w:r>
            <w:r w:rsidR="00EB3DA5">
              <w:rPr>
                <w:rFonts w:asciiTheme="minorHAnsi" w:eastAsiaTheme="minorEastAsia" w:hAnsiTheme="minorHAnsi"/>
                <w:b w:val="0"/>
                <w:color w:val="auto"/>
                <w:sz w:val="22"/>
                <w:lang w:eastAsia="en-AU"/>
              </w:rPr>
              <w:tab/>
            </w:r>
            <w:r w:rsidR="00EB3DA5" w:rsidRPr="00E80754">
              <w:rPr>
                <w:rStyle w:val="Hyperlink"/>
              </w:rPr>
              <w:t>Previous Australian Competition Tribunal considerations</w:t>
            </w:r>
            <w:r w:rsidR="00EB3DA5">
              <w:rPr>
                <w:webHidden/>
              </w:rPr>
              <w:tab/>
            </w:r>
            <w:r w:rsidR="00EB3DA5">
              <w:rPr>
                <w:webHidden/>
              </w:rPr>
              <w:fldChar w:fldCharType="begin"/>
            </w:r>
            <w:r w:rsidR="00EB3DA5">
              <w:rPr>
                <w:webHidden/>
              </w:rPr>
              <w:instrText xml:space="preserve"> PAGEREF _Toc433440674 \h </w:instrText>
            </w:r>
            <w:r w:rsidR="00EB3DA5">
              <w:rPr>
                <w:webHidden/>
              </w:rPr>
            </w:r>
            <w:r w:rsidR="00EB3DA5">
              <w:rPr>
                <w:webHidden/>
              </w:rPr>
              <w:fldChar w:fldCharType="separate"/>
            </w:r>
            <w:r w:rsidR="00EB3DA5">
              <w:rPr>
                <w:webHidden/>
              </w:rPr>
              <w:t>4-38</w:t>
            </w:r>
            <w:r w:rsidR="00EB3DA5">
              <w:rPr>
                <w:webHidden/>
              </w:rPr>
              <w:fldChar w:fldCharType="end"/>
            </w:r>
          </w:hyperlink>
        </w:p>
        <w:p w14:paraId="78EA644D" w14:textId="77777777" w:rsidR="00EB3DA5" w:rsidRDefault="00D07F12">
          <w:pPr>
            <w:pStyle w:val="TOC2"/>
            <w:rPr>
              <w:rFonts w:asciiTheme="minorHAnsi" w:eastAsiaTheme="minorEastAsia" w:hAnsiTheme="minorHAnsi"/>
              <w:b w:val="0"/>
              <w:color w:val="auto"/>
              <w:sz w:val="22"/>
              <w:lang w:eastAsia="en-AU"/>
            </w:rPr>
          </w:pPr>
          <w:hyperlink w:anchor="_Toc433440675" w:history="1">
            <w:r w:rsidR="00EB3DA5" w:rsidRPr="00E80754">
              <w:rPr>
                <w:rStyle w:val="Hyperlink"/>
              </w:rPr>
              <w:t>A.4</w:t>
            </w:r>
            <w:r w:rsidR="00EB3DA5">
              <w:rPr>
                <w:rFonts w:asciiTheme="minorHAnsi" w:eastAsiaTheme="minorEastAsia" w:hAnsiTheme="minorHAnsi"/>
                <w:b w:val="0"/>
                <w:color w:val="auto"/>
                <w:sz w:val="22"/>
                <w:lang w:eastAsia="en-AU"/>
              </w:rPr>
              <w:tab/>
            </w:r>
            <w:r w:rsidR="00EB3DA5" w:rsidRPr="00E80754">
              <w:rPr>
                <w:rStyle w:val="Hyperlink"/>
              </w:rPr>
              <w:t>Key concerns of the service providers</w:t>
            </w:r>
            <w:r w:rsidR="00EB3DA5">
              <w:rPr>
                <w:webHidden/>
              </w:rPr>
              <w:tab/>
            </w:r>
            <w:r w:rsidR="00EB3DA5">
              <w:rPr>
                <w:webHidden/>
              </w:rPr>
              <w:fldChar w:fldCharType="begin"/>
            </w:r>
            <w:r w:rsidR="00EB3DA5">
              <w:rPr>
                <w:webHidden/>
              </w:rPr>
              <w:instrText xml:space="preserve"> PAGEREF _Toc433440675 \h </w:instrText>
            </w:r>
            <w:r w:rsidR="00EB3DA5">
              <w:rPr>
                <w:webHidden/>
              </w:rPr>
            </w:r>
            <w:r w:rsidR="00EB3DA5">
              <w:rPr>
                <w:webHidden/>
              </w:rPr>
              <w:fldChar w:fldCharType="separate"/>
            </w:r>
            <w:r w:rsidR="00EB3DA5">
              <w:rPr>
                <w:webHidden/>
              </w:rPr>
              <w:t>4-44</w:t>
            </w:r>
            <w:r w:rsidR="00EB3DA5">
              <w:rPr>
                <w:webHidden/>
              </w:rPr>
              <w:fldChar w:fldCharType="end"/>
            </w:r>
          </w:hyperlink>
        </w:p>
        <w:p w14:paraId="5316C60C" w14:textId="77777777" w:rsidR="00EB3DA5" w:rsidRDefault="00D07F12">
          <w:pPr>
            <w:pStyle w:val="TOC2"/>
            <w:rPr>
              <w:rFonts w:asciiTheme="minorHAnsi" w:eastAsiaTheme="minorEastAsia" w:hAnsiTheme="minorHAnsi"/>
              <w:b w:val="0"/>
              <w:color w:val="auto"/>
              <w:sz w:val="22"/>
              <w:lang w:eastAsia="en-AU"/>
            </w:rPr>
          </w:pPr>
          <w:hyperlink w:anchor="_Toc433440676" w:history="1">
            <w:r w:rsidR="00EB3DA5" w:rsidRPr="00E80754">
              <w:rPr>
                <w:rStyle w:val="Hyperlink"/>
              </w:rPr>
              <w:t>A.5</w:t>
            </w:r>
            <w:r w:rsidR="00EB3DA5">
              <w:rPr>
                <w:rFonts w:asciiTheme="minorHAnsi" w:eastAsiaTheme="minorEastAsia" w:hAnsiTheme="minorHAnsi"/>
                <w:b w:val="0"/>
                <w:color w:val="auto"/>
                <w:sz w:val="22"/>
                <w:lang w:eastAsia="en-AU"/>
              </w:rPr>
              <w:tab/>
            </w:r>
            <w:r w:rsidR="00EB3DA5" w:rsidRPr="00E80754">
              <w:rPr>
                <w:rStyle w:val="Hyperlink"/>
              </w:rPr>
              <w:t>The role of the value of imputation credits in the regulatory framework</w:t>
            </w:r>
            <w:r w:rsidR="00EB3DA5">
              <w:rPr>
                <w:webHidden/>
              </w:rPr>
              <w:tab/>
            </w:r>
            <w:r w:rsidR="00EB3DA5">
              <w:rPr>
                <w:webHidden/>
              </w:rPr>
              <w:fldChar w:fldCharType="begin"/>
            </w:r>
            <w:r w:rsidR="00EB3DA5">
              <w:rPr>
                <w:webHidden/>
              </w:rPr>
              <w:instrText xml:space="preserve"> PAGEREF _Toc433440676 \h </w:instrText>
            </w:r>
            <w:r w:rsidR="00EB3DA5">
              <w:rPr>
                <w:webHidden/>
              </w:rPr>
            </w:r>
            <w:r w:rsidR="00EB3DA5">
              <w:rPr>
                <w:webHidden/>
              </w:rPr>
              <w:fldChar w:fldCharType="separate"/>
            </w:r>
            <w:r w:rsidR="00EB3DA5">
              <w:rPr>
                <w:webHidden/>
              </w:rPr>
              <w:t>4-47</w:t>
            </w:r>
            <w:r w:rsidR="00EB3DA5">
              <w:rPr>
                <w:webHidden/>
              </w:rPr>
              <w:fldChar w:fldCharType="end"/>
            </w:r>
          </w:hyperlink>
        </w:p>
        <w:p w14:paraId="2BB89FBD" w14:textId="77777777" w:rsidR="00EB3DA5" w:rsidRDefault="00D07F12">
          <w:pPr>
            <w:pStyle w:val="TOC2"/>
            <w:rPr>
              <w:rFonts w:asciiTheme="minorHAnsi" w:eastAsiaTheme="minorEastAsia" w:hAnsiTheme="minorHAnsi"/>
              <w:b w:val="0"/>
              <w:color w:val="auto"/>
              <w:sz w:val="22"/>
              <w:lang w:eastAsia="en-AU"/>
            </w:rPr>
          </w:pPr>
          <w:hyperlink w:anchor="_Toc433440677" w:history="1">
            <w:r w:rsidR="00EB3DA5" w:rsidRPr="00E80754">
              <w:rPr>
                <w:rStyle w:val="Hyperlink"/>
              </w:rPr>
              <w:t>A.6</w:t>
            </w:r>
            <w:r w:rsidR="00EB3DA5">
              <w:rPr>
                <w:rFonts w:asciiTheme="minorHAnsi" w:eastAsiaTheme="minorEastAsia" w:hAnsiTheme="minorHAnsi"/>
                <w:b w:val="0"/>
                <w:color w:val="auto"/>
                <w:sz w:val="22"/>
                <w:lang w:eastAsia="en-AU"/>
              </w:rPr>
              <w:tab/>
            </w:r>
            <w:r w:rsidR="00EB3DA5" w:rsidRPr="00E80754">
              <w:rPr>
                <w:rStyle w:val="Hyperlink"/>
              </w:rPr>
              <w:t>The conceptual framework for the value of imputation credits</w:t>
            </w:r>
            <w:r w:rsidR="00EB3DA5">
              <w:rPr>
                <w:webHidden/>
              </w:rPr>
              <w:tab/>
            </w:r>
            <w:r w:rsidR="00EB3DA5">
              <w:rPr>
                <w:webHidden/>
              </w:rPr>
              <w:fldChar w:fldCharType="begin"/>
            </w:r>
            <w:r w:rsidR="00EB3DA5">
              <w:rPr>
                <w:webHidden/>
              </w:rPr>
              <w:instrText xml:space="preserve"> PAGEREF _Toc433440677 \h </w:instrText>
            </w:r>
            <w:r w:rsidR="00EB3DA5">
              <w:rPr>
                <w:webHidden/>
              </w:rPr>
            </w:r>
            <w:r w:rsidR="00EB3DA5">
              <w:rPr>
                <w:webHidden/>
              </w:rPr>
              <w:fldChar w:fldCharType="separate"/>
            </w:r>
            <w:r w:rsidR="00EB3DA5">
              <w:rPr>
                <w:webHidden/>
              </w:rPr>
              <w:t>4-50</w:t>
            </w:r>
            <w:r w:rsidR="00EB3DA5">
              <w:rPr>
                <w:webHidden/>
              </w:rPr>
              <w:fldChar w:fldCharType="end"/>
            </w:r>
          </w:hyperlink>
        </w:p>
        <w:p w14:paraId="64D4E648" w14:textId="77777777" w:rsidR="00EB3DA5" w:rsidRDefault="00D07F12">
          <w:pPr>
            <w:pStyle w:val="TOC2"/>
            <w:rPr>
              <w:rFonts w:asciiTheme="minorHAnsi" w:eastAsiaTheme="minorEastAsia" w:hAnsiTheme="minorHAnsi"/>
              <w:b w:val="0"/>
              <w:color w:val="auto"/>
              <w:sz w:val="22"/>
              <w:lang w:eastAsia="en-AU"/>
            </w:rPr>
          </w:pPr>
          <w:hyperlink w:anchor="_Toc433440678" w:history="1">
            <w:r w:rsidR="00EB3DA5" w:rsidRPr="00E80754">
              <w:rPr>
                <w:rStyle w:val="Hyperlink"/>
              </w:rPr>
              <w:t>A.7</w:t>
            </w:r>
            <w:r w:rsidR="00EB3DA5">
              <w:rPr>
                <w:rFonts w:asciiTheme="minorHAnsi" w:eastAsiaTheme="minorEastAsia" w:hAnsiTheme="minorHAnsi"/>
                <w:b w:val="0"/>
                <w:color w:val="auto"/>
                <w:sz w:val="22"/>
                <w:lang w:eastAsia="en-AU"/>
              </w:rPr>
              <w:tab/>
            </w:r>
            <w:r w:rsidR="00EB3DA5" w:rsidRPr="00E80754">
              <w:rPr>
                <w:rStyle w:val="Hyperlink"/>
              </w:rPr>
              <w:t>Gray's comments on the conceptual framework</w:t>
            </w:r>
            <w:r w:rsidR="00EB3DA5">
              <w:rPr>
                <w:webHidden/>
              </w:rPr>
              <w:tab/>
            </w:r>
            <w:r w:rsidR="00EB3DA5">
              <w:rPr>
                <w:webHidden/>
              </w:rPr>
              <w:fldChar w:fldCharType="begin"/>
            </w:r>
            <w:r w:rsidR="00EB3DA5">
              <w:rPr>
                <w:webHidden/>
              </w:rPr>
              <w:instrText xml:space="preserve"> PAGEREF _Toc433440678 \h </w:instrText>
            </w:r>
            <w:r w:rsidR="00EB3DA5">
              <w:rPr>
                <w:webHidden/>
              </w:rPr>
            </w:r>
            <w:r w:rsidR="00EB3DA5">
              <w:rPr>
                <w:webHidden/>
              </w:rPr>
              <w:fldChar w:fldCharType="separate"/>
            </w:r>
            <w:r w:rsidR="00EB3DA5">
              <w:rPr>
                <w:webHidden/>
              </w:rPr>
              <w:t>4-53</w:t>
            </w:r>
            <w:r w:rsidR="00EB3DA5">
              <w:rPr>
                <w:webHidden/>
              </w:rPr>
              <w:fldChar w:fldCharType="end"/>
            </w:r>
          </w:hyperlink>
        </w:p>
        <w:p w14:paraId="56934314" w14:textId="77777777" w:rsidR="00EB3DA5" w:rsidRDefault="00D07F12">
          <w:pPr>
            <w:pStyle w:val="TOC2"/>
            <w:rPr>
              <w:rFonts w:asciiTheme="minorHAnsi" w:eastAsiaTheme="minorEastAsia" w:hAnsiTheme="minorHAnsi"/>
              <w:b w:val="0"/>
              <w:color w:val="auto"/>
              <w:sz w:val="22"/>
              <w:lang w:eastAsia="en-AU"/>
            </w:rPr>
          </w:pPr>
          <w:hyperlink w:anchor="_Toc433440679" w:history="1">
            <w:r w:rsidR="00EB3DA5" w:rsidRPr="00E80754">
              <w:rPr>
                <w:rStyle w:val="Hyperlink"/>
              </w:rPr>
              <w:t>A.8</w:t>
            </w:r>
            <w:r w:rsidR="00EB3DA5">
              <w:rPr>
                <w:rFonts w:asciiTheme="minorHAnsi" w:eastAsiaTheme="minorEastAsia" w:hAnsiTheme="minorHAnsi"/>
                <w:b w:val="0"/>
                <w:color w:val="auto"/>
                <w:sz w:val="22"/>
                <w:lang w:eastAsia="en-AU"/>
              </w:rPr>
              <w:tab/>
            </w:r>
            <w:r w:rsidR="00EB3DA5" w:rsidRPr="00E80754">
              <w:rPr>
                <w:rStyle w:val="Hyperlink"/>
              </w:rPr>
              <w:t>Further issues relating to the utilisation rate</w:t>
            </w:r>
            <w:r w:rsidR="00EB3DA5">
              <w:rPr>
                <w:webHidden/>
              </w:rPr>
              <w:tab/>
            </w:r>
            <w:r w:rsidR="00EB3DA5">
              <w:rPr>
                <w:webHidden/>
              </w:rPr>
              <w:fldChar w:fldCharType="begin"/>
            </w:r>
            <w:r w:rsidR="00EB3DA5">
              <w:rPr>
                <w:webHidden/>
              </w:rPr>
              <w:instrText xml:space="preserve"> PAGEREF _Toc433440679 \h </w:instrText>
            </w:r>
            <w:r w:rsidR="00EB3DA5">
              <w:rPr>
                <w:webHidden/>
              </w:rPr>
            </w:r>
            <w:r w:rsidR="00EB3DA5">
              <w:rPr>
                <w:webHidden/>
              </w:rPr>
              <w:fldChar w:fldCharType="separate"/>
            </w:r>
            <w:r w:rsidR="00EB3DA5">
              <w:rPr>
                <w:webHidden/>
              </w:rPr>
              <w:t>4-64</w:t>
            </w:r>
            <w:r w:rsidR="00EB3DA5">
              <w:rPr>
                <w:webHidden/>
              </w:rPr>
              <w:fldChar w:fldCharType="end"/>
            </w:r>
          </w:hyperlink>
        </w:p>
        <w:p w14:paraId="6A8137D2" w14:textId="77777777" w:rsidR="00EB3DA5" w:rsidRDefault="00D07F12">
          <w:pPr>
            <w:pStyle w:val="TOC2"/>
            <w:rPr>
              <w:rFonts w:asciiTheme="minorHAnsi" w:eastAsiaTheme="minorEastAsia" w:hAnsiTheme="minorHAnsi"/>
              <w:b w:val="0"/>
              <w:color w:val="auto"/>
              <w:sz w:val="22"/>
              <w:lang w:eastAsia="en-AU"/>
            </w:rPr>
          </w:pPr>
          <w:hyperlink w:anchor="_Toc433440680" w:history="1">
            <w:r w:rsidR="00EB3DA5" w:rsidRPr="00E80754">
              <w:rPr>
                <w:rStyle w:val="Hyperlink"/>
              </w:rPr>
              <w:t>A.9</w:t>
            </w:r>
            <w:r w:rsidR="00EB3DA5">
              <w:rPr>
                <w:rFonts w:asciiTheme="minorHAnsi" w:eastAsiaTheme="minorEastAsia" w:hAnsiTheme="minorHAnsi"/>
                <w:b w:val="0"/>
                <w:color w:val="auto"/>
                <w:sz w:val="22"/>
                <w:lang w:eastAsia="en-AU"/>
              </w:rPr>
              <w:tab/>
            </w:r>
            <w:r w:rsidR="00EB3DA5" w:rsidRPr="00E80754">
              <w:rPr>
                <w:rStyle w:val="Hyperlink"/>
              </w:rPr>
              <w:t>Estimation approach considerations</w:t>
            </w:r>
            <w:r w:rsidR="00EB3DA5">
              <w:rPr>
                <w:webHidden/>
              </w:rPr>
              <w:tab/>
            </w:r>
            <w:r w:rsidR="00EB3DA5">
              <w:rPr>
                <w:webHidden/>
              </w:rPr>
              <w:fldChar w:fldCharType="begin"/>
            </w:r>
            <w:r w:rsidR="00EB3DA5">
              <w:rPr>
                <w:webHidden/>
              </w:rPr>
              <w:instrText xml:space="preserve"> PAGEREF _Toc433440680 \h </w:instrText>
            </w:r>
            <w:r w:rsidR="00EB3DA5">
              <w:rPr>
                <w:webHidden/>
              </w:rPr>
            </w:r>
            <w:r w:rsidR="00EB3DA5">
              <w:rPr>
                <w:webHidden/>
              </w:rPr>
              <w:fldChar w:fldCharType="separate"/>
            </w:r>
            <w:r w:rsidR="00EB3DA5">
              <w:rPr>
                <w:webHidden/>
              </w:rPr>
              <w:t>4-81</w:t>
            </w:r>
            <w:r w:rsidR="00EB3DA5">
              <w:rPr>
                <w:webHidden/>
              </w:rPr>
              <w:fldChar w:fldCharType="end"/>
            </w:r>
          </w:hyperlink>
        </w:p>
        <w:p w14:paraId="7A476028"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1" w:history="1">
            <w:r w:rsidR="00EB3DA5" w:rsidRPr="00E80754">
              <w:rPr>
                <w:rStyle w:val="Hyperlink"/>
              </w:rPr>
              <w:t>A.10</w:t>
            </w:r>
            <w:r w:rsidR="00EB3DA5">
              <w:rPr>
                <w:rFonts w:asciiTheme="minorHAnsi" w:eastAsiaTheme="minorEastAsia" w:hAnsiTheme="minorHAnsi"/>
                <w:b w:val="0"/>
                <w:color w:val="auto"/>
                <w:sz w:val="22"/>
                <w:lang w:eastAsia="en-AU"/>
              </w:rPr>
              <w:tab/>
            </w:r>
            <w:r w:rsidR="00EB3DA5" w:rsidRPr="00E80754">
              <w:rPr>
                <w:rStyle w:val="Hyperlink"/>
              </w:rPr>
              <w:t>Estimating the distribution rate</w:t>
            </w:r>
            <w:r w:rsidR="00EB3DA5">
              <w:rPr>
                <w:webHidden/>
              </w:rPr>
              <w:tab/>
            </w:r>
            <w:r w:rsidR="00EB3DA5">
              <w:rPr>
                <w:webHidden/>
              </w:rPr>
              <w:fldChar w:fldCharType="begin"/>
            </w:r>
            <w:r w:rsidR="00EB3DA5">
              <w:rPr>
                <w:webHidden/>
              </w:rPr>
              <w:instrText xml:space="preserve"> PAGEREF _Toc433440681 \h </w:instrText>
            </w:r>
            <w:r w:rsidR="00EB3DA5">
              <w:rPr>
                <w:webHidden/>
              </w:rPr>
            </w:r>
            <w:r w:rsidR="00EB3DA5">
              <w:rPr>
                <w:webHidden/>
              </w:rPr>
              <w:fldChar w:fldCharType="separate"/>
            </w:r>
            <w:r w:rsidR="00EB3DA5">
              <w:rPr>
                <w:webHidden/>
              </w:rPr>
              <w:t>4-83</w:t>
            </w:r>
            <w:r w:rsidR="00EB3DA5">
              <w:rPr>
                <w:webHidden/>
              </w:rPr>
              <w:fldChar w:fldCharType="end"/>
            </w:r>
          </w:hyperlink>
        </w:p>
        <w:p w14:paraId="1F40DBD0"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2" w:history="1">
            <w:r w:rsidR="00EB3DA5" w:rsidRPr="00E80754">
              <w:rPr>
                <w:rStyle w:val="Hyperlink"/>
              </w:rPr>
              <w:t>A.11</w:t>
            </w:r>
            <w:r w:rsidR="00EB3DA5">
              <w:rPr>
                <w:rFonts w:asciiTheme="minorHAnsi" w:eastAsiaTheme="minorEastAsia" w:hAnsiTheme="minorHAnsi"/>
                <w:b w:val="0"/>
                <w:color w:val="auto"/>
                <w:sz w:val="22"/>
                <w:lang w:eastAsia="en-AU"/>
              </w:rPr>
              <w:tab/>
            </w:r>
            <w:r w:rsidR="00EB3DA5" w:rsidRPr="00E80754">
              <w:rPr>
                <w:rStyle w:val="Hyperlink"/>
              </w:rPr>
              <w:t>Application of rate of return criteria to evidence on the utilisation rate</w:t>
            </w:r>
            <w:r w:rsidR="00EB3DA5">
              <w:rPr>
                <w:webHidden/>
              </w:rPr>
              <w:tab/>
            </w:r>
            <w:r w:rsidR="00EB3DA5">
              <w:rPr>
                <w:webHidden/>
              </w:rPr>
              <w:fldChar w:fldCharType="begin"/>
            </w:r>
            <w:r w:rsidR="00EB3DA5">
              <w:rPr>
                <w:webHidden/>
              </w:rPr>
              <w:instrText xml:space="preserve"> PAGEREF _Toc433440682 \h </w:instrText>
            </w:r>
            <w:r w:rsidR="00EB3DA5">
              <w:rPr>
                <w:webHidden/>
              </w:rPr>
            </w:r>
            <w:r w:rsidR="00EB3DA5">
              <w:rPr>
                <w:webHidden/>
              </w:rPr>
              <w:fldChar w:fldCharType="separate"/>
            </w:r>
            <w:r w:rsidR="00EB3DA5">
              <w:rPr>
                <w:webHidden/>
              </w:rPr>
              <w:t>4-90</w:t>
            </w:r>
            <w:r w:rsidR="00EB3DA5">
              <w:rPr>
                <w:webHidden/>
              </w:rPr>
              <w:fldChar w:fldCharType="end"/>
            </w:r>
          </w:hyperlink>
        </w:p>
        <w:p w14:paraId="163D8904"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3" w:history="1">
            <w:r w:rsidR="00EB3DA5" w:rsidRPr="00E80754">
              <w:rPr>
                <w:rStyle w:val="Hyperlink"/>
              </w:rPr>
              <w:t>A.12</w:t>
            </w:r>
            <w:r w:rsidR="00EB3DA5">
              <w:rPr>
                <w:rFonts w:asciiTheme="minorHAnsi" w:eastAsiaTheme="minorEastAsia" w:hAnsiTheme="minorHAnsi"/>
                <w:b w:val="0"/>
                <w:color w:val="auto"/>
                <w:sz w:val="22"/>
                <w:lang w:eastAsia="en-AU"/>
              </w:rPr>
              <w:tab/>
            </w:r>
            <w:r w:rsidR="00EB3DA5" w:rsidRPr="00E80754">
              <w:rPr>
                <w:rStyle w:val="Hyperlink"/>
              </w:rPr>
              <w:t>The equity ownership approach</w:t>
            </w:r>
            <w:r w:rsidR="00EB3DA5">
              <w:rPr>
                <w:webHidden/>
              </w:rPr>
              <w:tab/>
            </w:r>
            <w:r w:rsidR="00EB3DA5">
              <w:rPr>
                <w:webHidden/>
              </w:rPr>
              <w:fldChar w:fldCharType="begin"/>
            </w:r>
            <w:r w:rsidR="00EB3DA5">
              <w:rPr>
                <w:webHidden/>
              </w:rPr>
              <w:instrText xml:space="preserve"> PAGEREF _Toc433440683 \h </w:instrText>
            </w:r>
            <w:r w:rsidR="00EB3DA5">
              <w:rPr>
                <w:webHidden/>
              </w:rPr>
            </w:r>
            <w:r w:rsidR="00EB3DA5">
              <w:rPr>
                <w:webHidden/>
              </w:rPr>
              <w:fldChar w:fldCharType="separate"/>
            </w:r>
            <w:r w:rsidR="00EB3DA5">
              <w:rPr>
                <w:webHidden/>
              </w:rPr>
              <w:t>4-92</w:t>
            </w:r>
            <w:r w:rsidR="00EB3DA5">
              <w:rPr>
                <w:webHidden/>
              </w:rPr>
              <w:fldChar w:fldCharType="end"/>
            </w:r>
          </w:hyperlink>
        </w:p>
        <w:p w14:paraId="51BE18BF"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4" w:history="1">
            <w:r w:rsidR="00EB3DA5" w:rsidRPr="00E80754">
              <w:rPr>
                <w:rStyle w:val="Hyperlink"/>
              </w:rPr>
              <w:t>A.13</w:t>
            </w:r>
            <w:r w:rsidR="00EB3DA5">
              <w:rPr>
                <w:rFonts w:asciiTheme="minorHAnsi" w:eastAsiaTheme="minorEastAsia" w:hAnsiTheme="minorHAnsi"/>
                <w:b w:val="0"/>
                <w:color w:val="auto"/>
                <w:sz w:val="22"/>
                <w:lang w:eastAsia="en-AU"/>
              </w:rPr>
              <w:tab/>
            </w:r>
            <w:r w:rsidR="00EB3DA5" w:rsidRPr="00E80754">
              <w:rPr>
                <w:rStyle w:val="Hyperlink"/>
              </w:rPr>
              <w:t>Tax statistics</w:t>
            </w:r>
            <w:r w:rsidR="00EB3DA5">
              <w:rPr>
                <w:webHidden/>
              </w:rPr>
              <w:tab/>
            </w:r>
            <w:r w:rsidR="00EB3DA5">
              <w:rPr>
                <w:webHidden/>
              </w:rPr>
              <w:fldChar w:fldCharType="begin"/>
            </w:r>
            <w:r w:rsidR="00EB3DA5">
              <w:rPr>
                <w:webHidden/>
              </w:rPr>
              <w:instrText xml:space="preserve"> PAGEREF _Toc433440684 \h </w:instrText>
            </w:r>
            <w:r w:rsidR="00EB3DA5">
              <w:rPr>
                <w:webHidden/>
              </w:rPr>
            </w:r>
            <w:r w:rsidR="00EB3DA5">
              <w:rPr>
                <w:webHidden/>
              </w:rPr>
              <w:fldChar w:fldCharType="separate"/>
            </w:r>
            <w:r w:rsidR="00EB3DA5">
              <w:rPr>
                <w:webHidden/>
              </w:rPr>
              <w:t>4-96</w:t>
            </w:r>
            <w:r w:rsidR="00EB3DA5">
              <w:rPr>
                <w:webHidden/>
              </w:rPr>
              <w:fldChar w:fldCharType="end"/>
            </w:r>
          </w:hyperlink>
        </w:p>
        <w:p w14:paraId="04C83D5E"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5" w:history="1">
            <w:r w:rsidR="00EB3DA5" w:rsidRPr="00E80754">
              <w:rPr>
                <w:rStyle w:val="Hyperlink"/>
              </w:rPr>
              <w:t>A.14</w:t>
            </w:r>
            <w:r w:rsidR="00EB3DA5">
              <w:rPr>
                <w:rFonts w:asciiTheme="minorHAnsi" w:eastAsiaTheme="minorEastAsia" w:hAnsiTheme="minorHAnsi"/>
                <w:b w:val="0"/>
                <w:color w:val="auto"/>
                <w:sz w:val="22"/>
                <w:lang w:eastAsia="en-AU"/>
              </w:rPr>
              <w:tab/>
            </w:r>
            <w:r w:rsidR="00EB3DA5" w:rsidRPr="00E80754">
              <w:rPr>
                <w:rStyle w:val="Hyperlink"/>
              </w:rPr>
              <w:t>Implied market value studies</w:t>
            </w:r>
            <w:r w:rsidR="00EB3DA5">
              <w:rPr>
                <w:webHidden/>
              </w:rPr>
              <w:tab/>
            </w:r>
            <w:r w:rsidR="00EB3DA5">
              <w:rPr>
                <w:webHidden/>
              </w:rPr>
              <w:fldChar w:fldCharType="begin"/>
            </w:r>
            <w:r w:rsidR="00EB3DA5">
              <w:rPr>
                <w:webHidden/>
              </w:rPr>
              <w:instrText xml:space="preserve"> PAGEREF _Toc433440685 \h </w:instrText>
            </w:r>
            <w:r w:rsidR="00EB3DA5">
              <w:rPr>
                <w:webHidden/>
              </w:rPr>
            </w:r>
            <w:r w:rsidR="00EB3DA5">
              <w:rPr>
                <w:webHidden/>
              </w:rPr>
              <w:fldChar w:fldCharType="separate"/>
            </w:r>
            <w:r w:rsidR="00EB3DA5">
              <w:rPr>
                <w:webHidden/>
              </w:rPr>
              <w:t>4-98</w:t>
            </w:r>
            <w:r w:rsidR="00EB3DA5">
              <w:rPr>
                <w:webHidden/>
              </w:rPr>
              <w:fldChar w:fldCharType="end"/>
            </w:r>
          </w:hyperlink>
        </w:p>
        <w:p w14:paraId="10E6FACB" w14:textId="77777777" w:rsidR="00EB3DA5" w:rsidRDefault="00D07F12">
          <w:pPr>
            <w:pStyle w:val="TOC2"/>
            <w:tabs>
              <w:tab w:val="left" w:pos="1276"/>
            </w:tabs>
            <w:rPr>
              <w:rFonts w:asciiTheme="minorHAnsi" w:eastAsiaTheme="minorEastAsia" w:hAnsiTheme="minorHAnsi"/>
              <w:b w:val="0"/>
              <w:color w:val="auto"/>
              <w:sz w:val="22"/>
              <w:lang w:eastAsia="en-AU"/>
            </w:rPr>
          </w:pPr>
          <w:hyperlink w:anchor="_Toc433440686" w:history="1">
            <w:r w:rsidR="00EB3DA5" w:rsidRPr="00E80754">
              <w:rPr>
                <w:rStyle w:val="Hyperlink"/>
              </w:rPr>
              <w:t>A.15</w:t>
            </w:r>
            <w:r w:rsidR="00EB3DA5">
              <w:rPr>
                <w:rFonts w:asciiTheme="minorHAnsi" w:eastAsiaTheme="minorEastAsia" w:hAnsiTheme="minorHAnsi"/>
                <w:b w:val="0"/>
                <w:color w:val="auto"/>
                <w:sz w:val="22"/>
                <w:lang w:eastAsia="en-AU"/>
              </w:rPr>
              <w:tab/>
            </w:r>
            <w:r w:rsidR="00EB3DA5" w:rsidRPr="00E80754">
              <w:rPr>
                <w:rStyle w:val="Hyperlink"/>
              </w:rPr>
              <w:t>Revised consideration of the conceptual goalposts approach</w:t>
            </w:r>
            <w:r w:rsidR="00EB3DA5">
              <w:rPr>
                <w:webHidden/>
              </w:rPr>
              <w:tab/>
            </w:r>
            <w:r w:rsidR="00EB3DA5">
              <w:rPr>
                <w:webHidden/>
              </w:rPr>
              <w:fldChar w:fldCharType="begin"/>
            </w:r>
            <w:r w:rsidR="00EB3DA5">
              <w:rPr>
                <w:webHidden/>
              </w:rPr>
              <w:instrText xml:space="preserve"> PAGEREF _Toc433440686 \h </w:instrText>
            </w:r>
            <w:r w:rsidR="00EB3DA5">
              <w:rPr>
                <w:webHidden/>
              </w:rPr>
            </w:r>
            <w:r w:rsidR="00EB3DA5">
              <w:rPr>
                <w:webHidden/>
              </w:rPr>
              <w:fldChar w:fldCharType="separate"/>
            </w:r>
            <w:r w:rsidR="00EB3DA5">
              <w:rPr>
                <w:webHidden/>
              </w:rPr>
              <w:t>4-116</w:t>
            </w:r>
            <w:r w:rsidR="00EB3DA5">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9" w:name="_Toc404700925"/>
      <w:bookmarkStart w:id="10" w:name="_Toc408493482"/>
      <w:bookmarkStart w:id="11" w:name="_Toc433440665"/>
      <w:r w:rsidRPr="003D3D89">
        <w:lastRenderedPageBreak/>
        <w:t>Shortened</w:t>
      </w:r>
      <w:r>
        <w:t xml:space="preserve"> forms</w:t>
      </w:r>
      <w:bookmarkEnd w:id="9"/>
      <w:bookmarkEnd w:id="10"/>
      <w:bookmarkEnd w:id="11"/>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8E04D0">
        <w:trPr>
          <w:cnfStyle w:val="100000000000" w:firstRow="1" w:lastRow="0" w:firstColumn="0" w:lastColumn="0" w:oddVBand="0" w:evenVBand="0" w:oddHBand="0" w:evenHBand="0" w:firstRowFirstColumn="0" w:firstRowLastColumn="0" w:lastRowFirstColumn="0" w:lastRowLastColumn="0"/>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8E04D0">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8E04D0">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8E04D0">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8E04D0">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8E04D0">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8E04D0">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8E04D0">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8E04D0">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8E04D0">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8E04D0">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8E04D0">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8E04D0">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8E04D0">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2" w:name="_Toc433440666"/>
      <w:r>
        <w:lastRenderedPageBreak/>
        <w:t>Value of imputation credits</w:t>
      </w:r>
      <w:bookmarkEnd w:id="12"/>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The NER/NGR recognise</w:t>
      </w:r>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4DFFACF8" w:rsidR="00E356F9" w:rsidRDefault="00E356F9" w:rsidP="00E356F9">
      <w:pPr>
        <w:numPr>
          <w:ilvl w:val="0"/>
          <w:numId w:val="25"/>
        </w:numPr>
      </w:pPr>
      <w:r>
        <w:t xml:space="preserve">In this attachment, we set out our </w:t>
      </w:r>
      <w:r w:rsidR="00CE2DEA">
        <w:t>final</w:t>
      </w:r>
      <w:r>
        <w:t xml:space="preserve"> decision on the value of imputation credits and our key reasons for this </w:t>
      </w:r>
      <w:r w:rsidR="007661C9">
        <w:t>decision</w:t>
      </w:r>
      <w:r>
        <w:t xml:space="preserve">. We also consider </w:t>
      </w:r>
      <w:r w:rsidR="00471920">
        <w:t>Energex</w:t>
      </w:r>
      <w:r w:rsidR="00FB4886">
        <w:t>'</w:t>
      </w:r>
      <w:r w:rsidR="00471920">
        <w:t>s</w:t>
      </w:r>
      <w:r>
        <w:t xml:space="preserve"> proposed value of imputation credits and the key reasons for its proposal. In appendix A, we include further supporting detail on our position on the value of imputation credits and also respond to </w:t>
      </w:r>
      <w:r w:rsidR="00471920">
        <w:t>Energex's</w:t>
      </w:r>
      <w:r>
        <w:t xml:space="preserve"> proposal in more detail. </w:t>
      </w:r>
    </w:p>
    <w:p w14:paraId="69F7E4E0" w14:textId="77777777" w:rsidR="00DE563D" w:rsidRPr="001754EE" w:rsidRDefault="00415F31" w:rsidP="001754EE">
      <w:pPr>
        <w:pStyle w:val="Heading2"/>
      </w:pPr>
      <w:bookmarkStart w:id="13" w:name="_Toc403144136"/>
      <w:bookmarkStart w:id="14" w:name="_Toc433440667"/>
      <w:r w:rsidRPr="001754EE">
        <w:t>Final</w:t>
      </w:r>
      <w:r w:rsidR="00DE563D" w:rsidRPr="001754EE">
        <w:t xml:space="preserve"> decision</w:t>
      </w:r>
      <w:bookmarkEnd w:id="13"/>
      <w:bookmarkEnd w:id="14"/>
    </w:p>
    <w:p w14:paraId="66144C66" w14:textId="649B889F" w:rsidR="002C233C" w:rsidRDefault="00AA4E4D" w:rsidP="002C233C">
      <w:pPr>
        <w:numPr>
          <w:ilvl w:val="0"/>
          <w:numId w:val="25"/>
        </w:numPr>
      </w:pPr>
      <w:bookmarkStart w:id="15" w:name="_Toc403144137"/>
      <w:r>
        <w:t>We do not acce</w:t>
      </w:r>
      <w:r w:rsidR="00841282">
        <w:t xml:space="preserve">pt </w:t>
      </w:r>
      <w:r w:rsidR="00471920">
        <w:t>Energex's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w:t>
      </w:r>
      <w:r>
        <w:lastRenderedPageBreak/>
        <w:t>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r>
        <w:t>t</w:t>
      </w:r>
      <w:r w:rsidRPr="006F0FAC">
        <w:t>he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3DD5367F" w:rsidR="00DE563D" w:rsidRPr="001754EE" w:rsidRDefault="00471920" w:rsidP="001754EE">
      <w:pPr>
        <w:pStyle w:val="Heading2"/>
      </w:pPr>
      <w:bookmarkStart w:id="16" w:name="_Ref414621796"/>
      <w:bookmarkStart w:id="17" w:name="_Toc433440668"/>
      <w:r>
        <w:t>Energex's</w:t>
      </w:r>
      <w:r w:rsidR="00415F31" w:rsidRPr="001754EE">
        <w:t xml:space="preserve"> revised</w:t>
      </w:r>
      <w:r w:rsidR="00DE563D" w:rsidRPr="001754EE">
        <w:t xml:space="preserve"> proposal</w:t>
      </w:r>
      <w:bookmarkEnd w:id="15"/>
      <w:bookmarkEnd w:id="16"/>
      <w:bookmarkEnd w:id="17"/>
    </w:p>
    <w:p w14:paraId="191CCA4E" w14:textId="320280A0" w:rsidR="006F0FAC" w:rsidRDefault="006F0FAC" w:rsidP="00D14DE4">
      <w:pPr>
        <w:numPr>
          <w:ilvl w:val="0"/>
          <w:numId w:val="25"/>
        </w:numPr>
      </w:pPr>
      <w:r>
        <w:t xml:space="preserve">In its revised proposal, </w:t>
      </w:r>
      <w:r w:rsidR="00471920">
        <w:t>Energex</w:t>
      </w:r>
      <w:r>
        <w:t xml:space="preserve"> did not </w:t>
      </w:r>
      <w:r w:rsidR="003B0C3D">
        <w:t>adopt</w:t>
      </w:r>
      <w:r>
        <w:t xml:space="preserve"> our </w:t>
      </w:r>
      <w:r w:rsidR="00F864E6">
        <w:t>preliminary</w:t>
      </w:r>
      <w:r>
        <w:t xml:space="preserve"> decision and maintained the position in its initial proposal.</w:t>
      </w:r>
      <w:r w:rsidR="00C903FF">
        <w:rPr>
          <w:rStyle w:val="FootnoteReference"/>
        </w:rPr>
        <w:footnoteReference w:id="8"/>
      </w:r>
      <w:r>
        <w:t xml:space="preserve"> This was </w:t>
      </w:r>
      <w:r w:rsidR="00A35A6E">
        <w:t xml:space="preserve">for </w:t>
      </w:r>
      <w:r>
        <w:t>a value of imputation credits of 0.25, calculated as the product of a distribution rate of 0.7 and a utilisation rate of 0.35.</w:t>
      </w:r>
      <w:r>
        <w:rPr>
          <w:rStyle w:val="FootnoteReference"/>
        </w:rPr>
        <w:footnoteReference w:id="9"/>
      </w:r>
      <w:r>
        <w:t xml:space="preserve"> Its proposed distribution rate of 0.7 was consistent with</w:t>
      </w:r>
      <w:r w:rsidR="008E3B4F">
        <w:t xml:space="preserve"> the value in the Guideline and</w:t>
      </w:r>
      <w:r>
        <w:t xml:space="preserve"> </w:t>
      </w:r>
      <w:r w:rsidR="00A35A6E">
        <w:t xml:space="preserve">our value in the </w:t>
      </w:r>
      <w:r w:rsidR="00305358">
        <w:t>preliminary</w:t>
      </w:r>
      <w:r w:rsidR="00A35A6E">
        <w:t xml:space="preserve"> decision when estimated over all companies. However, in the </w:t>
      </w:r>
      <w:r w:rsidR="00305358">
        <w:t>preliminary</w:t>
      </w:r>
      <w:r w:rsidR="00A35A6E">
        <w:t xml:space="preserve"> decision we also relied in part on a distribution rate estimated over just public companies</w:t>
      </w:r>
      <w:r w:rsidR="00254F30">
        <w:t>,</w:t>
      </w:r>
      <w:r w:rsidR="00DE0079">
        <w:t xml:space="preserve"> of 0.8</w:t>
      </w:r>
      <w:r w:rsidR="00A35A6E">
        <w:t>.</w:t>
      </w:r>
      <w:r>
        <w:t xml:space="preserve"> </w:t>
      </w:r>
      <w:r w:rsidR="00471920">
        <w:t>Energex's</w:t>
      </w:r>
      <w:r>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the </w:t>
      </w:r>
      <w:r w:rsidR="005666AD">
        <w:t>preliminary</w:t>
      </w:r>
      <w:r w:rsidR="009E2B76">
        <w:t xml:space="preserve"> decision</w:t>
      </w:r>
      <w:r>
        <w:t xml:space="preserve">. </w:t>
      </w:r>
      <w:r w:rsidR="00471920">
        <w:t>Energex's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67746761" w:rsidR="005E50C1" w:rsidRDefault="00471920" w:rsidP="006F0FAC">
      <w:r>
        <w:lastRenderedPageBreak/>
        <w:t>Energex's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w:t>
      </w:r>
      <w:r w:rsidR="00EB3DA5">
        <w:t>CitiPower</w:t>
      </w:r>
      <w:r w:rsidR="00B765CA">
        <w:t>,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689A4A62"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8A5873">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final decision and the JGN final decision is we have had regard to </w:t>
      </w:r>
      <w:r w:rsidR="002E1251">
        <w:t>several</w:t>
      </w:r>
      <w:r w:rsidR="00A51C21">
        <w:t xml:space="preserve"> </w:t>
      </w:r>
      <w:r w:rsidR="0037770A">
        <w:t>new expert reports</w:t>
      </w:r>
      <w:r w:rsidR="00C87763">
        <w:t xml:space="preserve"> from NERA  and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08F0BDC2" w:rsidR="002C233C" w:rsidRDefault="00843AA2" w:rsidP="005E50C1">
      <w:r>
        <w:t xml:space="preserve">Throughout this </w:t>
      </w:r>
      <w:r w:rsidR="001D4E56">
        <w:t>attachment</w:t>
      </w:r>
      <w:r>
        <w:t xml:space="preserve"> we refer to </w:t>
      </w:r>
      <w:r w:rsidR="0037770A">
        <w:t xml:space="preserve">AusNet Services, </w:t>
      </w:r>
      <w:r w:rsidR="00EB3DA5">
        <w:t>CitiPower</w:t>
      </w:r>
      <w:r w:rsidR="0037770A">
        <w:t xml:space="preserve">,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8" w:name="_Toc403144138"/>
      <w:bookmarkStart w:id="19" w:name="_Toc433440669"/>
      <w:r w:rsidRPr="001754EE">
        <w:lastRenderedPageBreak/>
        <w:t>AER’s</w:t>
      </w:r>
      <w:r>
        <w:t xml:space="preserve"> assessment approach</w:t>
      </w:r>
      <w:bookmarkEnd w:id="18"/>
      <w:bookmarkEnd w:id="19"/>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r>
        <w:t>our approach to determining the value of imputation credits.</w:t>
      </w:r>
    </w:p>
    <w:p w14:paraId="7D089634" w14:textId="77777777" w:rsidR="00A90D90" w:rsidRPr="00A90D90" w:rsidRDefault="00A90D90" w:rsidP="00A90D90">
      <w:pPr>
        <w:pStyle w:val="Heading3"/>
      </w:pPr>
      <w:bookmarkStart w:id="20" w:name="_Ref400272912"/>
      <w:bookmarkStart w:id="21" w:name="_Ref416802130"/>
      <w:bookmarkStart w:id="22" w:name="_Ref416802459"/>
      <w:r w:rsidRPr="00EA24D2">
        <w:t>Requirements</w:t>
      </w:r>
      <w:r w:rsidRPr="00A90D90">
        <w:t xml:space="preserve"> of the </w:t>
      </w:r>
      <w:bookmarkEnd w:id="20"/>
      <w:r w:rsidR="005D59BA">
        <w:t>NEL/NGL and NER/NGR</w:t>
      </w:r>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7"/>
      </w:r>
    </w:p>
    <w:p w14:paraId="7355F9CF" w14:textId="77777777" w:rsidR="00A90D90" w:rsidRPr="00EA5C1A" w:rsidRDefault="00D07F12"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D07F12"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D07F12"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is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is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lastRenderedPageBreak/>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r w:rsidR="00713D13">
        <w:t>'.</w:t>
      </w:r>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require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1E2164">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w:t>
      </w:r>
      <w:r w:rsidR="000E0997">
        <w:lastRenderedPageBreak/>
        <w:t xml:space="preserve">That is, 'the per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is likely to contribute to the achievement of the </w:t>
      </w:r>
      <w:r w:rsidR="005D59BA">
        <w:t>NEO/NGO</w:t>
      </w:r>
      <w:r w:rsidR="00A90D90">
        <w:t>.</w:t>
      </w:r>
      <w:r w:rsidR="00A90D90">
        <w:rPr>
          <w:rStyle w:val="FootnoteReference"/>
        </w:rPr>
        <w:footnoteReference w:id="28"/>
      </w:r>
      <w:r w:rsidR="00A90D90">
        <w:t xml:space="preserve"> Further, when exercising a discretion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r>
        <w:t xml:space="preserve">a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r>
        <w:t xml:space="preserve">not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achieves a balance between the opportunity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r>
        <w:lastRenderedPageBreak/>
        <w:t xml:space="preserve">Rate of return </w:t>
      </w:r>
      <w:r w:rsidR="00EA6FAD">
        <w:t>G</w:t>
      </w:r>
      <w:r>
        <w:t>uideline</w:t>
      </w:r>
      <w:bookmarkEnd w:id="24"/>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1E2164">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1E2164">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5" w:name="_Ref404065332"/>
      <w:r>
        <w:t>Definition of benchmark efficient</w:t>
      </w:r>
      <w:r w:rsidRPr="00A90D90">
        <w:t xml:space="preserve"> entity</w:t>
      </w:r>
      <w:bookmarkEnd w:id="25"/>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1E2164">
        <w:t>4.3.1</w:t>
      </w:r>
      <w:r>
        <w:fldChar w:fldCharType="end"/>
      </w:r>
      <w:r>
        <w:t xml:space="preserve">, the </w:t>
      </w:r>
      <w:r w:rsidR="004569D9">
        <w:t>NER/NGR</w:t>
      </w:r>
      <w:r>
        <w:t xml:space="preserve"> refer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r>
        <w:t xml:space="preserve">a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lastRenderedPageBreak/>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6" w:name="_Ref415070818"/>
      <w:r>
        <w:t>Interrelationships</w:t>
      </w:r>
      <w:bookmarkEnd w:id="26"/>
    </w:p>
    <w:p w14:paraId="677673DE" w14:textId="18141AE9" w:rsidR="009E59CE" w:rsidRDefault="00140344" w:rsidP="009E59CE">
      <w:r>
        <w:t>The NER/NGR recognise</w:t>
      </w:r>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r>
        <w:t>adjust</w:t>
      </w:r>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77777777"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final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r>
        <w:t>t</w:t>
      </w:r>
      <w:r w:rsidRPr="00A90D90">
        <w:t>he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r>
        <w:t xml:space="preserve">the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r>
        <w:t>the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r>
        <w:lastRenderedPageBreak/>
        <w:t>a</w:t>
      </w:r>
      <w:r w:rsidRPr="00A90D90">
        <w:t>n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r>
        <w:t>a</w:t>
      </w:r>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r>
        <w:t>a</w:t>
      </w:r>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27" w:name="_Ref415048973"/>
      <w:r w:rsidRPr="00784B2C">
        <w:t xml:space="preserve">Approach to </w:t>
      </w:r>
      <w:r w:rsidRPr="00A90D90">
        <w:t>determining the value of imputation credits</w:t>
      </w:r>
      <w:bookmarkEnd w:id="27"/>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r>
        <w:t>t</w:t>
      </w:r>
      <w:r w:rsidRPr="00A90D90">
        <w:t xml:space="preserve">he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1E2164">
        <w:t>4.3.1</w:t>
      </w:r>
      <w:r w:rsidRPr="00A90D90">
        <w:fldChar w:fldCharType="end"/>
      </w:r>
      <w:r w:rsidRPr="00A90D90">
        <w:t>.</w:t>
      </w:r>
    </w:p>
    <w:p w14:paraId="5C899FC7" w14:textId="77777777" w:rsidR="00A90D90" w:rsidRPr="00A90D90" w:rsidRDefault="00A90D90" w:rsidP="00A90D90">
      <w:pPr>
        <w:pStyle w:val="AERbulletlistfirststyle"/>
      </w:pPr>
      <w:r>
        <w:t>t</w:t>
      </w:r>
      <w:r w:rsidRPr="00A90D90">
        <w:t>he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r>
        <w:t>r</w:t>
      </w:r>
      <w:r w:rsidRPr="00A90D90">
        <w:t>elevant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r w:rsidRPr="00423E59">
        <w:t xml:space="preserve">the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 xml:space="preserve">evidence—while there is a widely accepted approach to estimating the distribution rate, there is no single accepted approach to estimating the </w:t>
      </w:r>
      <w:r w:rsidR="00A90D90" w:rsidRPr="00A90D90">
        <w:lastRenderedPageBreak/>
        <w:t>utilisation rate and there is a range of evidence relevant to the utilisation rate. This includes:</w:t>
      </w:r>
    </w:p>
    <w:p w14:paraId="6BCEA3D3" w14:textId="77777777" w:rsidR="00A90D90" w:rsidRPr="00A90D90" w:rsidRDefault="00A90D90" w:rsidP="00A90D90">
      <w:pPr>
        <w:pStyle w:val="AERbulletlistsecondstyle"/>
      </w:pPr>
      <w:r>
        <w:t>t</w:t>
      </w:r>
      <w:r w:rsidRPr="00A90D90">
        <w:t>he proportion of Australian equity held by domestic investors (the 'equity ownership approach').</w:t>
      </w:r>
    </w:p>
    <w:p w14:paraId="716FC3A5" w14:textId="77777777" w:rsidR="00A90D90" w:rsidRPr="00A90D90" w:rsidRDefault="00A90D90" w:rsidP="00A90D90">
      <w:pPr>
        <w:pStyle w:val="AERbulletlistsecondstyle"/>
      </w:pPr>
      <w:r>
        <w:t>t</w:t>
      </w:r>
      <w:r w:rsidRPr="00A90D90">
        <w:t>he reported value of credits utilised by investors in Australian Taxation Office (ATO) statistics ('tax statistics').</w:t>
      </w:r>
    </w:p>
    <w:p w14:paraId="67B183A8" w14:textId="77777777" w:rsidR="00A90D90" w:rsidRPr="00A90D90" w:rsidRDefault="00A90D90" w:rsidP="00A90D90">
      <w:pPr>
        <w:pStyle w:val="AERbulletlistsecondstyle"/>
      </w:pPr>
      <w:r>
        <w:t>s</w:t>
      </w:r>
      <w:r w:rsidRPr="00A90D90">
        <w:t>tudies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r>
        <w:t>relevance of different estimation techniques, particularly for the utilisation rate.</w:t>
      </w:r>
    </w:p>
    <w:p w14:paraId="34206BF7" w14:textId="77777777" w:rsidR="00DE563D" w:rsidRDefault="00DE563D" w:rsidP="001754EE">
      <w:pPr>
        <w:pStyle w:val="Heading2"/>
      </w:pPr>
      <w:bookmarkStart w:id="28" w:name="_Toc403144140"/>
      <w:bookmarkStart w:id="29" w:name="_Ref414621693"/>
      <w:bookmarkStart w:id="30" w:name="_Ref414621836"/>
      <w:bookmarkStart w:id="31" w:name="_Ref414907434"/>
      <w:bookmarkStart w:id="32" w:name="_Ref415068229"/>
      <w:bookmarkStart w:id="33" w:name="_Ref419298166"/>
      <w:bookmarkStart w:id="34" w:name="_Toc433440670"/>
      <w:r w:rsidRPr="001754EE">
        <w:t>Reasons</w:t>
      </w:r>
      <w:r>
        <w:t xml:space="preserve"> for </w:t>
      </w:r>
      <w:r w:rsidR="002016E7">
        <w:t>final</w:t>
      </w:r>
      <w:r>
        <w:t xml:space="preserve"> decision</w:t>
      </w:r>
      <w:bookmarkEnd w:id="28"/>
      <w:bookmarkEnd w:id="29"/>
      <w:bookmarkEnd w:id="30"/>
      <w:bookmarkEnd w:id="31"/>
      <w:bookmarkEnd w:id="32"/>
      <w:bookmarkEnd w:id="33"/>
      <w:bookmarkEnd w:id="34"/>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r>
        <w:t>i</w:t>
      </w:r>
      <w:r w:rsidR="00730504">
        <w:t>t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r>
        <w:t>i</w:t>
      </w:r>
      <w:r w:rsidR="00730504">
        <w:t>t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a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r>
        <w:lastRenderedPageBreak/>
        <w:t>i</w:t>
      </w:r>
      <w:r w:rsidR="00730504">
        <w:t xml:space="preserve">t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r>
        <w:t>b</w:t>
      </w:r>
      <w:r w:rsidR="00730504">
        <w:t>ased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77777777" w:rsidR="00730504" w:rsidRDefault="00730504" w:rsidP="00730504">
      <w:pPr>
        <w:numPr>
          <w:ilvl w:val="0"/>
          <w:numId w:val="25"/>
        </w:numPr>
      </w:pPr>
      <w:r>
        <w:t>Further to the Guideline approach, in this final decision we consider that:</w:t>
      </w:r>
    </w:p>
    <w:p w14:paraId="1A6095EA" w14:textId="77777777" w:rsidR="00730504" w:rsidRPr="00730504" w:rsidRDefault="00AF1D81" w:rsidP="00730504">
      <w:pPr>
        <w:pStyle w:val="AERbulletlistfirststyle"/>
      </w:pPr>
      <w:r>
        <w:t>w</w:t>
      </w:r>
      <w:r w:rsidR="00730504">
        <w:t>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1E2164">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r>
        <w:t>i</w:t>
      </w:r>
      <w:r w:rsidR="00730504">
        <w:t>t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1E2164">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w:t>
      </w:r>
      <w:r w:rsidRPr="00EB588E">
        <w:lastRenderedPageBreak/>
        <w:t>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35" w:name="_Ref400900366"/>
      <w:bookmarkStart w:id="36" w:name="_Ref400900335"/>
      <w:r>
        <w:t xml:space="preserve">Table </w:t>
      </w:r>
      <w:fldSimple w:instr=" STYLEREF 1 \s ">
        <w:r w:rsidR="001E2164">
          <w:rPr>
            <w:noProof/>
          </w:rPr>
          <w:t>4</w:t>
        </w:r>
      </w:fldSimple>
      <w:r w:rsidR="00257FBE">
        <w:noBreakHyphen/>
      </w:r>
      <w:fldSimple w:instr=" SEQ Table \* ARABIC \s 1 ">
        <w:r w:rsidR="001E2164">
          <w:rPr>
            <w:noProof/>
          </w:rPr>
          <w:t>1</w:t>
        </w:r>
      </w:fldSimple>
      <w:bookmarkEnd w:id="35"/>
      <w:r>
        <w:tab/>
        <w:t>Estimates of the value of imputation credits—evidence from all equity</w:t>
      </w:r>
      <w:bookmarkEnd w:id="36"/>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7" w:name="_Ref400900373"/>
    </w:p>
    <w:p w14:paraId="011199F5" w14:textId="77777777" w:rsidR="00730504" w:rsidRDefault="00730504" w:rsidP="00730504">
      <w:pPr>
        <w:pStyle w:val="Caption"/>
      </w:pPr>
      <w:bookmarkStart w:id="38" w:name="_Ref404072148"/>
      <w:r>
        <w:t xml:space="preserve">Table </w:t>
      </w:r>
      <w:fldSimple w:instr=" STYLEREF 1 \s ">
        <w:r w:rsidR="001E2164">
          <w:rPr>
            <w:noProof/>
          </w:rPr>
          <w:t>4</w:t>
        </w:r>
      </w:fldSimple>
      <w:r w:rsidR="00257FBE">
        <w:noBreakHyphen/>
      </w:r>
      <w:fldSimple w:instr=" SEQ Table \* ARABIC \s 1 ">
        <w:r w:rsidR="001E2164">
          <w:rPr>
            <w:noProof/>
          </w:rPr>
          <w:t>2</w:t>
        </w:r>
      </w:fldSimple>
      <w:bookmarkEnd w:id="37"/>
      <w:bookmarkEnd w:id="38"/>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(a</w:t>
      </w:r>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1E2164">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r>
        <w:t>t</w:t>
      </w:r>
      <w:r w:rsidR="00730504">
        <w:t>he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r>
        <w:t>t</w:t>
      </w:r>
      <w:r w:rsidR="00730504">
        <w:t>he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r>
        <w:lastRenderedPageBreak/>
        <w:t>t</w:t>
      </w:r>
      <w:r w:rsidR="005C7BE1" w:rsidRPr="005C7BE1">
        <w:t>he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both higher or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We therefore do not accept the service providers' proposed value of imputation credits of 0.25, calculated as the product of a distribution rate of 0.7 and a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r w:rsidR="00792483">
        <w:t>be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lastRenderedPageBreak/>
        <w:t>In sections</w:t>
      </w:r>
      <w:r w:rsidR="008D1665">
        <w:t xml:space="preserve"> </w:t>
      </w:r>
      <w:r w:rsidR="008D1665">
        <w:fldChar w:fldCharType="begin"/>
      </w:r>
      <w:r w:rsidR="008D1665">
        <w:instrText xml:space="preserve"> REF _Ref403482746 \r \h </w:instrText>
      </w:r>
      <w:r w:rsidR="008D1665">
        <w:fldChar w:fldCharType="separate"/>
      </w:r>
      <w:r w:rsidR="001E2164">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1E2164">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5E9F65B1"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1E2164">
        <w:t>A.4</w:t>
      </w:r>
      <w:r>
        <w:fldChar w:fldCharType="end"/>
      </w:r>
      <w:r>
        <w:t xml:space="preserve"> of appendix A</w:t>
      </w:r>
      <w:r w:rsidR="001943F7">
        <w:t>,</w:t>
      </w:r>
      <w:r>
        <w:t xml:space="preserve"> we identify where in this final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6D93F34E"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1E2164">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8"/>
      </w:r>
      <w:r>
        <w:t xml:space="preserve"> </w:t>
      </w:r>
      <w:r w:rsidR="001B6BD3">
        <w:t xml:space="preserve">The EMRF also submitted that we should </w:t>
      </w:r>
      <w:r w:rsidR="001B6BD3">
        <w:lastRenderedPageBreak/>
        <w:t>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70EAAE6E" w:rsidR="0034249A" w:rsidRDefault="0034249A" w:rsidP="005B539D">
      <w:pPr>
        <w:pStyle w:val="AERbulletlistfirststyle"/>
      </w:pPr>
      <w:r>
        <w:t>The South Australian Council of Social Service (SACOSS) submitted, based on advice received from the South Australian Centre for Economic Studies, that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7A1808">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25155E22"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lastRenderedPageBreak/>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7"/>
      </w:r>
    </w:p>
    <w:p w14:paraId="75D376B4" w14:textId="77777777" w:rsidR="009B2ABF" w:rsidRPr="009B2ABF" w:rsidRDefault="009B2ABF" w:rsidP="00FD5BE7">
      <w:pPr>
        <w:pStyle w:val="Heading3"/>
      </w:pPr>
      <w:bookmarkStart w:id="39" w:name="_Ref403482746"/>
      <w:r>
        <w:t xml:space="preserve">The </w:t>
      </w:r>
      <w:r w:rsidRPr="00FD5BE7">
        <w:t>distribution</w:t>
      </w:r>
      <w:r>
        <w:t xml:space="preserve"> rate</w:t>
      </w:r>
      <w:bookmarkEnd w:id="39"/>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0413ECCD"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7A1808">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lastRenderedPageBreak/>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r>
        <w:t>is simple and intuitive.</w:t>
      </w:r>
    </w:p>
    <w:p w14:paraId="4555B2AA" w14:textId="0B702DB9"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 xml:space="preserve">We relied on these estimates in the </w:t>
      </w:r>
      <w:r w:rsidR="0060605B">
        <w:t>preliminary</w:t>
      </w:r>
      <w:r w:rsidR="00D15210">
        <w:t xml:space="preserve"> decision.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final decision we use an estimate of the distribution rate over only listed equity of 0.77</w:t>
      </w:r>
      <w:r w:rsidR="007A1808">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1E2164">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1E2164">
        <w:t>A.10.1</w:t>
      </w:r>
      <w:r>
        <w:fldChar w:fldCharType="end"/>
      </w:r>
      <w:r>
        <w:t xml:space="preserve"> of appendix A</w:t>
      </w:r>
      <w:r w:rsidRPr="00CE7F4B">
        <w:t>.</w:t>
      </w:r>
    </w:p>
    <w:p w14:paraId="15435718" w14:textId="77777777" w:rsidR="00FE182A" w:rsidRDefault="00FE182A" w:rsidP="001754EE">
      <w:pPr>
        <w:pStyle w:val="Heading3"/>
      </w:pPr>
      <w:bookmarkStart w:id="40" w:name="_Ref414289593"/>
      <w:r>
        <w:lastRenderedPageBreak/>
        <w:t>The utilisation rate</w:t>
      </w:r>
      <w:bookmarkEnd w:id="40"/>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1E2164">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1E2164">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r>
        <w:t xml:space="preserve">less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1E2164">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 xml:space="preserve">the 'equity </w:t>
      </w:r>
      <w:r>
        <w:lastRenderedPageBreak/>
        <w:t>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r>
        <w:t xml:space="preserve">it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1E2164">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and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a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1E2164">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approach, and other measures of the utilisation or redemption of imputation credits, do not reflect a number of factors which affect investors' valuation of imputation credits.</w:t>
      </w:r>
      <w:r w:rsidR="008D1665">
        <w:rPr>
          <w:rStyle w:val="FootnoteReference"/>
        </w:rPr>
        <w:footnoteReference w:id="92"/>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1E2164">
        <w:t>A.8.2</w:t>
      </w:r>
      <w:r w:rsidR="00E478F1">
        <w:fldChar w:fldCharType="end"/>
      </w:r>
      <w:r w:rsidR="00E478F1">
        <w:t xml:space="preserve"> </w:t>
      </w:r>
      <w:r w:rsidR="008D1665">
        <w:t xml:space="preserve">of </w:t>
      </w:r>
      <w:r w:rsidR="008D1665">
        <w:lastRenderedPageBreak/>
        <w:t>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lastRenderedPageBreak/>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71B75664" w:rsidR="008D1665" w:rsidRDefault="008D1665" w:rsidP="008D1665">
      <w:pPr>
        <w:numPr>
          <w:ilvl w:val="0"/>
          <w:numId w:val="25"/>
        </w:numPr>
      </w:pPr>
      <w:r>
        <w:t xml:space="preserve">With regard to Hathaway's analysis, </w:t>
      </w:r>
      <w:r w:rsidR="00310914">
        <w:t>in the draft decision</w:t>
      </w:r>
      <w:r w:rsidR="00906661">
        <w:t>s</w:t>
      </w:r>
      <w:r w:rsidR="00310914">
        <w:t xml:space="preserve"> </w:t>
      </w:r>
      <w:r w:rsidR="007A1808">
        <w:t xml:space="preserve">released in 2014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7A1808">
        <w:t>s</w:t>
      </w:r>
      <w:r w:rsidR="00310914">
        <w:t xml:space="preserve"> that </w:t>
      </w:r>
      <w:r>
        <w:t>our estimate of the distribution rate</w:t>
      </w:r>
      <w:r w:rsidR="00310914">
        <w:t xml:space="preserve"> (0.7)</w:t>
      </w:r>
      <w:r>
        <w:t xml:space="preserve"> implie</w:t>
      </w:r>
      <w:r w:rsidR="00310914">
        <w:t>d</w:t>
      </w:r>
      <w:r>
        <w:t xml:space="preserve"> that we should adopt a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r>
        <w:t>c</w:t>
      </w:r>
      <w:r w:rsidRPr="008D1665">
        <w:t>onsistent with our estimates of the distribution rate.</w:t>
      </w:r>
    </w:p>
    <w:p w14:paraId="379436CD" w14:textId="77777777" w:rsidR="00384981" w:rsidRDefault="00384981" w:rsidP="008D1665">
      <w:pPr>
        <w:numPr>
          <w:ilvl w:val="0"/>
          <w:numId w:val="25"/>
        </w:numPr>
      </w:pPr>
      <w:r>
        <w:t xml:space="preserve">In this final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a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1E2164">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w:t>
      </w:r>
      <w:r>
        <w:lastRenderedPageBreak/>
        <w:t xml:space="preserve">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1E2164">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A common type of implied market value study are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1E2164">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1E2164">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lastRenderedPageBreak/>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1E2164">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w:t>
      </w:r>
      <w:r>
        <w:lastRenderedPageBreak/>
        <w:t>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w:t>
      </w:r>
      <w:r w:rsidR="000637AF" w:rsidRPr="0060266A">
        <w:rPr>
          <w:rStyle w:val="AERbody"/>
        </w:rPr>
        <w:lastRenderedPageBreak/>
        <w:t xml:space="preserve">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r>
        <w:t>appeared to use more reasonable and robust econometric treatments.</w:t>
      </w:r>
    </w:p>
    <w:p w14:paraId="64C16D00" w14:textId="6DB8F068" w:rsidR="002030C9" w:rsidRDefault="00EF7EC0" w:rsidP="008D1665">
      <w:pPr>
        <w:numPr>
          <w:ilvl w:val="0"/>
          <w:numId w:val="25"/>
        </w:numPr>
      </w:pPr>
      <w:r>
        <w:t xml:space="preserve">However, in this final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1E2164">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9"/>
      </w:r>
      <w:r>
        <w:t xml:space="preserve"> </w:t>
      </w:r>
      <w:r w:rsidR="000D5ED8">
        <w:t>However</w:t>
      </w:r>
      <w:r>
        <w:t xml:space="preserve">, we </w:t>
      </w:r>
      <w:r>
        <w:lastRenderedPageBreak/>
        <w:t>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1E2164">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1E2164">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1E2164">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1E2164">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r>
        <w:t>s</w:t>
      </w:r>
      <w:r w:rsidR="00C20980">
        <w:t xml:space="preserve">everal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lastRenderedPageBreak/>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1E2164">
        <w:t>A.14</w:t>
      </w:r>
      <w:r w:rsidR="00C31B22">
        <w:fldChar w:fldCharType="end"/>
      </w:r>
      <w:r>
        <w:t xml:space="preserve"> of appendix A.</w:t>
      </w:r>
    </w:p>
    <w:p w14:paraId="54955EC0" w14:textId="77777777" w:rsidR="00091B15" w:rsidRDefault="00B168A4" w:rsidP="00091B15">
      <w:pPr>
        <w:pStyle w:val="Heading7"/>
      </w:pPr>
      <w:bookmarkStart w:id="41" w:name="_Toc433440671"/>
      <w:r>
        <w:lastRenderedPageBreak/>
        <w:t>Value of imputation credits: Detailed analysis</w:t>
      </w:r>
      <w:bookmarkEnd w:id="41"/>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3FC9010A"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determination </w:t>
      </w:r>
      <w:r w:rsidR="00EC3176">
        <w:t xml:space="preserve"> is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2" w:name="_Ref414621676"/>
      <w:bookmarkStart w:id="43" w:name="_Toc433440672"/>
      <w:r>
        <w:t>Expert views on the value of imputation credits</w:t>
      </w:r>
      <w:bookmarkEnd w:id="42"/>
      <w:bookmarkEnd w:id="43"/>
    </w:p>
    <w:p w14:paraId="214B1581" w14:textId="7A54C054"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1E2164" w:rsidRPr="009421A7">
        <w:t xml:space="preserve">Table </w:t>
      </w:r>
      <w:r w:rsidR="001E2164">
        <w:rPr>
          <w:noProof/>
        </w:rPr>
        <w:t>4</w:t>
      </w:r>
      <w:r w:rsidR="001E2164">
        <w:noBreakHyphen/>
      </w:r>
      <w:r w:rsidR="001E2164">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final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w:t>
      </w:r>
      <w:r w:rsidR="004E30F8">
        <w:lastRenderedPageBreak/>
        <w:t xml:space="preserve">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44" w:name="_Ref400609043"/>
      <w:r w:rsidRPr="009421A7">
        <w:t xml:space="preserve">Table </w:t>
      </w:r>
      <w:fldSimple w:instr=" STYLEREF 1 \s ">
        <w:r w:rsidR="001E2164">
          <w:rPr>
            <w:noProof/>
          </w:rPr>
          <w:t>4</w:t>
        </w:r>
      </w:fldSimple>
      <w:r w:rsidR="00257FBE">
        <w:noBreakHyphen/>
      </w:r>
      <w:fldSimple w:instr=" SEQ Table \* ARABIC \s 1 ">
        <w:r w:rsidR="001E2164">
          <w:rPr>
            <w:noProof/>
          </w:rPr>
          <w:t>3</w:t>
        </w:r>
      </w:fldSimple>
      <w:bookmarkEnd w:id="44"/>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1E2164">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77777777"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5436C8">
        <w:t>final</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5" w:name="_Ref414621875"/>
      <w:bookmarkStart w:id="46" w:name="_Toc433440673"/>
      <w:r>
        <w:t>The value of imputation credits used by other regulators</w:t>
      </w:r>
      <w:bookmarkEnd w:id="45"/>
      <w:bookmarkEnd w:id="46"/>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1E2164">
        <w:t xml:space="preserve">Table </w:t>
      </w:r>
      <w:r w:rsidR="001E2164">
        <w:rPr>
          <w:noProof/>
        </w:rPr>
        <w:t>4</w:t>
      </w:r>
      <w:r w:rsidR="001E2164">
        <w:noBreakHyphen/>
      </w:r>
      <w:r w:rsidR="001E2164">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47" w:name="_Ref401082422"/>
      <w:r>
        <w:lastRenderedPageBreak/>
        <w:t xml:space="preserve">Table </w:t>
      </w:r>
      <w:fldSimple w:instr=" STYLEREF 1 \s ">
        <w:r w:rsidR="001E2164">
          <w:rPr>
            <w:noProof/>
          </w:rPr>
          <w:t>4</w:t>
        </w:r>
      </w:fldSimple>
      <w:r w:rsidR="00257FBE">
        <w:noBreakHyphen/>
      </w:r>
      <w:fldSimple w:instr=" SEQ Table \* ARABIC \s 1 ">
        <w:r w:rsidR="001E2164">
          <w:rPr>
            <w:noProof/>
          </w:rPr>
          <w:t>4</w:t>
        </w:r>
      </w:fldSimple>
      <w:bookmarkEnd w:id="47"/>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77777777" w:rsidR="00924584" w:rsidRDefault="00675214" w:rsidP="00924584">
      <w:r>
        <w:t>C</w:t>
      </w:r>
      <w:r w:rsidR="00206294">
        <w:t>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final decision value of imputation credits of 0.4 sits within the range adopted by regulators.</w:t>
      </w:r>
    </w:p>
    <w:p w14:paraId="3CF3DEE6" w14:textId="77777777" w:rsidR="008B661B" w:rsidRPr="008B661B" w:rsidRDefault="008B661B" w:rsidP="008B661B">
      <w:pPr>
        <w:pStyle w:val="Heading8"/>
      </w:pPr>
      <w:bookmarkStart w:id="48" w:name="_Toc433440674"/>
      <w:r w:rsidRPr="008B661B">
        <w:t>Previous Australian Competition Tribunal considerations</w:t>
      </w:r>
      <w:bookmarkEnd w:id="48"/>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r>
        <w:lastRenderedPageBreak/>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1E2164" w:rsidRPr="000E711B">
        <w:t>table</w:t>
      </w:r>
      <w:r w:rsidR="001E2164" w:rsidRPr="000E711B">
        <w:rPr>
          <w:noProof/>
        </w:rPr>
        <w:t xml:space="preserve"> </w:t>
      </w:r>
      <w:r w:rsidR="001E2164">
        <w:rPr>
          <w:noProof/>
        </w:rPr>
        <w:t>4</w:t>
      </w:r>
      <w:r w:rsidR="001E2164">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4"/>
          <w:footerReference w:type="default" r:id="rId15"/>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49" w:name="_Ref400609646"/>
      <w:bookmarkStart w:id="50" w:name="_Ref401260171"/>
      <w:r w:rsidRPr="000E711B">
        <w:t xml:space="preserve">Table </w:t>
      </w:r>
      <w:fldSimple w:instr=" STYLEREF 1 \s ">
        <w:r w:rsidR="001E2164">
          <w:rPr>
            <w:noProof/>
          </w:rPr>
          <w:t>4</w:t>
        </w:r>
      </w:fldSimple>
      <w:r w:rsidR="00257FBE">
        <w:noBreakHyphen/>
      </w:r>
      <w:fldSimple w:instr=" SEQ Table \* ARABIC \s 1 ">
        <w:r w:rsidR="001E2164">
          <w:rPr>
            <w:noProof/>
          </w:rPr>
          <w:t>5</w:t>
        </w:r>
      </w:fldSimple>
      <w:bookmarkEnd w:id="49"/>
      <w:r w:rsidRPr="000E711B">
        <w:tab/>
        <w:t>Australian Competition Tribunal's observations on imputation credits</w:t>
      </w:r>
      <w:bookmarkEnd w:id="50"/>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1E2164">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1E2164">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1E2164">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1E2164">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1E2164">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1E2164">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1E2164">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1E2164">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lastRenderedPageBreak/>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51" w:name="_Ref415070393"/>
      <w:bookmarkStart w:id="52" w:name="_Toc433440675"/>
      <w:bookmarkStart w:id="53" w:name="_Ref400961862"/>
      <w:r>
        <w:t>Key concerns of</w:t>
      </w:r>
      <w:r w:rsidR="002630C5">
        <w:t xml:space="preserve"> the service providers</w:t>
      </w:r>
      <w:bookmarkEnd w:id="51"/>
      <w:bookmarkEnd w:id="52"/>
    </w:p>
    <w:p w14:paraId="7097614B" w14:textId="5B6AAEFB"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of </w:t>
      </w:r>
      <w:r w:rsidR="00407BEB">
        <w:t xml:space="preserve"> other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final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1E2164">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1E2164">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1E2164">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1E2164">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1E2164">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1E2164">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1E2164">
        <w:t>4.4.2</w:t>
      </w:r>
      <w:r w:rsidR="004B6775">
        <w:fldChar w:fldCharType="end"/>
      </w:r>
      <w:r w:rsidR="004B6775">
        <w:t xml:space="preserve"> why the equity ownership approach provides a reasonable estimate.</w:t>
      </w:r>
    </w:p>
    <w:p w14:paraId="2097FA60" w14:textId="6959C492"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1E2164">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w:t>
      </w:r>
      <w:r w:rsidR="00DD7B9A">
        <w:lastRenderedPageBreak/>
        <w:t>applications of the equity ownership approach. In this final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1E2164">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1E2164">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1E2164">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1E2164">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1E2164">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1E2164">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1E2164">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1E2164">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1E2164">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1E2164">
        <w:t>A.10.1</w:t>
      </w:r>
      <w:r w:rsidR="00680EF4">
        <w:fldChar w:fldCharType="end"/>
      </w:r>
      <w:r w:rsidR="00680EF4">
        <w:t xml:space="preserve"> we explain why we </w:t>
      </w:r>
      <w:r w:rsidR="0046390C">
        <w:t>disagree</w:t>
      </w:r>
      <w:r w:rsidR="00680EF4">
        <w:t>.</w:t>
      </w:r>
    </w:p>
    <w:p w14:paraId="38873E45" w14:textId="242888ED"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the evidence presented in both the draft decision</w:t>
      </w:r>
      <w:r w:rsidR="00895E9C">
        <w:t>s</w:t>
      </w:r>
      <w:r>
        <w:t xml:space="preserve"> and this final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w:t>
      </w:r>
      <w:r w:rsidRPr="0060266A">
        <w:rPr>
          <w:rStyle w:val="AERtexthighlight"/>
          <w:shd w:val="clear" w:color="auto" w:fill="auto"/>
        </w:rPr>
        <w:lastRenderedPageBreak/>
        <w:t>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The criticisms of Gray and Hall's dividend drop-off work is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4" w:name="_Ref415144114"/>
      <w:bookmarkStart w:id="55" w:name="_Toc433440676"/>
      <w:r>
        <w:t xml:space="preserve">The role </w:t>
      </w:r>
      <w:r w:rsidRPr="00615CE6">
        <w:t>of</w:t>
      </w:r>
      <w:r>
        <w:t xml:space="preserve"> the value of imputation credits in the regulatory framework</w:t>
      </w:r>
      <w:bookmarkEnd w:id="53"/>
      <w:bookmarkEnd w:id="54"/>
      <w:bookmarkEnd w:id="55"/>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r>
        <w:t xml:space="preserve">the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r>
        <w:t>f</w:t>
      </w:r>
      <w:r w:rsidR="00615CE6" w:rsidRPr="009D12C3">
        <w:t>und its operating expenses.</w:t>
      </w:r>
    </w:p>
    <w:p w14:paraId="789FA7BE" w14:textId="77777777" w:rsidR="00615CE6" w:rsidRPr="00615CE6" w:rsidRDefault="0084249F" w:rsidP="00615CE6">
      <w:pPr>
        <w:pStyle w:val="AERbulletlistfirststyle"/>
      </w:pPr>
      <w:r>
        <w:t>a</w:t>
      </w:r>
      <w:r w:rsidR="00615CE6" w:rsidRPr="009D12C3">
        <w:t>chieve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r>
        <w:t>p</w:t>
      </w:r>
      <w:r w:rsidR="00615CE6" w:rsidRPr="009D12C3">
        <w:t>ay its tax liability.</w:t>
      </w:r>
    </w:p>
    <w:p w14:paraId="4D79BA20" w14:textId="77777777" w:rsidR="00615CE6" w:rsidRPr="00615CE6" w:rsidRDefault="0084249F" w:rsidP="00615CE6">
      <w:pPr>
        <w:pStyle w:val="AERbulletlistfirststyle"/>
      </w:pPr>
      <w:r>
        <w:t>r</w:t>
      </w:r>
      <w:r w:rsidR="00615CE6" w:rsidRPr="009D12C3">
        <w:t xml:space="preserve">eflect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lastRenderedPageBreak/>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1E2164">
        <w:t>A.6</w:t>
      </w:r>
      <w:r>
        <w:fldChar w:fldCharType="end"/>
      </w:r>
      <w:r>
        <w:t xml:space="preserve">, </w:t>
      </w:r>
      <w:r>
        <w:fldChar w:fldCharType="begin"/>
      </w:r>
      <w:r>
        <w:instrText xml:space="preserve"> REF _Ref414028398 \r \h </w:instrText>
      </w:r>
      <w:r>
        <w:fldChar w:fldCharType="separate"/>
      </w:r>
      <w:r w:rsidR="001E2164">
        <w:t>A.7.3</w:t>
      </w:r>
      <w:r>
        <w:fldChar w:fldCharType="end"/>
      </w:r>
      <w:r>
        <w:t xml:space="preserve"> and </w:t>
      </w:r>
      <w:r>
        <w:fldChar w:fldCharType="begin"/>
      </w:r>
      <w:r>
        <w:instrText xml:space="preserve"> REF _Ref401748758 \r \h </w:instrText>
      </w:r>
      <w:r>
        <w:fldChar w:fldCharType="separate"/>
      </w:r>
      <w:r w:rsidR="001E2164">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8E04D0">
      <w:pPr>
        <w:pStyle w:val="AERbulletlistsecon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8E04D0">
      <w:pPr>
        <w:pStyle w:val="AERbulletlistsecon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lastRenderedPageBreak/>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8E04D0">
      <w:pPr>
        <w:pStyle w:val="AERbulletlistsecondstyle"/>
        <w:rPr>
          <w:rStyle w:val="AERtexthighlight"/>
          <w:shd w:val="clear" w:color="auto" w:fill="auto"/>
        </w:rPr>
      </w:pPr>
      <w:r w:rsidRPr="00B535FE">
        <w:rPr>
          <w:rStyle w:val="AERtexthighlight"/>
          <w:shd w:val="clear" w:color="auto" w:fill="auto"/>
        </w:rPr>
        <w:t xml:space="preserve">is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capital </w:t>
      </w:r>
      <w:r w:rsidRPr="007B0943">
        <w:rPr>
          <w:rStyle w:val="AERtexthighlight"/>
          <w:shd w:val="clear" w:color="auto" w:fill="auto"/>
        </w:rPr>
        <w:t xml:space="preserve"> </w:t>
      </w:r>
      <w:r w:rsidR="00070475" w:rsidRPr="007B0943">
        <w:rPr>
          <w:rStyle w:val="AERtexthighlight"/>
          <w:shd w:val="clear" w:color="auto" w:fill="auto"/>
        </w:rPr>
        <w:t>(</w:t>
      </w:r>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are </w:t>
      </w:r>
      <w:r w:rsidR="00402335" w:rsidRPr="007B0943">
        <w:rPr>
          <w:rStyle w:val="AERtexthighlight"/>
          <w:shd w:val="clear" w:color="auto" w:fill="auto"/>
        </w:rPr>
        <w:t xml:space="preserve"> </w:t>
      </w:r>
      <w:r w:rsidRPr="007B0943">
        <w:rPr>
          <w:rStyle w:val="AERtexthighlight"/>
          <w:shd w:val="clear" w:color="auto" w:fill="auto"/>
        </w:rPr>
        <w:t>before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09B48945" w14:textId="3C55633A" w:rsidR="00615CE6" w:rsidRPr="002520CD" w:rsidRDefault="004F3A30" w:rsidP="002520CD">
      <w:pPr>
        <w:pStyle w:val="Heading9"/>
      </w:pPr>
      <w:r w:rsidRPr="002520CD">
        <w:t xml:space="preserve"> </w:t>
      </w:r>
      <w:bookmarkStart w:id="56" w:name="_Ref400962032"/>
      <w:r w:rsidR="00615CE6" w:rsidRPr="002520CD">
        <w:t>The tax building block</w:t>
      </w:r>
      <w:bookmarkEnd w:id="56"/>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specify that we must estimate a nominal 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D07F12"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D07F12"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r w:rsidR="00615CE6" w:rsidRPr="00615CE6">
        <w:t>is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is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57" w:name="_Ref400965182"/>
      <w:bookmarkStart w:id="58" w:name="_Toc433440677"/>
      <w:r w:rsidRPr="00A3557D">
        <w:t>The</w:t>
      </w:r>
      <w:r>
        <w:t xml:space="preserve"> conceptual framework for the value of imputation credits</w:t>
      </w:r>
      <w:bookmarkEnd w:id="57"/>
      <w:bookmarkEnd w:id="58"/>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1E2164">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require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t xml:space="preserve">Officer describes gamma in different ways, and this is a potential source of ambiguity regarding what the parameter represents and therefore how one might estimate it in practice. Whilst Handley acknowledged that Officer describes gamma in seemingly different </w:t>
      </w:r>
      <w:r>
        <w:lastRenderedPageBreak/>
        <w:t>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r w:rsidRPr="00EB15F4">
        <w:t>and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w:lastRenderedPageBreak/>
          <m:t>F</m:t>
        </m:r>
      </m:oMath>
      <w:r w:rsidRPr="00A3557D">
        <w:t xml:space="preserve"> is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(theta)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(psi)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77777777"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that is, our definition of the utilisation rate in this final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1E2164">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1E2164">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1E2164">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xml:space="preserve">,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w:t>
      </w:r>
      <w:r>
        <w:lastRenderedPageBreak/>
        <w:t>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1E2164">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59" w:name="_Ref414282622"/>
      <w:bookmarkStart w:id="60" w:name="_Toc433440678"/>
      <w:r>
        <w:t>Gray</w:t>
      </w:r>
      <w:r w:rsidR="007D4339">
        <w:t xml:space="preserve">'s </w:t>
      </w:r>
      <w:r w:rsidR="00977EFF">
        <w:t>comments on the conceptual framework</w:t>
      </w:r>
      <w:bookmarkEnd w:id="59"/>
      <w:r w:rsidR="007D4339">
        <w:rPr>
          <w:rStyle w:val="FootnoteReference"/>
        </w:rPr>
        <w:footnoteReference w:id="175"/>
      </w:r>
      <w:bookmarkEnd w:id="60"/>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61" w:name="_Ref402179374"/>
      <w:r>
        <w:lastRenderedPageBreak/>
        <w:t>Gray</w:t>
      </w:r>
      <w:r w:rsidR="006178F5">
        <w:t>'s comments on the AER's position</w:t>
      </w:r>
    </w:p>
    <w:p w14:paraId="4A71C73B" w14:textId="13BFD10D"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7"/>
      </w:r>
      <w:r w:rsidR="006178F5">
        <w:t xml:space="preserve"> This is incorrect. Our definition of the utilisation rate in this final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1E2164">
        <w:t>A.7.3</w:t>
      </w:r>
      <w:r w:rsidR="005A4862">
        <w:fldChar w:fldCharType="end"/>
      </w:r>
      <w:r w:rsidR="005A4862">
        <w:t>.</w:t>
      </w:r>
    </w:p>
    <w:p w14:paraId="09F50B0A" w14:textId="2B460415"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final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final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1E2164">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1"/>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lastRenderedPageBreak/>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2" w:name="_Ref414028398"/>
      <w:r>
        <w:t>Gray</w:t>
      </w:r>
      <w:r w:rsidR="00082AC5">
        <w:t>'s comments on Offi</w:t>
      </w:r>
      <w:r w:rsidR="00F650D2">
        <w:t>cer (1994)</w:t>
      </w:r>
      <w:bookmarkEnd w:id="62"/>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lastRenderedPageBreak/>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lastRenderedPageBreak/>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D07F12"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lastRenderedPageBreak/>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D07F12"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lastRenderedPageBreak/>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t>Gray also quoted:</w:t>
      </w:r>
      <w:r>
        <w:rPr>
          <w:rStyle w:val="FootnoteReference"/>
        </w:rPr>
        <w:footnoteReference w:id="201"/>
      </w:r>
    </w:p>
    <w:p w14:paraId="03348BEC" w14:textId="77777777" w:rsidR="00800C8B" w:rsidRPr="00800C8B" w:rsidRDefault="00800C8B" w:rsidP="00800C8B">
      <w:pPr>
        <w:pStyle w:val="AERquote"/>
      </w:pPr>
      <w:r w:rsidRPr="00800C8B">
        <w:lastRenderedPageBreak/>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w:t>
      </w:r>
      <w:r w:rsidR="00391493">
        <w:lastRenderedPageBreak/>
        <w:t>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 xml:space="preserve">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w:t>
      </w:r>
      <w:r w:rsidRPr="00B56748">
        <w:lastRenderedPageBreak/>
        <w:t>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lastRenderedPageBreak/>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 xml:space="preserve">An alternative and less extreme assumption which is implicit in the use of a “domestic” version of the CAPM is that any assets outside the model and any investors outside the model are not relevant for determining the prices of the assets </w:t>
      </w:r>
      <w:r>
        <w:lastRenderedPageBreak/>
        <w:t>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3" w:name="_Ref414623120"/>
      <w:bookmarkStart w:id="64" w:name="_Toc433440679"/>
      <w:r>
        <w:t>Further issues relating to the utilisation rate</w:t>
      </w:r>
      <w:bookmarkEnd w:id="63"/>
      <w:bookmarkEnd w:id="64"/>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xml:space="preserve">, and in section </w:t>
      </w:r>
      <w:r w:rsidR="0003311D">
        <w:fldChar w:fldCharType="begin"/>
      </w:r>
      <w:r w:rsidR="0003311D">
        <w:instrText xml:space="preserve"> REF _Ref414289593 \r \h </w:instrText>
      </w:r>
      <w:r w:rsidR="0003311D">
        <w:fldChar w:fldCharType="separate"/>
      </w:r>
      <w:r w:rsidR="001E2164">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1E2164">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lastRenderedPageBreak/>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65" w:name="_Ref401748758"/>
      <w:r w:rsidRPr="00600543">
        <w:t>Consistency</w:t>
      </w:r>
      <w:r>
        <w:t xml:space="preserve"> with the building block framework</w:t>
      </w:r>
      <w:bookmarkEnd w:id="65"/>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lastRenderedPageBreak/>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0BC8AA5C"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and maintain in this final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1E2164">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lastRenderedPageBreak/>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 xml:space="preserve">SFG (2015 para. 124-135) also suggests that the mathematical formulae in Officer (1994) support a value interpretation of gamma but not a redemption value </w:t>
      </w:r>
      <w:r w:rsidRPr="00DC6340">
        <w:rPr>
          <w:rStyle w:val="AERtexthighlight"/>
          <w:shd w:val="clear" w:color="auto" w:fill="auto"/>
        </w:rPr>
        <w:lastRenderedPageBreak/>
        <w:t>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66" w:name="_Ref414099389"/>
      <w:r>
        <w:t>Factors affecting investors' valuation of imputation credits</w:t>
      </w:r>
      <w:bookmarkEnd w:id="66"/>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w:t>
      </w:r>
      <w:r w:rsidRPr="00E23E1D">
        <w:lastRenderedPageBreak/>
        <w:t xml:space="preserve">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0.3/(1–0.3)).</w:t>
      </w:r>
      <w:r w:rsidR="00D712D1">
        <w:rPr>
          <w:rStyle w:val="FootnoteReference"/>
        </w:rPr>
        <w:footnoteReference w:id="234"/>
      </w:r>
      <w:r>
        <w:t xml:space="preserve"> Accordingly, we can compare the amount of imputation credits utilised by taxpayers with the amount of imputation credits received by those taxpayers as implied by the amount of fully </w:t>
      </w:r>
      <w:r>
        <w:lastRenderedPageBreak/>
        <w:t xml:space="preserve">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1E2164">
        <w:t xml:space="preserve">Table </w:t>
      </w:r>
      <w:r w:rsidR="001E2164">
        <w:rPr>
          <w:noProof/>
        </w:rPr>
        <w:t>4</w:t>
      </w:r>
      <w:r w:rsidR="001E2164">
        <w:noBreakHyphen/>
      </w:r>
      <w:r w:rsidR="001E2164">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67" w:name="_Ref401848641"/>
      <w:r>
        <w:t xml:space="preserve">Table </w:t>
      </w:r>
      <w:fldSimple w:instr=" STYLEREF 1 \s ">
        <w:r w:rsidR="001E2164">
          <w:rPr>
            <w:noProof/>
          </w:rPr>
          <w:t>4</w:t>
        </w:r>
      </w:fldSimple>
      <w:r w:rsidR="00257FBE">
        <w:noBreakHyphen/>
      </w:r>
      <w:fldSimple w:instr=" SEQ Table \* ARABIC \s 1 ">
        <w:r w:rsidR="001E2164">
          <w:rPr>
            <w:noProof/>
          </w:rPr>
          <w:t>6</w:t>
        </w:r>
      </w:fldSimple>
      <w:bookmarkEnd w:id="67"/>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 xml:space="preserve">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w:t>
      </w:r>
      <w:r>
        <w:lastRenderedPageBreak/>
        <w:t>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68" w:name="_Ref400540858"/>
      <w:r>
        <w:t>Transactions costs</w:t>
      </w:r>
      <w:bookmarkEnd w:id="68"/>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lastRenderedPageBreak/>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1E2164">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545E09">
        <w:t xml:space="preserve">. </w:t>
      </w:r>
    </w:p>
    <w:p w14:paraId="7FBEC5DE" w14:textId="77777777" w:rsidR="00545B75" w:rsidRDefault="00A7103E" w:rsidP="00A7103E">
      <w:pPr>
        <w:pStyle w:val="Caption"/>
      </w:pPr>
      <w:bookmarkStart w:id="69" w:name="_Ref415078600"/>
      <w:r>
        <w:t xml:space="preserve">Figure </w:t>
      </w:r>
      <w:fldSimple w:instr=" STYLEREF 1 \s ">
        <w:r w:rsidR="001E2164">
          <w:rPr>
            <w:noProof/>
          </w:rPr>
          <w:t>4</w:t>
        </w:r>
      </w:fldSimple>
      <w:r>
        <w:noBreakHyphen/>
      </w:r>
      <w:fldSimple w:instr=" SEQ Figure \* ARABIC \s 1 ">
        <w:r w:rsidR="001E2164">
          <w:rPr>
            <w:noProof/>
          </w:rPr>
          <w:t>1</w:t>
        </w:r>
      </w:fldSimple>
      <w:bookmarkEnd w:id="69"/>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70" w:name="_Ref415078618"/>
      <w:r>
        <w:lastRenderedPageBreak/>
        <w:t xml:space="preserve">Figure </w:t>
      </w:r>
      <w:fldSimple w:instr=" STYLEREF 1 \s ">
        <w:r w:rsidR="001E2164">
          <w:rPr>
            <w:noProof/>
          </w:rPr>
          <w:t>4</w:t>
        </w:r>
      </w:fldSimple>
      <w:r>
        <w:noBreakHyphen/>
      </w:r>
      <w:fldSimple w:instr=" SEQ Figure \* ARABIC \s 1 ">
        <w:r w:rsidR="001E2164">
          <w:rPr>
            <w:noProof/>
          </w:rPr>
          <w:t>2</w:t>
        </w:r>
      </w:fldSimple>
      <w:bookmarkEnd w:id="70"/>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w:t>
      </w:r>
      <w:r w:rsidR="004D44E4">
        <w:lastRenderedPageBreak/>
        <w:t xml:space="preserve">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1E2164">
        <w:t xml:space="preserve">figure </w:t>
      </w:r>
      <w:r w:rsidR="001E2164">
        <w:rPr>
          <w:noProof/>
        </w:rPr>
        <w:t>4</w:t>
      </w:r>
      <w:r w:rsidR="001E2164">
        <w:noBreakHyphen/>
      </w:r>
      <w:r w:rsidR="001E2164">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1E2164">
        <w:t xml:space="preserve">figure </w:t>
      </w:r>
      <w:r w:rsidR="001E2164">
        <w:rPr>
          <w:noProof/>
        </w:rPr>
        <w:t>4</w:t>
      </w:r>
      <w:r w:rsidR="001E2164">
        <w:noBreakHyphen/>
      </w:r>
      <w:r w:rsidR="001E2164">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1E2164">
        <w:t xml:space="preserve">figure </w:t>
      </w:r>
      <w:r w:rsidR="001E2164">
        <w:rPr>
          <w:noProof/>
        </w:rPr>
        <w:t>4</w:t>
      </w:r>
      <w:r w:rsidR="001E2164">
        <w:noBreakHyphen/>
      </w:r>
      <w:r w:rsidR="001E2164">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1E2164">
        <w:t xml:space="preserve">figure </w:t>
      </w:r>
      <w:r w:rsidR="001E2164">
        <w:rPr>
          <w:noProof/>
        </w:rPr>
        <w:t>4</w:t>
      </w:r>
      <w:r w:rsidR="001E2164">
        <w:noBreakHyphen/>
      </w:r>
      <w:r w:rsidR="001E2164">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1E2164">
        <w:t xml:space="preserve">figure </w:t>
      </w:r>
      <w:r w:rsidR="001E2164">
        <w:rPr>
          <w:noProof/>
        </w:rPr>
        <w:t>4</w:t>
      </w:r>
      <w:r w:rsidR="001E2164">
        <w:noBreakHyphen/>
      </w:r>
      <w:r w:rsidR="001E2164">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w:t>
      </w:r>
      <w:r w:rsidR="001F5AF0">
        <w:lastRenderedPageBreak/>
        <w:t>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6D450450"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be used as a point estimate of </w:t>
      </w:r>
      <w:r w:rsidR="006207FA">
        <w:rPr>
          <w:rStyle w:val="AERbody"/>
        </w:rPr>
        <w:t>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6207FA">
        <w:rPr>
          <w:rStyle w:val="AERbody"/>
        </w:rPr>
        <w:t>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w:t>
      </w:r>
      <w:r w:rsidR="00693FAB">
        <w:lastRenderedPageBreak/>
        <w:t xml:space="preserve">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lastRenderedPageBreak/>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 xml:space="preserve">is not clearly material </w:t>
      </w:r>
      <w:r w:rsidR="00FA6E24" w:rsidRPr="00507D00">
        <w:rPr>
          <w:rStyle w:val="AERbody"/>
        </w:rPr>
        <w:lastRenderedPageBreak/>
        <w:t>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0"/>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1" w:name="_Ref415068711"/>
      <w:bookmarkStart w:id="72" w:name="_Toc433440680"/>
      <w:r w:rsidRPr="00063611">
        <w:lastRenderedPageBreak/>
        <w:t>Estimation</w:t>
      </w:r>
      <w:r>
        <w:t xml:space="preserve"> approach considerations</w:t>
      </w:r>
      <w:bookmarkEnd w:id="71"/>
      <w:bookmarkEnd w:id="72"/>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3" w:name="_Ref401048631"/>
      <w:r>
        <w:t xml:space="preserve">Evidence from all equity or </w:t>
      </w:r>
      <w:r w:rsidR="001C274C">
        <w:t>only listed equity</w:t>
      </w:r>
      <w:bookmarkEnd w:id="7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w:t>
      </w:r>
      <w:r>
        <w:lastRenderedPageBreak/>
        <w:t xml:space="preserve">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1E2164">
        <w:t>A.8.2</w:t>
      </w:r>
      <w:r w:rsidR="00FB4F6C">
        <w:fldChar w:fldCharType="end"/>
      </w:r>
      <w:r w:rsidR="00FB4F6C">
        <w:t>).</w:t>
      </w:r>
    </w:p>
    <w:p w14:paraId="548D7A1C" w14:textId="77777777" w:rsidR="00063611" w:rsidRDefault="00063611" w:rsidP="00063611">
      <w:pPr>
        <w:pStyle w:val="Heading9"/>
      </w:pPr>
      <w:bookmarkStart w:id="74" w:name="_Ref403481194"/>
      <w:r>
        <w:t xml:space="preserve">Relationship between the distribution rate and </w:t>
      </w:r>
      <w:r w:rsidRPr="00063611">
        <w:t>the</w:t>
      </w:r>
      <w:r>
        <w:t xml:space="preserve"> utilisation rate</w:t>
      </w:r>
      <w:bookmarkEnd w:id="74"/>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w:t>
      </w:r>
      <w:r w:rsidRPr="007467FD">
        <w:lastRenderedPageBreak/>
        <w:t xml:space="preserve">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5" w:name="_Ref401133206"/>
      <w:bookmarkStart w:id="76" w:name="_Toc433440681"/>
      <w:r w:rsidRPr="00EF5E4A">
        <w:t>Estimating</w:t>
      </w:r>
      <w:r>
        <w:t xml:space="preserve"> the </w:t>
      </w:r>
      <w:r w:rsidRPr="00BC3784">
        <w:t>distribution</w:t>
      </w:r>
      <w:r>
        <w:t xml:space="preserve"> rate</w:t>
      </w:r>
      <w:bookmarkEnd w:id="75"/>
      <w:bookmarkEnd w:id="76"/>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1E2164">
        <w:t>4.4.1</w:t>
      </w:r>
      <w:r w:rsidR="0081589C">
        <w:fldChar w:fldCharType="end"/>
      </w:r>
      <w:r>
        <w:t xml:space="preserve"> of attachment 4. Consistent with the Guideline, we estimate it using the 'cumulative payout ratio approach', which uses data from the ATO on the </w:t>
      </w:r>
      <w:r>
        <w:lastRenderedPageBreak/>
        <w:t>accounts 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56FA9102"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final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77" w:name="_Ref414289334"/>
      <w:bookmarkStart w:id="78"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77"/>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lastRenderedPageBreak/>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4425C755"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1E2164">
        <w:t>A.9.2</w:t>
      </w:r>
      <w:r w:rsidR="00680EF4">
        <w:fldChar w:fldCharType="end"/>
      </w:r>
      <w:r w:rsidR="00AB06BE">
        <w:t xml:space="preserve"> of this</w:t>
      </w:r>
      <w:r>
        <w:t xml:space="preserve"> final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lastRenderedPageBreak/>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w:t>
      </w:r>
      <w:r w:rsidR="00B46702">
        <w:lastRenderedPageBreak/>
        <w:t xml:space="preserve">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1E2164">
        <w:t xml:space="preserve">figure </w:t>
      </w:r>
      <w:r w:rsidR="001E2164">
        <w:rPr>
          <w:noProof/>
        </w:rPr>
        <w:t>4</w:t>
      </w:r>
      <w:r w:rsidR="001E2164">
        <w:noBreakHyphen/>
      </w:r>
      <w:r w:rsidR="001E2164">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1E2164">
        <w:t xml:space="preserve">figure </w:t>
      </w:r>
      <w:r w:rsidR="001E2164">
        <w:rPr>
          <w:noProof/>
        </w:rPr>
        <w:t>4</w:t>
      </w:r>
      <w:r w:rsidR="001E2164">
        <w:noBreakHyphen/>
      </w:r>
      <w:r w:rsidR="001E2164">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 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w:t>
      </w:r>
      <w:r w:rsidRPr="008E408D">
        <w:rPr>
          <w:rStyle w:val="AERbody"/>
        </w:rPr>
        <w:lastRenderedPageBreak/>
        <w:t>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79" w:name="_Ref415126827"/>
      <w:r>
        <w:t>The cumulative payout ratio approach</w:t>
      </w:r>
      <w:bookmarkEnd w:id="78"/>
      <w:bookmarkEnd w:id="79"/>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lastRenderedPageBreak/>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lastRenderedPageBreak/>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215E9FFD"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the FAB data in this final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0" w:name="_Ref403481535"/>
      <w:bookmarkStart w:id="81" w:name="_Toc433440682"/>
      <w:r>
        <w:t>Application of rate of return criteria to evidence on the utilisation rate</w:t>
      </w:r>
      <w:bookmarkEnd w:id="80"/>
      <w:bookmarkEnd w:id="81"/>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1E2164">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1E2164">
        <w:t xml:space="preserve">table </w:t>
      </w:r>
      <w:r w:rsidR="001E2164">
        <w:rPr>
          <w:noProof/>
        </w:rPr>
        <w:t>4</w:t>
      </w:r>
      <w:r w:rsidR="001E2164" w:rsidRPr="00277D14">
        <w:noBreakHyphen/>
      </w:r>
      <w:r w:rsidR="001E2164">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82" w:name="_Ref415046112"/>
      <w:r>
        <w:t xml:space="preserve">Table </w:t>
      </w:r>
      <w:fldSimple w:instr=" STYLEREF 1 \s ">
        <w:r w:rsidR="001E2164">
          <w:rPr>
            <w:noProof/>
          </w:rPr>
          <w:t>4</w:t>
        </w:r>
      </w:fldSimple>
      <w:r w:rsidRPr="00277D14">
        <w:noBreakHyphen/>
      </w:r>
      <w:fldSimple w:instr=" SEQ Table \* ARABIC \s 1 ">
        <w:r w:rsidR="001E2164">
          <w:rPr>
            <w:noProof/>
          </w:rPr>
          <w:t>7</w:t>
        </w:r>
      </w:fldSimple>
      <w:bookmarkEnd w:id="82"/>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3" w:name="_Ref403481615"/>
    </w:p>
    <w:p w14:paraId="0DA7B9E1" w14:textId="77777777" w:rsidR="0016005F" w:rsidRDefault="0016005F" w:rsidP="0016005F">
      <w:pPr>
        <w:pStyle w:val="Heading8"/>
      </w:pPr>
      <w:bookmarkStart w:id="84" w:name="_Ref415049811"/>
      <w:bookmarkStart w:id="85" w:name="_Toc433440683"/>
      <w:r>
        <w:lastRenderedPageBreak/>
        <w:t xml:space="preserve">The equity ownership </w:t>
      </w:r>
      <w:r w:rsidRPr="0016005F">
        <w:t>approach</w:t>
      </w:r>
      <w:bookmarkEnd w:id="83"/>
      <w:bookmarkEnd w:id="84"/>
      <w:bookmarkEnd w:id="85"/>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77777777"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1E2164">
        <w:t>4.4.2</w:t>
      </w:r>
      <w:r w:rsidR="00966578">
        <w:fldChar w:fldCharType="end"/>
      </w:r>
      <w:r>
        <w:t xml:space="preserve"> of attachment 4. In this section, we provide further detail on our application of the approach. We also compare our assessment of the approach in this </w:t>
      </w:r>
      <w:r w:rsidR="00CE2DEA">
        <w:t>final</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1E2164">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1E2164">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1E2164">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4EB14567"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final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5ECD4A4A" w:rsidR="00A23477" w:rsidRDefault="00C449C9" w:rsidP="00A23477">
      <w:pPr>
        <w:numPr>
          <w:ilvl w:val="0"/>
          <w:numId w:val="25"/>
        </w:numPr>
      </w:pPr>
      <w:r>
        <w:lastRenderedPageBreak/>
        <w:t>Our estimate</w:t>
      </w:r>
      <w:r w:rsidR="00A23477">
        <w:t xml:space="preserve"> ranges </w:t>
      </w:r>
      <w:r>
        <w:t>in this final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4E97E204"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final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lastRenderedPageBreak/>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1E2164">
        <w:t xml:space="preserve">figure </w:t>
      </w:r>
      <w:r w:rsidR="001E2164">
        <w:rPr>
          <w:noProof/>
        </w:rPr>
        <w:t>4</w:t>
      </w:r>
      <w:r w:rsidR="001E2164">
        <w:noBreakHyphen/>
      </w:r>
      <w:r w:rsidR="001E2164">
        <w:rPr>
          <w:noProof/>
        </w:rPr>
        <w:t>3</w:t>
      </w:r>
      <w:r w:rsidR="00E468B0">
        <w:fldChar w:fldCharType="end"/>
      </w:r>
      <w:r w:rsidR="00E00708">
        <w:t>.</w:t>
      </w:r>
    </w:p>
    <w:p w14:paraId="6A172952" w14:textId="77777777" w:rsidR="00E468B0" w:rsidRDefault="003B16C3" w:rsidP="00E468B0">
      <w:pPr>
        <w:pStyle w:val="Caption"/>
      </w:pPr>
      <w:bookmarkStart w:id="86" w:name="_Ref414273399"/>
      <w:r>
        <w:lastRenderedPageBreak/>
        <w:t xml:space="preserve">Figure </w:t>
      </w:r>
      <w:fldSimple w:instr=" STYLEREF 1 \s ">
        <w:r w:rsidR="001E2164">
          <w:rPr>
            <w:noProof/>
          </w:rPr>
          <w:t>4</w:t>
        </w:r>
      </w:fldSimple>
      <w:r w:rsidR="00A7103E">
        <w:noBreakHyphen/>
      </w:r>
      <w:fldSimple w:instr=" SEQ Figure \* ARABIC \s 1 ">
        <w:r w:rsidR="001E2164">
          <w:rPr>
            <w:noProof/>
          </w:rPr>
          <w:t>3</w:t>
        </w:r>
      </w:fldSimple>
      <w:bookmarkEnd w:id="86"/>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1E2164">
        <w:t xml:space="preserve">Figure </w:t>
      </w:r>
      <w:r w:rsidR="001E2164">
        <w:rPr>
          <w:noProof/>
        </w:rPr>
        <w:t>4</w:t>
      </w:r>
      <w:r w:rsidR="001E2164">
        <w:noBreakHyphen/>
      </w:r>
      <w:r w:rsidR="001E2164">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87" w:name="_Ref402179420"/>
      <w:bookmarkStart w:id="88" w:name="_Toc433440684"/>
      <w:r>
        <w:t xml:space="preserve">Tax </w:t>
      </w:r>
      <w:r w:rsidRPr="00D60D4D">
        <w:t>statistics</w:t>
      </w:r>
      <w:bookmarkEnd w:id="87"/>
      <w:bookmarkEnd w:id="88"/>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1E2164">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47A26715" w:rsidR="00D236C4" w:rsidRPr="00D236C4" w:rsidRDefault="00D236C4" w:rsidP="00C26A14">
      <w:r w:rsidRPr="00D236C4">
        <w:t xml:space="preserve">In this final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1E2164">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89" w:name="_Ref401080753"/>
      <w:bookmarkStart w:id="90" w:name="_Toc433440685"/>
      <w:r w:rsidRPr="00292ECF">
        <w:lastRenderedPageBreak/>
        <w:t>Implied</w:t>
      </w:r>
      <w:r>
        <w:t xml:space="preserve"> market value studies</w:t>
      </w:r>
      <w:bookmarkEnd w:id="89"/>
      <w:bookmarkEnd w:id="90"/>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1E2164">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1E2164">
        <w:t>A.14.6</w:t>
      </w:r>
      <w:r w:rsidR="00B40843">
        <w:fldChar w:fldCharType="end"/>
      </w:r>
      <w:r>
        <w:t>.</w:t>
      </w:r>
    </w:p>
    <w:p w14:paraId="659014DE" w14:textId="77777777" w:rsidR="00292ECF" w:rsidRPr="00222643" w:rsidRDefault="00292ECF" w:rsidP="00292ECF">
      <w:pPr>
        <w:pStyle w:val="Heading9"/>
      </w:pPr>
      <w:bookmarkStart w:id="91" w:name="_Ref402791521"/>
      <w:r w:rsidRPr="00222643">
        <w:t xml:space="preserve">Types of implied </w:t>
      </w:r>
      <w:r w:rsidRPr="00292ECF">
        <w:t>market</w:t>
      </w:r>
      <w:r w:rsidRPr="00222643">
        <w:t xml:space="preserve"> value studies</w:t>
      </w:r>
      <w:bookmarkEnd w:id="91"/>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1E2164">
        <w:t xml:space="preserve">Table </w:t>
      </w:r>
      <w:r w:rsidR="001E2164">
        <w:rPr>
          <w:noProof/>
        </w:rPr>
        <w:t>4</w:t>
      </w:r>
      <w:r w:rsidR="001E2164">
        <w:noBreakHyphen/>
      </w:r>
      <w:r w:rsidR="001E2164">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1E2164">
        <w:t xml:space="preserve">table </w:t>
      </w:r>
      <w:r w:rsidR="001E2164">
        <w:rPr>
          <w:noProof/>
        </w:rPr>
        <w:t>4</w:t>
      </w:r>
      <w:r w:rsidR="001E2164">
        <w:noBreakHyphen/>
      </w:r>
      <w:r w:rsidR="001E2164">
        <w:rPr>
          <w:noProof/>
        </w:rPr>
        <w:t>10</w:t>
      </w:r>
      <w:r>
        <w:fldChar w:fldCharType="end"/>
      </w:r>
      <w:r>
        <w:t>.</w:t>
      </w:r>
    </w:p>
    <w:p w14:paraId="6506F58E" w14:textId="77777777" w:rsidR="008E408D" w:rsidRDefault="008E408D" w:rsidP="00292ECF">
      <w:pPr>
        <w:pStyle w:val="Caption"/>
      </w:pPr>
      <w:bookmarkStart w:id="92" w:name="_Ref401075742"/>
    </w:p>
    <w:p w14:paraId="17DFA36F" w14:textId="77777777" w:rsidR="00801423" w:rsidRDefault="00801423" w:rsidP="00801423"/>
    <w:p w14:paraId="798D8AB3" w14:textId="77777777" w:rsidR="00801423" w:rsidRDefault="00801423" w:rsidP="00801423"/>
    <w:p w14:paraId="460EE9C4" w14:textId="77777777" w:rsidR="00801423" w:rsidRPr="00801423" w:rsidRDefault="00801423" w:rsidP="00801423"/>
    <w:p w14:paraId="04D04934" w14:textId="77777777" w:rsidR="008E04D0" w:rsidRDefault="008E04D0" w:rsidP="008E04D0"/>
    <w:p w14:paraId="4594FE92" w14:textId="77777777" w:rsidR="008E04D0" w:rsidRPr="008E04D0" w:rsidRDefault="008E04D0" w:rsidP="008E04D0"/>
    <w:p w14:paraId="4A3D60F9" w14:textId="77777777" w:rsidR="00292ECF" w:rsidRDefault="00292ECF" w:rsidP="00292ECF">
      <w:pPr>
        <w:pStyle w:val="Caption"/>
      </w:pPr>
      <w:r>
        <w:lastRenderedPageBreak/>
        <w:t xml:space="preserve">Table </w:t>
      </w:r>
      <w:fldSimple w:instr=" STYLEREF 1 \s ">
        <w:r w:rsidR="001E2164">
          <w:rPr>
            <w:noProof/>
          </w:rPr>
          <w:t>4</w:t>
        </w:r>
      </w:fldSimple>
      <w:r w:rsidR="00257FBE">
        <w:noBreakHyphen/>
      </w:r>
      <w:fldSimple w:instr=" SEQ Table \* ARABIC \s 1 ">
        <w:r w:rsidR="001E2164">
          <w:rPr>
            <w:noProof/>
          </w:rPr>
          <w:t>8</w:t>
        </w:r>
      </w:fldSimple>
      <w:bookmarkEnd w:id="92"/>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t>Vo et al (2013)</w:t>
            </w:r>
            <w:r w:rsidRPr="00292ECF">
              <w:rPr>
                <w:rStyle w:val="FootnoteReference"/>
              </w:rPr>
              <w:footnoteReference w:id="328"/>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29"/>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30"/>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1"/>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 xml:space="preserve">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w:t>
      </w:r>
      <w:r w:rsidRPr="00222643">
        <w:lastRenderedPageBreak/>
        <w:t>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1E2164">
        <w:t xml:space="preserve">Table </w:t>
      </w:r>
      <w:r w:rsidR="001E2164">
        <w:rPr>
          <w:noProof/>
        </w:rPr>
        <w:t>4</w:t>
      </w:r>
      <w:r w:rsidR="001E2164">
        <w:noBreakHyphen/>
      </w:r>
      <w:r w:rsidR="001E2164">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1E2164">
        <w:t xml:space="preserve">table </w:t>
      </w:r>
      <w:r w:rsidR="001E2164">
        <w:rPr>
          <w:noProof/>
        </w:rPr>
        <w:t>4</w:t>
      </w:r>
      <w:r w:rsidR="001E2164">
        <w:noBreakHyphen/>
      </w:r>
      <w:r w:rsidR="001E2164">
        <w:rPr>
          <w:noProof/>
        </w:rPr>
        <w:t>11</w:t>
      </w:r>
      <w:r>
        <w:fldChar w:fldCharType="end"/>
      </w:r>
      <w:r>
        <w:t>.</w:t>
      </w:r>
    </w:p>
    <w:p w14:paraId="156D39CB" w14:textId="77777777" w:rsidR="00292ECF" w:rsidRDefault="00292ECF" w:rsidP="00292ECF">
      <w:pPr>
        <w:pStyle w:val="Caption"/>
      </w:pPr>
      <w:bookmarkStart w:id="93" w:name="_Ref401075839"/>
      <w:r>
        <w:t xml:space="preserve">Table </w:t>
      </w:r>
      <w:fldSimple w:instr=" STYLEREF 1 \s ">
        <w:r w:rsidR="001E2164">
          <w:rPr>
            <w:noProof/>
          </w:rPr>
          <w:t>4</w:t>
        </w:r>
      </w:fldSimple>
      <w:r w:rsidR="00257FBE">
        <w:noBreakHyphen/>
      </w:r>
      <w:fldSimple w:instr=" SEQ Table \* ARABIC \s 1 ">
        <w:r w:rsidR="001E2164">
          <w:rPr>
            <w:noProof/>
          </w:rPr>
          <w:t>9</w:t>
        </w:r>
      </w:fldSimple>
      <w:bookmarkEnd w:id="93"/>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lastRenderedPageBreak/>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027E10EE" w:rsidR="00F43C4C" w:rsidRPr="00222643" w:rsidRDefault="00F43C4C" w:rsidP="00292ECF">
            <w:r>
              <w:t xml:space="preserve">Journal published version of the 2013 paper by Siau et al </w:t>
            </w:r>
            <w:r w:rsidR="003E00A4">
              <w:t xml:space="preserve">with </w:t>
            </w:r>
            <w:r w:rsidR="00740E7B">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4" w:name="_Ref403482459"/>
      <w:r w:rsidRPr="00222643">
        <w:t xml:space="preserve">Estimates from </w:t>
      </w:r>
      <w:r w:rsidRPr="00D15D53">
        <w:t>implied</w:t>
      </w:r>
      <w:r w:rsidRPr="00222643">
        <w:t xml:space="preserve"> market value studies</w:t>
      </w:r>
      <w:bookmarkEnd w:id="94"/>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1E2164">
        <w:t xml:space="preserve">Table </w:t>
      </w:r>
      <w:r w:rsidR="001E2164">
        <w:rPr>
          <w:noProof/>
        </w:rPr>
        <w:t>4</w:t>
      </w:r>
      <w:r w:rsidR="001E2164">
        <w:noBreakHyphen/>
      </w:r>
      <w:r w:rsidR="001E2164">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lastRenderedPageBreak/>
        <w:fldChar w:fldCharType="begin"/>
      </w:r>
      <w:r>
        <w:instrText xml:space="preserve"> REF _Ref401076250 \h </w:instrText>
      </w:r>
      <w:r>
        <w:fldChar w:fldCharType="separate"/>
      </w:r>
      <w:r w:rsidR="001E2164">
        <w:t xml:space="preserve">Table </w:t>
      </w:r>
      <w:r w:rsidR="001E2164">
        <w:rPr>
          <w:noProof/>
        </w:rPr>
        <w:t>4</w:t>
      </w:r>
      <w:r w:rsidR="001E2164">
        <w:noBreakHyphen/>
      </w:r>
      <w:r w:rsidR="001E2164">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D15D53">
      <w:pPr>
        <w:pStyle w:val="Caption"/>
      </w:pPr>
      <w:bookmarkStart w:id="95" w:name="_Ref401075676"/>
      <w:r>
        <w:lastRenderedPageBreak/>
        <w:t xml:space="preserve">Table </w:t>
      </w:r>
      <w:fldSimple w:instr=" STYLEREF 1 \s ">
        <w:r w:rsidR="001E2164">
          <w:rPr>
            <w:noProof/>
          </w:rPr>
          <w:t>4</w:t>
        </w:r>
      </w:fldSimple>
      <w:r w:rsidR="00257FBE">
        <w:noBreakHyphen/>
      </w:r>
      <w:fldSimple w:instr=" SEQ Table \* ARABIC \s 1 ">
        <w:r w:rsidR="001E2164">
          <w:rPr>
            <w:noProof/>
          </w:rPr>
          <w:t>10</w:t>
        </w:r>
      </w:fldSimple>
      <w:bookmarkEnd w:id="95"/>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9"/>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50"/>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1"/>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2"/>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D15D53">
      <w:pPr>
        <w:pStyle w:val="Caption"/>
      </w:pPr>
      <w:bookmarkStart w:id="96" w:name="_Ref401076250"/>
      <w:r>
        <w:lastRenderedPageBreak/>
        <w:t xml:space="preserve">Table </w:t>
      </w:r>
      <w:fldSimple w:instr=" STYLEREF 1 \s ">
        <w:r w:rsidR="001E2164">
          <w:rPr>
            <w:noProof/>
          </w:rPr>
          <w:t>4</w:t>
        </w:r>
      </w:fldSimple>
      <w:r w:rsidR="00257FBE">
        <w:noBreakHyphen/>
      </w:r>
      <w:fldSimple w:instr=" SEQ Table \* ARABIC \s 1 ">
        <w:r w:rsidR="001E2164">
          <w:rPr>
            <w:noProof/>
          </w:rPr>
          <w:t>11</w:t>
        </w:r>
      </w:fldSimple>
      <w:bookmarkEnd w:id="96"/>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9"/>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2"/>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4"/>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6"/>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lastRenderedPageBreak/>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02C0CD3F"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740E7B">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r w:rsidRPr="00FD5BE7">
        <w:t>Comparison</w:t>
      </w:r>
      <w:r>
        <w:t xml:space="preserve"> with other market-based estimation approaches</w:t>
      </w:r>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w:t>
      </w:r>
      <w:r w:rsidRPr="007F230D">
        <w:lastRenderedPageBreak/>
        <w:t>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6"/>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lastRenderedPageBreak/>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97" w:name="_Ref415065117"/>
      <w:r w:rsidRPr="00F93616">
        <w:t>Adjustment of estimates from implied market value studies</w:t>
      </w:r>
      <w:bookmarkEnd w:id="97"/>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1E2164">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98" w:name="_Ref414624721"/>
      <w:r w:rsidRPr="00F93616">
        <w:t>Limitations of SFG</w:t>
      </w:r>
      <w:r>
        <w:t>'s</w:t>
      </w:r>
      <w:r w:rsidRPr="00F93616">
        <w:t xml:space="preserve"> dividend drop off study</w:t>
      </w:r>
      <w:bookmarkEnd w:id="98"/>
    </w:p>
    <w:p w14:paraId="02EF5873" w14:textId="22001F3F"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w:t>
      </w:r>
      <w:r w:rsidR="009206AF">
        <w:lastRenderedPageBreak/>
        <w:t xml:space="preserve">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lastRenderedPageBreak/>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 xml:space="preserve">…there remains a residual concern as to whether the composition of investors around the ex-dividend date is reflective of the composition of (long term) investors in the benchmark market who supply capital to firms (including to the benchmark efficient </w:t>
      </w:r>
      <w:r w:rsidRPr="001C0549">
        <w:lastRenderedPageBreak/>
        <w:t>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lastRenderedPageBreak/>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1E2164">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801423" w:rsidRDefault="00F13198" w:rsidP="00801423">
      <w:r w:rsidRPr="00801423">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801423">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99" w:name="_Ref402180002"/>
      <w:bookmarkStart w:id="100" w:name="_Ref414619467"/>
      <w:r>
        <w:t xml:space="preserve">The views of </w:t>
      </w:r>
      <w:r w:rsidRPr="00FD5BE7">
        <w:t>academics</w:t>
      </w:r>
      <w:r>
        <w:t xml:space="preserve"> and other regulators</w:t>
      </w:r>
      <w:bookmarkEnd w:id="99"/>
      <w:r w:rsidR="00F93616">
        <w:t xml:space="preserve"> on dividend drop off studies</w:t>
      </w:r>
      <w:bookmarkEnd w:id="100"/>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lastRenderedPageBreak/>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8"/>
      </w:r>
    </w:p>
    <w:p w14:paraId="14572EB4" w14:textId="77777777" w:rsidR="00EF42E6" w:rsidRDefault="00EF42E6" w:rsidP="00EF42E6">
      <w:pPr>
        <w:pStyle w:val="AERquote"/>
      </w:pPr>
      <w:r w:rsidRPr="00FA5259">
        <w:lastRenderedPageBreak/>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9"/>
      </w:r>
    </w:p>
    <w:p w14:paraId="3F6F758C" w14:textId="77777777" w:rsidR="00EF42E6" w:rsidRPr="00EE1293" w:rsidRDefault="00EF42E6" w:rsidP="00EF42E6">
      <w:pPr>
        <w:pStyle w:val="AERquote"/>
      </w:pPr>
      <w:r w:rsidRPr="00EE1293">
        <w:lastRenderedPageBreak/>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lastRenderedPageBreak/>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1" w:name="_Ref403481482"/>
      <w:bookmarkStart w:id="102" w:name="_Toc433440686"/>
      <w:r>
        <w:lastRenderedPageBreak/>
        <w:t xml:space="preserve">Revised consideration </w:t>
      </w:r>
      <w:r w:rsidRPr="00CD23CD">
        <w:t>of</w:t>
      </w:r>
      <w:r>
        <w:t xml:space="preserve"> the conceptual goalposts approach</w:t>
      </w:r>
      <w:bookmarkEnd w:id="101"/>
      <w:bookmarkEnd w:id="102"/>
    </w:p>
    <w:p w14:paraId="052F16B1" w14:textId="0447B7D2"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9A3ED2">
        <w:t>final</w:t>
      </w:r>
      <w:r>
        <w:t xml:space="preserve"> decision. This is mainly to be consistent with Handley's advice on the conceptual framework, which we have accepted in making this </w:t>
      </w:r>
      <w:r w:rsidR="009A3ED2">
        <w:t>final</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lastRenderedPageBreak/>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77777777" w:rsidR="00CD23CD" w:rsidRDefault="00CD23CD" w:rsidP="00CD23CD">
      <w:pPr>
        <w:numPr>
          <w:ilvl w:val="0"/>
          <w:numId w:val="25"/>
        </w:numPr>
      </w:pPr>
      <w:r>
        <w:t xml:space="preserve">Both in the Guideline and in this </w:t>
      </w:r>
      <w:r w:rsidR="009A3ED2">
        <w:t>final</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w:t>
      </w:r>
      <w:r w:rsidRPr="002C135E">
        <w:lastRenderedPageBreak/>
        <w:t xml:space="preserve">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 xml:space="preserve">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w:t>
      </w:r>
      <w:r w:rsidRPr="00953733">
        <w:lastRenderedPageBreak/>
        <w:t>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w:t>
      </w:r>
      <w:r>
        <w:lastRenderedPageBreak/>
        <w:t xml:space="preserve">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p w14:paraId="47E0AB91" w14:textId="2A740277" w:rsidR="00F467D0" w:rsidRPr="00FA6E29" w:rsidRDefault="00F467D0" w:rsidP="008E04D0">
      <w:pPr>
        <w:spacing w:line="240" w:lineRule="auto"/>
      </w:pPr>
    </w:p>
    <w:sectPr w:rsidR="00F467D0"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8E04D0" w:rsidRPr="00290C63" w:rsidRDefault="008E04D0" w:rsidP="00290C63">
      <w:r>
        <w:separator/>
      </w:r>
    </w:p>
    <w:p w14:paraId="56A58BED" w14:textId="77777777" w:rsidR="008E04D0" w:rsidRDefault="008E04D0"/>
  </w:endnote>
  <w:endnote w:type="continuationSeparator" w:id="0">
    <w:p w14:paraId="1E1B5582" w14:textId="77777777" w:rsidR="008E04D0" w:rsidRPr="00290C63" w:rsidRDefault="008E04D0" w:rsidP="00290C63">
      <w:r>
        <w:continuationSeparator/>
      </w:r>
    </w:p>
    <w:p w14:paraId="19AC23DC" w14:textId="77777777" w:rsidR="008E04D0" w:rsidRDefault="008E04D0"/>
  </w:endnote>
  <w:endnote w:type="continuationNotice" w:id="1">
    <w:p w14:paraId="20CE09CB" w14:textId="77777777" w:rsidR="008E04D0" w:rsidRDefault="008E04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8E04D0" w:rsidRPr="00290C63" w:rsidRDefault="008E04D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8E04D0" w:rsidRDefault="008E04D0"/>
  <w:p w14:paraId="534BB993" w14:textId="77777777" w:rsidR="008E04D0" w:rsidRDefault="008E04D0"/>
  <w:p w14:paraId="1B1B2874" w14:textId="77777777" w:rsidR="008E04D0" w:rsidRDefault="008E04D0"/>
  <w:p w14:paraId="7BEB9AC4" w14:textId="77777777" w:rsidR="008E04D0" w:rsidRDefault="008E04D0"/>
  <w:p w14:paraId="189D4CFD" w14:textId="77777777" w:rsidR="008E04D0" w:rsidRDefault="008E04D0"/>
  <w:p w14:paraId="659F3C15" w14:textId="77777777" w:rsidR="008E04D0" w:rsidRDefault="008E04D0"/>
  <w:p w14:paraId="28D0D7FC" w14:textId="77777777" w:rsidR="008E04D0" w:rsidRDefault="008E04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664C86CC" w:rsidR="008E04D0" w:rsidRPr="009B6F84" w:rsidRDefault="008E04D0">
        <w:pPr>
          <w:pStyle w:val="Footer"/>
          <w:rPr>
            <w:sz w:val="20"/>
          </w:rPr>
        </w:pPr>
        <w:r>
          <w:fldChar w:fldCharType="begin"/>
        </w:r>
        <w:r>
          <w:instrText xml:space="preserve"> PAGE   \* MERGEFORMAT </w:instrText>
        </w:r>
        <w:r>
          <w:fldChar w:fldCharType="separate"/>
        </w:r>
        <w:r w:rsidR="00F059B2">
          <w:rPr>
            <w:noProof/>
          </w:rPr>
          <w:t>4-0</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Energex</w:t>
        </w:r>
        <w:r w:rsidRPr="00951318">
          <w:t xml:space="preserve"> </w:t>
        </w:r>
        <w:r>
          <w:t xml:space="preserve">determination </w:t>
        </w:r>
        <w:r w:rsidRPr="00951318">
          <w:t>2015–20</w:t>
        </w:r>
      </w:p>
    </w:sdtContent>
  </w:sdt>
  <w:p w14:paraId="3BE746CE" w14:textId="77777777" w:rsidR="008E04D0" w:rsidRDefault="008E04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8E04D0" w:rsidRPr="00290C63" w:rsidRDefault="008E04D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8E04D0" w:rsidRDefault="008E04D0">
    <w:pPr>
      <w:pStyle w:val="Footer"/>
    </w:pPr>
  </w:p>
  <w:p w14:paraId="0D14B469" w14:textId="77777777" w:rsidR="008E04D0" w:rsidRDefault="008E04D0"/>
  <w:p w14:paraId="6E59E334" w14:textId="77777777" w:rsidR="008E04D0" w:rsidRDefault="008E04D0"/>
  <w:p w14:paraId="096E318A" w14:textId="77777777" w:rsidR="008E04D0" w:rsidRDefault="008E04D0"/>
  <w:p w14:paraId="636F211F" w14:textId="77777777" w:rsidR="008E04D0" w:rsidRDefault="008E04D0"/>
  <w:p w14:paraId="39567FA0" w14:textId="77777777" w:rsidR="008E04D0" w:rsidRDefault="008E04D0"/>
  <w:p w14:paraId="466ADD0A" w14:textId="77777777" w:rsidR="008E04D0" w:rsidRDefault="008E04D0"/>
  <w:p w14:paraId="0CAEA027" w14:textId="77777777" w:rsidR="008E04D0" w:rsidRDefault="008E04D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8E04D0" w:rsidRPr="00824CC8" w:rsidRDefault="008E04D0"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107AF796" w:rsidR="008E04D0" w:rsidRPr="00824CC8" w:rsidRDefault="008E04D0"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 xml:space="preserve">Energex </w:t>
    </w:r>
    <w:r w:rsidRPr="00305E37">
      <w:rPr>
        <w:rStyle w:val="AERbody"/>
      </w:rPr>
      <w:t xml:space="preserve"> </w:t>
    </w:r>
    <w:r>
      <w:rPr>
        <w:rStyle w:val="AERbody"/>
      </w:rPr>
      <w:t>determination 2015-20</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059B2">
      <w:rPr>
        <w:rStyle w:val="AERbody"/>
        <w:noProof/>
      </w:rPr>
      <w:t>4-120</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8E04D0" w:rsidRPr="00290C63" w:rsidRDefault="008E04D0" w:rsidP="00290C63">
      <w:r>
        <w:separator/>
      </w:r>
    </w:p>
    <w:p w14:paraId="4D603AE2" w14:textId="77777777" w:rsidR="008E04D0" w:rsidRDefault="008E04D0"/>
  </w:footnote>
  <w:footnote w:type="continuationSeparator" w:id="0">
    <w:p w14:paraId="7A5443FF" w14:textId="77777777" w:rsidR="008E04D0" w:rsidRPr="00290C63" w:rsidRDefault="008E04D0" w:rsidP="00290C63">
      <w:r>
        <w:continuationSeparator/>
      </w:r>
    </w:p>
    <w:p w14:paraId="0DC19170" w14:textId="77777777" w:rsidR="008E04D0" w:rsidRDefault="008E04D0"/>
  </w:footnote>
  <w:footnote w:type="continuationNotice" w:id="1">
    <w:p w14:paraId="3C24604E" w14:textId="77777777" w:rsidR="008E04D0" w:rsidRDefault="008E04D0">
      <w:pPr>
        <w:spacing w:before="0" w:line="240" w:lineRule="auto"/>
      </w:pPr>
    </w:p>
  </w:footnote>
  <w:footnote w:id="2">
    <w:p w14:paraId="524D37EB" w14:textId="77777777" w:rsidR="008E04D0" w:rsidRDefault="008E04D0"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8E04D0" w:rsidRDefault="008E04D0">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7171103C" w:rsidR="008E04D0" w:rsidRDefault="008E04D0"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8E04D0" w:rsidRDefault="008E04D0"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8E04D0" w:rsidRDefault="008E04D0"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8E04D0" w:rsidRDefault="008E04D0"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71D0B690" w14:textId="5878E00D" w:rsidR="008E04D0" w:rsidRDefault="008E04D0">
      <w:pPr>
        <w:pStyle w:val="FootnoteText"/>
      </w:pPr>
      <w:r>
        <w:rPr>
          <w:rStyle w:val="FootnoteReference"/>
        </w:rPr>
        <w:footnoteRef/>
      </w:r>
      <w:r>
        <w:t xml:space="preserve"> </w:t>
      </w:r>
      <w:r>
        <w:tab/>
        <w:t xml:space="preserve">Energex, </w:t>
      </w:r>
      <w:r>
        <w:rPr>
          <w:rStyle w:val="AERtextitalic"/>
        </w:rPr>
        <w:t>Revised regulatory proposal 2015-20</w:t>
      </w:r>
      <w:r>
        <w:t>, July 2015.</w:t>
      </w:r>
    </w:p>
  </w:footnote>
  <w:footnote w:id="9">
    <w:p w14:paraId="6EF89D88" w14:textId="30383328" w:rsidR="008E04D0" w:rsidRDefault="008E04D0" w:rsidP="006F0FAC">
      <w:pPr>
        <w:pStyle w:val="FootnoteText"/>
      </w:pPr>
      <w:r>
        <w:rPr>
          <w:rStyle w:val="FootnoteReference"/>
        </w:rPr>
        <w:footnoteRef/>
      </w:r>
      <w:r>
        <w:t xml:space="preserve"> </w:t>
      </w:r>
      <w:r>
        <w:tab/>
        <w:t xml:space="preserve">Energex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t>A.6</w:t>
      </w:r>
      <w:r>
        <w:fldChar w:fldCharType="end"/>
      </w:r>
      <w:r>
        <w:t xml:space="preserve"> and </w:t>
      </w:r>
      <w:r>
        <w:fldChar w:fldCharType="begin"/>
      </w:r>
      <w:r>
        <w:instrText xml:space="preserve"> REF _Ref414282622 \r \h </w:instrText>
      </w:r>
      <w:r>
        <w:fldChar w:fldCharType="separate"/>
      </w:r>
      <w:r>
        <w:t>A.7</w:t>
      </w:r>
      <w:r>
        <w:fldChar w:fldCharType="end"/>
      </w:r>
      <w:r>
        <w:t xml:space="preserve"> of appendix A. </w:t>
      </w:r>
    </w:p>
  </w:footnote>
  <w:footnote w:id="10">
    <w:p w14:paraId="52C067E9" w14:textId="77777777"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1">
    <w:p w14:paraId="3A5F3913" w14:textId="360FBDAB" w:rsidR="008E04D0" w:rsidRDefault="008E04D0">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2">
    <w:p w14:paraId="444D5AC0" w14:textId="2D798F1F"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8E04D0" w:rsidRDefault="008E04D0">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8E04D0" w:rsidRDefault="008E04D0">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5">
    <w:p w14:paraId="3A328102" w14:textId="2AAC5F40" w:rsidR="008E04D0" w:rsidRDefault="008E04D0"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6">
    <w:p w14:paraId="78DAD982" w14:textId="77599455" w:rsidR="008E04D0" w:rsidRDefault="008E04D0">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8E04D0" w:rsidRDefault="008E04D0" w:rsidP="00A90D90">
      <w:pPr>
        <w:pStyle w:val="FootnoteText"/>
      </w:pPr>
      <w:r>
        <w:rPr>
          <w:rStyle w:val="FootnoteReference"/>
        </w:rPr>
        <w:footnoteRef/>
      </w:r>
      <w:r>
        <w:t xml:space="preserve"> </w:t>
      </w:r>
      <w:r>
        <w:tab/>
        <w:t>NER, cll. 6.5.3 and 6A.6.4; NGR, r. 87A.</w:t>
      </w:r>
    </w:p>
  </w:footnote>
  <w:footnote w:id="18">
    <w:p w14:paraId="707E230C" w14:textId="77777777" w:rsidR="008E04D0" w:rsidRDefault="008E04D0" w:rsidP="00A90D90">
      <w:pPr>
        <w:pStyle w:val="FootnoteText"/>
      </w:pPr>
      <w:r>
        <w:rPr>
          <w:rStyle w:val="FootnoteReference"/>
        </w:rPr>
        <w:footnoteRef/>
      </w:r>
      <w:r>
        <w:t xml:space="preserve"> </w:t>
      </w:r>
      <w:r>
        <w:tab/>
        <w:t>NER, cll. 6.5.2(d)(2) and 6A.6.2(d)(2); NGR, r. 87(4)(b).</w:t>
      </w:r>
    </w:p>
  </w:footnote>
  <w:footnote w:id="19">
    <w:p w14:paraId="3213861C" w14:textId="77777777" w:rsidR="008E04D0" w:rsidRDefault="008E04D0"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8E04D0" w:rsidRDefault="008E04D0"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1">
    <w:p w14:paraId="2D151917" w14:textId="77777777" w:rsidR="008E04D0" w:rsidRDefault="008E04D0"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8E04D0" w:rsidRDefault="008E04D0"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8E04D0" w:rsidRDefault="008E04D0">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8E04D0" w:rsidRDefault="008E04D0" w:rsidP="008C1870">
      <w:pPr>
        <w:pStyle w:val="FootnoteText"/>
      </w:pPr>
      <w:r>
        <w:rPr>
          <w:rStyle w:val="FootnoteReference"/>
        </w:rPr>
        <w:footnoteRef/>
      </w:r>
      <w:r>
        <w:t xml:space="preserve"> </w:t>
      </w:r>
      <w:r>
        <w:tab/>
        <w:t>NER, cll. 6.5.2 and 6A.6.2;</w:t>
      </w:r>
      <w:r w:rsidRPr="0042735A">
        <w:t xml:space="preserve"> </w:t>
      </w:r>
      <w:r>
        <w:t>NGR, r. 87.</w:t>
      </w:r>
    </w:p>
  </w:footnote>
  <w:footnote w:id="25">
    <w:p w14:paraId="2597A98B" w14:textId="77777777" w:rsidR="008E04D0" w:rsidRDefault="008E04D0">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8E04D0" w:rsidRDefault="008E04D0"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8E04D0" w:rsidRDefault="008E04D0" w:rsidP="00A90D90">
      <w:pPr>
        <w:pStyle w:val="FootnoteText"/>
      </w:pPr>
      <w:r>
        <w:rPr>
          <w:rStyle w:val="FootnoteReference"/>
        </w:rPr>
        <w:footnoteRef/>
      </w:r>
      <w:r>
        <w:tab/>
        <w:t xml:space="preserve">NEL, s. 16(1)(a); NGL, s. 28(1)(a). </w:t>
      </w:r>
    </w:p>
  </w:footnote>
  <w:footnote w:id="29">
    <w:p w14:paraId="595466F3" w14:textId="77777777" w:rsidR="008E04D0" w:rsidRDefault="008E04D0" w:rsidP="00A90D90">
      <w:pPr>
        <w:pStyle w:val="FootnoteText"/>
      </w:pPr>
      <w:r>
        <w:rPr>
          <w:rStyle w:val="FootnoteReference"/>
        </w:rPr>
        <w:footnoteRef/>
      </w:r>
      <w:r>
        <w:t xml:space="preserve"> </w:t>
      </w:r>
      <w:r>
        <w:tab/>
        <w:t>NEL, s. 16(2)(a)(i); NGL, s. 28(2)(a)(i).</w:t>
      </w:r>
    </w:p>
  </w:footnote>
  <w:footnote w:id="30">
    <w:p w14:paraId="15FE6FF1" w14:textId="77777777" w:rsidR="008E04D0" w:rsidRDefault="008E04D0" w:rsidP="00112FED">
      <w:pPr>
        <w:pStyle w:val="FootnoteText"/>
      </w:pPr>
      <w:r>
        <w:rPr>
          <w:rStyle w:val="FootnoteReference"/>
        </w:rPr>
        <w:footnoteRef/>
      </w:r>
      <w:r>
        <w:t xml:space="preserve"> </w:t>
      </w:r>
      <w:r>
        <w:tab/>
        <w:t>NEL, ss. 7A(2)–(7); NGL, ss. 24(2)–(7).</w:t>
      </w:r>
    </w:p>
  </w:footnote>
  <w:footnote w:id="31">
    <w:p w14:paraId="5D192719" w14:textId="72400041" w:rsidR="008E04D0" w:rsidRDefault="008E04D0" w:rsidP="00A90D90">
      <w:pPr>
        <w:pStyle w:val="FootnoteText"/>
      </w:pPr>
      <w:r>
        <w:rPr>
          <w:rStyle w:val="FootnoteReference"/>
        </w:rPr>
        <w:footnoteRef/>
      </w:r>
      <w:r>
        <w:t xml:space="preserve"> </w:t>
      </w:r>
      <w:r>
        <w:tab/>
        <w:t xml:space="preserve">The requirements to make and publish the Guideline are set out in: NER, </w:t>
      </w:r>
      <w:r w:rsidR="00EB3DA5">
        <w:t>cll</w:t>
      </w:r>
      <w:r>
        <w:t xml:space="preserve">. 6.5.2(m)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8E04D0" w:rsidRDefault="008E04D0" w:rsidP="00A90D90">
      <w:pPr>
        <w:pStyle w:val="FootnoteText"/>
      </w:pPr>
      <w:r>
        <w:rPr>
          <w:rStyle w:val="FootnoteReference"/>
        </w:rPr>
        <w:footnoteRef/>
      </w:r>
      <w:r>
        <w:t xml:space="preserve"> </w:t>
      </w:r>
      <w:r>
        <w:tab/>
        <w:t>NER, cll. 6.5.2(n</w:t>
      </w:r>
      <w:r w:rsidRPr="0090536E">
        <w:t xml:space="preserve">) and </w:t>
      </w:r>
      <w:r>
        <w:t>6A.6.2(n); NGR, r. 87(14).</w:t>
      </w:r>
    </w:p>
  </w:footnote>
  <w:footnote w:id="33">
    <w:p w14:paraId="2BAAF6E4" w14:textId="77777777" w:rsidR="008E04D0" w:rsidRDefault="008E04D0" w:rsidP="00A90D90">
      <w:pPr>
        <w:pStyle w:val="FootnoteText"/>
      </w:pPr>
      <w:r>
        <w:rPr>
          <w:rStyle w:val="FootnoteReference"/>
        </w:rPr>
        <w:footnoteRef/>
      </w:r>
      <w:r>
        <w:t xml:space="preserve"> </w:t>
      </w:r>
      <w:r>
        <w:tab/>
        <w:t xml:space="preserve">NER, cll. </w:t>
      </w:r>
      <w:r w:rsidRPr="001E5B06">
        <w:t>6.5.2(n)</w:t>
      </w:r>
      <w:r>
        <w:t>(2) and 6.A.6.2(n)(2); NGR, r. 87(14)(b).</w:t>
      </w:r>
    </w:p>
  </w:footnote>
  <w:footnote w:id="34">
    <w:p w14:paraId="58CE400D" w14:textId="77777777" w:rsidR="008E04D0" w:rsidRDefault="008E04D0" w:rsidP="00A90D90">
      <w:pPr>
        <w:pStyle w:val="FootnoteText"/>
      </w:pPr>
      <w:r>
        <w:rPr>
          <w:rStyle w:val="FootnoteReference"/>
        </w:rPr>
        <w:footnoteRef/>
      </w:r>
      <w:r>
        <w:t xml:space="preserve"> </w:t>
      </w:r>
      <w:r>
        <w:tab/>
        <w:t>NER, cll. 6.2.8(c) and 6A.2.3(c); NGR, r. 87(18).</w:t>
      </w:r>
    </w:p>
  </w:footnote>
  <w:footnote w:id="35">
    <w:p w14:paraId="7B7C078A" w14:textId="77777777" w:rsidR="008E04D0" w:rsidRDefault="008E04D0"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6">
    <w:p w14:paraId="603A2AA6" w14:textId="77777777" w:rsidR="008E04D0" w:rsidRDefault="008E04D0"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8E04D0" w:rsidRDefault="008E04D0">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8E04D0" w:rsidRDefault="008E04D0">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8E04D0" w:rsidRDefault="008E04D0" w:rsidP="009661BA">
      <w:pPr>
        <w:pStyle w:val="FootnoteText"/>
      </w:pPr>
      <w:r>
        <w:rPr>
          <w:rStyle w:val="FootnoteReference"/>
        </w:rPr>
        <w:footnoteRef/>
      </w:r>
      <w:r>
        <w:t xml:space="preserve"> </w:t>
      </w:r>
      <w:r>
        <w:tab/>
        <w:t>NER, cll. 6.5.2(d)(2) and 6A.6.2(d)(2); NGR, r. 87(4)(b).</w:t>
      </w:r>
    </w:p>
  </w:footnote>
  <w:footnote w:id="40">
    <w:p w14:paraId="72D623C9" w14:textId="77777777" w:rsidR="008E04D0" w:rsidRDefault="008E04D0"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8E04D0" w:rsidRDefault="008E04D0"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8E04D0" w:rsidRDefault="008E04D0"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3">
    <w:p w14:paraId="2A7FA68F" w14:textId="77777777" w:rsidR="008E04D0" w:rsidRDefault="008E04D0">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4">
    <w:p w14:paraId="7E2589F2" w14:textId="14EC0C56" w:rsidR="008E04D0" w:rsidRDefault="008E04D0"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8E04D0" w:rsidRDefault="008E04D0"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8E04D0" w:rsidRDefault="008E04D0"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14:paraId="0E537883" w14:textId="77777777" w:rsidR="008E04D0" w:rsidRDefault="008E04D0"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8E04D0" w:rsidRDefault="008E04D0"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9">
    <w:p w14:paraId="2C0E7A02" w14:textId="77777777" w:rsidR="008E04D0" w:rsidRDefault="008E04D0"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50">
    <w:p w14:paraId="426B79D7" w14:textId="77777777" w:rsidR="008E04D0" w:rsidRDefault="008E04D0"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1">
    <w:p w14:paraId="302E0226" w14:textId="77777777" w:rsidR="008E04D0" w:rsidRDefault="008E04D0"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2">
    <w:p w14:paraId="70154BDC" w14:textId="77777777" w:rsidR="008E04D0" w:rsidRDefault="008E04D0"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3">
    <w:p w14:paraId="7C0C31E0" w14:textId="77777777" w:rsidR="008E04D0" w:rsidRDefault="008E04D0"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8E04D0" w:rsidRDefault="008E04D0"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8E04D0" w:rsidRDefault="008E04D0"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8E04D0" w:rsidRDefault="008E04D0"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7">
    <w:p w14:paraId="6615E5F5" w14:textId="77777777" w:rsidR="008E04D0" w:rsidRDefault="008E04D0"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8E04D0" w:rsidRDefault="008E04D0">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8E04D0" w:rsidRDefault="008E04D0"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8E04D0" w:rsidRDefault="008E04D0"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1">
    <w:p w14:paraId="2F86096E" w14:textId="77777777" w:rsidR="008E04D0" w:rsidRDefault="008E04D0"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8E04D0" w:rsidRDefault="008E04D0">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8E04D0" w:rsidRDefault="008E04D0"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4">
    <w:p w14:paraId="323C28C9" w14:textId="77777777" w:rsidR="008E04D0" w:rsidRDefault="008E04D0">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8E04D0" w:rsidRPr="001966E3" w:rsidRDefault="008E04D0"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8E04D0" w:rsidRDefault="008E04D0"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7">
    <w:p w14:paraId="68AEC066" w14:textId="77777777" w:rsidR="008E04D0" w:rsidRDefault="008E04D0">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8">
    <w:p w14:paraId="1317F82D" w14:textId="77777777" w:rsidR="008E04D0" w:rsidRDefault="008E04D0"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8E04D0" w:rsidRDefault="008E04D0"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70">
    <w:p w14:paraId="0E113CA0" w14:textId="77777777" w:rsidR="008E04D0" w:rsidRDefault="008E04D0">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77777777" w:rsidR="008E04D0" w:rsidRDefault="008E04D0"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2">
    <w:p w14:paraId="3CBDF6D9" w14:textId="205CD6F4" w:rsidR="008E04D0" w:rsidRDefault="008E04D0">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3">
    <w:p w14:paraId="74AD9B72" w14:textId="62E4E362" w:rsidR="008E04D0" w:rsidRDefault="008E04D0" w:rsidP="003504FC">
      <w:pPr>
        <w:pStyle w:val="FootnoteText"/>
      </w:pPr>
      <w:r>
        <w:rPr>
          <w:rStyle w:val="FootnoteReference"/>
        </w:rPr>
        <w:footnoteRef/>
      </w:r>
      <w:r>
        <w:t xml:space="preserve"> </w:t>
      </w:r>
      <w:r>
        <w:tab/>
        <w:t xml:space="preserve">ECCSA, </w:t>
      </w:r>
      <w:r w:rsidRPr="003504FC">
        <w:rPr>
          <w:rStyle w:val="AERtextitalic"/>
        </w:rPr>
        <w:t xml:space="preserve">SA Electricity Distribution Revenue Reset, SA </w:t>
      </w:r>
      <w:r w:rsidR="00EB3DA5" w:rsidRPr="003504FC">
        <w:rPr>
          <w:rStyle w:val="AERtextitalic"/>
        </w:rPr>
        <w:t>Power Networks</w:t>
      </w:r>
      <w:r w:rsidRPr="003504FC">
        <w:rPr>
          <w:rStyle w:val="AERtextitalic"/>
        </w:rPr>
        <w:t xml:space="preserve"> Application, A response</w:t>
      </w:r>
      <w:r>
        <w:t>, December 2014, pp. 80–81.</w:t>
      </w:r>
    </w:p>
  </w:footnote>
  <w:footnote w:id="74">
    <w:p w14:paraId="0A639FE5" w14:textId="638AB9BC" w:rsidR="008E04D0" w:rsidRDefault="008E04D0"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5">
    <w:p w14:paraId="43316870" w14:textId="77777777" w:rsidR="008E04D0" w:rsidRDefault="008E04D0"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6">
    <w:p w14:paraId="59806CA0" w14:textId="77777777" w:rsidR="008E04D0" w:rsidRDefault="008E04D0"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8E04D0" w:rsidRDefault="008E04D0"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8">
    <w:p w14:paraId="2ED40B18" w14:textId="77777777" w:rsidR="008E04D0" w:rsidRDefault="008E04D0"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8E04D0" w:rsidRDefault="008E04D0"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80">
    <w:p w14:paraId="66868DEA" w14:textId="77777777" w:rsidR="008E04D0" w:rsidRDefault="008E04D0"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8E04D0" w:rsidRDefault="008E04D0"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2">
    <w:p w14:paraId="216B095E" w14:textId="77777777" w:rsidR="008E04D0" w:rsidRDefault="008E04D0">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8E04D0" w:rsidRDefault="008E04D0"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8E04D0" w:rsidRDefault="008E04D0"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8E04D0" w:rsidRDefault="008E04D0">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6">
    <w:p w14:paraId="1529DDE9" w14:textId="77777777" w:rsidR="008E04D0" w:rsidRDefault="008E04D0"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7">
    <w:p w14:paraId="0232DD62" w14:textId="4D547E55"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EB3DA5">
        <w:rPr>
          <w:rStyle w:val="AERtextitalic"/>
        </w:rPr>
        <w:t>2016-20 Regulatory Proposal</w:t>
      </w:r>
      <w:r>
        <w:t>, April 2015, p</w:t>
      </w:r>
      <w:r w:rsidR="00EB3DA5">
        <w:t xml:space="preserve">. </w:t>
      </w:r>
      <w:r>
        <w:t xml:space="preserve">354; United Energy, </w:t>
      </w:r>
      <w:r w:rsidRPr="00EB3DA5">
        <w:rPr>
          <w:rStyle w:val="AERtextitalic"/>
        </w:rPr>
        <w:t>Assessment of the Value of Imputation Credits - Gamma, Proposal for 2016 to 2020</w:t>
      </w:r>
      <w:r>
        <w:t>, April 2015, pp</w:t>
      </w:r>
      <w:r w:rsidR="00EB3DA5">
        <w:t xml:space="preserve">. </w:t>
      </w:r>
      <w:r>
        <w:t>2, 6-8; CitiPower</w:t>
      </w:r>
      <w:r w:rsidR="00EB3DA5">
        <w:t>,</w:t>
      </w:r>
      <w:r>
        <w:t xml:space="preserve"> </w:t>
      </w:r>
      <w:r w:rsidRPr="00EB3DA5">
        <w:rPr>
          <w:rStyle w:val="AERtextitalic"/>
        </w:rPr>
        <w:t>Appendix J - Gamma</w:t>
      </w:r>
      <w:r>
        <w:t>, April 2015, pp</w:t>
      </w:r>
      <w:r w:rsidR="00EB3DA5">
        <w:t xml:space="preserve">. </w:t>
      </w:r>
      <w:r>
        <w:t xml:space="preserve">6-7; Powercor, </w:t>
      </w:r>
      <w:r w:rsidRPr="00EB3DA5">
        <w:rPr>
          <w:rStyle w:val="AERtextitalic"/>
        </w:rPr>
        <w:t>Appendix J - Gamma</w:t>
      </w:r>
      <w:r>
        <w:t>, April 2015, pp</w:t>
      </w:r>
      <w:r w:rsidR="00EB3DA5">
        <w:t xml:space="preserve">. </w:t>
      </w:r>
      <w:r>
        <w:t xml:space="preserve">6-7; Jemena Electricity, </w:t>
      </w:r>
      <w:r w:rsidRPr="00EB3DA5">
        <w:rPr>
          <w:rStyle w:val="AERtextitalic"/>
        </w:rPr>
        <w:t>Attachment 06-06 Gamma proposal</w:t>
      </w:r>
      <w:r>
        <w:t>, April 2015, p</w:t>
      </w:r>
      <w:r w:rsidR="00EB3DA5">
        <w:t xml:space="preserve">. </w:t>
      </w:r>
      <w:r>
        <w:t xml:space="preserve">2; SA Power Networks, </w:t>
      </w:r>
      <w:r w:rsidRPr="00EB3DA5">
        <w:rPr>
          <w:rStyle w:val="AERtextitalic"/>
        </w:rPr>
        <w:t>2015-20 Revised Regulatory Proposal</w:t>
      </w:r>
      <w:r>
        <w:t>, pp</w:t>
      </w:r>
      <w:r w:rsidR="00EB3DA5">
        <w:t xml:space="preserve">. </w:t>
      </w:r>
      <w:r>
        <w:t xml:space="preserve">376-379, July 2015; Energex, </w:t>
      </w:r>
      <w:r w:rsidRPr="00EB3DA5">
        <w:rPr>
          <w:rStyle w:val="AERtextitalic"/>
        </w:rPr>
        <w:t>Revised Regulatory Proposal</w:t>
      </w:r>
      <w:r>
        <w:t>, pp</w:t>
      </w:r>
      <w:r w:rsidR="00EB3DA5">
        <w:t xml:space="preserve">. </w:t>
      </w:r>
      <w:r>
        <w:t xml:space="preserve">124-125, July 2015; Ergon, </w:t>
      </w:r>
      <w:r w:rsidRPr="00EB3DA5">
        <w:rPr>
          <w:rStyle w:val="AERtextitalic"/>
        </w:rPr>
        <w:t>Revised Regulatory Proposal</w:t>
      </w:r>
      <w:r>
        <w:t>, p</w:t>
      </w:r>
      <w:r w:rsidR="00EB3DA5">
        <w:t xml:space="preserve">. </w:t>
      </w:r>
      <w:r>
        <w:t xml:space="preserve">153, July 2015; ActewAGL Distribution, </w:t>
      </w:r>
      <w:r w:rsidRPr="00EB3DA5">
        <w:rPr>
          <w:rStyle w:val="AERtextitalic"/>
        </w:rPr>
        <w:t>Attachment 8 Detailed gamma proposal</w:t>
      </w:r>
      <w:r>
        <w:t>, pp</w:t>
      </w:r>
      <w:r w:rsidR="00EB3DA5">
        <w:t>.</w:t>
      </w:r>
      <w:r>
        <w:t xml:space="preserve"> 4-6, June 2015; Australian Gas Networks, </w:t>
      </w:r>
      <w:r w:rsidRPr="00EB3DA5">
        <w:rPr>
          <w:rStyle w:val="AERtextitalic"/>
        </w:rPr>
        <w:t>Access Arrangement Information for Australian Gas Networks' South Australian Natural Gas Distribution Network</w:t>
      </w:r>
      <w:r>
        <w:t>, pp</w:t>
      </w:r>
      <w:r w:rsidR="00EB3DA5">
        <w:t>.</w:t>
      </w:r>
      <w:r>
        <w:t xml:space="preserve"> 183-184, July 2015; Amadeus Gas Pipeline, </w:t>
      </w:r>
      <w:r w:rsidRPr="00EB3DA5">
        <w:rPr>
          <w:rStyle w:val="AERtextitalic"/>
        </w:rPr>
        <w:t>Access Arrangement revision submission</w:t>
      </w:r>
      <w:r>
        <w:t>, August 2015, p. 153.</w:t>
      </w:r>
    </w:p>
  </w:footnote>
  <w:footnote w:id="88">
    <w:p w14:paraId="7463B2BE" w14:textId="77777777" w:rsidR="008E04D0" w:rsidRDefault="008E04D0"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89">
    <w:p w14:paraId="2FCD216E" w14:textId="77777777" w:rsidR="008E04D0" w:rsidRDefault="008E04D0"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8E04D0" w:rsidRDefault="008E04D0"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1">
    <w:p w14:paraId="68059255" w14:textId="77777777" w:rsidR="008E04D0" w:rsidRDefault="008E04D0"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3EE05A17" w:rsidR="008E04D0" w:rsidRDefault="008E04D0"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EB3DA5">
        <w:rPr>
          <w:rStyle w:val="AERtextitalic"/>
        </w:rPr>
        <w:t>2016-20 Regulatory Proposal</w:t>
      </w:r>
      <w:r>
        <w:t>, April 2015, p</w:t>
      </w:r>
      <w:r w:rsidR="00EB3DA5">
        <w:t xml:space="preserve">. </w:t>
      </w:r>
      <w:r>
        <w:t xml:space="preserve">364; United Energy, </w:t>
      </w:r>
      <w:r w:rsidRPr="00EB3DA5">
        <w:rPr>
          <w:rStyle w:val="AERtextitalic"/>
        </w:rPr>
        <w:t>Assessment of the Value of Imputation Credits - Gamma, Proposal for 2016 to 2020</w:t>
      </w:r>
      <w:r>
        <w:t>, April 2015, p</w:t>
      </w:r>
      <w:r w:rsidR="00EB3DA5">
        <w:t xml:space="preserve">. </w:t>
      </w:r>
      <w:r>
        <w:t>10; CitiPower</w:t>
      </w:r>
      <w:r w:rsidR="00EB3DA5">
        <w:t>,</w:t>
      </w:r>
      <w:r>
        <w:t xml:space="preserve"> </w:t>
      </w:r>
      <w:r w:rsidRPr="00EB3DA5">
        <w:rPr>
          <w:rStyle w:val="AERtextitalic"/>
        </w:rPr>
        <w:t>Appendix J - Gamma</w:t>
      </w:r>
      <w:r>
        <w:t>, April 2015, p</w:t>
      </w:r>
      <w:r w:rsidR="00EB3DA5">
        <w:t xml:space="preserve">. </w:t>
      </w:r>
      <w:r>
        <w:t xml:space="preserve">10; Powercor, </w:t>
      </w:r>
      <w:r w:rsidRPr="00EB3DA5">
        <w:rPr>
          <w:rStyle w:val="AERtextitalic"/>
        </w:rPr>
        <w:t>Appendix J - Gamma</w:t>
      </w:r>
      <w:r>
        <w:t>, April 2015, p</w:t>
      </w:r>
      <w:r w:rsidR="00EB3DA5">
        <w:t xml:space="preserve">. </w:t>
      </w:r>
      <w:r>
        <w:t xml:space="preserve">10; Jemena Electricity, </w:t>
      </w:r>
      <w:r w:rsidRPr="00EB3DA5">
        <w:rPr>
          <w:rStyle w:val="AERtextitalic"/>
        </w:rPr>
        <w:t>Attachment 06-06 Gamma proposal</w:t>
      </w:r>
      <w:r>
        <w:t>, April 2015, p</w:t>
      </w:r>
      <w:r w:rsidR="00EB3DA5">
        <w:t xml:space="preserve">. </w:t>
      </w:r>
      <w:r>
        <w:t xml:space="preserve">11; Energex, </w:t>
      </w:r>
      <w:r w:rsidRPr="00EB3DA5">
        <w:rPr>
          <w:rStyle w:val="AERtextitalic"/>
        </w:rPr>
        <w:t>Revised Regulatory Proposal</w:t>
      </w:r>
      <w:r>
        <w:t>, July 2015, p</w:t>
      </w:r>
      <w:r w:rsidR="00EB3DA5">
        <w:t xml:space="preserve">. 118; </w:t>
      </w:r>
      <w:r>
        <w:t xml:space="preserve"> ActewAGL Distribution, </w:t>
      </w:r>
      <w:r w:rsidRPr="00EB3DA5">
        <w:rPr>
          <w:rStyle w:val="AERtextitalic"/>
        </w:rPr>
        <w:t>Attachment 8 Detailed gamma proposal</w:t>
      </w:r>
      <w:r>
        <w:t>, June 2015, p</w:t>
      </w:r>
      <w:r w:rsidR="00EB3DA5">
        <w:t xml:space="preserve">. </w:t>
      </w:r>
      <w:r>
        <w:t xml:space="preserve">13; Australian Gas Networks, Access </w:t>
      </w:r>
      <w:r w:rsidRPr="00EB3DA5">
        <w:rPr>
          <w:rStyle w:val="AERtextitalic"/>
        </w:rPr>
        <w:t>Arrangement Information for Australian Gas Networks' South Australian Natural Gas Distrib</w:t>
      </w:r>
      <w:r w:rsidR="00EB3DA5" w:rsidRPr="00EB3DA5">
        <w:rPr>
          <w:rStyle w:val="AERtextitalic"/>
        </w:rPr>
        <w:t>ution Network</w:t>
      </w:r>
      <w:r w:rsidR="00EB3DA5">
        <w:t>, July 2015, p184.</w:t>
      </w:r>
    </w:p>
  </w:footnote>
  <w:footnote w:id="93">
    <w:p w14:paraId="79AA6471" w14:textId="77777777" w:rsidR="008E04D0" w:rsidRDefault="008E04D0"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4">
    <w:p w14:paraId="18DC2A3B" w14:textId="77777777" w:rsidR="008E04D0" w:rsidRDefault="008E04D0"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8E04D0" w:rsidRDefault="008E04D0"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8E04D0" w:rsidRDefault="008E04D0">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8E04D0" w:rsidRDefault="008E04D0"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8">
    <w:p w14:paraId="0949B0BA" w14:textId="77777777" w:rsidR="008E04D0" w:rsidRDefault="008E04D0"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9">
    <w:p w14:paraId="6B0D80CC" w14:textId="77777777" w:rsidR="008E04D0" w:rsidRDefault="008E04D0"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100">
    <w:p w14:paraId="00130FE9" w14:textId="77777777" w:rsidR="008E04D0" w:rsidRDefault="008E04D0"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1">
    <w:p w14:paraId="765600EF" w14:textId="77777777" w:rsidR="008E04D0" w:rsidRDefault="008E04D0"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2">
    <w:p w14:paraId="5C6EBFDE" w14:textId="77777777" w:rsidR="008E04D0" w:rsidRDefault="008E04D0">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0FF2D183" w:rsidR="008E04D0" w:rsidRDefault="008E04D0" w:rsidP="00EB3DA5">
      <w:pPr>
        <w:pStyle w:val="FootnoteText"/>
        <w:tabs>
          <w:tab w:val="clear" w:pos="340"/>
          <w:tab w:val="left" w:pos="284"/>
        </w:tabs>
        <w:ind w:left="284" w:hanging="284"/>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EB3DA5">
        <w:rPr>
          <w:rStyle w:val="AERtextitalic"/>
        </w:rPr>
        <w:t>2016-20 Regulatory Proposal</w:t>
      </w:r>
      <w:r>
        <w:t>, April 2015, p</w:t>
      </w:r>
      <w:r w:rsidR="00EB3DA5">
        <w:t xml:space="preserve">. </w:t>
      </w:r>
      <w:r>
        <w:t xml:space="preserve">364; United Energy, </w:t>
      </w:r>
      <w:r w:rsidRPr="00EB3DA5">
        <w:rPr>
          <w:rStyle w:val="AERtextitalic"/>
        </w:rPr>
        <w:t>Assessment of the Value of Imputation Credits - Gamma</w:t>
      </w:r>
      <w:r>
        <w:t>, Proposal for 2016 to 2020, April 2015, p</w:t>
      </w:r>
      <w:r w:rsidR="00EB3DA5">
        <w:t xml:space="preserve">. </w:t>
      </w:r>
      <w:r>
        <w:t>10; CitiPower</w:t>
      </w:r>
      <w:r w:rsidR="00EB3DA5">
        <w:t>,</w:t>
      </w:r>
      <w:r>
        <w:t xml:space="preserve"> </w:t>
      </w:r>
      <w:r w:rsidRPr="00EB3DA5">
        <w:rPr>
          <w:rStyle w:val="AERtextitalic"/>
        </w:rPr>
        <w:t>Appendix J - Gamma</w:t>
      </w:r>
      <w:r>
        <w:t>, April 2015, p</w:t>
      </w:r>
      <w:r w:rsidR="00EB3DA5">
        <w:t xml:space="preserve">. </w:t>
      </w:r>
      <w:r>
        <w:t xml:space="preserve">10; Powercor, </w:t>
      </w:r>
      <w:r w:rsidRPr="00EB3DA5">
        <w:rPr>
          <w:rStyle w:val="AERtextitalic"/>
        </w:rPr>
        <w:t>Appendix J - Gamma</w:t>
      </w:r>
      <w:r>
        <w:t>, April 2015, p</w:t>
      </w:r>
      <w:r w:rsidR="00EB3DA5">
        <w:t xml:space="preserve">. </w:t>
      </w:r>
      <w:r>
        <w:t xml:space="preserve">10; Jemena Electricity, </w:t>
      </w:r>
      <w:r w:rsidRPr="00EB3DA5">
        <w:rPr>
          <w:rStyle w:val="AERtextitalic"/>
        </w:rPr>
        <w:t>Attachment 06-06 Gamma proposal</w:t>
      </w:r>
      <w:r>
        <w:t>, April 2015, p</w:t>
      </w:r>
      <w:r w:rsidR="00EB3DA5">
        <w:t xml:space="preserve">. </w:t>
      </w:r>
      <w:r>
        <w:t xml:space="preserve">11; Energex, </w:t>
      </w:r>
      <w:r w:rsidRPr="00EB3DA5">
        <w:rPr>
          <w:rStyle w:val="AERtextitalic"/>
        </w:rPr>
        <w:t>Revised Regulatory Proposal</w:t>
      </w:r>
      <w:r>
        <w:t>, July 2015, p</w:t>
      </w:r>
      <w:r w:rsidR="00EB3DA5">
        <w:t xml:space="preserve">. </w:t>
      </w:r>
      <w:r>
        <w:t xml:space="preserve">118; ActewAGL Distribution, </w:t>
      </w:r>
      <w:r w:rsidRPr="00EB3DA5">
        <w:rPr>
          <w:rStyle w:val="AERtextitalic"/>
        </w:rPr>
        <w:t>Attachment 8 Detailed gamma proposal</w:t>
      </w:r>
      <w:r>
        <w:t>, June 2015, p</w:t>
      </w:r>
      <w:r w:rsidR="00EB3DA5">
        <w:t xml:space="preserve">. </w:t>
      </w:r>
      <w:r>
        <w:t xml:space="preserve">13; Australian Gas Networks, </w:t>
      </w:r>
      <w:r w:rsidRPr="00EB3DA5">
        <w:rPr>
          <w:rStyle w:val="AERtextitalic"/>
        </w:rPr>
        <w:t>Access Arrangement Information for Australian Gas Networks' South Australian Natural Gas Distrib</w:t>
      </w:r>
      <w:r w:rsidR="002520CD" w:rsidRPr="00EB3DA5">
        <w:rPr>
          <w:rStyle w:val="AERtextitalic"/>
        </w:rPr>
        <w:t>ution Network</w:t>
      </w:r>
      <w:r w:rsidR="002520CD">
        <w:t>, July 2015, p. 184.</w:t>
      </w:r>
    </w:p>
  </w:footnote>
  <w:footnote w:id="104">
    <w:p w14:paraId="2D76059D" w14:textId="77777777" w:rsidR="008E04D0" w:rsidRDefault="008E04D0"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8E04D0" w:rsidRDefault="008E04D0"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8E04D0" w:rsidRDefault="008E04D0"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7">
    <w:p w14:paraId="2B578ECF" w14:textId="77777777" w:rsidR="008E04D0" w:rsidRDefault="008E04D0"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8">
    <w:p w14:paraId="590E5558" w14:textId="77777777" w:rsidR="008E04D0" w:rsidRDefault="008E04D0"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8E04D0" w:rsidRDefault="008E04D0">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8E04D0" w:rsidRDefault="008E04D0"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586591D8"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2520CD">
        <w:t xml:space="preserve">. </w:t>
      </w:r>
      <w:r>
        <w:t>35.</w:t>
      </w:r>
    </w:p>
  </w:footnote>
  <w:footnote w:id="112">
    <w:p w14:paraId="5B0ACF06"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8E04D0" w:rsidRDefault="008E04D0"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74902197"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2520CD">
        <w:t xml:space="preserve">. </w:t>
      </w:r>
      <w:r>
        <w:t>37-38.</w:t>
      </w:r>
    </w:p>
  </w:footnote>
  <w:footnote w:id="115">
    <w:p w14:paraId="638519D6" w14:textId="77777777" w:rsidR="008E04D0" w:rsidRDefault="008E04D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7">
    <w:p w14:paraId="69CDD191" w14:textId="53567F46"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2520CD">
        <w:t xml:space="preserve">. </w:t>
      </w:r>
      <w:r>
        <w:t>33.</w:t>
      </w:r>
    </w:p>
  </w:footnote>
  <w:footnote w:id="118">
    <w:p w14:paraId="786BC8C6" w14:textId="385D764C"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2520CD">
        <w:t xml:space="preserve">. </w:t>
      </w:r>
      <w:r>
        <w:t>35.</w:t>
      </w:r>
    </w:p>
  </w:footnote>
  <w:footnote w:id="119">
    <w:p w14:paraId="365722C1" w14:textId="4C128B08"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2016-20 Regulatory Proposal, April 2015, pp</w:t>
      </w:r>
      <w:r w:rsidR="002520CD">
        <w:t>.</w:t>
      </w:r>
      <w:r>
        <w:t xml:space="preserve"> 363-367; United Energy, </w:t>
      </w:r>
      <w:r w:rsidRPr="002520CD">
        <w:rPr>
          <w:rStyle w:val="AERtextitalic"/>
        </w:rPr>
        <w:t>Assessment of the Value of Imputation Credits - Gamma, Proposal for 2016 to 2020</w:t>
      </w:r>
      <w:r>
        <w:t>, April 2015, p</w:t>
      </w:r>
      <w:r w:rsidR="002520CD">
        <w:t xml:space="preserve">. </w:t>
      </w:r>
      <w:r>
        <w:t>13; CitiPower</w:t>
      </w:r>
      <w:r w:rsidR="002520CD">
        <w:t xml:space="preserve">, </w:t>
      </w:r>
      <w:r w:rsidRPr="002520CD">
        <w:rPr>
          <w:rStyle w:val="AERtextitalic"/>
        </w:rPr>
        <w:t>Appendix J - Gamma</w:t>
      </w:r>
      <w:r>
        <w:t>, April 2015, p</w:t>
      </w:r>
      <w:r w:rsidR="002520CD">
        <w:t xml:space="preserve">. </w:t>
      </w:r>
      <w:r>
        <w:t xml:space="preserve">16; Powercor, </w:t>
      </w:r>
      <w:r w:rsidRPr="002520CD">
        <w:rPr>
          <w:rStyle w:val="AERtextitalic"/>
        </w:rPr>
        <w:t>Appendix J - Gamma</w:t>
      </w:r>
      <w:r>
        <w:t>, April 2015, p</w:t>
      </w:r>
      <w:r w:rsidR="002520CD">
        <w:t xml:space="preserve">. </w:t>
      </w:r>
      <w:r>
        <w:t xml:space="preserve">16; Jemena Electricity, </w:t>
      </w:r>
      <w:r w:rsidRPr="002520CD">
        <w:rPr>
          <w:rStyle w:val="AERtextitalic"/>
        </w:rPr>
        <w:t>Attachment 06-06 Gamma proposal</w:t>
      </w:r>
      <w:r>
        <w:t>, April 2015, pp</w:t>
      </w:r>
      <w:r w:rsidR="002520CD">
        <w:t>.</w:t>
      </w:r>
      <w:r>
        <w:t xml:space="preserve"> 12-16; Energex, </w:t>
      </w:r>
      <w:r w:rsidRPr="002520CD">
        <w:rPr>
          <w:rStyle w:val="AERtextitalic"/>
        </w:rPr>
        <w:t>Revised Regulatory Proposal</w:t>
      </w:r>
      <w:r>
        <w:t>, July 2015, pp</w:t>
      </w:r>
      <w:r w:rsidR="002520CD">
        <w:t xml:space="preserve">. </w:t>
      </w:r>
      <w:r>
        <w:t xml:space="preserve">118-119; ActewAGL Distribution, </w:t>
      </w:r>
      <w:r w:rsidRPr="002520CD">
        <w:rPr>
          <w:rStyle w:val="AERtextitalic"/>
        </w:rPr>
        <w:t>Attachment 8 Detailed gamma proposal</w:t>
      </w:r>
      <w:r>
        <w:t>, June 2015, pp</w:t>
      </w:r>
      <w:r w:rsidR="002520CD">
        <w:t>.</w:t>
      </w:r>
      <w:r>
        <w:t xml:space="preserve"> 12-15; Australian Gas Networks, </w:t>
      </w:r>
      <w:r w:rsidRPr="002520CD">
        <w:rPr>
          <w:rStyle w:val="AERtextitalic"/>
        </w:rPr>
        <w:t>Access Arrangement Information for Australian Gas Networks' South Australian Natural Gas Distribution Network</w:t>
      </w:r>
      <w:r>
        <w:t>, July 2015, p</w:t>
      </w:r>
      <w:r w:rsidR="002520CD">
        <w:t>.</w:t>
      </w:r>
      <w:r>
        <w:t>1</w:t>
      </w:r>
      <w:r w:rsidR="002520CD">
        <w:t>8</w:t>
      </w:r>
      <w:r>
        <w:t>4</w:t>
      </w:r>
      <w:r w:rsidR="002520CD">
        <w:t>.</w:t>
      </w:r>
      <w:r>
        <w:t xml:space="preserve">  </w:t>
      </w:r>
    </w:p>
  </w:footnote>
  <w:footnote w:id="120">
    <w:p w14:paraId="09327938" w14:textId="0707DA83" w:rsidR="008E04D0" w:rsidRDefault="008E04D0"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2520CD">
        <w:rPr>
          <w:rStyle w:val="AERtextitalic"/>
        </w:rPr>
        <w:t>2016-20 Regulatory Proposal</w:t>
      </w:r>
      <w:r>
        <w:t>, April 2015, p</w:t>
      </w:r>
      <w:r w:rsidR="002520CD">
        <w:t xml:space="preserve">. </w:t>
      </w:r>
      <w:r>
        <w:t xml:space="preserve">364; United Energy, </w:t>
      </w:r>
      <w:r w:rsidRPr="002520CD">
        <w:rPr>
          <w:rStyle w:val="AERtextitalic"/>
        </w:rPr>
        <w:t>Assessment of the Value of Imputation Credits - Gamma, Proposal for 2016 to 2020,</w:t>
      </w:r>
      <w:r>
        <w:t xml:space="preserve"> April 2015, p</w:t>
      </w:r>
      <w:r w:rsidR="002520CD">
        <w:t xml:space="preserve">. </w:t>
      </w:r>
      <w:r>
        <w:t>14; CitiPower</w:t>
      </w:r>
      <w:r w:rsidR="002520CD">
        <w:t>,</w:t>
      </w:r>
      <w:r>
        <w:t xml:space="preserve"> </w:t>
      </w:r>
      <w:r w:rsidRPr="002520CD">
        <w:rPr>
          <w:rStyle w:val="AERtextitalic"/>
        </w:rPr>
        <w:t>Appendix J - Gamma</w:t>
      </w:r>
      <w:r>
        <w:t>, April 2015, p</w:t>
      </w:r>
      <w:r w:rsidR="002520CD">
        <w:t xml:space="preserve">. </w:t>
      </w:r>
      <w:r>
        <w:t xml:space="preserve">13; Powercor, </w:t>
      </w:r>
      <w:r w:rsidRPr="002520CD">
        <w:rPr>
          <w:rStyle w:val="AERtextitalic"/>
        </w:rPr>
        <w:t>Appendix J - Gamma</w:t>
      </w:r>
      <w:r>
        <w:t>, April 2015, p</w:t>
      </w:r>
      <w:r w:rsidR="002520CD">
        <w:t xml:space="preserve">. </w:t>
      </w:r>
      <w:r>
        <w:t xml:space="preserve">13; Jemena Electricity, </w:t>
      </w:r>
      <w:r w:rsidRPr="002520CD">
        <w:rPr>
          <w:rStyle w:val="AERtextitalic"/>
        </w:rPr>
        <w:t>Attachment 06-06 Gamma proposal</w:t>
      </w:r>
      <w:r>
        <w:t>, April 2015, p</w:t>
      </w:r>
      <w:r w:rsidR="002520CD">
        <w:t xml:space="preserve">. </w:t>
      </w:r>
      <w:r>
        <w:t xml:space="preserve">13; ActewAGL Distribution, </w:t>
      </w:r>
      <w:r w:rsidRPr="002520CD">
        <w:rPr>
          <w:rStyle w:val="AERtextitalic"/>
        </w:rPr>
        <w:t>Attachment 8 Detailed gamma proposal</w:t>
      </w:r>
      <w:r>
        <w:t>,  June 2015, p</w:t>
      </w:r>
      <w:r w:rsidR="002520CD">
        <w:t xml:space="preserve">. </w:t>
      </w:r>
      <w:r>
        <w:t>13</w:t>
      </w:r>
      <w:r w:rsidR="002520CD">
        <w:t>.</w:t>
      </w:r>
      <w:r>
        <w:t xml:space="preserve"> </w:t>
      </w:r>
    </w:p>
  </w:footnote>
  <w:footnote w:id="121">
    <w:p w14:paraId="0C334F48" w14:textId="53082B25"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8E04D0" w:rsidRDefault="008E04D0">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8E04D0" w:rsidRDefault="008E04D0">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5">
    <w:p w14:paraId="086A8D77" w14:textId="77777777" w:rsidR="008E04D0" w:rsidRDefault="008E04D0"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8E04D0" w:rsidRDefault="008E04D0"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8E04D0" w:rsidRDefault="008E04D0"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8E04D0" w:rsidRPr="00EB47DF" w:rsidRDefault="008E04D0"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8E04D0" w:rsidRDefault="008E04D0"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8E04D0" w:rsidRDefault="008E04D0"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1">
    <w:p w14:paraId="1ABA4E76" w14:textId="61397836"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2">
    <w:p w14:paraId="02AA243C" w14:textId="77777777" w:rsidR="008E04D0" w:rsidRDefault="008E04D0"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3">
    <w:p w14:paraId="543CC113" w14:textId="77777777" w:rsidR="008E04D0" w:rsidRDefault="008E04D0"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8E04D0" w:rsidRDefault="008E04D0"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8E04D0" w:rsidRDefault="008E04D0"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8E04D0" w:rsidRDefault="008E04D0"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7">
    <w:p w14:paraId="0052669F" w14:textId="5F66E525" w:rsidR="008E04D0" w:rsidRDefault="008E04D0" w:rsidP="00656B47">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8">
    <w:p w14:paraId="4825C632" w14:textId="55A440A0" w:rsidR="008E04D0" w:rsidRDefault="008E04D0">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8E04D0" w:rsidRDefault="008E04D0"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8E04D0" w:rsidRDefault="008E04D0"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1">
    <w:p w14:paraId="44016D1E" w14:textId="77777777" w:rsidR="008E04D0" w:rsidRDefault="008E04D0"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2">
    <w:p w14:paraId="05C3F75C" w14:textId="77777777" w:rsidR="008E04D0" w:rsidRDefault="008E04D0"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3">
    <w:p w14:paraId="49F547A2" w14:textId="77777777" w:rsidR="008E04D0" w:rsidRDefault="008E04D0"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4">
    <w:p w14:paraId="61C9E911" w14:textId="77777777" w:rsidR="008E04D0" w:rsidRDefault="008E04D0"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5">
    <w:p w14:paraId="19FF1B80" w14:textId="77777777" w:rsidR="008E04D0" w:rsidRDefault="008E04D0"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6">
    <w:p w14:paraId="6ACECDAC" w14:textId="77777777" w:rsidR="008E04D0" w:rsidRDefault="008E04D0"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8E04D0" w:rsidRDefault="008E04D0"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8E04D0" w:rsidRDefault="008E04D0"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9">
    <w:p w14:paraId="6BB6DE03" w14:textId="7E38AD8D" w:rsidR="008E04D0" w:rsidRDefault="008E04D0">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February 2015, p. 1.</w:t>
      </w:r>
    </w:p>
  </w:footnote>
  <w:footnote w:id="150">
    <w:p w14:paraId="67680047" w14:textId="770F569A" w:rsidR="008E04D0" w:rsidRDefault="008E04D0"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8E04D0" w:rsidRDefault="008E04D0">
      <w:pPr>
        <w:pStyle w:val="FootnoteText"/>
      </w:pPr>
    </w:p>
  </w:footnote>
  <w:footnote w:id="151">
    <w:p w14:paraId="4C96CF06" w14:textId="792576F8" w:rsidR="008E04D0" w:rsidRDefault="008E04D0">
      <w:pPr>
        <w:pStyle w:val="FootnoteText"/>
      </w:pPr>
      <w:r>
        <w:rPr>
          <w:rStyle w:val="FootnoteReference"/>
        </w:rPr>
        <w:footnoteRef/>
      </w:r>
      <w:r>
        <w:t xml:space="preserve"> </w:t>
      </w:r>
      <w:r>
        <w:tab/>
        <w:t xml:space="preserve">SA Power Networks, </w:t>
      </w:r>
      <w:r>
        <w:rPr>
          <w:rStyle w:val="AERtextitalic"/>
        </w:rPr>
        <w:t>Revised regulatory proposal 2015-20</w:t>
      </w:r>
      <w:r>
        <w:t>, July 2015, pp</w:t>
      </w:r>
      <w:r w:rsidR="002520CD">
        <w:t>.</w:t>
      </w:r>
      <w:r>
        <w:t xml:space="preserve"> 370-371; Ergon, </w:t>
      </w:r>
      <w:r w:rsidRPr="002520CD">
        <w:rPr>
          <w:rStyle w:val="AERtextitalic"/>
        </w:rPr>
        <w:t>Submission on value of imputation credits (gamma),</w:t>
      </w:r>
      <w:r>
        <w:t xml:space="preserve"> July 2015, p</w:t>
      </w:r>
      <w:r w:rsidR="002520CD">
        <w:t xml:space="preserve">. </w:t>
      </w:r>
      <w:r>
        <w:t xml:space="preserve">7; Frontier Economics, </w:t>
      </w:r>
      <w:r w:rsidRPr="002520CD">
        <w:rPr>
          <w:rStyle w:val="AERtextitalic"/>
        </w:rPr>
        <w:t>An appropriate regulatory estimate of gamma</w:t>
      </w:r>
      <w:r>
        <w:t>, p</w:t>
      </w:r>
      <w:r w:rsidR="002520CD">
        <w:t xml:space="preserve">. </w:t>
      </w:r>
      <w:r>
        <w:t xml:space="preserve">8, June 2015; Australian Gas Networks, </w:t>
      </w:r>
      <w:r w:rsidRPr="002520CD">
        <w:rPr>
          <w:rStyle w:val="AERtextitalic"/>
        </w:rPr>
        <w:t>Attachment 11.2 Value of Imputation Credits</w:t>
      </w:r>
      <w:r>
        <w:t>, p</w:t>
      </w:r>
      <w:r w:rsidR="002520CD">
        <w:t xml:space="preserve">. </w:t>
      </w:r>
      <w:r>
        <w:t xml:space="preserve">3, July 2015; ActewAGL Distribution, </w:t>
      </w:r>
      <w:r w:rsidRPr="002520CD">
        <w:rPr>
          <w:rStyle w:val="AERtextitalic"/>
        </w:rPr>
        <w:t>Attachment 8 Detailed gamma proposal</w:t>
      </w:r>
      <w:r>
        <w:t>, pp. 2-3.</w:t>
      </w:r>
    </w:p>
  </w:footnote>
  <w:footnote w:id="152">
    <w:p w14:paraId="0E91DD89" w14:textId="6983F2E0" w:rsidR="008E04D0" w:rsidRDefault="008E04D0">
      <w:pPr>
        <w:pStyle w:val="FootnoteText"/>
      </w:pPr>
      <w:r>
        <w:rPr>
          <w:rStyle w:val="FootnoteReference"/>
        </w:rPr>
        <w:footnoteRef/>
      </w:r>
      <w:r>
        <w:t xml:space="preserve"> </w:t>
      </w:r>
      <w:r>
        <w:tab/>
        <w:t xml:space="preserve">SA Power Networks, </w:t>
      </w:r>
      <w:r>
        <w:rPr>
          <w:rStyle w:val="AERtextitalic"/>
        </w:rPr>
        <w:t>Revised regulatory proposal 2015-20</w:t>
      </w:r>
      <w:r>
        <w:t>, July 2015, pp</w:t>
      </w:r>
      <w:r w:rsidR="002520CD">
        <w:t>.</w:t>
      </w:r>
      <w:r>
        <w:t xml:space="preserve"> 370-371; Ergon, </w:t>
      </w:r>
      <w:r w:rsidRPr="002520CD">
        <w:rPr>
          <w:rStyle w:val="AERtextitalic"/>
        </w:rPr>
        <w:t>Submission on value of imputation credits (gamma)</w:t>
      </w:r>
      <w:r>
        <w:t>, July 2015, p</w:t>
      </w:r>
      <w:r w:rsidR="002520CD">
        <w:t xml:space="preserve">. </w:t>
      </w:r>
      <w:r>
        <w:t xml:space="preserve">7; Frontier Economics, </w:t>
      </w:r>
      <w:r w:rsidRPr="002520CD">
        <w:rPr>
          <w:rStyle w:val="AERtextitalic"/>
        </w:rPr>
        <w:t>An appropriate regulatory estimate of gamma</w:t>
      </w:r>
      <w:r>
        <w:t xml:space="preserve">, pp. 26-30, June 2015; Australian Gas Networks, </w:t>
      </w:r>
      <w:r w:rsidRPr="002520CD">
        <w:rPr>
          <w:rStyle w:val="AERtextitalic"/>
        </w:rPr>
        <w:t>Attachment 11.2 Value of Imputation Credits</w:t>
      </w:r>
      <w:r>
        <w:t>, p</w:t>
      </w:r>
      <w:r w:rsidR="002520CD">
        <w:t xml:space="preserve">. </w:t>
      </w:r>
      <w:r>
        <w:t>3, July 2015.</w:t>
      </w:r>
    </w:p>
  </w:footnote>
  <w:footnote w:id="153">
    <w:p w14:paraId="5153D67A" w14:textId="38922B32" w:rsidR="008E04D0" w:rsidRDefault="008E04D0">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7A74C963" w:rsidR="008E04D0" w:rsidRDefault="008E04D0">
      <w:pPr>
        <w:pStyle w:val="FootnoteText"/>
      </w:pPr>
      <w:r>
        <w:rPr>
          <w:rStyle w:val="FootnoteReference"/>
        </w:rPr>
        <w:footnoteRef/>
      </w:r>
      <w:r>
        <w:t xml:space="preserve"> </w:t>
      </w:r>
      <w:r>
        <w:tab/>
        <w:t xml:space="preserve">AusNet Services, </w:t>
      </w:r>
      <w:r w:rsidRPr="002520CD">
        <w:rPr>
          <w:rStyle w:val="AERtextitalic"/>
        </w:rPr>
        <w:t>2016-20 Regulatory Proposal</w:t>
      </w:r>
      <w:r>
        <w:t>, April 2015, p</w:t>
      </w:r>
      <w:r w:rsidR="002520CD">
        <w:t xml:space="preserve">. </w:t>
      </w:r>
      <w:r>
        <w:t xml:space="preserve">354; United Energy, </w:t>
      </w:r>
      <w:r w:rsidRPr="002520CD">
        <w:rPr>
          <w:rStyle w:val="AERtextitalic"/>
        </w:rPr>
        <w:t>Assessment of the Value of Imputation Credits - Gamma, Proposal for 2016 to 2020</w:t>
      </w:r>
      <w:r>
        <w:t>, April 2015, p</w:t>
      </w:r>
      <w:r w:rsidR="002520CD">
        <w:t>. 2; CitiPower,</w:t>
      </w:r>
      <w:r>
        <w:t xml:space="preserve"> </w:t>
      </w:r>
      <w:r w:rsidRPr="002520CD">
        <w:rPr>
          <w:rStyle w:val="AERtextitalic"/>
        </w:rPr>
        <w:t>Appendix J - Gamma</w:t>
      </w:r>
      <w:r>
        <w:t>, April 2015, p</w:t>
      </w:r>
      <w:r w:rsidR="002520CD">
        <w:t xml:space="preserve">. </w:t>
      </w:r>
      <w:r>
        <w:t xml:space="preserve">4; Powercor, </w:t>
      </w:r>
      <w:r w:rsidRPr="002520CD">
        <w:rPr>
          <w:rStyle w:val="AERtextitalic"/>
        </w:rPr>
        <w:t>Appendix J - Gamma</w:t>
      </w:r>
      <w:r>
        <w:t>, April 2015, p</w:t>
      </w:r>
      <w:r w:rsidR="002520CD">
        <w:t xml:space="preserve">. </w:t>
      </w:r>
      <w:r>
        <w:t xml:space="preserve">4; Jemena Electricity, </w:t>
      </w:r>
      <w:r w:rsidRPr="002520CD">
        <w:rPr>
          <w:rStyle w:val="AERtextitalic"/>
        </w:rPr>
        <w:t>Attachment 06-06 Gamma proposal</w:t>
      </w:r>
      <w:r>
        <w:t>, April 2015, p</w:t>
      </w:r>
      <w:r w:rsidR="002520CD">
        <w:t xml:space="preserve">. </w:t>
      </w:r>
      <w:r>
        <w:t xml:space="preserve">5; SA Power Networks, </w:t>
      </w:r>
      <w:r>
        <w:rPr>
          <w:rStyle w:val="AERtextitalic"/>
        </w:rPr>
        <w:t>Revised regulatory proposal 2015-20</w:t>
      </w:r>
      <w:r>
        <w:t>, July 2015, pp</w:t>
      </w:r>
      <w:r w:rsidR="002520CD">
        <w:t>.</w:t>
      </w:r>
      <w:r>
        <w:t xml:space="preserve"> 370-371 ; Ergon</w:t>
      </w:r>
      <w:r w:rsidRPr="002520CD">
        <w:rPr>
          <w:rStyle w:val="AERtextitalic"/>
        </w:rPr>
        <w:t>, Submission on value of imputation credits (gamma)</w:t>
      </w:r>
      <w:r>
        <w:t>, July 2015, p</w:t>
      </w:r>
      <w:r w:rsidR="002520CD">
        <w:t xml:space="preserve">. </w:t>
      </w:r>
      <w:r>
        <w:t xml:space="preserve">7; ActewAGL Distribution, </w:t>
      </w:r>
      <w:r w:rsidRPr="002520CD">
        <w:rPr>
          <w:rStyle w:val="AERtextitalic"/>
        </w:rPr>
        <w:t>Attachment 8 Detailed gamma proposal</w:t>
      </w:r>
      <w:r>
        <w:t>, p</w:t>
      </w:r>
      <w:r w:rsidR="002520CD">
        <w:t>. 2</w:t>
      </w:r>
      <w:r>
        <w:t xml:space="preserve">; Australian Gas Networks, </w:t>
      </w:r>
      <w:r w:rsidRPr="002520CD">
        <w:rPr>
          <w:rStyle w:val="AERtextitalic"/>
        </w:rPr>
        <w:t>Attachment 11.2 Value of Imputation Credits</w:t>
      </w:r>
      <w:r>
        <w:t xml:space="preserve">, </w:t>
      </w:r>
      <w:r w:rsidR="00EB3DA5">
        <w:t>pp.</w:t>
      </w:r>
      <w:r>
        <w:t xml:space="preserve"> 9-10, July 2015; Amadeus Gas Pipeline, </w:t>
      </w:r>
      <w:r w:rsidRPr="002520CD">
        <w:rPr>
          <w:rStyle w:val="AERtextitalic"/>
        </w:rPr>
        <w:t>Access Arrangement revision submission</w:t>
      </w:r>
      <w:r>
        <w:t>, August 2015, p. 151.</w:t>
      </w:r>
    </w:p>
  </w:footnote>
  <w:footnote w:id="155">
    <w:p w14:paraId="3CBB78E1" w14:textId="424D5EFA" w:rsidR="008E04D0" w:rsidRDefault="008E04D0">
      <w:pPr>
        <w:pStyle w:val="FootnoteText"/>
      </w:pPr>
      <w:r>
        <w:rPr>
          <w:rStyle w:val="FootnoteReference"/>
        </w:rPr>
        <w:footnoteRef/>
      </w:r>
      <w:r>
        <w:t xml:space="preserve"> </w:t>
      </w:r>
      <w:r>
        <w:tab/>
        <w:t xml:space="preserve">SA Power Networks, </w:t>
      </w:r>
      <w:r>
        <w:rPr>
          <w:rStyle w:val="AERtextitalic"/>
        </w:rPr>
        <w:t>Revised regulatory proposal 2015-20</w:t>
      </w:r>
      <w:r>
        <w:t>, July 2015, pp</w:t>
      </w:r>
      <w:r w:rsidR="002520CD">
        <w:t>.</w:t>
      </w:r>
      <w:r>
        <w:t xml:space="preserve"> 370-371; Ergon, </w:t>
      </w:r>
      <w:r w:rsidRPr="002520CD">
        <w:rPr>
          <w:rStyle w:val="AERtextitalic"/>
        </w:rPr>
        <w:t>Submission on value of imputation credits (gamma)</w:t>
      </w:r>
      <w:r>
        <w:t>, July 2015, p</w:t>
      </w:r>
      <w:r w:rsidR="002520CD">
        <w:t xml:space="preserve">. </w:t>
      </w:r>
      <w:r>
        <w:t xml:space="preserve">7; Australian Gas Networks, </w:t>
      </w:r>
      <w:r w:rsidRPr="002520CD">
        <w:rPr>
          <w:rStyle w:val="AERtextitalic"/>
        </w:rPr>
        <w:t>Attachment 11.2 Value of Imputation Credits</w:t>
      </w:r>
      <w:r>
        <w:t>, p</w:t>
      </w:r>
      <w:r w:rsidR="002520CD">
        <w:t xml:space="preserve">. </w:t>
      </w:r>
      <w:r>
        <w:t>3, July 2015.</w:t>
      </w:r>
    </w:p>
  </w:footnote>
  <w:footnote w:id="156">
    <w:p w14:paraId="10C837D4" w14:textId="2D417A42" w:rsidR="008E04D0" w:rsidRDefault="008E04D0">
      <w:pPr>
        <w:pStyle w:val="FootnoteText"/>
      </w:pPr>
      <w:r>
        <w:rPr>
          <w:rStyle w:val="FootnoteReference"/>
        </w:rPr>
        <w:footnoteRef/>
      </w:r>
      <w:r>
        <w:t xml:space="preserve"> </w:t>
      </w:r>
      <w:r>
        <w:tab/>
        <w:t xml:space="preserve">AusNet Services, </w:t>
      </w:r>
      <w:r w:rsidRPr="002520CD">
        <w:rPr>
          <w:rStyle w:val="AERtextitalic"/>
        </w:rPr>
        <w:t>2016-20 Regulatory Proposal</w:t>
      </w:r>
      <w:r>
        <w:t>, April 2015, p</w:t>
      </w:r>
      <w:r w:rsidR="002520CD">
        <w:t xml:space="preserve">. </w:t>
      </w:r>
      <w:r>
        <w:t xml:space="preserve">367; United Energy, </w:t>
      </w:r>
      <w:r w:rsidRPr="002520CD">
        <w:rPr>
          <w:rStyle w:val="AERtextitalic"/>
        </w:rPr>
        <w:t>Assessment of the Value of Imputation Credits - Gamma, Proposal for 2016 to 2020</w:t>
      </w:r>
      <w:r>
        <w:t>, April 2015, p</w:t>
      </w:r>
      <w:r w:rsidR="002520CD">
        <w:t xml:space="preserve">. </w:t>
      </w:r>
      <w:r>
        <w:t>18; CitiPower</w:t>
      </w:r>
      <w:r w:rsidR="002520CD">
        <w:t>,</w:t>
      </w:r>
      <w:r>
        <w:t xml:space="preserve"> </w:t>
      </w:r>
      <w:r w:rsidRPr="002520CD">
        <w:rPr>
          <w:rStyle w:val="AERtextitalic"/>
        </w:rPr>
        <w:t>Appendix J - Gamma</w:t>
      </w:r>
      <w:r>
        <w:t>, April 2015, p</w:t>
      </w:r>
      <w:r w:rsidR="002520CD">
        <w:t xml:space="preserve">. </w:t>
      </w:r>
      <w:r>
        <w:t xml:space="preserve">16; Powercor, </w:t>
      </w:r>
      <w:r w:rsidRPr="002520CD">
        <w:rPr>
          <w:rStyle w:val="AERtextitalic"/>
        </w:rPr>
        <w:t>Appendix J - Gamma</w:t>
      </w:r>
      <w:r>
        <w:t>, April 2015, p</w:t>
      </w:r>
      <w:r w:rsidR="002520CD">
        <w:t xml:space="preserve">. </w:t>
      </w:r>
      <w:r>
        <w:t xml:space="preserve">16; Jemena Electricity, </w:t>
      </w:r>
      <w:r w:rsidRPr="002520CD">
        <w:rPr>
          <w:rStyle w:val="AERtextitalic"/>
        </w:rPr>
        <w:t>Attachment 06-06 Gamma proposal</w:t>
      </w:r>
      <w:r>
        <w:t>, April 2015, p</w:t>
      </w:r>
      <w:r w:rsidR="002520CD">
        <w:t>. 7</w:t>
      </w:r>
      <w:r>
        <w:t xml:space="preserve">; SA Power Networks, </w:t>
      </w:r>
      <w:r>
        <w:rPr>
          <w:rStyle w:val="AERtextitalic"/>
        </w:rPr>
        <w:t>Revised regulatory proposal 2015-20</w:t>
      </w:r>
      <w:r>
        <w:t>, July 2015, pp</w:t>
      </w:r>
      <w:r w:rsidR="002520CD">
        <w:t>.</w:t>
      </w:r>
      <w:r>
        <w:t xml:space="preserve"> 370-371; Ergon, </w:t>
      </w:r>
      <w:r w:rsidRPr="002520CD">
        <w:rPr>
          <w:rStyle w:val="AERtextitalic"/>
        </w:rPr>
        <w:t>Submission on value of imputation credits (gamma)</w:t>
      </w:r>
      <w:r>
        <w:t>, July 2015, p</w:t>
      </w:r>
      <w:r w:rsidR="002520CD">
        <w:t xml:space="preserve">. </w:t>
      </w:r>
      <w:r>
        <w:t xml:space="preserve">8; ActewAGL Distribution, </w:t>
      </w:r>
      <w:r w:rsidRPr="002520CD">
        <w:rPr>
          <w:rStyle w:val="AERtextitalic"/>
        </w:rPr>
        <w:t>Attachment 8 Detailed gamma proposal</w:t>
      </w:r>
      <w:r>
        <w:t>, p</w:t>
      </w:r>
      <w:r w:rsidR="002520CD">
        <w:t xml:space="preserve">. </w:t>
      </w:r>
      <w:r>
        <w:t xml:space="preserve">15; Australian Gas Networks, </w:t>
      </w:r>
      <w:r w:rsidRPr="002520CD">
        <w:rPr>
          <w:rStyle w:val="AERtextitalic"/>
        </w:rPr>
        <w:t>Attachment 11.2 Value of Imputation Credits</w:t>
      </w:r>
      <w:r>
        <w:t>, p3, July 2015.</w:t>
      </w:r>
    </w:p>
  </w:footnote>
  <w:footnote w:id="157">
    <w:p w14:paraId="61700104" w14:textId="77777777" w:rsidR="008E04D0" w:rsidRDefault="008E04D0" w:rsidP="00615CE6">
      <w:pPr>
        <w:pStyle w:val="FootnoteText"/>
      </w:pPr>
      <w:r>
        <w:rPr>
          <w:rStyle w:val="FootnoteReference"/>
        </w:rPr>
        <w:footnoteRef/>
      </w:r>
      <w:r>
        <w:t xml:space="preserve"> </w:t>
      </w:r>
      <w:r>
        <w:tab/>
      </w:r>
      <w:r w:rsidRPr="00FF5DB5">
        <w:t>NER, cl</w:t>
      </w:r>
      <w:r>
        <w:t>l. 6.4.3 and</w:t>
      </w:r>
      <w:r w:rsidRPr="00FF5DB5">
        <w:t xml:space="preserve"> 6A.5.4; NGR, r. 76.</w:t>
      </w:r>
    </w:p>
  </w:footnote>
  <w:footnote w:id="158">
    <w:p w14:paraId="20E3CDE6" w14:textId="77777777" w:rsidR="008E04D0" w:rsidRDefault="008E04D0"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8E04D0" w:rsidRDefault="008E04D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8E04D0" w:rsidRDefault="008E04D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8E04D0" w:rsidRDefault="008E04D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8E04D0" w:rsidRDefault="008E04D0" w:rsidP="00615CE6">
      <w:pPr>
        <w:pStyle w:val="FootnoteText"/>
      </w:pPr>
      <w:r>
        <w:rPr>
          <w:rStyle w:val="FootnoteReference"/>
        </w:rPr>
        <w:footnoteRef/>
      </w:r>
      <w:r>
        <w:t xml:space="preserve"> </w:t>
      </w:r>
      <w:r>
        <w:tab/>
        <w:t>NER, cll. 6.5.2 and 6A.6.2;</w:t>
      </w:r>
      <w:r w:rsidRPr="0042735A">
        <w:t xml:space="preserve"> </w:t>
      </w:r>
      <w:r>
        <w:t>NGR, r. 87.</w:t>
      </w:r>
    </w:p>
  </w:footnote>
  <w:footnote w:id="163">
    <w:p w14:paraId="6FA23A42" w14:textId="77777777" w:rsidR="008E04D0" w:rsidRDefault="008E04D0">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8E04D0" w:rsidRDefault="008E04D0"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8E04D0" w:rsidRDefault="008E04D0"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6">
    <w:p w14:paraId="2E6C816F" w14:textId="77777777" w:rsidR="008E04D0" w:rsidRDefault="008E04D0"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8E04D0" w:rsidRDefault="008E04D0" w:rsidP="00A3557D">
      <w:pPr>
        <w:pStyle w:val="FootnoteText"/>
      </w:pPr>
      <w:r>
        <w:rPr>
          <w:rStyle w:val="FootnoteReference"/>
        </w:rPr>
        <w:footnoteRef/>
      </w:r>
      <w:r>
        <w:t xml:space="preserve"> </w:t>
      </w:r>
      <w:r>
        <w:tab/>
        <w:t>NER, cll. 6.5.2 and 6A.6.2;</w:t>
      </w:r>
      <w:r w:rsidRPr="0042735A">
        <w:t xml:space="preserve"> </w:t>
      </w:r>
      <w:r>
        <w:t>NGR, r. 87.</w:t>
      </w:r>
    </w:p>
  </w:footnote>
  <w:footnote w:id="168">
    <w:p w14:paraId="2071CB05" w14:textId="77777777" w:rsidR="008E04D0" w:rsidRDefault="008E04D0"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8E04D0" w:rsidRDefault="008E04D0"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8E04D0" w:rsidRDefault="008E04D0"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8E04D0" w:rsidRDefault="008E04D0"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8E04D0" w:rsidRDefault="008E04D0"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8E04D0" w:rsidRDefault="008E04D0"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8E04D0" w:rsidRDefault="008E04D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8E04D0" w:rsidRDefault="008E04D0">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19AAF2D7" w:rsidR="008E04D0" w:rsidRDefault="008E04D0">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2520CD">
        <w:t xml:space="preserve">. </w:t>
      </w:r>
      <w:r>
        <w:t xml:space="preserve">373; </w:t>
      </w:r>
    </w:p>
  </w:footnote>
  <w:footnote w:id="177">
    <w:p w14:paraId="09202310"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30EDD9F5"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9">
    <w:p w14:paraId="2FCF47DF"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80">
    <w:p w14:paraId="3E0514DF"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1">
    <w:p w14:paraId="63FE8733" w14:textId="77777777" w:rsidR="008E04D0" w:rsidRDefault="008E04D0">
      <w:pPr>
        <w:pStyle w:val="FootnoteText"/>
      </w:pPr>
      <w:r>
        <w:rPr>
          <w:rStyle w:val="FootnoteReference"/>
        </w:rPr>
        <w:footnoteRef/>
      </w:r>
      <w:r>
        <w:t xml:space="preserve"> </w:t>
      </w:r>
      <w:r>
        <w:tab/>
        <w:t>See section A.6.1 of the draft decisions.</w:t>
      </w:r>
    </w:p>
  </w:footnote>
  <w:footnote w:id="182">
    <w:p w14:paraId="3695A7B7"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3">
    <w:p w14:paraId="264FD872"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4">
    <w:p w14:paraId="602F5365"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8E04D0" w:rsidRDefault="008E04D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8E04D0" w:rsidRDefault="008E04D0"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90">
    <w:p w14:paraId="20185CE8" w14:textId="77777777" w:rsidR="008E04D0" w:rsidRDefault="008E04D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2">
    <w:p w14:paraId="5D827417"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4">
    <w:p w14:paraId="257DDBA0" w14:textId="77777777" w:rsidR="008E04D0" w:rsidRDefault="008E04D0">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8E04D0" w:rsidRDefault="008E04D0">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8E04D0" w:rsidRDefault="008E04D0">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8E04D0" w:rsidRDefault="008E04D0"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8">
    <w:p w14:paraId="79D25980"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8E04D0" w:rsidRDefault="008E04D0">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8E04D0" w:rsidRDefault="008E04D0"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8E04D0" w:rsidRDefault="008E04D0"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6B6235F0" w14:textId="77777777"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3">
    <w:p w14:paraId="31BC3AF0" w14:textId="77777777"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4">
    <w:p w14:paraId="1D2DE1AE" w14:textId="77777777" w:rsidR="008E04D0" w:rsidRDefault="008E04D0">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5">
    <w:p w14:paraId="52A180DB" w14:textId="6CD26D3C" w:rsidR="008E04D0" w:rsidRDefault="008E04D0">
      <w:pPr>
        <w:pStyle w:val="FootnoteText"/>
      </w:pPr>
      <w:r>
        <w:rPr>
          <w:rStyle w:val="FootnoteReference"/>
        </w:rPr>
        <w:footnoteRef/>
      </w:r>
      <w:r>
        <w:t xml:space="preserve"> </w:t>
      </w:r>
      <w:r>
        <w:tab/>
        <w:t>Access Arrangement Information for Australian Gas Networks' South Australian Natural Gas Distribution Network, p</w:t>
      </w:r>
      <w:r w:rsidR="007D497B">
        <w:t xml:space="preserve">. </w:t>
      </w:r>
      <w:r>
        <w:t xml:space="preserve">11, July 2015; Frontier Economics, </w:t>
      </w:r>
      <w:r w:rsidRPr="00D14DE4">
        <w:rPr>
          <w:rStyle w:val="AERtextitalic"/>
        </w:rPr>
        <w:t>An appropriate regulatory estimate of gamma</w:t>
      </w:r>
      <w:r>
        <w:t>, June 2015, pp</w:t>
      </w:r>
      <w:r w:rsidR="007D497B">
        <w:t>.</w:t>
      </w:r>
      <w:r>
        <w:t xml:space="preserve"> 45-48.</w:t>
      </w:r>
    </w:p>
  </w:footnote>
  <w:footnote w:id="206">
    <w:p w14:paraId="40622068" w14:textId="114ABBAD" w:rsidR="008E04D0" w:rsidRDefault="008E04D0">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xml:space="preserve">, May 2015, </w:t>
      </w:r>
      <w:r w:rsidR="007D497B">
        <w:t>.p. 3</w:t>
      </w:r>
      <w:r>
        <w:t>.</w:t>
      </w:r>
    </w:p>
  </w:footnote>
  <w:footnote w:id="207">
    <w:p w14:paraId="77655950" w14:textId="778F00FA" w:rsidR="008E04D0" w:rsidRDefault="008E04D0">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7D497B">
        <w:t xml:space="preserve">. </w:t>
      </w:r>
      <w:r>
        <w:t>14.</w:t>
      </w:r>
    </w:p>
  </w:footnote>
  <w:footnote w:id="208">
    <w:p w14:paraId="33CF4CC3" w14:textId="238EB9E3"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9">
    <w:p w14:paraId="78E86F5B" w14:textId="26AF698C" w:rsidR="008E04D0" w:rsidRDefault="008E04D0">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7D497B">
        <w:t xml:space="preserve">. </w:t>
      </w:r>
      <w:r>
        <w:t>17.</w:t>
      </w:r>
    </w:p>
  </w:footnote>
  <w:footnote w:id="210">
    <w:p w14:paraId="43A6CCB6" w14:textId="693EBB96" w:rsidR="008E04D0" w:rsidRDefault="008E04D0">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7D497B">
        <w:t xml:space="preserve">. </w:t>
      </w:r>
      <w:r>
        <w:t>17.</w:t>
      </w:r>
    </w:p>
  </w:footnote>
  <w:footnote w:id="211">
    <w:p w14:paraId="0437978C"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2">
    <w:p w14:paraId="2B4D0686" w14:textId="41E780A3"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7D497B">
        <w:t xml:space="preserve">. </w:t>
      </w:r>
      <w:r>
        <w:t>17-18.</w:t>
      </w:r>
    </w:p>
  </w:footnote>
  <w:footnote w:id="213">
    <w:p w14:paraId="63BD8656"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5">
    <w:p w14:paraId="7E3353C4"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7">
    <w:p w14:paraId="2CF44119"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8E04D0" w:rsidRDefault="008E04D0"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8E04D0" w:rsidRDefault="008E04D0"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3D87E5E0" w14:textId="72182528" w:rsidR="008E04D0" w:rsidRDefault="008E04D0" w:rsidP="007D497B">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February 2015, p. 1; AusNet Services, 2016-20 Regulatory Proposal, April 2015, p</w:t>
      </w:r>
      <w:r w:rsidR="007D497B">
        <w:t xml:space="preserve">. </w:t>
      </w:r>
      <w:r>
        <w:t>354. ; United Energy, Assessment of the Value of Imputation Credits - Gamma, Proposal for 2016 to 2020, April 2015, p</w:t>
      </w:r>
      <w:r w:rsidR="007D497B">
        <w:t xml:space="preserve">. </w:t>
      </w:r>
      <w:r>
        <w:t>9; CitiPower - Appendix J - Gamma, April 2015, p241; Powercor, Regulatory Proposal 2016-20, April 2015, p</w:t>
      </w:r>
      <w:r w:rsidR="007D497B">
        <w:t xml:space="preserve">. </w:t>
      </w:r>
      <w:r>
        <w:t>249; Jemena Electricity, Attachment 06-06 Gamma proposal, April 2015, p. 2; Energex, Revised Regulatory Proposal, July 2015, p</w:t>
      </w:r>
      <w:r w:rsidR="007D497B">
        <w:t xml:space="preserve">. </w:t>
      </w:r>
      <w:r>
        <w:t>13; Ergon Energy, Submission on draft decision NSW &amp; ACT DNSPs &amp; Ors, February 2015, p. 8. ActewAGL Distribution, Attachment 8 Detailed gamma proposal, June 2015</w:t>
      </w:r>
      <w:r w:rsidR="007D497B">
        <w:t>, p. 7</w:t>
      </w:r>
      <w:r>
        <w:t>.</w:t>
      </w:r>
    </w:p>
  </w:footnote>
  <w:footnote w:id="222">
    <w:p w14:paraId="557E4D37" w14:textId="1BFA1023" w:rsidR="008E04D0" w:rsidRDefault="008E04D0" w:rsidP="00711F8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February 2015, p. 6; AusNet Services, 2016-20 Regulatory Proposal, April 2015, p. 360; United Energy, Assessment of the Value of Imputation Credits - Gamma, Proposal for 2016 to 2020, April 2015, p9; CitiPower - Appendix J - Gamma, April 2015, p</w:t>
      </w:r>
      <w:r w:rsidR="007D497B">
        <w:t xml:space="preserve">. </w:t>
      </w:r>
      <w:r>
        <w:t>9; Powercor, Appendix J - Gamma, April 2015, p9; Jemena Electricity, Attachment 06-06 Gamma proposal, April 2015, p. 9 ; Energex, Submission on Energex's regulatory proposal 2015-20 and AER issues paper - attachment 2, January 2015, p</w:t>
      </w:r>
      <w:r w:rsidR="007D497B">
        <w:t xml:space="preserve">. </w:t>
      </w:r>
      <w:r>
        <w:t xml:space="preserve">6. ; ActewAGL Distribution, Attachment 8 Detailed gamma proposal, June 2015, p. 7.  </w:t>
      </w:r>
    </w:p>
    <w:p w14:paraId="218A8F2E" w14:textId="062CBCB4" w:rsidR="008E04D0" w:rsidRDefault="008E04D0">
      <w:pPr>
        <w:pStyle w:val="FootnoteText"/>
      </w:pPr>
    </w:p>
  </w:footnote>
  <w:footnote w:id="223">
    <w:p w14:paraId="5BA39227" w14:textId="77777777" w:rsidR="008E04D0" w:rsidRDefault="008E04D0">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p.138.</w:t>
      </w:r>
    </w:p>
  </w:footnote>
  <w:footnote w:id="224">
    <w:p w14:paraId="7ACD1DA1" w14:textId="268ACEAB"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w:t>
      </w:r>
      <w:r w:rsidR="007D497B">
        <w:t xml:space="preserve">. </w:t>
      </w:r>
      <w:r>
        <w:t>3-4.</w:t>
      </w:r>
    </w:p>
  </w:footnote>
  <w:footnote w:id="225">
    <w:p w14:paraId="590C5BFD" w14:textId="263A52E4"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7D497B">
        <w:t xml:space="preserve">. </w:t>
      </w:r>
      <w:r>
        <w:t>23.</w:t>
      </w:r>
    </w:p>
  </w:footnote>
  <w:footnote w:id="226">
    <w:p w14:paraId="53ABBE8C" w14:textId="084DA833"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7D497B">
        <w:t xml:space="preserve">. </w:t>
      </w:r>
      <w:r>
        <w:t>7.</w:t>
      </w:r>
    </w:p>
  </w:footnote>
  <w:footnote w:id="227">
    <w:p w14:paraId="2D2AD615" w14:textId="7777777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8E04D0" w:rsidRDefault="008E04D0"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9">
    <w:p w14:paraId="10659666" w14:textId="77777777" w:rsidR="008E04D0" w:rsidRDefault="008E04D0"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8E04D0" w:rsidRDefault="008E04D0"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8E04D0" w:rsidRDefault="008E04D0"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8E04D0" w:rsidRDefault="008E04D0"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4">
    <w:p w14:paraId="1AC548D0" w14:textId="77777777" w:rsidR="008E04D0" w:rsidRDefault="008E04D0">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8E04D0" w:rsidRDefault="008E04D0"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6">
    <w:p w14:paraId="61FD4718" w14:textId="7777777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8E04D0" w:rsidRDefault="008E04D0"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143AD1FF" w:rsidR="008E04D0" w:rsidRDefault="008E04D0">
      <w:pPr>
        <w:pStyle w:val="FootnoteText"/>
      </w:pPr>
      <w:r>
        <w:rPr>
          <w:rStyle w:val="FootnoteReference"/>
        </w:rPr>
        <w:footnoteRef/>
      </w:r>
      <w:r>
        <w:t xml:space="preserve"> </w:t>
      </w:r>
      <w:r>
        <w:tab/>
        <w:t>AusNet Services, 2016-20 Regulatory Proposal, April 2015, p. 374; United Energy, Assessment of the Value of Imputation Credits - Gamma, Proposal for 2016 to 2020, April 2015, p. 24; Jemena Electricity, Attachment 06-06 Gamma proposal, April 2015, p. 4; CitiPower - Appendix J - Gamma, April 2015, p. 20; Powercor, Appendix J - Gamma, April 2015, p. 20; Energex, submission  on Energex's regulatory proposal 2015-20 and AER issues paper - attachment 2, January 2015, p. 18.</w:t>
      </w:r>
    </w:p>
  </w:footnote>
  <w:footnote w:id="239">
    <w:p w14:paraId="1E5FBF9A" w14:textId="4F54EE7A"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7D497B">
        <w:t xml:space="preserve">. </w:t>
      </w:r>
      <w:r>
        <w:t xml:space="preserve">41.  </w:t>
      </w:r>
    </w:p>
  </w:footnote>
  <w:footnote w:id="240">
    <w:p w14:paraId="4971900D" w14:textId="77777777" w:rsidR="008E04D0" w:rsidRDefault="008E04D0"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8E04D0" w:rsidRDefault="008E04D0"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8E04D0" w:rsidRDefault="008E04D0"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3">
    <w:p w14:paraId="3D37F18E" w14:textId="77777777" w:rsidR="008E04D0" w:rsidRDefault="008E04D0"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4">
    <w:p w14:paraId="263A9E9E" w14:textId="3FB9F490" w:rsidR="008E04D0" w:rsidRDefault="008E04D0"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9; Access Arrangement Information for Australian Gas Networks' South Australian Natural Gas Distribution Network, July 2015</w:t>
      </w:r>
      <w:r w:rsidR="007D497B">
        <w:t>, p. 9.</w:t>
      </w:r>
      <w:r>
        <w:t xml:space="preserve"> </w:t>
      </w:r>
    </w:p>
  </w:footnote>
  <w:footnote w:id="245">
    <w:p w14:paraId="31E3D88F" w14:textId="77777777" w:rsidR="008E04D0" w:rsidRDefault="008E04D0"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1CFA7486" w:rsidR="008E04D0" w:rsidRPr="006C07EA" w:rsidRDefault="008E04D0"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rsidR="007D497B">
        <w:t>, February 2015, p. 9.</w:t>
      </w:r>
    </w:p>
  </w:footnote>
  <w:footnote w:id="247">
    <w:p w14:paraId="1588B0F3" w14:textId="77777777" w:rsidR="008E04D0" w:rsidRDefault="008E04D0"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8">
    <w:p w14:paraId="37F90DD4" w14:textId="7777777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50">
    <w:p w14:paraId="1DCD404D" w14:textId="77777777" w:rsidR="008E04D0" w:rsidRDefault="008E04D0">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8E04D0" w:rsidRDefault="008E04D0">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221F5823" w:rsidR="008E04D0" w:rsidRDefault="008E04D0">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3">
    <w:p w14:paraId="1BCCE722" w14:textId="6BC8CE56"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254">
    <w:p w14:paraId="42B65BDD" w14:textId="0058C77D" w:rsidR="008E04D0" w:rsidRDefault="008E04D0">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255">
    <w:p w14:paraId="6EF60F68" w14:textId="34BAA174" w:rsidR="008E04D0" w:rsidRDefault="008E04D0">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256">
    <w:p w14:paraId="032549B1" w14:textId="77777777" w:rsidR="008E04D0" w:rsidRDefault="008E04D0"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p373; </w:t>
      </w:r>
      <w:r w:rsidRPr="0022220C">
        <w:t xml:space="preserve"> </w:t>
      </w:r>
      <w:r>
        <w:t>Access Arrangement Information for Australian Gas Networks' South Australian Natural Gas Distribution Network, p10, July 2015;</w:t>
      </w:r>
    </w:p>
  </w:footnote>
  <w:footnote w:id="257">
    <w:p w14:paraId="0106CD72" w14:textId="104DE9D5" w:rsidR="008E04D0" w:rsidRDefault="008E04D0">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8E04D0" w:rsidRDefault="008E04D0">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8E04D0" w:rsidRDefault="008E04D0">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8E04D0" w:rsidRDefault="008E04D0">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057913BB" w:rsidR="008E04D0" w:rsidRDefault="008E04D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3">
    <w:p w14:paraId="36DE6F5D" w14:textId="6D622CE0" w:rsidR="008E04D0" w:rsidRDefault="008E04D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264">
    <w:p w14:paraId="66ECC352" w14:textId="78AEE047"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p6;</w:t>
      </w:r>
    </w:p>
  </w:footnote>
  <w:footnote w:id="265">
    <w:p w14:paraId="1C3BA924" w14:textId="2680C669"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266">
    <w:p w14:paraId="51C9548D" w14:textId="379F2DE4" w:rsidR="008E04D0" w:rsidRDefault="008E04D0"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p7.</w:t>
      </w:r>
    </w:p>
  </w:footnote>
  <w:footnote w:id="267">
    <w:p w14:paraId="091F7E4D" w14:textId="3A851A81"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p6.</w:t>
      </w:r>
    </w:p>
  </w:footnote>
  <w:footnote w:id="268">
    <w:p w14:paraId="524C13CD" w14:textId="64D24A0E" w:rsidR="008E04D0" w:rsidRDefault="008E04D0">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269">
    <w:p w14:paraId="29E91CAD" w14:textId="599BE39D" w:rsidR="008E04D0" w:rsidRDefault="008E04D0">
      <w:pPr>
        <w:pStyle w:val="FootnoteText"/>
      </w:pPr>
      <w:r>
        <w:rPr>
          <w:rStyle w:val="FootnoteReference"/>
        </w:rPr>
        <w:footnoteRef/>
      </w:r>
      <w:r>
        <w:t xml:space="preserve"> </w:t>
      </w:r>
      <w:r>
        <w:tab/>
        <w:t xml:space="preserve">Koedijk, K,G,, and van Dijk, M, A., 2004, Global risk factors and the cost of capital, Financial analysts journal, March/April 2004, p33.  </w:t>
      </w:r>
    </w:p>
  </w:footnote>
  <w:footnote w:id="270">
    <w:p w14:paraId="30F92847" w14:textId="64208411" w:rsidR="008E04D0" w:rsidRDefault="008E04D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271">
    <w:p w14:paraId="02925FFC" w14:textId="1948F1F5" w:rsidR="008E04D0" w:rsidRDefault="008E04D0">
      <w:pPr>
        <w:pStyle w:val="FootnoteText"/>
      </w:pPr>
      <w:r>
        <w:rPr>
          <w:rStyle w:val="FootnoteReference"/>
        </w:rPr>
        <w:footnoteRef/>
      </w:r>
      <w:r>
        <w:t xml:space="preserve"> </w:t>
      </w:r>
      <w:r>
        <w:tab/>
        <w:t xml:space="preserve">Koedijk, K,G,, and van Dijk, M, A., 2004, Global risk factors and the cost of capital, Financial analysts journal, March/April 2004, p33.  </w:t>
      </w:r>
    </w:p>
  </w:footnote>
  <w:footnote w:id="272">
    <w:p w14:paraId="178279DB" w14:textId="4BE21976" w:rsidR="008E04D0" w:rsidRDefault="008E04D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3">
    <w:p w14:paraId="4C4BD5F0" w14:textId="63F365E8" w:rsidR="008E04D0" w:rsidRDefault="008E04D0" w:rsidP="00507D00">
      <w:pPr>
        <w:pStyle w:val="FootnoteText"/>
      </w:pPr>
      <w:r>
        <w:rPr>
          <w:rStyle w:val="FootnoteReference"/>
        </w:rPr>
        <w:footnoteRef/>
      </w:r>
      <w:r>
        <w:t xml:space="preserve"> </w:t>
      </w:r>
      <w:r>
        <w:tab/>
        <w:t>Lally, The estimation of gamma, November 2013, pp 39-43.</w:t>
      </w:r>
    </w:p>
  </w:footnote>
  <w:footnote w:id="274">
    <w:p w14:paraId="04BD289B" w14:textId="77777777" w:rsidR="008E04D0" w:rsidRDefault="008E04D0"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8E04D0" w:rsidRDefault="008E04D0"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8E04D0" w:rsidRDefault="008E04D0"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7">
    <w:p w14:paraId="54B2A490"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8">
    <w:p w14:paraId="646001ED" w14:textId="63645E4A"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 - Appendix J - Gamma, April 2015, p6; Powercor, Regulatory Proposal 2016-20, April 2015, p6; Energex, Submission on Energex's regulatory proposal 2015-20 and the AER issues paper, January 2015, p4.</w:t>
      </w:r>
    </w:p>
  </w:footnote>
  <w:footnote w:id="279">
    <w:p w14:paraId="5236DB3B" w14:textId="7AF7C89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 Appendix J - Gamma, April 2015, pp. 4-5; Powercor, Regulatory Proposal 2016-20, April 2015, pp. 4-5; Energex, Revised regulatory proposal 2015-20, July 2015, p13. </w:t>
      </w:r>
    </w:p>
  </w:footnote>
  <w:footnote w:id="280">
    <w:p w14:paraId="67A08E1B" w14:textId="28E95103"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4CA9CEF2"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pp.17-18.</w:t>
      </w:r>
    </w:p>
  </w:footnote>
  <w:footnote w:id="282">
    <w:p w14:paraId="77D876D6" w14:textId="5AF44DDA"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3">
    <w:p w14:paraId="7F0C7153" w14:textId="56E984D0"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p21.</w:t>
      </w:r>
    </w:p>
  </w:footnote>
  <w:footnote w:id="284">
    <w:p w14:paraId="1D85431F" w14:textId="77777777" w:rsidR="008E04D0" w:rsidRDefault="008E04D0"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8E04D0" w:rsidRDefault="008E04D0"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6">
    <w:p w14:paraId="149569AF" w14:textId="77777777" w:rsidR="008E04D0" w:rsidRDefault="008E04D0"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8E04D0" w:rsidRDefault="008E04D0"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8E04D0" w:rsidRDefault="008E04D0">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90">
    <w:p w14:paraId="4381B4F3" w14:textId="123AA435" w:rsidR="008E04D0" w:rsidRDefault="008E04D0"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 - Appendix J - Gamma, April 2015, p6; Powercor, Regulatory Proposal 2016-20, April 2015, p6; Energex, Submission on Energex's regulatory proposal 2015-20 and the AER issues paper, January 2015, p4.</w:t>
      </w:r>
    </w:p>
  </w:footnote>
  <w:footnote w:id="291">
    <w:p w14:paraId="6207B839" w14:textId="77777777" w:rsidR="008E04D0" w:rsidRDefault="008E04D0"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2">
    <w:p w14:paraId="5D335CC4"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3">
    <w:p w14:paraId="167AA0ED"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4">
    <w:p w14:paraId="797C4FC7"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5">
    <w:p w14:paraId="310D8186"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7">
    <w:p w14:paraId="1533F421" w14:textId="77777777" w:rsidR="008E04D0" w:rsidRDefault="008E04D0">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0FD18B55"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p28.,</w:t>
      </w:r>
    </w:p>
  </w:footnote>
  <w:footnote w:id="299">
    <w:p w14:paraId="248D68B4" w14:textId="77777777" w:rsidR="008E04D0" w:rsidRDefault="008E04D0" w:rsidP="00C627BA">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p.18.</w:t>
      </w:r>
    </w:p>
    <w:p w14:paraId="5FF691DD" w14:textId="77777777" w:rsidR="008E04D0" w:rsidRDefault="008E04D0" w:rsidP="00C627BA">
      <w:pPr>
        <w:pStyle w:val="FootnoteText"/>
      </w:pPr>
    </w:p>
  </w:footnote>
  <w:footnote w:id="300">
    <w:p w14:paraId="018F358A" w14:textId="6DE1D43B" w:rsidR="008E04D0" w:rsidRDefault="008E04D0">
      <w:pPr>
        <w:pStyle w:val="FootnoteText"/>
      </w:pPr>
      <w:r>
        <w:rPr>
          <w:rStyle w:val="FootnoteReference"/>
        </w:rPr>
        <w:footnoteRef/>
      </w:r>
      <w:r>
        <w:t xml:space="preserve"> </w:t>
      </w:r>
      <w:r>
        <w:tab/>
        <w:t>AusNet Services, 2016-20 Regulatory Proposal, April 2015, pp. 353-354; United Energy, Assessment of the Value of Imputation Credits - Gamma, Proposal for 2016 to 2020, April 2015, pp. 1-4.; CitiPower - Appendix J - Gamma, April 2015, pp. 4-7.; Powercor, Appendix J - Gamma, April 2015, pp. 4-7; Jemena Electricity, Attachment 06-06 Gamma proposal, April 2015, pp. 6-8;</w:t>
      </w:r>
      <w:r w:rsidRPr="00A427FF">
        <w:t xml:space="preserve"> </w:t>
      </w:r>
      <w:r>
        <w:t xml:space="preserve">SA Power Networks, </w:t>
      </w:r>
      <w:r>
        <w:rPr>
          <w:rStyle w:val="AERtextitalic"/>
        </w:rPr>
        <w:t>Revised regulatory proposal 2015-20</w:t>
      </w:r>
      <w:r>
        <w:t>, July 2015, p. 378; Energex, Revised Regulatory Proposal, July 2015, pp. 124-125; Ergon, Revised Regulatory Proposal,  July 2015, p153; ActewAGL Distribution, Attachment 8 Detailed gamma proposal, June 2015, pp. 4-6; Australian Gas Networks, Access Arrangement Information - Attachment 11.2 Value of Imputation Credits,  July 2015; pp. 3-6. Amadeus Gas Pipeline Access Arrangement Revision Proposal Submission, August 2015, p. 153.</w:t>
      </w:r>
    </w:p>
  </w:footnote>
  <w:footnote w:id="301">
    <w:p w14:paraId="05294845"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2">
    <w:p w14:paraId="1BC62DF9" w14:textId="77777777" w:rsidR="008E04D0" w:rsidRDefault="008E04D0">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8E04D0" w:rsidRDefault="008E04D0">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8E04D0" w:rsidRDefault="008E04D0">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8E04D0" w:rsidRDefault="008E04D0"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8E04D0" w:rsidRDefault="008E04D0"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8E04D0" w:rsidRDefault="008E04D0"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8E04D0" w:rsidRDefault="008E04D0"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9">
    <w:p w14:paraId="0612E266" w14:textId="77777777" w:rsidR="008E04D0" w:rsidRDefault="008E04D0"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8E04D0" w:rsidRDefault="008E04D0"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1">
    <w:p w14:paraId="708F037F" w14:textId="77777777" w:rsidR="008E04D0" w:rsidRDefault="008E04D0">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xml:space="preserve">, October 2014, p. </w:t>
      </w:r>
    </w:p>
  </w:footnote>
  <w:footnote w:id="312">
    <w:p w14:paraId="3986142D" w14:textId="77777777" w:rsidR="008E04D0" w:rsidRDefault="008E04D0"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8E04D0" w:rsidRDefault="008E04D0"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8E04D0" w:rsidRDefault="008E04D0"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5">
    <w:p w14:paraId="181EF5DF" w14:textId="77777777" w:rsidR="008E04D0" w:rsidRDefault="008E04D0"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6">
    <w:p w14:paraId="76CB2C39" w14:textId="77777777" w:rsidR="008E04D0" w:rsidRDefault="008E04D0">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227C1BAC" w:rsidR="008E04D0" w:rsidRDefault="008E04D0">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 Jemena Electricity, Attachment 06-06 Gamma proposal, April 2015, p1;</w:t>
      </w:r>
      <w:r w:rsidRPr="00080933">
        <w:t xml:space="preserve"> </w:t>
      </w:r>
      <w:r>
        <w:t xml:space="preserve">; Energex, Revised Regulatory Proposal, July 2015, p. 13;   Powercor, Regulatory Proposal 2016-20, April 2015, p. 249; CitiPower, Regulatory Proposal, April 2015, p. 241; AusNet Services, 2016-20 Regulatory Proposal, April 2015, pp. 367-368; United Energy, Assessment of the Value of Imputation Credits - Gamma, Proposal for 2016 to 2020, April 2015, pp. 19-20.  </w:t>
      </w:r>
    </w:p>
  </w:footnote>
  <w:footnote w:id="318">
    <w:p w14:paraId="3B94E06F"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p.12.</w:t>
      </w:r>
    </w:p>
  </w:footnote>
  <w:footnote w:id="319">
    <w:p w14:paraId="5972C396" w14:textId="09CEF105"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and JGN, </w:t>
      </w:r>
      <w:r w:rsidRPr="000E181F">
        <w:rPr>
          <w:rStyle w:val="AERtextitalic"/>
        </w:rPr>
        <w:t>Gamma - response to the draft decision</w:t>
      </w:r>
      <w:r>
        <w:t>, February 2015, p. 14; Access Arrangement Information for Australian Gas Networks' South Australian Natural Gas Distribution Network, July 2015, p14; Jemena Electricity, Attachment 06-06 Gamma proposal, April 2015, p.17</w:t>
      </w:r>
      <w:r w:rsidRPr="00080933">
        <w:t xml:space="preserve"> </w:t>
      </w:r>
      <w:r>
        <w:t xml:space="preserve"> ;   Powercor, Regulatory Proposal 2016-20, April 2015, p. 17 ; CitiPower, Regulatory Proposal, April 2015, p. 17; AusNet Services, 2016-20 Regulatory Proposal, April 2015, p. 368; United Energy, Assessment of the Value of Imputation Credits - Gamma, Proposal for 2016 to 2020, April 2015, p. 20;</w:t>
      </w:r>
      <w:r w:rsidRPr="0066139F">
        <w:t xml:space="preserve"> </w:t>
      </w:r>
      <w:r>
        <w:t xml:space="preserve">ActewAGL Distribution, Attachment 8 Detailed gamma proposal, June 2015, p. 16l   </w:t>
      </w:r>
    </w:p>
  </w:footnote>
  <w:footnote w:id="320">
    <w:p w14:paraId="22C6335A"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2">
    <w:p w14:paraId="064395EB"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6DE10E8E"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31-32.</w:t>
      </w:r>
    </w:p>
  </w:footnote>
  <w:footnote w:id="324">
    <w:p w14:paraId="69DB01F4" w14:textId="77777777" w:rsidR="008E04D0" w:rsidRDefault="008E04D0"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5">
    <w:p w14:paraId="11E6E694" w14:textId="77777777" w:rsidR="008E04D0" w:rsidRDefault="008E04D0"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8E04D0" w:rsidRDefault="008E04D0"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7">
    <w:p w14:paraId="4537A413" w14:textId="77777777" w:rsidR="008E04D0" w:rsidRDefault="008E04D0"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8E04D0" w:rsidRDefault="008E04D0"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8E04D0" w:rsidRDefault="008E04D0"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8E04D0" w:rsidRDefault="008E04D0"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1">
    <w:p w14:paraId="1AFB0A5A" w14:textId="77777777" w:rsidR="008E04D0" w:rsidRDefault="008E04D0"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8E04D0" w:rsidRDefault="008E04D0"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8E04D0" w:rsidRDefault="008E04D0"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8E04D0" w:rsidRDefault="008E04D0"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8E04D0" w:rsidRDefault="008E04D0"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8E04D0" w:rsidRDefault="008E04D0"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8E04D0" w:rsidRDefault="008E04D0"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8E04D0" w:rsidRDefault="008E04D0"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9">
    <w:p w14:paraId="4190F6B6" w14:textId="77777777" w:rsidR="008E04D0" w:rsidRDefault="008E04D0"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8E04D0" w:rsidRDefault="008E04D0"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8E04D0" w:rsidRDefault="008E04D0"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2">
    <w:p w14:paraId="504CBB7D" w14:textId="77777777" w:rsidR="008E04D0" w:rsidRDefault="008E04D0"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3">
    <w:p w14:paraId="2AC18500" w14:textId="77777777" w:rsidR="008E04D0" w:rsidRDefault="008E04D0"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8E04D0" w:rsidRDefault="008E04D0"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8E04D0" w:rsidRDefault="008E04D0">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6">
    <w:p w14:paraId="5D181BA1" w14:textId="77777777" w:rsidR="008E04D0" w:rsidRDefault="008E04D0"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8E04D0" w:rsidRDefault="008E04D0"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8E04D0" w:rsidRDefault="008E04D0"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8E04D0" w:rsidRDefault="008E04D0"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8E04D0" w:rsidRDefault="008E04D0"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8E04D0" w:rsidRDefault="008E04D0"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2">
    <w:p w14:paraId="26DEA4F1" w14:textId="77777777" w:rsidR="008E04D0" w:rsidRDefault="008E04D0"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8E04D0" w:rsidRDefault="008E04D0"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8E04D0" w:rsidRDefault="008E04D0"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8E04D0" w:rsidRDefault="008E04D0"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8E04D0" w:rsidRDefault="008E04D0"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8E04D0" w:rsidRDefault="008E04D0"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8E04D0" w:rsidRDefault="008E04D0"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8E04D0" w:rsidRDefault="008E04D0"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8E04D0" w:rsidRDefault="008E04D0"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8E04D0" w:rsidRDefault="008E04D0"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8E04D0" w:rsidRDefault="008E04D0"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3">
    <w:p w14:paraId="60BD93DA" w14:textId="77777777" w:rsidR="008E04D0" w:rsidRDefault="008E04D0"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4">
    <w:p w14:paraId="63DDEA62" w14:textId="77777777" w:rsidR="008E04D0" w:rsidRDefault="008E04D0"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77777777" w:rsidR="008E04D0" w:rsidRDefault="008E04D0"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6">
    <w:p w14:paraId="1CB87336" w14:textId="12E44027" w:rsidR="008E04D0" w:rsidRDefault="008E04D0" w:rsidP="008E04D0">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 23.</w:t>
      </w:r>
    </w:p>
  </w:footnote>
  <w:footnote w:id="367">
    <w:p w14:paraId="5375A9C9" w14:textId="77777777" w:rsidR="008E04D0" w:rsidRDefault="008E04D0"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8E04D0" w:rsidRDefault="008E04D0"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8E04D0" w:rsidRDefault="008E04D0"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8E04D0" w:rsidRDefault="008E04D0">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3F8F4B2C" w:rsidR="008E04D0" w:rsidRDefault="008E04D0"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2">
    <w:p w14:paraId="22F545ED" w14:textId="77625859" w:rsidR="008E04D0" w:rsidRDefault="008E04D0" w:rsidP="008E04D0">
      <w:pPr>
        <w:pStyle w:val="FootnoteText"/>
        <w:ind w:left="284" w:hanging="284"/>
      </w:pPr>
      <w:r>
        <w:rPr>
          <w:rStyle w:val="FootnoteReference"/>
        </w:rPr>
        <w:footnoteRef/>
      </w:r>
      <w:r>
        <w:t xml:space="preserve"> </w:t>
      </w:r>
      <w:r>
        <w:tab/>
        <w:t xml:space="preserve"> NERA, </w:t>
      </w:r>
      <w:r>
        <w:rPr>
          <w:rStyle w:val="AERtextitalic"/>
        </w:rPr>
        <w:t>Do Imputation Credits Lower the Cost of Equity? Cross-Sectional Tests A report for United Energy</w:t>
      </w:r>
      <w:r>
        <w:t xml:space="preserve">, April 2015, p.     vii.  </w:t>
      </w:r>
    </w:p>
  </w:footnote>
  <w:footnote w:id="373">
    <w:p w14:paraId="6BF69D87" w14:textId="23E966C8" w:rsidR="008E04D0" w:rsidRDefault="008E04D0">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374">
    <w:p w14:paraId="3E471EEE" w14:textId="700F02BD"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AusNet Services, 2016-20 Regulatory Proposal, April 2015, p364; United Energy, Assessment of the Value of Imputation Credits - Gamma, Proposal for 2016 to 2020, April 2015, p14; CitiPower - Appendix J - Gamma, April 2015, p13; Powercor, Appendix J - Gamma, April 2015, p13; Jemena Electricity, Attachment 06-06 Gamma proposal, April 2015, p13; ActewAGL Distribution, Attachment 8 Detailed gamma proposal,  June 2015, p13.</w:t>
      </w:r>
    </w:p>
  </w:footnote>
  <w:footnote w:id="375">
    <w:p w14:paraId="497A5565"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6">
    <w:p w14:paraId="752AE1B9" w14:textId="7FF3F79B" w:rsidR="008E04D0" w:rsidRDefault="008E04D0"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7">
    <w:p w14:paraId="092274D7" w14:textId="77777777" w:rsidR="008E04D0" w:rsidRDefault="008E04D0"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8">
    <w:p w14:paraId="09E90EB0"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9">
    <w:p w14:paraId="4CE51A5A" w14:textId="77777777" w:rsidR="008E04D0" w:rsidRDefault="008E04D0"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0C52E424" w:rsidR="008E04D0" w:rsidRDefault="008E04D0"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xml:space="preserve">, February 2015, p. 10; </w:t>
      </w:r>
    </w:p>
  </w:footnote>
  <w:footnote w:id="381">
    <w:p w14:paraId="48222F14"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2">
    <w:p w14:paraId="6274E1EA" w14:textId="77777777" w:rsidR="008E04D0" w:rsidRDefault="008E04D0">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3">
    <w:p w14:paraId="390BAB12" w14:textId="7777777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4">
    <w:p w14:paraId="4EF8B945" w14:textId="2B18B61E" w:rsidR="008E04D0" w:rsidRDefault="008E04D0">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5">
    <w:p w14:paraId="0FAE9BF2"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8E04D0" w:rsidRDefault="008E04D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8E04D0" w:rsidRDefault="008E04D0">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8">
    <w:p w14:paraId="4004D2BA" w14:textId="77777777" w:rsidR="008E04D0" w:rsidRDefault="008E04D0">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8E04D0" w:rsidRDefault="008E04D0">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8E04D0" w:rsidRDefault="008E04D0">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8E04D0" w:rsidRDefault="008E04D0">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8E04D0" w:rsidRDefault="008E04D0">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8E04D0" w:rsidRDefault="008E04D0">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8E04D0" w:rsidRDefault="008E04D0">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5">
    <w:p w14:paraId="63AC05CA" w14:textId="77777777" w:rsidR="008E04D0" w:rsidRDefault="008E04D0"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8E04D0" w:rsidRDefault="008E04D0"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8E04D0" w:rsidRDefault="008E04D0"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8E04D0" w:rsidRDefault="008E04D0"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8E04D0" w:rsidRDefault="008E04D0"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8E04D0" w:rsidRDefault="008E04D0"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8E04D0" w:rsidRDefault="008E04D0">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8E04D0" w:rsidRDefault="008E04D0"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8E04D0" w:rsidRDefault="008E04D0"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4">
    <w:p w14:paraId="71988926" w14:textId="780FA66A" w:rsidR="008E04D0" w:rsidRDefault="008E04D0">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405">
    <w:p w14:paraId="2DE9392F" w14:textId="77777777" w:rsidR="008E04D0" w:rsidRDefault="008E04D0"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8E04D0" w:rsidRDefault="008E04D0"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8E04D0" w:rsidRDefault="008E04D0"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8">
    <w:p w14:paraId="680EB0FE" w14:textId="77777777" w:rsidR="008E04D0" w:rsidRDefault="008E04D0"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9">
    <w:p w14:paraId="16A8E7D4" w14:textId="77777777" w:rsidR="008E04D0" w:rsidRDefault="008E04D0"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10">
    <w:p w14:paraId="68D2648A" w14:textId="77777777" w:rsidR="008E04D0" w:rsidRDefault="008E04D0"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1">
    <w:p w14:paraId="6A67E8A2" w14:textId="77777777" w:rsidR="008E04D0" w:rsidRDefault="008E04D0"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2">
    <w:p w14:paraId="2F547B46" w14:textId="77777777" w:rsidR="008E04D0" w:rsidRDefault="008E04D0"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3">
    <w:p w14:paraId="5709FFE6" w14:textId="77777777" w:rsidR="008E04D0" w:rsidRDefault="008E04D0"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8E04D0" w:rsidRDefault="008E04D0"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8E04D0" w:rsidRDefault="008E04D0"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8E04D0" w:rsidRDefault="008E04D0"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7Xr8gYYxpYRxJUAHOXgKlka/eOJrQ5tkyDdvPSk3DKg=" w:saltValue="utPEiFYdZhepiSY5VUW48A==" w:algorithmName="SHA-256"/>
  <w:defaultTabStop w:val="34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esmit\sapn final decision october 2015 - attachment 4 - value of imputation credits (AER2015-004208).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BD3"/>
    <w:rsid w:val="001B77CE"/>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0CD"/>
    <w:rsid w:val="00252549"/>
    <w:rsid w:val="00253C46"/>
    <w:rsid w:val="00254F30"/>
    <w:rsid w:val="00256041"/>
    <w:rsid w:val="002564C1"/>
    <w:rsid w:val="00256619"/>
    <w:rsid w:val="00257FBE"/>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098"/>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57D9F"/>
    <w:rsid w:val="004604E6"/>
    <w:rsid w:val="004614D0"/>
    <w:rsid w:val="00461725"/>
    <w:rsid w:val="00462E01"/>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07FA"/>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402EC"/>
    <w:rsid w:val="00740380"/>
    <w:rsid w:val="00740D27"/>
    <w:rsid w:val="00740E7B"/>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09D"/>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1808"/>
    <w:rsid w:val="007A2B49"/>
    <w:rsid w:val="007A37FD"/>
    <w:rsid w:val="007A3ED8"/>
    <w:rsid w:val="007A49B2"/>
    <w:rsid w:val="007A4EF0"/>
    <w:rsid w:val="007A5DF9"/>
    <w:rsid w:val="007A66EF"/>
    <w:rsid w:val="007A6C22"/>
    <w:rsid w:val="007B067C"/>
    <w:rsid w:val="007B0943"/>
    <w:rsid w:val="007B186E"/>
    <w:rsid w:val="007B2C72"/>
    <w:rsid w:val="007B336F"/>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497B"/>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1423"/>
    <w:rsid w:val="0080290B"/>
    <w:rsid w:val="008033C4"/>
    <w:rsid w:val="0080443B"/>
    <w:rsid w:val="00804BB8"/>
    <w:rsid w:val="008061F1"/>
    <w:rsid w:val="00806C88"/>
    <w:rsid w:val="00806F4F"/>
    <w:rsid w:val="0080798E"/>
    <w:rsid w:val="0081034E"/>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953"/>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3"/>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59B7"/>
    <w:rsid w:val="008D6106"/>
    <w:rsid w:val="008D6800"/>
    <w:rsid w:val="008D729A"/>
    <w:rsid w:val="008D7EEE"/>
    <w:rsid w:val="008E03C8"/>
    <w:rsid w:val="008E04D0"/>
    <w:rsid w:val="008E1CD0"/>
    <w:rsid w:val="008E2948"/>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661"/>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20CE"/>
    <w:rsid w:val="009329B8"/>
    <w:rsid w:val="00933E11"/>
    <w:rsid w:val="009346EA"/>
    <w:rsid w:val="00937536"/>
    <w:rsid w:val="00937B90"/>
    <w:rsid w:val="0094112A"/>
    <w:rsid w:val="0094160D"/>
    <w:rsid w:val="009421FF"/>
    <w:rsid w:val="00943109"/>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2292"/>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5FB4"/>
    <w:rsid w:val="00A26B13"/>
    <w:rsid w:val="00A275B2"/>
    <w:rsid w:val="00A31A88"/>
    <w:rsid w:val="00A32FBB"/>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50BF"/>
    <w:rsid w:val="00C25FA6"/>
    <w:rsid w:val="00C2621C"/>
    <w:rsid w:val="00C2670E"/>
    <w:rsid w:val="00C26A14"/>
    <w:rsid w:val="00C27B59"/>
    <w:rsid w:val="00C309E4"/>
    <w:rsid w:val="00C31432"/>
    <w:rsid w:val="00C31B22"/>
    <w:rsid w:val="00C32554"/>
    <w:rsid w:val="00C3272D"/>
    <w:rsid w:val="00C34462"/>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07F12"/>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4752"/>
    <w:rsid w:val="00DA5DCC"/>
    <w:rsid w:val="00DA61F3"/>
    <w:rsid w:val="00DA68FA"/>
    <w:rsid w:val="00DA76A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3DA5"/>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59B2"/>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800"/>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7A67"/>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hyperlink" Target="mailto:AERInquiry@aer.gov.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44813312"/>
        <c:axId val="44963328"/>
      </c:lineChart>
      <c:dateAx>
        <c:axId val="44813312"/>
        <c:scaling>
          <c:orientation val="minMax"/>
        </c:scaling>
        <c:delete val="0"/>
        <c:axPos val="b"/>
        <c:numFmt formatCode="mmm\-yyyy" sourceLinked="1"/>
        <c:majorTickMark val="out"/>
        <c:minorTickMark val="none"/>
        <c:tickLblPos val="nextTo"/>
        <c:crossAx val="44963328"/>
        <c:crosses val="autoZero"/>
        <c:auto val="0"/>
        <c:lblOffset val="100"/>
        <c:baseTimeUnit val="months"/>
        <c:majorUnit val="12"/>
        <c:majorTimeUnit val="months"/>
      </c:dateAx>
      <c:valAx>
        <c:axId val="44963328"/>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44813312"/>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5D25BF8C</Template>
  <TotalTime>0</TotalTime>
  <Pages>121</Pages>
  <Words>38844</Words>
  <Characters>221413</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2015-10-26T23:45:00Z</dcterms:created>
  <dcterms:modified xsi:type="dcterms:W3CDTF">2015-10-26T23:45:00Z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8565307</vt:lpwstr>
  </property>
  <property fmtid="{D5CDD505-2E9C-101B-9397-08002B2CF9AE}" pid="3" name="_MarkAsFinal">
    <vt:bool>true</vt:bool>
  </property>
</Properties>
</file>