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F5390E" w:rsidRPr="00290C63" w:rsidRDefault="00F5390E" w:rsidP="00F5390E">
          <w:r w:rsidRPr="00F5390E">
            <w:rPr>
              <w:noProof/>
              <w:lang w:eastAsia="en-AU"/>
            </w:rPr>
            <w:drawing>
              <wp:anchor distT="0" distB="0" distL="114300" distR="114300" simplePos="0" relativeHeight="251659264" behindDoc="1" locked="0" layoutInCell="1" allowOverlap="1" wp14:anchorId="43DE0AE3" wp14:editId="38546C2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504F7A" w:rsidP="00F5390E">
          <w:pPr>
            <w:pStyle w:val="ReportSubtitle"/>
          </w:pPr>
          <w:r>
            <w:t>FINAL</w:t>
          </w:r>
          <w:r w:rsidR="00F5390E">
            <w:t xml:space="preserve"> DECISION</w:t>
          </w:r>
        </w:p>
        <w:p w:rsidR="00F5390E" w:rsidRDefault="00F5390E" w:rsidP="00F5390E">
          <w:pPr>
            <w:pStyle w:val="ReportSubtitle"/>
          </w:pPr>
          <w:r>
            <w:t>Energex determination 2015</w:t>
          </w:r>
          <w:r w:rsidRPr="00F5390E">
            <w:t>−</w:t>
          </w:r>
          <w:r>
            <w:t>16 to 2019</w:t>
          </w:r>
          <w:r w:rsidRPr="00F5390E">
            <w:t>−</w:t>
          </w:r>
          <w:r>
            <w:t>20</w:t>
          </w:r>
        </w:p>
        <w:p w:rsidR="00F5390E" w:rsidRPr="000A6C7B" w:rsidRDefault="00F5390E" w:rsidP="00F5390E">
          <w:pPr>
            <w:pStyle w:val="ReportSubtitle"/>
          </w:pPr>
        </w:p>
        <w:p w:rsidR="00F5390E" w:rsidRPr="000A6C7B" w:rsidRDefault="00F5390E" w:rsidP="00F5390E">
          <w:pPr>
            <w:pStyle w:val="ReportSubtitle"/>
          </w:pPr>
          <w:r>
            <w:t xml:space="preserve">Attachment 9 </w:t>
          </w:r>
          <w:r w:rsidRPr="00F5390E">
            <w:t>−</w:t>
          </w:r>
          <w:r>
            <w:t xml:space="preserve"> Efficiency benefit sharing scheme</w:t>
          </w:r>
        </w:p>
        <w:p w:rsidR="00F5390E" w:rsidRPr="00327A1E" w:rsidRDefault="00504F7A" w:rsidP="00F5390E">
          <w:pPr>
            <w:pStyle w:val="ReportDate"/>
          </w:pPr>
          <w:r>
            <w:t>October</w:t>
          </w:r>
          <w:r w:rsidR="00F5390E">
            <w:t xml:space="preserve"> 2015</w:t>
          </w:r>
        </w:p>
      </w:sdtContent>
    </w:sdt>
    <w:p w:rsidR="00F5390E" w:rsidRPr="00290C63" w:rsidRDefault="00F5390E" w:rsidP="00F5390E">
      <w:r>
        <w:br w:type="page"/>
      </w:r>
    </w:p>
    <w:p w:rsidR="00F5390E" w:rsidRDefault="00F5390E" w:rsidP="00F5390E">
      <w:pPr>
        <w:pStyle w:val="Copyright"/>
      </w:pPr>
      <w:r>
        <w:lastRenderedPageBreak/>
        <w:t>© Commonwealth of Australia 2015</w:t>
      </w:r>
    </w:p>
    <w:p w:rsidR="00F5390E" w:rsidRDefault="00F5390E" w:rsidP="00F5390E">
      <w:pPr>
        <w:pStyle w:val="Copyright"/>
      </w:pPr>
      <w:r>
        <w:t>This work is copyright. In addition to any use permitted under the Copyright Act 1968, all material contained within this work is provided under a Creative Commons Attributions 3.0 Australia licence, with the exception of:</w:t>
      </w:r>
    </w:p>
    <w:p w:rsidR="00F5390E" w:rsidRPr="00F5390E" w:rsidRDefault="00F5390E" w:rsidP="00F5390E">
      <w:pPr>
        <w:pStyle w:val="AERbulletlistfirststyle"/>
      </w:pPr>
      <w:r>
        <w:t xml:space="preserve">the </w:t>
      </w:r>
      <w:r w:rsidRPr="00F5390E">
        <w:t>Commonwealth Coat of Arms</w:t>
      </w:r>
    </w:p>
    <w:p w:rsidR="00F5390E" w:rsidRPr="00F5390E" w:rsidRDefault="00F5390E" w:rsidP="00F5390E">
      <w:pPr>
        <w:pStyle w:val="AERbulletlistfirststyle"/>
      </w:pPr>
      <w:r w:rsidRPr="00F5390E">
        <w:t>the ACCC and AER logos</w:t>
      </w:r>
    </w:p>
    <w:p w:rsidR="00F5390E" w:rsidRPr="00F5390E" w:rsidRDefault="00F5390E" w:rsidP="00F5390E">
      <w:pPr>
        <w:pStyle w:val="AERbulletlistfirststyle"/>
      </w:pPr>
      <w:r w:rsidRPr="00F5390E">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F5390E" w:rsidRDefault="00F5390E" w:rsidP="00F5390E">
      <w:pPr>
        <w:pStyle w:val="Copyright"/>
      </w:pPr>
      <w:r>
        <w:t>Requests and inquiries concerning reproduction and rights should be addressed to the Director, Corporate Communications</w:t>
      </w:r>
      <w:proofErr w:type="gramStart"/>
      <w:r>
        <w:t>,</w:t>
      </w:r>
      <w:proofErr w:type="gramEnd"/>
      <w:r>
        <w:br/>
        <w:t xml:space="preserve">Australian Competition and Consumer Commission, </w:t>
      </w:r>
      <w:r>
        <w:br/>
        <w:t>GPO Box 4141, Canberra ACT 2601</w:t>
      </w:r>
      <w:r>
        <w:br/>
        <w:t>or publishing.unit@accc.gov.au.</w:t>
      </w:r>
    </w:p>
    <w:p w:rsidR="00F5390E" w:rsidRDefault="00F5390E" w:rsidP="00F5390E">
      <w:pPr>
        <w:pStyle w:val="Copyright"/>
      </w:pPr>
      <w:r>
        <w:t>Inquiries about this publication should be addressed to:</w:t>
      </w:r>
    </w:p>
    <w:p w:rsidR="00F5390E" w:rsidRDefault="00F5390E" w:rsidP="00F5390E">
      <w:pPr>
        <w:pStyle w:val="Copyright"/>
      </w:pPr>
      <w:r>
        <w:t xml:space="preserve">Australian Energy </w:t>
      </w:r>
      <w:r w:rsidRPr="00F171E0">
        <w:t>Regulator</w:t>
      </w:r>
      <w:r>
        <w:br/>
        <w:t>GPO Box 520</w:t>
      </w:r>
      <w:r>
        <w:br/>
      </w:r>
      <w:proofErr w:type="gramStart"/>
      <w:r>
        <w:t>Melbourne  Vic</w:t>
      </w:r>
      <w:proofErr w:type="gramEnd"/>
      <w:r>
        <w:t xml:space="preserve">  3001</w:t>
      </w:r>
    </w:p>
    <w:p w:rsidR="00F5390E" w:rsidRDefault="00F5390E" w:rsidP="00F5390E">
      <w:pPr>
        <w:pStyle w:val="Copyright"/>
      </w:pPr>
      <w:r>
        <w:t>Tel: (03) 9290 1444</w:t>
      </w:r>
      <w:r>
        <w:br/>
        <w:t>Fax: (03) 9290 1457</w:t>
      </w:r>
    </w:p>
    <w:p w:rsidR="00F5390E" w:rsidRDefault="00F5390E" w:rsidP="00F5390E">
      <w:pPr>
        <w:pStyle w:val="Copyright"/>
      </w:pPr>
      <w:r>
        <w:t xml:space="preserve">Email: </w:t>
      </w:r>
      <w:hyperlink r:id="rId11" w:history="1">
        <w:r w:rsidRPr="00D64888">
          <w:rPr>
            <w:rStyle w:val="Hyperlink"/>
          </w:rPr>
          <w:t>AERInquiry@aer.gov.au</w:t>
        </w:r>
      </w:hyperlink>
      <w:r>
        <w:rPr>
          <w:rStyle w:val="Hyperlink"/>
        </w:rPr>
        <w:br/>
      </w:r>
    </w:p>
    <w:p w:rsidR="00F5390E" w:rsidRDefault="00F5390E" w:rsidP="00F5390E"/>
    <w:p w:rsidR="00F5390E" w:rsidRDefault="00F5390E" w:rsidP="00F5390E">
      <w:bookmarkStart w:id="0" w:name="_Toc404354899"/>
      <w:bookmarkStart w:id="1" w:name="_Toc404353070"/>
      <w:bookmarkStart w:id="2" w:name="_Toc404684201"/>
      <w:bookmarkStart w:id="3" w:name="_Toc404700923"/>
      <w:r>
        <w:br w:type="page"/>
      </w:r>
    </w:p>
    <w:p w:rsidR="00F5390E" w:rsidRDefault="00F5390E" w:rsidP="00F5390E">
      <w:pPr>
        <w:pStyle w:val="UnnumberedHeading"/>
        <w:numPr>
          <w:ilvl w:val="0"/>
          <w:numId w:val="24"/>
        </w:numPr>
      </w:pPr>
      <w:bookmarkStart w:id="4" w:name="_Toc432853901"/>
      <w:r>
        <w:lastRenderedPageBreak/>
        <w:t>Note</w:t>
      </w:r>
      <w:bookmarkEnd w:id="0"/>
      <w:bookmarkEnd w:id="1"/>
      <w:bookmarkEnd w:id="2"/>
      <w:bookmarkEnd w:id="3"/>
      <w:bookmarkEnd w:id="4"/>
    </w:p>
    <w:p w:rsidR="00F5390E" w:rsidRDefault="00F5390E" w:rsidP="00F5390E">
      <w:pPr>
        <w:numPr>
          <w:ilvl w:val="0"/>
          <w:numId w:val="25"/>
        </w:numPr>
      </w:pPr>
      <w:r>
        <w:t xml:space="preserve">This attachment forms part of the AER's </w:t>
      </w:r>
      <w:r w:rsidR="00504F7A">
        <w:t>final</w:t>
      </w:r>
      <w:r>
        <w:t xml:space="preserve"> decision on Energex's 2015–20 distribution determination. It should be read with all other parts of the </w:t>
      </w:r>
      <w:r w:rsidR="00504F7A">
        <w:t xml:space="preserve">final </w:t>
      </w:r>
      <w:r>
        <w:t>decision.</w:t>
      </w:r>
    </w:p>
    <w:p w:rsidR="00F5390E" w:rsidRDefault="00F5390E" w:rsidP="00F5390E">
      <w:pPr>
        <w:numPr>
          <w:ilvl w:val="0"/>
          <w:numId w:val="25"/>
        </w:numPr>
      </w:pPr>
      <w:r>
        <w:t xml:space="preserve">The </w:t>
      </w:r>
      <w:r w:rsidR="00504F7A">
        <w:t>final</w:t>
      </w:r>
      <w:r>
        <w:t xml:space="preserve"> decision includes the following documents:</w:t>
      </w:r>
    </w:p>
    <w:p w:rsidR="00F5390E" w:rsidRDefault="00F5390E" w:rsidP="00F5390E">
      <w:pPr>
        <w:numPr>
          <w:ilvl w:val="0"/>
          <w:numId w:val="25"/>
        </w:numPr>
      </w:pPr>
      <w:r>
        <w:t>Overview</w:t>
      </w:r>
    </w:p>
    <w:p w:rsidR="00F5390E" w:rsidRDefault="00F5390E" w:rsidP="00F5390E">
      <w:pPr>
        <w:numPr>
          <w:ilvl w:val="0"/>
          <w:numId w:val="25"/>
        </w:numPr>
      </w:pPr>
      <w:r>
        <w:t>Attachment 1 – Annual revenue requirement</w:t>
      </w:r>
    </w:p>
    <w:p w:rsidR="00F5390E" w:rsidRDefault="00F5390E" w:rsidP="00F5390E">
      <w:pPr>
        <w:numPr>
          <w:ilvl w:val="0"/>
          <w:numId w:val="25"/>
        </w:numPr>
      </w:pPr>
      <w:r>
        <w:t>Attachment 2 – Regulatory asset base</w:t>
      </w:r>
    </w:p>
    <w:p w:rsidR="00F5390E" w:rsidRDefault="00F5390E" w:rsidP="00F5390E">
      <w:pPr>
        <w:numPr>
          <w:ilvl w:val="0"/>
          <w:numId w:val="25"/>
        </w:numPr>
      </w:pPr>
      <w:r>
        <w:t>Attachment 3 – Rate of return</w:t>
      </w:r>
    </w:p>
    <w:p w:rsidR="00F5390E" w:rsidRDefault="00F5390E" w:rsidP="00F5390E">
      <w:pPr>
        <w:numPr>
          <w:ilvl w:val="0"/>
          <w:numId w:val="25"/>
        </w:numPr>
      </w:pPr>
      <w:r>
        <w:t>Attachment 4 – Value of imputation credits</w:t>
      </w:r>
    </w:p>
    <w:p w:rsidR="00F5390E" w:rsidRDefault="00F5390E" w:rsidP="00F5390E">
      <w:pPr>
        <w:numPr>
          <w:ilvl w:val="0"/>
          <w:numId w:val="25"/>
        </w:numPr>
      </w:pPr>
      <w:r>
        <w:t>Attachment 5 – Regulatory depreciation</w:t>
      </w:r>
    </w:p>
    <w:p w:rsidR="00F5390E" w:rsidRDefault="00F5390E" w:rsidP="00F5390E">
      <w:pPr>
        <w:numPr>
          <w:ilvl w:val="0"/>
          <w:numId w:val="25"/>
        </w:numPr>
      </w:pPr>
      <w:r>
        <w:t xml:space="preserve">Attachment 6 – Capital expenditure </w:t>
      </w:r>
    </w:p>
    <w:p w:rsidR="00F5390E" w:rsidRDefault="00F5390E" w:rsidP="00F5390E">
      <w:pPr>
        <w:numPr>
          <w:ilvl w:val="0"/>
          <w:numId w:val="25"/>
        </w:numPr>
      </w:pPr>
      <w:r>
        <w:t>Attachment 7 – Operating expenditure</w:t>
      </w:r>
    </w:p>
    <w:p w:rsidR="00F5390E" w:rsidRDefault="00F5390E" w:rsidP="00F5390E">
      <w:pPr>
        <w:numPr>
          <w:ilvl w:val="0"/>
          <w:numId w:val="25"/>
        </w:numPr>
      </w:pPr>
      <w:r>
        <w:t>Attachment 8 – Corporate income tax</w:t>
      </w:r>
    </w:p>
    <w:p w:rsidR="00F5390E" w:rsidRDefault="00F5390E" w:rsidP="00F5390E">
      <w:pPr>
        <w:numPr>
          <w:ilvl w:val="0"/>
          <w:numId w:val="25"/>
        </w:numPr>
      </w:pPr>
      <w:r>
        <w:t>Attachment 9 – Efficiency benefit sharing scheme</w:t>
      </w:r>
    </w:p>
    <w:p w:rsidR="00F5390E" w:rsidRDefault="00F5390E" w:rsidP="00F5390E">
      <w:pPr>
        <w:numPr>
          <w:ilvl w:val="0"/>
          <w:numId w:val="25"/>
        </w:numPr>
      </w:pPr>
      <w:r>
        <w:t>Attachment 10 – Capital expenditure sharing scheme</w:t>
      </w:r>
    </w:p>
    <w:p w:rsidR="00F5390E" w:rsidRDefault="00F5390E" w:rsidP="00F5390E">
      <w:pPr>
        <w:numPr>
          <w:ilvl w:val="0"/>
          <w:numId w:val="25"/>
        </w:numPr>
      </w:pPr>
      <w:r>
        <w:t>Attachment 11 – Service target performance incentive scheme</w:t>
      </w:r>
    </w:p>
    <w:p w:rsidR="00F5390E" w:rsidRDefault="00F5390E" w:rsidP="00F5390E">
      <w:pPr>
        <w:numPr>
          <w:ilvl w:val="0"/>
          <w:numId w:val="25"/>
        </w:numPr>
      </w:pPr>
      <w:r>
        <w:t>Attachment 12 – Demand management incentive scheme</w:t>
      </w:r>
    </w:p>
    <w:p w:rsidR="00F5390E" w:rsidRDefault="00F5390E" w:rsidP="00F5390E">
      <w:pPr>
        <w:numPr>
          <w:ilvl w:val="0"/>
          <w:numId w:val="25"/>
        </w:numPr>
      </w:pPr>
      <w:r>
        <w:t>Attachment 13 – Classification of services</w:t>
      </w:r>
    </w:p>
    <w:p w:rsidR="00F5390E" w:rsidRDefault="00F5390E" w:rsidP="00F5390E">
      <w:pPr>
        <w:numPr>
          <w:ilvl w:val="0"/>
          <w:numId w:val="25"/>
        </w:numPr>
      </w:pPr>
      <w:r>
        <w:t>Attachment 14 – Control mechanism</w:t>
      </w:r>
    </w:p>
    <w:p w:rsidR="00F5390E" w:rsidRDefault="00F5390E" w:rsidP="00F5390E">
      <w:pPr>
        <w:numPr>
          <w:ilvl w:val="0"/>
          <w:numId w:val="25"/>
        </w:numPr>
      </w:pPr>
      <w:r>
        <w:t>Attachment 15 – Pass through events</w:t>
      </w:r>
    </w:p>
    <w:p w:rsidR="00F5390E" w:rsidRDefault="00F5390E" w:rsidP="00F5390E">
      <w:pPr>
        <w:numPr>
          <w:ilvl w:val="0"/>
          <w:numId w:val="25"/>
        </w:numPr>
      </w:pPr>
      <w:r>
        <w:t>Attachment 16 – Alternative control services</w:t>
      </w:r>
    </w:p>
    <w:p w:rsidR="00F5390E" w:rsidRDefault="00F5390E" w:rsidP="00F5390E">
      <w:pPr>
        <w:numPr>
          <w:ilvl w:val="0"/>
          <w:numId w:val="25"/>
        </w:numPr>
      </w:pPr>
      <w:r>
        <w:t>Attachment 17 – Negotiated services framework and criteria</w:t>
      </w:r>
    </w:p>
    <w:p w:rsidR="00F5390E" w:rsidRPr="008B6C33" w:rsidRDefault="00F5390E" w:rsidP="00F5390E">
      <w:pPr>
        <w:numPr>
          <w:ilvl w:val="0"/>
          <w:numId w:val="25"/>
        </w:numPr>
      </w:pPr>
      <w:r>
        <w:t>Attachment 18 – Connection policy</w:t>
      </w:r>
    </w:p>
    <w:p w:rsidR="00F5390E" w:rsidRPr="008F07A3" w:rsidRDefault="00F5390E" w:rsidP="00F5390E">
      <w:pPr>
        <w:sectPr w:rsidR="00F5390E"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F5390E" w:rsidRPr="00A72B34" w:rsidRDefault="00F5390E" w:rsidP="00F5390E">
      <w:pPr>
        <w:pStyle w:val="UnnumberedHeading"/>
        <w:numPr>
          <w:ilvl w:val="0"/>
          <w:numId w:val="24"/>
        </w:numPr>
      </w:pPr>
      <w:bookmarkStart w:id="5" w:name="_Toc403144133"/>
      <w:bookmarkStart w:id="6" w:name="_Toc432853902"/>
      <w:r>
        <w:lastRenderedPageBreak/>
        <w:t>Contents</w:t>
      </w:r>
      <w:bookmarkEnd w:id="5"/>
      <w:bookmarkEnd w:id="6"/>
    </w:p>
    <w:p w:rsidR="00F5390E" w:rsidRDefault="00F5390E" w:rsidP="00F5390E"/>
    <w:sdt>
      <w:sdtPr>
        <w:rPr>
          <w:b w:val="0"/>
          <w:noProof w:val="0"/>
          <w:color w:val="auto"/>
          <w:sz w:val="22"/>
          <w:lang w:val="en-AU" w:eastAsia="en-US"/>
        </w:rPr>
        <w:id w:val="1269200322"/>
        <w:docPartObj>
          <w:docPartGallery w:val="Table of Contents"/>
          <w:docPartUnique/>
        </w:docPartObj>
      </w:sdtPr>
      <w:sdtEndPr/>
      <w:sdtContent>
        <w:p w:rsidR="00B966EB" w:rsidRDefault="00F5390E">
          <w:pPr>
            <w:pStyle w:val="TOC1"/>
            <w:rPr>
              <w:rFonts w:asciiTheme="minorHAnsi" w:eastAsiaTheme="minorEastAsia" w:hAnsiTheme="minorHAnsi"/>
              <w:b w:val="0"/>
              <w:color w:val="auto"/>
              <w:sz w:val="22"/>
              <w:lang w:val="en-AU" w:eastAsia="en-AU"/>
            </w:rPr>
          </w:pPr>
          <w:r>
            <w:fldChar w:fldCharType="begin"/>
          </w:r>
          <w:r>
            <w:instrText xml:space="preserve"> TOC \o \h \z \u </w:instrText>
          </w:r>
          <w:r>
            <w:fldChar w:fldCharType="separate"/>
          </w:r>
          <w:hyperlink w:anchor="_Toc432853901" w:history="1">
            <w:r w:rsidR="00B966EB" w:rsidRPr="00655AA0">
              <w:rPr>
                <w:rStyle w:val="Hyperlink"/>
              </w:rPr>
              <w:t>Note</w:t>
            </w:r>
            <w:r w:rsidR="00B966EB">
              <w:rPr>
                <w:webHidden/>
              </w:rPr>
              <w:tab/>
              <w:t>9-</w:t>
            </w:r>
            <w:r w:rsidR="00B966EB">
              <w:rPr>
                <w:webHidden/>
              </w:rPr>
              <w:fldChar w:fldCharType="begin"/>
            </w:r>
            <w:r w:rsidR="00B966EB">
              <w:rPr>
                <w:webHidden/>
              </w:rPr>
              <w:instrText xml:space="preserve"> PAGEREF _Toc432853901 \h </w:instrText>
            </w:r>
            <w:r w:rsidR="00B966EB">
              <w:rPr>
                <w:webHidden/>
              </w:rPr>
            </w:r>
            <w:r w:rsidR="00B966EB">
              <w:rPr>
                <w:webHidden/>
              </w:rPr>
              <w:fldChar w:fldCharType="separate"/>
            </w:r>
            <w:r w:rsidR="00B966EB">
              <w:rPr>
                <w:webHidden/>
              </w:rPr>
              <w:t>2</w:t>
            </w:r>
            <w:r w:rsidR="00B966EB">
              <w:rPr>
                <w:webHidden/>
              </w:rPr>
              <w:fldChar w:fldCharType="end"/>
            </w:r>
          </w:hyperlink>
        </w:p>
        <w:p w:rsidR="00B966EB" w:rsidRDefault="00BB5051">
          <w:pPr>
            <w:pStyle w:val="TOC1"/>
            <w:rPr>
              <w:rFonts w:asciiTheme="minorHAnsi" w:eastAsiaTheme="minorEastAsia" w:hAnsiTheme="minorHAnsi"/>
              <w:b w:val="0"/>
              <w:color w:val="auto"/>
              <w:sz w:val="22"/>
              <w:lang w:val="en-AU" w:eastAsia="en-AU"/>
            </w:rPr>
          </w:pPr>
          <w:hyperlink w:anchor="_Toc432853902" w:history="1">
            <w:r w:rsidR="00B966EB" w:rsidRPr="00655AA0">
              <w:rPr>
                <w:rStyle w:val="Hyperlink"/>
              </w:rPr>
              <w:t>Contents</w:t>
            </w:r>
            <w:r w:rsidR="00B966EB">
              <w:rPr>
                <w:webHidden/>
              </w:rPr>
              <w:tab/>
              <w:t>9-</w:t>
            </w:r>
            <w:r w:rsidR="00B966EB">
              <w:rPr>
                <w:webHidden/>
              </w:rPr>
              <w:fldChar w:fldCharType="begin"/>
            </w:r>
            <w:r w:rsidR="00B966EB">
              <w:rPr>
                <w:webHidden/>
              </w:rPr>
              <w:instrText xml:space="preserve"> PAGEREF _Toc432853902 \h </w:instrText>
            </w:r>
            <w:r w:rsidR="00B966EB">
              <w:rPr>
                <w:webHidden/>
              </w:rPr>
            </w:r>
            <w:r w:rsidR="00B966EB">
              <w:rPr>
                <w:webHidden/>
              </w:rPr>
              <w:fldChar w:fldCharType="separate"/>
            </w:r>
            <w:r w:rsidR="00B966EB">
              <w:rPr>
                <w:webHidden/>
              </w:rPr>
              <w:t>3</w:t>
            </w:r>
            <w:r w:rsidR="00B966EB">
              <w:rPr>
                <w:webHidden/>
              </w:rPr>
              <w:fldChar w:fldCharType="end"/>
            </w:r>
          </w:hyperlink>
        </w:p>
        <w:p w:rsidR="00B966EB" w:rsidRDefault="00BB5051">
          <w:pPr>
            <w:pStyle w:val="TOC1"/>
            <w:rPr>
              <w:rFonts w:asciiTheme="minorHAnsi" w:eastAsiaTheme="minorEastAsia" w:hAnsiTheme="minorHAnsi"/>
              <w:b w:val="0"/>
              <w:color w:val="auto"/>
              <w:sz w:val="22"/>
              <w:lang w:val="en-AU" w:eastAsia="en-AU"/>
            </w:rPr>
          </w:pPr>
          <w:hyperlink w:anchor="_Toc432853903" w:history="1">
            <w:r w:rsidR="00B966EB" w:rsidRPr="00655AA0">
              <w:rPr>
                <w:rStyle w:val="Hyperlink"/>
              </w:rPr>
              <w:t>Shortened forms</w:t>
            </w:r>
            <w:r w:rsidR="00B966EB">
              <w:rPr>
                <w:webHidden/>
              </w:rPr>
              <w:tab/>
              <w:t>9-</w:t>
            </w:r>
            <w:r w:rsidR="00B966EB">
              <w:rPr>
                <w:webHidden/>
              </w:rPr>
              <w:fldChar w:fldCharType="begin"/>
            </w:r>
            <w:r w:rsidR="00B966EB">
              <w:rPr>
                <w:webHidden/>
              </w:rPr>
              <w:instrText xml:space="preserve"> PAGEREF _Toc432853903 \h </w:instrText>
            </w:r>
            <w:r w:rsidR="00B966EB">
              <w:rPr>
                <w:webHidden/>
              </w:rPr>
            </w:r>
            <w:r w:rsidR="00B966EB">
              <w:rPr>
                <w:webHidden/>
              </w:rPr>
              <w:fldChar w:fldCharType="separate"/>
            </w:r>
            <w:r w:rsidR="00B966EB">
              <w:rPr>
                <w:webHidden/>
              </w:rPr>
              <w:t>4</w:t>
            </w:r>
            <w:r w:rsidR="00B966EB">
              <w:rPr>
                <w:webHidden/>
              </w:rPr>
              <w:fldChar w:fldCharType="end"/>
            </w:r>
          </w:hyperlink>
        </w:p>
        <w:p w:rsidR="00B966EB" w:rsidRDefault="00BB5051">
          <w:pPr>
            <w:pStyle w:val="TOC1"/>
            <w:rPr>
              <w:rFonts w:asciiTheme="minorHAnsi" w:eastAsiaTheme="minorEastAsia" w:hAnsiTheme="minorHAnsi"/>
              <w:b w:val="0"/>
              <w:color w:val="auto"/>
              <w:sz w:val="22"/>
              <w:lang w:val="en-AU" w:eastAsia="en-AU"/>
            </w:rPr>
          </w:pPr>
          <w:hyperlink w:anchor="_Toc432853904" w:history="1">
            <w:r w:rsidR="00B966EB" w:rsidRPr="00655AA0">
              <w:rPr>
                <w:rStyle w:val="Hyperlink"/>
              </w:rPr>
              <w:t>9</w:t>
            </w:r>
            <w:r w:rsidR="00B966EB">
              <w:rPr>
                <w:rFonts w:asciiTheme="minorHAnsi" w:eastAsiaTheme="minorEastAsia" w:hAnsiTheme="minorHAnsi"/>
                <w:b w:val="0"/>
                <w:color w:val="auto"/>
                <w:sz w:val="22"/>
                <w:lang w:val="en-AU" w:eastAsia="en-AU"/>
              </w:rPr>
              <w:tab/>
            </w:r>
            <w:r w:rsidR="00B966EB" w:rsidRPr="00655AA0">
              <w:rPr>
                <w:rStyle w:val="Hyperlink"/>
              </w:rPr>
              <w:t>Efficiency benefit sharing scheme</w:t>
            </w:r>
            <w:r w:rsidR="00B966EB">
              <w:rPr>
                <w:webHidden/>
              </w:rPr>
              <w:tab/>
              <w:t>9-</w:t>
            </w:r>
            <w:r w:rsidR="00B966EB">
              <w:rPr>
                <w:webHidden/>
              </w:rPr>
              <w:fldChar w:fldCharType="begin"/>
            </w:r>
            <w:r w:rsidR="00B966EB">
              <w:rPr>
                <w:webHidden/>
              </w:rPr>
              <w:instrText xml:space="preserve"> PAGEREF _Toc432853904 \h </w:instrText>
            </w:r>
            <w:r w:rsidR="00B966EB">
              <w:rPr>
                <w:webHidden/>
              </w:rPr>
            </w:r>
            <w:r w:rsidR="00B966EB">
              <w:rPr>
                <w:webHidden/>
              </w:rPr>
              <w:fldChar w:fldCharType="separate"/>
            </w:r>
            <w:r w:rsidR="00B966EB">
              <w:rPr>
                <w:webHidden/>
              </w:rPr>
              <w:t>6</w:t>
            </w:r>
            <w:r w:rsidR="00B966EB">
              <w:rPr>
                <w:webHidden/>
              </w:rPr>
              <w:fldChar w:fldCharType="end"/>
            </w:r>
          </w:hyperlink>
        </w:p>
        <w:p w:rsidR="00B966EB" w:rsidRDefault="00BB5051">
          <w:pPr>
            <w:pStyle w:val="TOC2"/>
            <w:rPr>
              <w:rFonts w:asciiTheme="minorHAnsi" w:eastAsiaTheme="minorEastAsia" w:hAnsiTheme="minorHAnsi"/>
              <w:b w:val="0"/>
              <w:color w:val="auto"/>
              <w:sz w:val="22"/>
              <w:lang w:eastAsia="en-AU"/>
            </w:rPr>
          </w:pPr>
          <w:hyperlink w:anchor="_Toc432853905" w:history="1">
            <w:r w:rsidR="00B966EB" w:rsidRPr="00655AA0">
              <w:rPr>
                <w:rStyle w:val="Hyperlink"/>
              </w:rPr>
              <w:t>9.1</w:t>
            </w:r>
            <w:r w:rsidR="00B966EB">
              <w:rPr>
                <w:rFonts w:asciiTheme="minorHAnsi" w:eastAsiaTheme="minorEastAsia" w:hAnsiTheme="minorHAnsi"/>
                <w:b w:val="0"/>
                <w:color w:val="auto"/>
                <w:sz w:val="22"/>
                <w:lang w:eastAsia="en-AU"/>
              </w:rPr>
              <w:tab/>
            </w:r>
            <w:r w:rsidR="00B966EB" w:rsidRPr="00655AA0">
              <w:rPr>
                <w:rStyle w:val="Hyperlink"/>
              </w:rPr>
              <w:t>Final decision</w:t>
            </w:r>
            <w:r w:rsidR="00B966EB">
              <w:rPr>
                <w:webHidden/>
              </w:rPr>
              <w:tab/>
              <w:t>9-</w:t>
            </w:r>
            <w:r w:rsidR="00B966EB">
              <w:rPr>
                <w:webHidden/>
              </w:rPr>
              <w:fldChar w:fldCharType="begin"/>
            </w:r>
            <w:r w:rsidR="00B966EB">
              <w:rPr>
                <w:webHidden/>
              </w:rPr>
              <w:instrText xml:space="preserve"> PAGEREF _Toc432853905 \h </w:instrText>
            </w:r>
            <w:r w:rsidR="00B966EB">
              <w:rPr>
                <w:webHidden/>
              </w:rPr>
            </w:r>
            <w:r w:rsidR="00B966EB">
              <w:rPr>
                <w:webHidden/>
              </w:rPr>
              <w:fldChar w:fldCharType="separate"/>
            </w:r>
            <w:r w:rsidR="00B966EB">
              <w:rPr>
                <w:webHidden/>
              </w:rPr>
              <w:t>6</w:t>
            </w:r>
            <w:r w:rsidR="00B966EB">
              <w:rPr>
                <w:webHidden/>
              </w:rPr>
              <w:fldChar w:fldCharType="end"/>
            </w:r>
          </w:hyperlink>
        </w:p>
        <w:p w:rsidR="00B966EB" w:rsidRDefault="00BB5051">
          <w:pPr>
            <w:pStyle w:val="TOC2"/>
            <w:rPr>
              <w:rFonts w:asciiTheme="minorHAnsi" w:eastAsiaTheme="minorEastAsia" w:hAnsiTheme="minorHAnsi"/>
              <w:b w:val="0"/>
              <w:color w:val="auto"/>
              <w:sz w:val="22"/>
              <w:lang w:eastAsia="en-AU"/>
            </w:rPr>
          </w:pPr>
          <w:hyperlink w:anchor="_Toc432853906" w:history="1">
            <w:r w:rsidR="00B966EB" w:rsidRPr="00655AA0">
              <w:rPr>
                <w:rStyle w:val="Hyperlink"/>
              </w:rPr>
              <w:t>9.2</w:t>
            </w:r>
            <w:r w:rsidR="00B966EB">
              <w:rPr>
                <w:rFonts w:asciiTheme="minorHAnsi" w:eastAsiaTheme="minorEastAsia" w:hAnsiTheme="minorHAnsi"/>
                <w:b w:val="0"/>
                <w:color w:val="auto"/>
                <w:sz w:val="22"/>
                <w:lang w:eastAsia="en-AU"/>
              </w:rPr>
              <w:tab/>
            </w:r>
            <w:r w:rsidR="00B966EB" w:rsidRPr="00655AA0">
              <w:rPr>
                <w:rStyle w:val="Hyperlink"/>
              </w:rPr>
              <w:t>Preliminary decision</w:t>
            </w:r>
            <w:r w:rsidR="00B966EB">
              <w:rPr>
                <w:webHidden/>
              </w:rPr>
              <w:tab/>
              <w:t>9-</w:t>
            </w:r>
            <w:r w:rsidR="00B966EB">
              <w:rPr>
                <w:webHidden/>
              </w:rPr>
              <w:fldChar w:fldCharType="begin"/>
            </w:r>
            <w:r w:rsidR="00B966EB">
              <w:rPr>
                <w:webHidden/>
              </w:rPr>
              <w:instrText xml:space="preserve"> PAGEREF _Toc432853906 \h </w:instrText>
            </w:r>
            <w:r w:rsidR="00B966EB">
              <w:rPr>
                <w:webHidden/>
              </w:rPr>
            </w:r>
            <w:r w:rsidR="00B966EB">
              <w:rPr>
                <w:webHidden/>
              </w:rPr>
              <w:fldChar w:fldCharType="separate"/>
            </w:r>
            <w:r w:rsidR="00B966EB">
              <w:rPr>
                <w:webHidden/>
              </w:rPr>
              <w:t>7</w:t>
            </w:r>
            <w:r w:rsidR="00B966EB">
              <w:rPr>
                <w:webHidden/>
              </w:rPr>
              <w:fldChar w:fldCharType="end"/>
            </w:r>
          </w:hyperlink>
        </w:p>
        <w:p w:rsidR="00B966EB" w:rsidRDefault="00BB5051">
          <w:pPr>
            <w:pStyle w:val="TOC2"/>
            <w:rPr>
              <w:rFonts w:asciiTheme="minorHAnsi" w:eastAsiaTheme="minorEastAsia" w:hAnsiTheme="minorHAnsi"/>
              <w:b w:val="0"/>
              <w:color w:val="auto"/>
              <w:sz w:val="22"/>
              <w:lang w:eastAsia="en-AU"/>
            </w:rPr>
          </w:pPr>
          <w:hyperlink w:anchor="_Toc432853907" w:history="1">
            <w:r w:rsidR="00B966EB" w:rsidRPr="00655AA0">
              <w:rPr>
                <w:rStyle w:val="Hyperlink"/>
              </w:rPr>
              <w:t>9.3</w:t>
            </w:r>
            <w:r w:rsidR="00B966EB">
              <w:rPr>
                <w:rFonts w:asciiTheme="minorHAnsi" w:eastAsiaTheme="minorEastAsia" w:hAnsiTheme="minorHAnsi"/>
                <w:b w:val="0"/>
                <w:color w:val="auto"/>
                <w:sz w:val="22"/>
                <w:lang w:eastAsia="en-AU"/>
              </w:rPr>
              <w:tab/>
            </w:r>
            <w:r w:rsidR="00B966EB" w:rsidRPr="00655AA0">
              <w:rPr>
                <w:rStyle w:val="Hyperlink"/>
              </w:rPr>
              <w:t>Energex’s revised proposal and submissions</w:t>
            </w:r>
            <w:r w:rsidR="00B966EB">
              <w:rPr>
                <w:webHidden/>
              </w:rPr>
              <w:tab/>
              <w:t>9-</w:t>
            </w:r>
            <w:r w:rsidR="00B966EB">
              <w:rPr>
                <w:webHidden/>
              </w:rPr>
              <w:fldChar w:fldCharType="begin"/>
            </w:r>
            <w:r w:rsidR="00B966EB">
              <w:rPr>
                <w:webHidden/>
              </w:rPr>
              <w:instrText xml:space="preserve"> PAGEREF _Toc432853907 \h </w:instrText>
            </w:r>
            <w:r w:rsidR="00B966EB">
              <w:rPr>
                <w:webHidden/>
              </w:rPr>
            </w:r>
            <w:r w:rsidR="00B966EB">
              <w:rPr>
                <w:webHidden/>
              </w:rPr>
              <w:fldChar w:fldCharType="separate"/>
            </w:r>
            <w:r w:rsidR="00B966EB">
              <w:rPr>
                <w:webHidden/>
              </w:rPr>
              <w:t>7</w:t>
            </w:r>
            <w:r w:rsidR="00B966EB">
              <w:rPr>
                <w:webHidden/>
              </w:rPr>
              <w:fldChar w:fldCharType="end"/>
            </w:r>
          </w:hyperlink>
        </w:p>
        <w:p w:rsidR="00B966EB" w:rsidRDefault="00BB5051">
          <w:pPr>
            <w:pStyle w:val="TOC2"/>
            <w:rPr>
              <w:rFonts w:asciiTheme="minorHAnsi" w:eastAsiaTheme="minorEastAsia" w:hAnsiTheme="minorHAnsi"/>
              <w:b w:val="0"/>
              <w:color w:val="auto"/>
              <w:sz w:val="22"/>
              <w:lang w:eastAsia="en-AU"/>
            </w:rPr>
          </w:pPr>
          <w:hyperlink w:anchor="_Toc432853908" w:history="1">
            <w:r w:rsidR="00B966EB" w:rsidRPr="00655AA0">
              <w:rPr>
                <w:rStyle w:val="Hyperlink"/>
              </w:rPr>
              <w:t>9.4</w:t>
            </w:r>
            <w:r w:rsidR="00B966EB">
              <w:rPr>
                <w:rFonts w:asciiTheme="minorHAnsi" w:eastAsiaTheme="minorEastAsia" w:hAnsiTheme="minorHAnsi"/>
                <w:b w:val="0"/>
                <w:color w:val="auto"/>
                <w:sz w:val="22"/>
                <w:lang w:eastAsia="en-AU"/>
              </w:rPr>
              <w:tab/>
            </w:r>
            <w:r w:rsidR="00B966EB" w:rsidRPr="00655AA0">
              <w:rPr>
                <w:rStyle w:val="Hyperlink"/>
              </w:rPr>
              <w:t>AER’s assessment approach</w:t>
            </w:r>
            <w:r w:rsidR="00B966EB">
              <w:rPr>
                <w:webHidden/>
              </w:rPr>
              <w:tab/>
              <w:t>9-</w:t>
            </w:r>
            <w:r w:rsidR="00B966EB">
              <w:rPr>
                <w:webHidden/>
              </w:rPr>
              <w:fldChar w:fldCharType="begin"/>
            </w:r>
            <w:r w:rsidR="00B966EB">
              <w:rPr>
                <w:webHidden/>
              </w:rPr>
              <w:instrText xml:space="preserve"> PAGEREF _Toc432853908 \h </w:instrText>
            </w:r>
            <w:r w:rsidR="00B966EB">
              <w:rPr>
                <w:webHidden/>
              </w:rPr>
            </w:r>
            <w:r w:rsidR="00B966EB">
              <w:rPr>
                <w:webHidden/>
              </w:rPr>
              <w:fldChar w:fldCharType="separate"/>
            </w:r>
            <w:r w:rsidR="00B966EB">
              <w:rPr>
                <w:webHidden/>
              </w:rPr>
              <w:t>8</w:t>
            </w:r>
            <w:r w:rsidR="00B966EB">
              <w:rPr>
                <w:webHidden/>
              </w:rPr>
              <w:fldChar w:fldCharType="end"/>
            </w:r>
          </w:hyperlink>
        </w:p>
        <w:p w:rsidR="00B966EB" w:rsidRDefault="00BB5051">
          <w:pPr>
            <w:pStyle w:val="TOC3"/>
            <w:rPr>
              <w:rFonts w:asciiTheme="minorHAnsi" w:eastAsiaTheme="minorEastAsia" w:hAnsiTheme="minorHAnsi"/>
              <w:lang w:eastAsia="en-AU"/>
            </w:rPr>
          </w:pPr>
          <w:hyperlink w:anchor="_Toc432853909" w:history="1">
            <w:r w:rsidR="00B966EB" w:rsidRPr="00655AA0">
              <w:rPr>
                <w:rStyle w:val="Hyperlink"/>
              </w:rPr>
              <w:t>9.4.1</w:t>
            </w:r>
            <w:r w:rsidR="00B966EB">
              <w:rPr>
                <w:rFonts w:asciiTheme="minorHAnsi" w:eastAsiaTheme="minorEastAsia" w:hAnsiTheme="minorHAnsi"/>
                <w:lang w:eastAsia="en-AU"/>
              </w:rPr>
              <w:tab/>
            </w:r>
            <w:r w:rsidR="00B966EB" w:rsidRPr="00655AA0">
              <w:rPr>
                <w:rStyle w:val="Hyperlink"/>
              </w:rPr>
              <w:t>Interrelationships</w:t>
            </w:r>
            <w:r w:rsidR="00B966EB">
              <w:rPr>
                <w:webHidden/>
              </w:rPr>
              <w:tab/>
              <w:t>9-</w:t>
            </w:r>
            <w:r w:rsidR="00B966EB">
              <w:rPr>
                <w:webHidden/>
              </w:rPr>
              <w:fldChar w:fldCharType="begin"/>
            </w:r>
            <w:r w:rsidR="00B966EB">
              <w:rPr>
                <w:webHidden/>
              </w:rPr>
              <w:instrText xml:space="preserve"> PAGEREF _Toc432853909 \h </w:instrText>
            </w:r>
            <w:r w:rsidR="00B966EB">
              <w:rPr>
                <w:webHidden/>
              </w:rPr>
            </w:r>
            <w:r w:rsidR="00B966EB">
              <w:rPr>
                <w:webHidden/>
              </w:rPr>
              <w:fldChar w:fldCharType="separate"/>
            </w:r>
            <w:r w:rsidR="00B966EB">
              <w:rPr>
                <w:webHidden/>
              </w:rPr>
              <w:t>9</w:t>
            </w:r>
            <w:r w:rsidR="00B966EB">
              <w:rPr>
                <w:webHidden/>
              </w:rPr>
              <w:fldChar w:fldCharType="end"/>
            </w:r>
          </w:hyperlink>
        </w:p>
        <w:p w:rsidR="00B966EB" w:rsidRDefault="00BB5051">
          <w:pPr>
            <w:pStyle w:val="TOC2"/>
            <w:rPr>
              <w:rFonts w:asciiTheme="minorHAnsi" w:eastAsiaTheme="minorEastAsia" w:hAnsiTheme="minorHAnsi"/>
              <w:b w:val="0"/>
              <w:color w:val="auto"/>
              <w:sz w:val="22"/>
              <w:lang w:eastAsia="en-AU"/>
            </w:rPr>
          </w:pPr>
          <w:hyperlink w:anchor="_Toc432853910" w:history="1">
            <w:r w:rsidR="00B966EB" w:rsidRPr="00655AA0">
              <w:rPr>
                <w:rStyle w:val="Hyperlink"/>
              </w:rPr>
              <w:t>9.5</w:t>
            </w:r>
            <w:r w:rsidR="00B966EB">
              <w:rPr>
                <w:rFonts w:asciiTheme="minorHAnsi" w:eastAsiaTheme="minorEastAsia" w:hAnsiTheme="minorHAnsi"/>
                <w:b w:val="0"/>
                <w:color w:val="auto"/>
                <w:sz w:val="22"/>
                <w:lang w:eastAsia="en-AU"/>
              </w:rPr>
              <w:tab/>
            </w:r>
            <w:r w:rsidR="00B966EB" w:rsidRPr="00655AA0">
              <w:rPr>
                <w:rStyle w:val="Hyperlink"/>
              </w:rPr>
              <w:t>Reasons for final decision</w:t>
            </w:r>
            <w:r w:rsidR="00B966EB">
              <w:rPr>
                <w:webHidden/>
              </w:rPr>
              <w:tab/>
              <w:t>9-</w:t>
            </w:r>
            <w:r w:rsidR="00B966EB">
              <w:rPr>
                <w:webHidden/>
              </w:rPr>
              <w:fldChar w:fldCharType="begin"/>
            </w:r>
            <w:r w:rsidR="00B966EB">
              <w:rPr>
                <w:webHidden/>
              </w:rPr>
              <w:instrText xml:space="preserve"> PAGEREF _Toc432853910 \h </w:instrText>
            </w:r>
            <w:r w:rsidR="00B966EB">
              <w:rPr>
                <w:webHidden/>
              </w:rPr>
            </w:r>
            <w:r w:rsidR="00B966EB">
              <w:rPr>
                <w:webHidden/>
              </w:rPr>
              <w:fldChar w:fldCharType="separate"/>
            </w:r>
            <w:r w:rsidR="00B966EB">
              <w:rPr>
                <w:webHidden/>
              </w:rPr>
              <w:t>9</w:t>
            </w:r>
            <w:r w:rsidR="00B966EB">
              <w:rPr>
                <w:webHidden/>
              </w:rPr>
              <w:fldChar w:fldCharType="end"/>
            </w:r>
          </w:hyperlink>
        </w:p>
        <w:p w:rsidR="00B966EB" w:rsidRDefault="00BB5051">
          <w:pPr>
            <w:pStyle w:val="TOC3"/>
            <w:rPr>
              <w:rFonts w:asciiTheme="minorHAnsi" w:eastAsiaTheme="minorEastAsia" w:hAnsiTheme="minorHAnsi"/>
              <w:lang w:eastAsia="en-AU"/>
            </w:rPr>
          </w:pPr>
          <w:hyperlink w:anchor="_Toc432853911" w:history="1">
            <w:r w:rsidR="00B966EB" w:rsidRPr="00655AA0">
              <w:rPr>
                <w:rStyle w:val="Hyperlink"/>
              </w:rPr>
              <w:t>9.5.1</w:t>
            </w:r>
            <w:r w:rsidR="00B966EB">
              <w:rPr>
                <w:rFonts w:asciiTheme="minorHAnsi" w:eastAsiaTheme="minorEastAsia" w:hAnsiTheme="minorHAnsi"/>
                <w:lang w:eastAsia="en-AU"/>
              </w:rPr>
              <w:tab/>
            </w:r>
            <w:r w:rsidR="00B966EB" w:rsidRPr="00655AA0">
              <w:rPr>
                <w:rStyle w:val="Hyperlink"/>
              </w:rPr>
              <w:t>Carryover amounts from the 2010–15 regulatory control period</w:t>
            </w:r>
            <w:r w:rsidR="00B966EB">
              <w:rPr>
                <w:webHidden/>
              </w:rPr>
              <w:tab/>
              <w:t>9-</w:t>
            </w:r>
            <w:r w:rsidR="00B966EB">
              <w:rPr>
                <w:webHidden/>
              </w:rPr>
              <w:fldChar w:fldCharType="begin"/>
            </w:r>
            <w:r w:rsidR="00B966EB">
              <w:rPr>
                <w:webHidden/>
              </w:rPr>
              <w:instrText xml:space="preserve"> PAGEREF _Toc432853911 \h </w:instrText>
            </w:r>
            <w:r w:rsidR="00B966EB">
              <w:rPr>
                <w:webHidden/>
              </w:rPr>
            </w:r>
            <w:r w:rsidR="00B966EB">
              <w:rPr>
                <w:webHidden/>
              </w:rPr>
              <w:fldChar w:fldCharType="separate"/>
            </w:r>
            <w:r w:rsidR="00B966EB">
              <w:rPr>
                <w:webHidden/>
              </w:rPr>
              <w:t>9</w:t>
            </w:r>
            <w:r w:rsidR="00B966EB">
              <w:rPr>
                <w:webHidden/>
              </w:rPr>
              <w:fldChar w:fldCharType="end"/>
            </w:r>
          </w:hyperlink>
        </w:p>
        <w:p w:rsidR="00B966EB" w:rsidRDefault="00BB5051">
          <w:pPr>
            <w:pStyle w:val="TOC3"/>
            <w:rPr>
              <w:rFonts w:asciiTheme="minorHAnsi" w:eastAsiaTheme="minorEastAsia" w:hAnsiTheme="minorHAnsi"/>
              <w:lang w:eastAsia="en-AU"/>
            </w:rPr>
          </w:pPr>
          <w:hyperlink w:anchor="_Toc432853912" w:history="1">
            <w:r w:rsidR="00B966EB" w:rsidRPr="00655AA0">
              <w:rPr>
                <w:rStyle w:val="Hyperlink"/>
              </w:rPr>
              <w:t>9.5.2</w:t>
            </w:r>
            <w:r w:rsidR="00B966EB">
              <w:rPr>
                <w:rFonts w:asciiTheme="minorHAnsi" w:eastAsiaTheme="minorEastAsia" w:hAnsiTheme="minorHAnsi"/>
                <w:lang w:eastAsia="en-AU"/>
              </w:rPr>
              <w:tab/>
            </w:r>
            <w:r w:rsidR="00B966EB" w:rsidRPr="00655AA0">
              <w:rPr>
                <w:rStyle w:val="Hyperlink"/>
              </w:rPr>
              <w:t>How the EBSS will apply in the 2015–20 regulatory control period</w:t>
            </w:r>
            <w:r w:rsidR="00B966EB">
              <w:rPr>
                <w:webHidden/>
              </w:rPr>
              <w:tab/>
              <w:t>9-</w:t>
            </w:r>
            <w:r w:rsidR="00B966EB">
              <w:rPr>
                <w:webHidden/>
              </w:rPr>
              <w:fldChar w:fldCharType="begin"/>
            </w:r>
            <w:r w:rsidR="00B966EB">
              <w:rPr>
                <w:webHidden/>
              </w:rPr>
              <w:instrText xml:space="preserve"> PAGEREF _Toc432853912 \h </w:instrText>
            </w:r>
            <w:r w:rsidR="00B966EB">
              <w:rPr>
                <w:webHidden/>
              </w:rPr>
            </w:r>
            <w:r w:rsidR="00B966EB">
              <w:rPr>
                <w:webHidden/>
              </w:rPr>
              <w:fldChar w:fldCharType="separate"/>
            </w:r>
            <w:r w:rsidR="00B966EB">
              <w:rPr>
                <w:webHidden/>
              </w:rPr>
              <w:t>11</w:t>
            </w:r>
            <w:r w:rsidR="00B966EB">
              <w:rPr>
                <w:webHidden/>
              </w:rPr>
              <w:fldChar w:fldCharType="end"/>
            </w:r>
          </w:hyperlink>
        </w:p>
        <w:p w:rsidR="00F5390E" w:rsidRPr="00F5390E" w:rsidRDefault="00F5390E" w:rsidP="00F5390E">
          <w:r>
            <w:fldChar w:fldCharType="end"/>
          </w:r>
        </w:p>
      </w:sdtContent>
    </w:sdt>
    <w:p w:rsidR="002F2C14" w:rsidRDefault="002F2C14" w:rsidP="00F5390E"/>
    <w:p w:rsidR="002F2C14" w:rsidRPr="002F2C14" w:rsidRDefault="002F2C14" w:rsidP="002F2C14"/>
    <w:p w:rsidR="002F2C14" w:rsidRPr="002F2C14" w:rsidRDefault="002F2C14" w:rsidP="002F2C14"/>
    <w:p w:rsidR="002F2C14" w:rsidRPr="002F2C14" w:rsidRDefault="002F2C14" w:rsidP="002F2C14"/>
    <w:p w:rsidR="002F2C14" w:rsidRDefault="002F2C14" w:rsidP="002F2C14"/>
    <w:p w:rsidR="00F5390E" w:rsidRPr="002F2C14" w:rsidRDefault="002F2C14" w:rsidP="002F2C14">
      <w:pPr>
        <w:tabs>
          <w:tab w:val="left" w:pos="2962"/>
        </w:tabs>
      </w:pPr>
      <w:r>
        <w:tab/>
      </w:r>
      <w:bookmarkStart w:id="7" w:name="_GoBack"/>
      <w:bookmarkEnd w:id="7"/>
    </w:p>
    <w:p w:rsidR="00F5390E" w:rsidRDefault="00F5390E" w:rsidP="00F5390E">
      <w:pPr>
        <w:pStyle w:val="UnnumberedHeading"/>
        <w:numPr>
          <w:ilvl w:val="0"/>
          <w:numId w:val="24"/>
        </w:numPr>
      </w:pPr>
      <w:bookmarkStart w:id="8" w:name="_Toc404700925"/>
      <w:bookmarkStart w:id="9" w:name="_Toc432853903"/>
      <w:r>
        <w:lastRenderedPageBreak/>
        <w:t>Shortened forms</w:t>
      </w:r>
      <w:bookmarkEnd w:id="8"/>
      <w:bookmarkEnd w:id="9"/>
    </w:p>
    <w:tbl>
      <w:tblPr>
        <w:tblStyle w:val="AERtable-text0"/>
        <w:tblW w:w="0" w:type="auto"/>
        <w:tblLook w:val="04A0" w:firstRow="1" w:lastRow="0" w:firstColumn="1" w:lastColumn="0" w:noHBand="0" w:noVBand="1"/>
      </w:tblPr>
      <w:tblGrid>
        <w:gridCol w:w="4340"/>
        <w:gridCol w:w="4353"/>
      </w:tblGrid>
      <w:tr w:rsidR="00F5390E" w:rsidTr="009B2123">
        <w:trPr>
          <w:cnfStyle w:val="100000000000" w:firstRow="1" w:lastRow="0" w:firstColumn="0" w:lastColumn="0" w:oddVBand="0" w:evenVBand="0" w:oddHBand="0" w:evenHBand="0" w:firstRowFirstColumn="0" w:firstRowLastColumn="0" w:lastRowFirstColumn="0" w:lastRowLastColumn="0"/>
          <w:tblHeader/>
        </w:trPr>
        <w:tc>
          <w:tcPr>
            <w:tcW w:w="4340" w:type="dxa"/>
          </w:tcPr>
          <w:p w:rsidR="00F5390E" w:rsidRDefault="00F5390E" w:rsidP="00F5390E">
            <w:pPr>
              <w:pStyle w:val="AERtabletextleft"/>
            </w:pPr>
            <w:r>
              <w:t>Shortened form</w:t>
            </w:r>
          </w:p>
        </w:tc>
        <w:tc>
          <w:tcPr>
            <w:tcW w:w="4353" w:type="dxa"/>
          </w:tcPr>
          <w:p w:rsidR="00F5390E" w:rsidRDefault="00F5390E" w:rsidP="00F5390E">
            <w:pPr>
              <w:pStyle w:val="AERtabletextleft"/>
            </w:pPr>
            <w:r>
              <w:t>Extended form</w:t>
            </w:r>
          </w:p>
        </w:tc>
      </w:tr>
      <w:tr w:rsidR="00F5390E" w:rsidTr="009B2123">
        <w:tc>
          <w:tcPr>
            <w:tcW w:w="4340" w:type="dxa"/>
          </w:tcPr>
          <w:p w:rsidR="00F5390E" w:rsidRDefault="00F5390E" w:rsidP="00F5390E">
            <w:pPr>
              <w:pStyle w:val="AERtabletextleft"/>
            </w:pPr>
            <w:r>
              <w:t>AEMC</w:t>
            </w:r>
          </w:p>
        </w:tc>
        <w:tc>
          <w:tcPr>
            <w:tcW w:w="4353" w:type="dxa"/>
          </w:tcPr>
          <w:p w:rsidR="00F5390E" w:rsidRDefault="00F5390E" w:rsidP="00F5390E">
            <w:pPr>
              <w:pStyle w:val="AERtabletextleft"/>
            </w:pPr>
            <w:r>
              <w:t>Australian Energy Market Commission</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AEMO</w:t>
            </w:r>
          </w:p>
        </w:tc>
        <w:tc>
          <w:tcPr>
            <w:tcW w:w="4353" w:type="dxa"/>
          </w:tcPr>
          <w:p w:rsidR="00F5390E" w:rsidRDefault="00F5390E" w:rsidP="00F5390E">
            <w:pPr>
              <w:pStyle w:val="AERtabletextleft"/>
            </w:pPr>
            <w:r>
              <w:t>Australian Energy Market Operator</w:t>
            </w:r>
          </w:p>
        </w:tc>
      </w:tr>
      <w:tr w:rsidR="00F5390E" w:rsidTr="009B2123">
        <w:tc>
          <w:tcPr>
            <w:tcW w:w="4340" w:type="dxa"/>
          </w:tcPr>
          <w:p w:rsidR="00F5390E" w:rsidRDefault="00F5390E" w:rsidP="00F5390E">
            <w:pPr>
              <w:pStyle w:val="AERtabletextleft"/>
            </w:pPr>
            <w:r>
              <w:t>AER</w:t>
            </w:r>
          </w:p>
        </w:tc>
        <w:tc>
          <w:tcPr>
            <w:tcW w:w="4353" w:type="dxa"/>
          </w:tcPr>
          <w:p w:rsidR="00F5390E" w:rsidRDefault="00F5390E" w:rsidP="00F5390E">
            <w:pPr>
              <w:pStyle w:val="AERtabletextleft"/>
            </w:pPr>
            <w:r>
              <w:t>Australian Energy Regulator</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proofErr w:type="spellStart"/>
            <w:r>
              <w:t>augex</w:t>
            </w:r>
            <w:proofErr w:type="spellEnd"/>
          </w:p>
        </w:tc>
        <w:tc>
          <w:tcPr>
            <w:tcW w:w="4353" w:type="dxa"/>
          </w:tcPr>
          <w:p w:rsidR="00F5390E" w:rsidRDefault="00F5390E" w:rsidP="00F5390E">
            <w:pPr>
              <w:pStyle w:val="AERtabletextleft"/>
            </w:pPr>
            <w:r>
              <w:t>augmentation expenditure</w:t>
            </w:r>
          </w:p>
        </w:tc>
      </w:tr>
      <w:tr w:rsidR="00F5390E" w:rsidTr="009B2123">
        <w:tc>
          <w:tcPr>
            <w:tcW w:w="4340" w:type="dxa"/>
          </w:tcPr>
          <w:p w:rsidR="00F5390E" w:rsidRDefault="00F5390E" w:rsidP="00F5390E">
            <w:pPr>
              <w:pStyle w:val="AERtabletextleft"/>
            </w:pPr>
            <w:r>
              <w:t>capex</w:t>
            </w:r>
          </w:p>
        </w:tc>
        <w:tc>
          <w:tcPr>
            <w:tcW w:w="4353" w:type="dxa"/>
          </w:tcPr>
          <w:p w:rsidR="00F5390E" w:rsidRDefault="00F5390E" w:rsidP="00F5390E">
            <w:pPr>
              <w:pStyle w:val="AERtabletextleft"/>
            </w:pPr>
            <w:r>
              <w:t>capital expenditure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CCP</w:t>
            </w:r>
          </w:p>
        </w:tc>
        <w:tc>
          <w:tcPr>
            <w:tcW w:w="4353" w:type="dxa"/>
          </w:tcPr>
          <w:p w:rsidR="00F5390E" w:rsidRDefault="00F5390E" w:rsidP="00F5390E">
            <w:pPr>
              <w:pStyle w:val="AERtabletextleft"/>
            </w:pPr>
            <w:r>
              <w:t>Consumer Challenge Panel</w:t>
            </w:r>
          </w:p>
        </w:tc>
      </w:tr>
      <w:tr w:rsidR="00F5390E" w:rsidTr="009B2123">
        <w:tc>
          <w:tcPr>
            <w:tcW w:w="4340" w:type="dxa"/>
          </w:tcPr>
          <w:p w:rsidR="00F5390E" w:rsidRDefault="00F5390E" w:rsidP="00F5390E">
            <w:pPr>
              <w:pStyle w:val="AERtabletextleft"/>
            </w:pPr>
            <w:r>
              <w:t>CESS</w:t>
            </w:r>
          </w:p>
        </w:tc>
        <w:tc>
          <w:tcPr>
            <w:tcW w:w="4353" w:type="dxa"/>
          </w:tcPr>
          <w:p w:rsidR="00F5390E" w:rsidRDefault="00F5390E" w:rsidP="00F5390E">
            <w:pPr>
              <w:pStyle w:val="AERtabletextleft"/>
            </w:pPr>
            <w:r>
              <w:t>capital expenditure sharing scheme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CPI</w:t>
            </w:r>
          </w:p>
        </w:tc>
        <w:tc>
          <w:tcPr>
            <w:tcW w:w="4353" w:type="dxa"/>
          </w:tcPr>
          <w:p w:rsidR="00F5390E" w:rsidRDefault="00F5390E" w:rsidP="00F5390E">
            <w:pPr>
              <w:pStyle w:val="AERtabletextleft"/>
            </w:pPr>
            <w:r>
              <w:t>consumer price index</w:t>
            </w:r>
          </w:p>
        </w:tc>
      </w:tr>
      <w:tr w:rsidR="00F5390E" w:rsidTr="009B2123">
        <w:tc>
          <w:tcPr>
            <w:tcW w:w="4340" w:type="dxa"/>
          </w:tcPr>
          <w:p w:rsidR="00F5390E" w:rsidRDefault="00F5390E" w:rsidP="00F5390E">
            <w:pPr>
              <w:pStyle w:val="AERtabletextleft"/>
            </w:pPr>
            <w:r>
              <w:t>DRP</w:t>
            </w:r>
          </w:p>
        </w:tc>
        <w:tc>
          <w:tcPr>
            <w:tcW w:w="4353" w:type="dxa"/>
          </w:tcPr>
          <w:p w:rsidR="00F5390E" w:rsidRDefault="00F5390E" w:rsidP="00F5390E">
            <w:pPr>
              <w:pStyle w:val="AERtabletextleft"/>
            </w:pPr>
            <w:r>
              <w:t>debt risk premium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DMIA</w:t>
            </w:r>
          </w:p>
        </w:tc>
        <w:tc>
          <w:tcPr>
            <w:tcW w:w="4353" w:type="dxa"/>
          </w:tcPr>
          <w:p w:rsidR="00F5390E" w:rsidRDefault="00F5390E" w:rsidP="00F5390E">
            <w:pPr>
              <w:pStyle w:val="AERtabletextleft"/>
            </w:pPr>
            <w:r>
              <w:t>demand management innovation allowance</w:t>
            </w:r>
          </w:p>
        </w:tc>
      </w:tr>
      <w:tr w:rsidR="00F5390E" w:rsidTr="009B2123">
        <w:tc>
          <w:tcPr>
            <w:tcW w:w="4340" w:type="dxa"/>
          </w:tcPr>
          <w:p w:rsidR="00F5390E" w:rsidRDefault="00F5390E" w:rsidP="00F5390E">
            <w:pPr>
              <w:pStyle w:val="AERtabletextleft"/>
            </w:pPr>
            <w:r>
              <w:t>DMIS</w:t>
            </w:r>
          </w:p>
        </w:tc>
        <w:tc>
          <w:tcPr>
            <w:tcW w:w="4353" w:type="dxa"/>
          </w:tcPr>
          <w:p w:rsidR="00F5390E" w:rsidRDefault="00F5390E" w:rsidP="00F5390E">
            <w:pPr>
              <w:pStyle w:val="AERtabletextleft"/>
            </w:pPr>
            <w:r>
              <w:t>demand management incentive scheme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distributor</w:t>
            </w:r>
          </w:p>
        </w:tc>
        <w:tc>
          <w:tcPr>
            <w:tcW w:w="4353" w:type="dxa"/>
          </w:tcPr>
          <w:p w:rsidR="00F5390E" w:rsidRDefault="00F5390E" w:rsidP="00F5390E">
            <w:pPr>
              <w:pStyle w:val="AERtabletextleft"/>
            </w:pPr>
            <w:r>
              <w:t>distribution network service provider</w:t>
            </w:r>
          </w:p>
        </w:tc>
      </w:tr>
      <w:tr w:rsidR="00F5390E" w:rsidTr="009B2123">
        <w:tc>
          <w:tcPr>
            <w:tcW w:w="4340" w:type="dxa"/>
          </w:tcPr>
          <w:p w:rsidR="00F5390E" w:rsidRDefault="00F5390E" w:rsidP="00F5390E">
            <w:pPr>
              <w:pStyle w:val="AERtabletextleft"/>
            </w:pPr>
            <w:proofErr w:type="spellStart"/>
            <w:r>
              <w:t>DUoS</w:t>
            </w:r>
            <w:proofErr w:type="spellEnd"/>
          </w:p>
        </w:tc>
        <w:tc>
          <w:tcPr>
            <w:tcW w:w="4353" w:type="dxa"/>
          </w:tcPr>
          <w:p w:rsidR="00F5390E" w:rsidRDefault="00F5390E" w:rsidP="00F5390E">
            <w:pPr>
              <w:pStyle w:val="AERtabletextleft"/>
            </w:pPr>
            <w:r>
              <w:t>distribution use of system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EBSS</w:t>
            </w:r>
          </w:p>
        </w:tc>
        <w:tc>
          <w:tcPr>
            <w:tcW w:w="4353" w:type="dxa"/>
          </w:tcPr>
          <w:p w:rsidR="00F5390E" w:rsidRDefault="00F5390E" w:rsidP="00F5390E">
            <w:pPr>
              <w:pStyle w:val="AERtabletextleft"/>
            </w:pPr>
            <w:r>
              <w:t>efficiency benefit sharing scheme</w:t>
            </w:r>
          </w:p>
        </w:tc>
      </w:tr>
      <w:tr w:rsidR="00F5390E" w:rsidTr="009B2123">
        <w:tc>
          <w:tcPr>
            <w:tcW w:w="4340" w:type="dxa"/>
          </w:tcPr>
          <w:p w:rsidR="00F5390E" w:rsidRDefault="00F5390E" w:rsidP="00F5390E">
            <w:pPr>
              <w:pStyle w:val="AERtabletextleft"/>
            </w:pPr>
            <w:r>
              <w:t>ERP</w:t>
            </w:r>
          </w:p>
        </w:tc>
        <w:tc>
          <w:tcPr>
            <w:tcW w:w="4353" w:type="dxa"/>
          </w:tcPr>
          <w:p w:rsidR="00F5390E" w:rsidRDefault="00F5390E" w:rsidP="00F5390E">
            <w:pPr>
              <w:pStyle w:val="AERtabletextleft"/>
            </w:pPr>
            <w:r>
              <w:t>equity risk premium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62A8A" w:rsidP="00F5390E">
            <w:pPr>
              <w:pStyle w:val="AERtabletextleft"/>
            </w:pPr>
            <w:r>
              <w:t>E</w:t>
            </w:r>
            <w:r w:rsidR="00F5390E">
              <w:t xml:space="preserve">xpenditure </w:t>
            </w:r>
            <w:r>
              <w:t>A</w:t>
            </w:r>
            <w:r w:rsidR="00F5390E">
              <w:t xml:space="preserve">ssessment </w:t>
            </w:r>
            <w:r>
              <w:t>G</w:t>
            </w:r>
            <w:r w:rsidR="00F5390E">
              <w:t>uideline</w:t>
            </w:r>
          </w:p>
        </w:tc>
        <w:tc>
          <w:tcPr>
            <w:tcW w:w="4353" w:type="dxa"/>
          </w:tcPr>
          <w:p w:rsidR="00F5390E" w:rsidRDefault="009B2123" w:rsidP="00F5390E">
            <w:pPr>
              <w:pStyle w:val="AERtabletextleft"/>
            </w:pPr>
            <w:r>
              <w:t>Expenditure Forecast A</w:t>
            </w:r>
            <w:r w:rsidR="00F5390E">
              <w:t xml:space="preserve">ssessment </w:t>
            </w:r>
            <w:r w:rsidR="00F62A8A">
              <w:t>G</w:t>
            </w:r>
            <w:r w:rsidR="00F5390E">
              <w:t>uideline for electricity distribution</w:t>
            </w:r>
          </w:p>
        </w:tc>
      </w:tr>
      <w:tr w:rsidR="00F5390E" w:rsidTr="009B2123">
        <w:tc>
          <w:tcPr>
            <w:tcW w:w="4340" w:type="dxa"/>
          </w:tcPr>
          <w:p w:rsidR="00F5390E" w:rsidRDefault="00F5390E" w:rsidP="00F5390E">
            <w:pPr>
              <w:pStyle w:val="AERtabletextleft"/>
            </w:pPr>
            <w:r>
              <w:t>F&amp;A</w:t>
            </w:r>
          </w:p>
        </w:tc>
        <w:tc>
          <w:tcPr>
            <w:tcW w:w="4353" w:type="dxa"/>
          </w:tcPr>
          <w:p w:rsidR="00F5390E" w:rsidRDefault="00F5390E" w:rsidP="00F5390E">
            <w:pPr>
              <w:pStyle w:val="AERtabletextleft"/>
            </w:pPr>
            <w:r>
              <w:t>framework and approach</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MRP</w:t>
            </w:r>
          </w:p>
        </w:tc>
        <w:tc>
          <w:tcPr>
            <w:tcW w:w="4353" w:type="dxa"/>
          </w:tcPr>
          <w:p w:rsidR="00F5390E" w:rsidRDefault="00F5390E" w:rsidP="00F5390E">
            <w:pPr>
              <w:pStyle w:val="AERtabletextleft"/>
            </w:pPr>
            <w:r>
              <w:t>market risk premium</w:t>
            </w:r>
          </w:p>
        </w:tc>
      </w:tr>
      <w:tr w:rsidR="00F5390E" w:rsidTr="009B2123">
        <w:tc>
          <w:tcPr>
            <w:tcW w:w="4340" w:type="dxa"/>
          </w:tcPr>
          <w:p w:rsidR="00F5390E" w:rsidRDefault="00F5390E" w:rsidP="00F5390E">
            <w:pPr>
              <w:pStyle w:val="AERtabletextleft"/>
            </w:pPr>
            <w:r>
              <w:t>NEL</w:t>
            </w:r>
          </w:p>
        </w:tc>
        <w:tc>
          <w:tcPr>
            <w:tcW w:w="4353" w:type="dxa"/>
          </w:tcPr>
          <w:p w:rsidR="00F5390E" w:rsidRDefault="00F5390E" w:rsidP="00F5390E">
            <w:pPr>
              <w:pStyle w:val="AERtabletextleft"/>
            </w:pPr>
            <w:r>
              <w:t>national electricity law</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NEM</w:t>
            </w:r>
          </w:p>
        </w:tc>
        <w:tc>
          <w:tcPr>
            <w:tcW w:w="4353" w:type="dxa"/>
          </w:tcPr>
          <w:p w:rsidR="00F5390E" w:rsidRDefault="00F5390E" w:rsidP="00F5390E">
            <w:pPr>
              <w:pStyle w:val="AERtabletextleft"/>
            </w:pPr>
            <w:r>
              <w:t>national electricity market</w:t>
            </w:r>
          </w:p>
        </w:tc>
      </w:tr>
      <w:tr w:rsidR="00F5390E" w:rsidTr="009B2123">
        <w:tc>
          <w:tcPr>
            <w:tcW w:w="4340" w:type="dxa"/>
          </w:tcPr>
          <w:p w:rsidR="00F5390E" w:rsidRDefault="00F5390E" w:rsidP="00F5390E">
            <w:pPr>
              <w:pStyle w:val="AERtabletextleft"/>
            </w:pPr>
            <w:r>
              <w:t>NEO</w:t>
            </w:r>
          </w:p>
        </w:tc>
        <w:tc>
          <w:tcPr>
            <w:tcW w:w="4353" w:type="dxa"/>
          </w:tcPr>
          <w:p w:rsidR="00F5390E" w:rsidRDefault="00F5390E" w:rsidP="00F5390E">
            <w:pPr>
              <w:pStyle w:val="AERtabletextleft"/>
            </w:pPr>
            <w:r>
              <w:t>national electricity objective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NER</w:t>
            </w:r>
          </w:p>
        </w:tc>
        <w:tc>
          <w:tcPr>
            <w:tcW w:w="4353" w:type="dxa"/>
          </w:tcPr>
          <w:p w:rsidR="00F5390E" w:rsidRDefault="00F5390E" w:rsidP="00F5390E">
            <w:pPr>
              <w:pStyle w:val="AERtabletextleft"/>
            </w:pPr>
            <w:r>
              <w:t>national electricity rules</w:t>
            </w:r>
          </w:p>
        </w:tc>
      </w:tr>
      <w:tr w:rsidR="00F5390E" w:rsidTr="009B2123">
        <w:tc>
          <w:tcPr>
            <w:tcW w:w="4340" w:type="dxa"/>
          </w:tcPr>
          <w:p w:rsidR="00F5390E" w:rsidRDefault="00F5390E" w:rsidP="00F5390E">
            <w:pPr>
              <w:pStyle w:val="AERtabletextleft"/>
            </w:pPr>
            <w:r>
              <w:t>NSP</w:t>
            </w:r>
          </w:p>
        </w:tc>
        <w:tc>
          <w:tcPr>
            <w:tcW w:w="4353" w:type="dxa"/>
          </w:tcPr>
          <w:p w:rsidR="00F5390E" w:rsidRDefault="00F5390E" w:rsidP="00F5390E">
            <w:pPr>
              <w:pStyle w:val="AERtabletextleft"/>
            </w:pPr>
            <w:r>
              <w:t>network service provider</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opex</w:t>
            </w:r>
          </w:p>
        </w:tc>
        <w:tc>
          <w:tcPr>
            <w:tcW w:w="4353" w:type="dxa"/>
          </w:tcPr>
          <w:p w:rsidR="00F5390E" w:rsidRDefault="00F5390E" w:rsidP="00F5390E">
            <w:pPr>
              <w:pStyle w:val="AERtabletextleft"/>
            </w:pPr>
            <w:r>
              <w:t>operating expenditure</w:t>
            </w:r>
          </w:p>
        </w:tc>
      </w:tr>
      <w:tr w:rsidR="00F5390E" w:rsidTr="009B2123">
        <w:tc>
          <w:tcPr>
            <w:tcW w:w="4340" w:type="dxa"/>
          </w:tcPr>
          <w:p w:rsidR="00F5390E" w:rsidRDefault="00F5390E" w:rsidP="00F5390E">
            <w:pPr>
              <w:pStyle w:val="AERtabletextleft"/>
            </w:pPr>
            <w:r>
              <w:t>PPI</w:t>
            </w:r>
          </w:p>
        </w:tc>
        <w:tc>
          <w:tcPr>
            <w:tcW w:w="4353" w:type="dxa"/>
          </w:tcPr>
          <w:p w:rsidR="00F5390E" w:rsidRDefault="00F5390E" w:rsidP="00F5390E">
            <w:pPr>
              <w:pStyle w:val="AERtabletextleft"/>
            </w:pPr>
            <w:r>
              <w:t>partial performance indicators</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lastRenderedPageBreak/>
              <w:t>PTRM</w:t>
            </w:r>
          </w:p>
        </w:tc>
        <w:tc>
          <w:tcPr>
            <w:tcW w:w="4353" w:type="dxa"/>
          </w:tcPr>
          <w:p w:rsidR="00F5390E" w:rsidRDefault="00F5390E" w:rsidP="00F5390E">
            <w:pPr>
              <w:pStyle w:val="AERtabletextleft"/>
            </w:pPr>
            <w:r>
              <w:t>post-tax revenue model</w:t>
            </w:r>
          </w:p>
        </w:tc>
      </w:tr>
      <w:tr w:rsidR="00F5390E" w:rsidTr="009B2123">
        <w:tc>
          <w:tcPr>
            <w:tcW w:w="4340" w:type="dxa"/>
          </w:tcPr>
          <w:p w:rsidR="00F5390E" w:rsidRDefault="00F5390E" w:rsidP="00F5390E">
            <w:pPr>
              <w:pStyle w:val="AERtabletextleft"/>
            </w:pPr>
            <w:r>
              <w:t>RAB</w:t>
            </w:r>
          </w:p>
        </w:tc>
        <w:tc>
          <w:tcPr>
            <w:tcW w:w="4353" w:type="dxa"/>
          </w:tcPr>
          <w:p w:rsidR="00F5390E" w:rsidRDefault="00F5390E" w:rsidP="00F5390E">
            <w:pPr>
              <w:pStyle w:val="AERtabletextleft"/>
            </w:pPr>
            <w:r>
              <w:t>regulatory asset base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RBA</w:t>
            </w:r>
          </w:p>
        </w:tc>
        <w:tc>
          <w:tcPr>
            <w:tcW w:w="4353" w:type="dxa"/>
          </w:tcPr>
          <w:p w:rsidR="00F5390E" w:rsidRDefault="00F5390E" w:rsidP="00F5390E">
            <w:pPr>
              <w:pStyle w:val="AERtabletextleft"/>
            </w:pPr>
            <w:r>
              <w:t>Reserve Bank of Australia</w:t>
            </w:r>
          </w:p>
        </w:tc>
      </w:tr>
      <w:tr w:rsidR="00F5390E" w:rsidTr="009B2123">
        <w:tc>
          <w:tcPr>
            <w:tcW w:w="4340" w:type="dxa"/>
          </w:tcPr>
          <w:p w:rsidR="00F5390E" w:rsidRDefault="00F5390E" w:rsidP="00F5390E">
            <w:pPr>
              <w:pStyle w:val="AERtabletextleft"/>
            </w:pPr>
            <w:r>
              <w:t>repex</w:t>
            </w:r>
          </w:p>
        </w:tc>
        <w:tc>
          <w:tcPr>
            <w:tcW w:w="4353" w:type="dxa"/>
          </w:tcPr>
          <w:p w:rsidR="00F5390E" w:rsidRDefault="00F5390E" w:rsidP="00F5390E">
            <w:pPr>
              <w:pStyle w:val="AERtabletextleft"/>
            </w:pPr>
            <w:r>
              <w:t>replacement expenditure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RFM</w:t>
            </w:r>
          </w:p>
        </w:tc>
        <w:tc>
          <w:tcPr>
            <w:tcW w:w="4353" w:type="dxa"/>
          </w:tcPr>
          <w:p w:rsidR="00F5390E" w:rsidRDefault="00F5390E" w:rsidP="00F5390E">
            <w:pPr>
              <w:pStyle w:val="AERtabletextleft"/>
            </w:pPr>
            <w:r>
              <w:t>roll forward model</w:t>
            </w:r>
          </w:p>
        </w:tc>
      </w:tr>
      <w:tr w:rsidR="00F5390E" w:rsidTr="009B2123">
        <w:tc>
          <w:tcPr>
            <w:tcW w:w="4340" w:type="dxa"/>
          </w:tcPr>
          <w:p w:rsidR="00F5390E" w:rsidRDefault="00F5390E" w:rsidP="00F5390E">
            <w:pPr>
              <w:pStyle w:val="AERtabletextleft"/>
            </w:pPr>
            <w:r>
              <w:t>RIN</w:t>
            </w:r>
          </w:p>
        </w:tc>
        <w:tc>
          <w:tcPr>
            <w:tcW w:w="4353" w:type="dxa"/>
          </w:tcPr>
          <w:p w:rsidR="00F5390E" w:rsidRDefault="00F5390E" w:rsidP="00F5390E">
            <w:pPr>
              <w:pStyle w:val="AERtabletextleft"/>
            </w:pPr>
            <w:r>
              <w:t>regulatory information notice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RPP</w:t>
            </w:r>
          </w:p>
        </w:tc>
        <w:tc>
          <w:tcPr>
            <w:tcW w:w="4353" w:type="dxa"/>
          </w:tcPr>
          <w:p w:rsidR="00F5390E" w:rsidRDefault="00F5390E" w:rsidP="00F5390E">
            <w:pPr>
              <w:pStyle w:val="AERtabletextleft"/>
            </w:pPr>
            <w:r>
              <w:t xml:space="preserve">revenue </w:t>
            </w:r>
            <w:r w:rsidR="00F62A8A">
              <w:t xml:space="preserve">and </w:t>
            </w:r>
            <w:r>
              <w:t>pricing principles</w:t>
            </w:r>
          </w:p>
        </w:tc>
      </w:tr>
      <w:tr w:rsidR="00F5390E" w:rsidTr="009B2123">
        <w:tc>
          <w:tcPr>
            <w:tcW w:w="4340" w:type="dxa"/>
          </w:tcPr>
          <w:p w:rsidR="00F5390E" w:rsidRDefault="00F5390E" w:rsidP="00F5390E">
            <w:pPr>
              <w:pStyle w:val="AERtabletextleft"/>
            </w:pPr>
            <w:r>
              <w:t>SAIDI</w:t>
            </w:r>
          </w:p>
        </w:tc>
        <w:tc>
          <w:tcPr>
            <w:tcW w:w="4353" w:type="dxa"/>
          </w:tcPr>
          <w:p w:rsidR="00F5390E" w:rsidRDefault="00F5390E" w:rsidP="00F5390E">
            <w:pPr>
              <w:pStyle w:val="AERtabletextleft"/>
            </w:pPr>
            <w:r>
              <w:t>system average interruption duration index</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SAIFI</w:t>
            </w:r>
          </w:p>
        </w:tc>
        <w:tc>
          <w:tcPr>
            <w:tcW w:w="4353" w:type="dxa"/>
          </w:tcPr>
          <w:p w:rsidR="00F5390E" w:rsidRDefault="00F5390E" w:rsidP="00F5390E">
            <w:pPr>
              <w:pStyle w:val="AERtabletextleft"/>
            </w:pPr>
            <w:r>
              <w:t>system average interruption frequency index</w:t>
            </w:r>
          </w:p>
        </w:tc>
      </w:tr>
      <w:tr w:rsidR="00F5390E" w:rsidTr="009B2123">
        <w:tc>
          <w:tcPr>
            <w:tcW w:w="4340" w:type="dxa"/>
          </w:tcPr>
          <w:p w:rsidR="00F5390E" w:rsidRDefault="00F5390E" w:rsidP="00F5390E">
            <w:pPr>
              <w:pStyle w:val="AERtabletextleft"/>
            </w:pPr>
            <w:r>
              <w:t>SLCAPM</w:t>
            </w:r>
          </w:p>
        </w:tc>
        <w:tc>
          <w:tcPr>
            <w:tcW w:w="4353" w:type="dxa"/>
          </w:tcPr>
          <w:p w:rsidR="00F5390E" w:rsidRDefault="00F5390E" w:rsidP="00F5390E">
            <w:pPr>
              <w:pStyle w:val="AERtabletextleft"/>
            </w:pPr>
            <w:r>
              <w:t>Sharpe-</w:t>
            </w:r>
            <w:proofErr w:type="spellStart"/>
            <w:r>
              <w:t>Lintner</w:t>
            </w:r>
            <w:proofErr w:type="spellEnd"/>
            <w:r>
              <w:t xml:space="preserve"> capital asset pricing model</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STPIS</w:t>
            </w:r>
          </w:p>
        </w:tc>
        <w:tc>
          <w:tcPr>
            <w:tcW w:w="4353" w:type="dxa"/>
          </w:tcPr>
          <w:p w:rsidR="00F5390E" w:rsidRDefault="00F5390E" w:rsidP="00F5390E">
            <w:pPr>
              <w:pStyle w:val="AERtabletextleft"/>
            </w:pPr>
            <w:r>
              <w:t>service target performance incentive scheme</w:t>
            </w:r>
          </w:p>
        </w:tc>
      </w:tr>
      <w:tr w:rsidR="00F5390E" w:rsidTr="009B2123">
        <w:tc>
          <w:tcPr>
            <w:tcW w:w="4340" w:type="dxa"/>
          </w:tcPr>
          <w:p w:rsidR="00F5390E" w:rsidRDefault="00F5390E" w:rsidP="00F5390E">
            <w:pPr>
              <w:pStyle w:val="AERtabletextleft"/>
            </w:pPr>
            <w:r>
              <w:t>WACC</w:t>
            </w:r>
          </w:p>
        </w:tc>
        <w:tc>
          <w:tcPr>
            <w:tcW w:w="4353" w:type="dxa"/>
          </w:tcPr>
          <w:p w:rsidR="00F5390E" w:rsidRDefault="00F5390E" w:rsidP="00F5390E">
            <w:pPr>
              <w:pStyle w:val="AERtabletextleft"/>
            </w:pPr>
            <w:r>
              <w:t>weighted average cost of capital</w:t>
            </w:r>
          </w:p>
        </w:tc>
      </w:tr>
    </w:tbl>
    <w:p w:rsidR="00F5390E" w:rsidRPr="00271F7C" w:rsidRDefault="00F5390E" w:rsidP="00F5390E">
      <w:pPr>
        <w:numPr>
          <w:ilvl w:val="0"/>
          <w:numId w:val="25"/>
        </w:numPr>
      </w:pPr>
    </w:p>
    <w:p w:rsidR="00F5390E" w:rsidRPr="00436A39" w:rsidRDefault="00F5390E" w:rsidP="00F5390E">
      <w:pPr>
        <w:numPr>
          <w:ilvl w:val="0"/>
          <w:numId w:val="25"/>
        </w:numPr>
      </w:pPr>
    </w:p>
    <w:p w:rsidR="00F5390E" w:rsidRDefault="00F5390E" w:rsidP="00F5390E"/>
    <w:p w:rsidR="00F5390E" w:rsidRDefault="00F5390E" w:rsidP="00F5390E">
      <w:pPr>
        <w:pStyle w:val="Heading1"/>
      </w:pPr>
      <w:bookmarkStart w:id="10" w:name="_Toc432853904"/>
      <w:r w:rsidRPr="00F760AF">
        <w:lastRenderedPageBreak/>
        <w:t>Efficiency benefit sharing scheme</w:t>
      </w:r>
      <w:bookmarkEnd w:id="10"/>
    </w:p>
    <w:p w:rsidR="00AC6285" w:rsidRPr="000C2EF1" w:rsidRDefault="00AC6285" w:rsidP="00AC6285">
      <w:pPr>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AC6285" w:rsidRPr="000C2EF1" w:rsidRDefault="00AC6285" w:rsidP="00AC6285">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and </w:t>
      </w:r>
      <w:r>
        <w:rPr>
          <w:rStyle w:val="AERbody"/>
        </w:rPr>
        <w:t>additional penalties for in</w:t>
      </w:r>
      <w:r w:rsidRPr="000C2EF1">
        <w:rPr>
          <w:rStyle w:val="AERbody"/>
        </w:rPr>
        <w:t xml:space="preserve">creases in opex.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p>
    <w:p w:rsidR="008C50B6" w:rsidRPr="000C2EF1" w:rsidRDefault="008C50B6" w:rsidP="008C50B6">
      <w:pPr>
        <w:rPr>
          <w:rStyle w:val="AERbody"/>
        </w:rPr>
      </w:pPr>
      <w:r>
        <w:rPr>
          <w:rStyle w:val="AERbody"/>
        </w:rPr>
        <w:t>During the 2010–15</w:t>
      </w:r>
      <w:r w:rsidRPr="000C2EF1">
        <w:rPr>
          <w:rStyle w:val="AERbody"/>
        </w:rPr>
        <w:t xml:space="preserve"> regulatory control </w:t>
      </w:r>
      <w:proofErr w:type="gramStart"/>
      <w:r w:rsidRPr="000C2EF1">
        <w:rPr>
          <w:rStyle w:val="AERbody"/>
        </w:rPr>
        <w:t>period</w:t>
      </w:r>
      <w:proofErr w:type="gramEnd"/>
      <w:r w:rsidRPr="000C2EF1">
        <w:rPr>
          <w:rStyle w:val="AERbody"/>
        </w:rPr>
        <w:t xml:space="preserve"> </w:t>
      </w:r>
      <w:r>
        <w:rPr>
          <w:rStyle w:val="AERbody"/>
        </w:rPr>
        <w:t xml:space="preserve">Energex </w:t>
      </w:r>
      <w:r w:rsidRPr="000C2EF1">
        <w:rPr>
          <w:rStyle w:val="AERbody"/>
        </w:rPr>
        <w:t xml:space="preserve">operated under the </w:t>
      </w:r>
      <w:r>
        <w:rPr>
          <w:rStyle w:val="AERbody"/>
        </w:rPr>
        <w:t xml:space="preserve">Electricity distribution network service providers </w:t>
      </w:r>
      <w:r w:rsidRPr="009120D0">
        <w:t>EBSS</w:t>
      </w:r>
      <w:r>
        <w:rPr>
          <w:rStyle w:val="AERbody"/>
        </w:rPr>
        <w:t xml:space="preserve">, </w:t>
      </w:r>
      <w:r w:rsidRPr="000C2EF1">
        <w:rPr>
          <w:rStyle w:val="AERbody"/>
        </w:rPr>
        <w:t xml:space="preserve">which was </w:t>
      </w:r>
      <w:r>
        <w:rPr>
          <w:rStyle w:val="AERbody"/>
        </w:rPr>
        <w:t>released in June 2008</w:t>
      </w:r>
      <w:r w:rsidRPr="000C2EF1">
        <w:rPr>
          <w:rStyle w:val="AERbody"/>
        </w:rPr>
        <w:t>.</w:t>
      </w:r>
      <w:r>
        <w:rPr>
          <w:rStyle w:val="FootnoteReference"/>
        </w:rPr>
        <w:footnoteReference w:id="1"/>
      </w:r>
      <w:r w:rsidRPr="000C2EF1">
        <w:rPr>
          <w:rStyle w:val="AERbody"/>
        </w:rPr>
        <w:t xml:space="preserve">  </w:t>
      </w:r>
    </w:p>
    <w:p w:rsidR="00F5390E" w:rsidRDefault="00504F7A" w:rsidP="00F5390E">
      <w:pPr>
        <w:pStyle w:val="Heading2"/>
      </w:pPr>
      <w:bookmarkStart w:id="11" w:name="_Toc406679044"/>
      <w:bookmarkStart w:id="12" w:name="_Toc432853905"/>
      <w:r>
        <w:t xml:space="preserve">Final </w:t>
      </w:r>
      <w:r w:rsidR="00F5390E" w:rsidRPr="00F760AF">
        <w:t>decision</w:t>
      </w:r>
      <w:bookmarkEnd w:id="11"/>
      <w:bookmarkEnd w:id="12"/>
    </w:p>
    <w:p w:rsidR="000B7096" w:rsidRDefault="000B7096" w:rsidP="000B7096">
      <w:r>
        <w:t>Our final decision is the same as our preliminary</w:t>
      </w:r>
      <w:r w:rsidR="00CE7359">
        <w:t xml:space="preserve"> decision:</w:t>
      </w:r>
    </w:p>
    <w:p w:rsidR="000B7096" w:rsidRPr="000B7096" w:rsidRDefault="000B7096" w:rsidP="00CE7359">
      <w:pPr>
        <w:pStyle w:val="AERbulletlistfirststyle"/>
        <w:rPr>
          <w:rStyle w:val="AERbody"/>
        </w:rPr>
      </w:pPr>
      <w:r w:rsidRPr="000B7096">
        <w:rPr>
          <w:rStyle w:val="AERbody"/>
        </w:rPr>
        <w:t xml:space="preserve">We will not apply the EBSS carryover to Energex from the 2010–15 regulatory control </w:t>
      </w:r>
      <w:proofErr w:type="gramStart"/>
      <w:r w:rsidRPr="000B7096">
        <w:rPr>
          <w:rStyle w:val="AERbody"/>
        </w:rPr>
        <w:t>period</w:t>
      </w:r>
      <w:proofErr w:type="gramEnd"/>
      <w:r w:rsidRPr="000B7096">
        <w:rPr>
          <w:rStyle w:val="AERbody"/>
        </w:rPr>
        <w:t>. Otherwise, we estimate Energex would receive an EBSS penalty of –$</w:t>
      </w:r>
      <w:r w:rsidR="00FD761F">
        <w:rPr>
          <w:rStyle w:val="AERbody"/>
        </w:rPr>
        <w:t>87.9</w:t>
      </w:r>
      <w:r w:rsidRPr="000B7096">
        <w:rPr>
          <w:rStyle w:val="AERbody"/>
        </w:rPr>
        <w:t xml:space="preserve"> million ($2014–15) from the application of the EBSS during the </w:t>
      </w:r>
      <w:r w:rsidR="004C1671">
        <w:rPr>
          <w:rStyle w:val="AERbody"/>
        </w:rPr>
        <w:br/>
      </w:r>
      <w:r w:rsidRPr="000B7096">
        <w:rPr>
          <w:rStyle w:val="AERbody"/>
        </w:rPr>
        <w:t>2010–15 regulatory control period.</w:t>
      </w:r>
      <w:r w:rsidR="00894F5D">
        <w:rPr>
          <w:rStyle w:val="FootnoteReference"/>
        </w:rPr>
        <w:footnoteReference w:id="2"/>
      </w:r>
    </w:p>
    <w:p w:rsidR="000B7096" w:rsidRDefault="000B7096" w:rsidP="00CE7359">
      <w:pPr>
        <w:pStyle w:val="AERbulletlistfirststyle"/>
        <w:rPr>
          <w:rStyle w:val="AERbody"/>
        </w:rPr>
      </w:pPr>
      <w:r w:rsidRPr="000B7096">
        <w:rPr>
          <w:rStyle w:val="AERbody"/>
        </w:rPr>
        <w:t xml:space="preserve">We will apply version two of the EBSS to Energex in the 2015–20 regulatory control period as outlined in section </w:t>
      </w:r>
      <w:r w:rsidRPr="000B7096">
        <w:rPr>
          <w:rStyle w:val="AERbody"/>
        </w:rPr>
        <w:fldChar w:fldCharType="begin"/>
      </w:r>
      <w:r w:rsidRPr="000B7096">
        <w:rPr>
          <w:rStyle w:val="AERbody"/>
        </w:rPr>
        <w:instrText xml:space="preserve"> REF _Ref430873126 \r \h  \* MERGEFORMAT </w:instrText>
      </w:r>
      <w:r w:rsidRPr="000B7096">
        <w:rPr>
          <w:rStyle w:val="AERbody"/>
        </w:rPr>
      </w:r>
      <w:r w:rsidRPr="000B7096">
        <w:rPr>
          <w:rStyle w:val="AERbody"/>
        </w:rPr>
        <w:fldChar w:fldCharType="separate"/>
      </w:r>
      <w:r w:rsidRPr="000B7096">
        <w:rPr>
          <w:rStyle w:val="AERbody"/>
        </w:rPr>
        <w:t>9.5.2</w:t>
      </w:r>
      <w:r w:rsidRPr="000B7096">
        <w:rPr>
          <w:rStyle w:val="AERbody"/>
        </w:rPr>
        <w:fldChar w:fldCharType="end"/>
      </w:r>
      <w:r w:rsidRPr="000B7096">
        <w:rPr>
          <w:rStyle w:val="AERbody"/>
        </w:rPr>
        <w:t xml:space="preserve"> below.</w:t>
      </w:r>
      <w:r w:rsidR="004C1671">
        <w:rPr>
          <w:rStyle w:val="FootnoteReference"/>
        </w:rPr>
        <w:footnoteReference w:id="3"/>
      </w:r>
    </w:p>
    <w:p w:rsidR="00F53BFF" w:rsidRDefault="00F53BFF" w:rsidP="00F53BFF">
      <w:pPr>
        <w:pStyle w:val="AERbulletlistfirststyle"/>
        <w:numPr>
          <w:ilvl w:val="0"/>
          <w:numId w:val="0"/>
        </w:numPr>
      </w:pPr>
      <w:r w:rsidRPr="00F53BFF">
        <w:t xml:space="preserve">When we apply version two of the EBSS we will exclude the cost categories listed in section </w:t>
      </w:r>
      <w:r>
        <w:fldChar w:fldCharType="begin"/>
      </w:r>
      <w:r>
        <w:instrText xml:space="preserve"> REF _Ref431560961 \r \h </w:instrText>
      </w:r>
      <w:r>
        <w:fldChar w:fldCharType="separate"/>
      </w:r>
      <w:r>
        <w:t>9.5.2</w:t>
      </w:r>
      <w:r>
        <w:fldChar w:fldCharType="end"/>
      </w:r>
      <w:r w:rsidRPr="00F53BFF">
        <w:t xml:space="preserve"> from forecast and actual opex for the calculation of EBSS carryover amounts. </w:t>
      </w:r>
      <w:r w:rsidRPr="00F53BFF">
        <w:fldChar w:fldCharType="begin"/>
      </w:r>
      <w:r w:rsidRPr="00F53BFF">
        <w:instrText xml:space="preserve"> REF _Ref402360609 \h </w:instrText>
      </w:r>
      <w:r w:rsidRPr="00F53BFF">
        <w:fldChar w:fldCharType="separate"/>
      </w:r>
      <w:r w:rsidRPr="00F53BFF">
        <w:t xml:space="preserve">Table </w:t>
      </w:r>
      <w:r>
        <w:rPr>
          <w:noProof/>
        </w:rPr>
        <w:t>9</w:t>
      </w:r>
      <w:r w:rsidRPr="00F53BFF">
        <w:t>.</w:t>
      </w:r>
      <w:r>
        <w:rPr>
          <w:noProof/>
        </w:rPr>
        <w:t>1</w:t>
      </w:r>
      <w:r w:rsidRPr="00F53BFF">
        <w:fldChar w:fldCharType="end"/>
      </w:r>
      <w:r w:rsidRPr="00F53BFF">
        <w:t xml:space="preserve"> sets out our final decision on Energex's target opex for the EBSS (total opex less excluded categories), against which we will cal</w:t>
      </w:r>
      <w:r>
        <w:t xml:space="preserve">culate efficiency gains in the </w:t>
      </w:r>
      <w:r w:rsidRPr="00F53BFF">
        <w:t xml:space="preserve">2015–20 regulatory control period. </w:t>
      </w:r>
    </w:p>
    <w:p w:rsidR="00B966EB" w:rsidRDefault="00B966EB" w:rsidP="00F53BFF">
      <w:pPr>
        <w:pStyle w:val="AERbulletlistfirststyle"/>
        <w:numPr>
          <w:ilvl w:val="0"/>
          <w:numId w:val="0"/>
        </w:numPr>
      </w:pPr>
    </w:p>
    <w:p w:rsidR="00B966EB" w:rsidRDefault="00B966EB" w:rsidP="00F53BFF">
      <w:pPr>
        <w:pStyle w:val="AERbulletlistfirststyle"/>
        <w:numPr>
          <w:ilvl w:val="0"/>
          <w:numId w:val="0"/>
        </w:numPr>
      </w:pPr>
    </w:p>
    <w:p w:rsidR="00B966EB" w:rsidRPr="00F53BFF" w:rsidRDefault="00B966EB" w:rsidP="00F53BFF">
      <w:pPr>
        <w:pStyle w:val="AERbulletlistfirststyle"/>
        <w:numPr>
          <w:ilvl w:val="0"/>
          <w:numId w:val="0"/>
        </w:numPr>
      </w:pPr>
    </w:p>
    <w:p w:rsidR="00F53BFF" w:rsidRPr="00F53BFF" w:rsidRDefault="00F53BFF" w:rsidP="00F53BFF">
      <w:pPr>
        <w:pStyle w:val="Caption"/>
      </w:pPr>
      <w:bookmarkStart w:id="13" w:name="_Ref402360609"/>
      <w:proofErr w:type="gramStart"/>
      <w:r w:rsidRPr="00F53BFF">
        <w:lastRenderedPageBreak/>
        <w:t xml:space="preserve">Table </w:t>
      </w:r>
      <w:proofErr w:type="gramEnd"/>
      <w:r w:rsidR="00B966EB">
        <w:fldChar w:fldCharType="begin"/>
      </w:r>
      <w:r w:rsidR="00B966EB">
        <w:instrText xml:space="preserve"> STYLEREF 1 \s </w:instrText>
      </w:r>
      <w:r w:rsidR="00B966EB">
        <w:fldChar w:fldCharType="separate"/>
      </w:r>
      <w:r>
        <w:rPr>
          <w:noProof/>
        </w:rPr>
        <w:t>9</w:t>
      </w:r>
      <w:r w:rsidR="00B966EB">
        <w:rPr>
          <w:noProof/>
        </w:rPr>
        <w:fldChar w:fldCharType="end"/>
      </w:r>
      <w:proofErr w:type="gramStart"/>
      <w:r w:rsidRPr="00F53BFF">
        <w:t>.</w:t>
      </w:r>
      <w:proofErr w:type="gramEnd"/>
      <w:r w:rsidR="00C84B81">
        <w:fldChar w:fldCharType="begin"/>
      </w:r>
      <w:r w:rsidR="00C84B81">
        <w:instrText xml:space="preserve"> SEQ Table \* ARABIC \s 1 </w:instrText>
      </w:r>
      <w:r w:rsidR="00C84B81">
        <w:fldChar w:fldCharType="separate"/>
      </w:r>
      <w:r>
        <w:rPr>
          <w:noProof/>
        </w:rPr>
        <w:t>1</w:t>
      </w:r>
      <w:r w:rsidR="00C84B81">
        <w:rPr>
          <w:noProof/>
        </w:rPr>
        <w:fldChar w:fldCharType="end"/>
      </w:r>
      <w:bookmarkEnd w:id="13"/>
      <w:r w:rsidRPr="00F53BFF">
        <w:tab/>
        <w:t>AER's final decision on Energex's forecast opex for the EBSS ($ million, 2014–15)</w:t>
      </w:r>
    </w:p>
    <w:tbl>
      <w:tblPr>
        <w:tblStyle w:val="AERtable-numbers"/>
        <w:tblW w:w="5000" w:type="pct"/>
        <w:tblLook w:val="04A0" w:firstRow="1" w:lastRow="0" w:firstColumn="1" w:lastColumn="0" w:noHBand="0" w:noVBand="1"/>
      </w:tblPr>
      <w:tblGrid>
        <w:gridCol w:w="2701"/>
        <w:gridCol w:w="1196"/>
        <w:gridCol w:w="1200"/>
        <w:gridCol w:w="1200"/>
        <w:gridCol w:w="1200"/>
        <w:gridCol w:w="1196"/>
      </w:tblGrid>
      <w:tr w:rsidR="0017370C" w:rsidTr="00173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tcPr>
          <w:p w:rsidR="0017370C" w:rsidRPr="00F53BFF" w:rsidRDefault="0017370C" w:rsidP="00F53BFF">
            <w:pPr>
              <w:pStyle w:val="AERtabletextleft"/>
            </w:pPr>
          </w:p>
        </w:tc>
        <w:tc>
          <w:tcPr>
            <w:tcW w:w="688" w:type="pct"/>
          </w:tcPr>
          <w:p w:rsidR="0017370C" w:rsidRPr="00F53BFF" w:rsidRDefault="0017370C" w:rsidP="00F53BFF">
            <w:pPr>
              <w:pStyle w:val="AERtabletextright"/>
              <w:cnfStyle w:val="100000000000" w:firstRow="1" w:lastRow="0" w:firstColumn="0" w:lastColumn="0" w:oddVBand="0" w:evenVBand="0" w:oddHBand="0" w:evenHBand="0" w:firstRowFirstColumn="0" w:firstRowLastColumn="0" w:lastRowFirstColumn="0" w:lastRowLastColumn="0"/>
            </w:pPr>
            <w:r w:rsidRPr="00F53BFF">
              <w:t>2015–16</w:t>
            </w:r>
          </w:p>
        </w:tc>
        <w:tc>
          <w:tcPr>
            <w:tcW w:w="690" w:type="pct"/>
          </w:tcPr>
          <w:p w:rsidR="0017370C" w:rsidRPr="00F53BFF" w:rsidRDefault="0017370C" w:rsidP="00F53BFF">
            <w:pPr>
              <w:pStyle w:val="AERtabletextright"/>
              <w:cnfStyle w:val="100000000000" w:firstRow="1" w:lastRow="0" w:firstColumn="0" w:lastColumn="0" w:oddVBand="0" w:evenVBand="0" w:oddHBand="0" w:evenHBand="0" w:firstRowFirstColumn="0" w:firstRowLastColumn="0" w:lastRowFirstColumn="0" w:lastRowLastColumn="0"/>
            </w:pPr>
            <w:r w:rsidRPr="00F53BFF">
              <w:t>2016–17</w:t>
            </w:r>
          </w:p>
        </w:tc>
        <w:tc>
          <w:tcPr>
            <w:tcW w:w="690" w:type="pct"/>
          </w:tcPr>
          <w:p w:rsidR="0017370C" w:rsidRPr="00F53BFF" w:rsidRDefault="0017370C" w:rsidP="00F53BFF">
            <w:pPr>
              <w:pStyle w:val="AERtabletextright"/>
              <w:cnfStyle w:val="100000000000" w:firstRow="1" w:lastRow="0" w:firstColumn="0" w:lastColumn="0" w:oddVBand="0" w:evenVBand="0" w:oddHBand="0" w:evenHBand="0" w:firstRowFirstColumn="0" w:firstRowLastColumn="0" w:lastRowFirstColumn="0" w:lastRowLastColumn="0"/>
            </w:pPr>
            <w:r w:rsidRPr="00F53BFF">
              <w:t>2017–18</w:t>
            </w:r>
          </w:p>
        </w:tc>
        <w:tc>
          <w:tcPr>
            <w:tcW w:w="690" w:type="pct"/>
          </w:tcPr>
          <w:p w:rsidR="0017370C" w:rsidRPr="00F53BFF" w:rsidRDefault="0017370C" w:rsidP="00F53BFF">
            <w:pPr>
              <w:pStyle w:val="AERtabletextright"/>
              <w:cnfStyle w:val="100000000000" w:firstRow="1" w:lastRow="0" w:firstColumn="0" w:lastColumn="0" w:oddVBand="0" w:evenVBand="0" w:oddHBand="0" w:evenHBand="0" w:firstRowFirstColumn="0" w:firstRowLastColumn="0" w:lastRowFirstColumn="0" w:lastRowLastColumn="0"/>
            </w:pPr>
            <w:r w:rsidRPr="00F53BFF">
              <w:t>2018–19</w:t>
            </w:r>
          </w:p>
        </w:tc>
        <w:tc>
          <w:tcPr>
            <w:tcW w:w="688" w:type="pct"/>
          </w:tcPr>
          <w:p w:rsidR="0017370C" w:rsidRPr="00F53BFF" w:rsidRDefault="0017370C" w:rsidP="00F53BFF">
            <w:pPr>
              <w:pStyle w:val="AERtabletextright"/>
              <w:cnfStyle w:val="100000000000" w:firstRow="1" w:lastRow="0" w:firstColumn="0" w:lastColumn="0" w:oddVBand="0" w:evenVBand="0" w:oddHBand="0" w:evenHBand="0" w:firstRowFirstColumn="0" w:firstRowLastColumn="0" w:lastRowFirstColumn="0" w:lastRowLastColumn="0"/>
            </w:pPr>
            <w:r w:rsidRPr="00F53BFF">
              <w:t>2019–20</w:t>
            </w:r>
          </w:p>
        </w:tc>
      </w:tr>
      <w:tr w:rsidR="0017370C" w:rsidTr="0017370C">
        <w:tc>
          <w:tcPr>
            <w:cnfStyle w:val="001000000000" w:firstRow="0" w:lastRow="0" w:firstColumn="1" w:lastColumn="0" w:oddVBand="0" w:evenVBand="0" w:oddHBand="0" w:evenHBand="0" w:firstRowFirstColumn="0" w:firstRowLastColumn="0" w:lastRowFirstColumn="0" w:lastRowLastColumn="0"/>
            <w:tcW w:w="1553" w:type="pct"/>
          </w:tcPr>
          <w:p w:rsidR="0017370C" w:rsidRPr="00B966EB" w:rsidRDefault="0017370C" w:rsidP="00B966EB">
            <w:r w:rsidRPr="00B966EB">
              <w:t xml:space="preserve">Forecast </w:t>
            </w:r>
            <w:proofErr w:type="spellStart"/>
            <w:r w:rsidRPr="00B966EB">
              <w:t>opex</w:t>
            </w:r>
            <w:proofErr w:type="spellEnd"/>
            <w:r w:rsidRPr="00B966EB">
              <w:t xml:space="preserve"> for the EBSS </w:t>
            </w:r>
          </w:p>
        </w:tc>
        <w:tc>
          <w:tcPr>
            <w:tcW w:w="688" w:type="pct"/>
          </w:tcPr>
          <w:p w:rsidR="0017370C" w:rsidRPr="00B966EB" w:rsidRDefault="0017370C" w:rsidP="00B966EB">
            <w:pPr>
              <w:cnfStyle w:val="000000000000" w:firstRow="0" w:lastRow="0" w:firstColumn="0" w:lastColumn="0" w:oddVBand="0" w:evenVBand="0" w:oddHBand="0" w:evenHBand="0" w:firstRowFirstColumn="0" w:firstRowLastColumn="0" w:lastRowFirstColumn="0" w:lastRowLastColumn="0"/>
            </w:pPr>
            <w:r w:rsidRPr="00B966EB">
              <w:t>336.0</w:t>
            </w:r>
          </w:p>
        </w:tc>
        <w:tc>
          <w:tcPr>
            <w:tcW w:w="690" w:type="pct"/>
          </w:tcPr>
          <w:p w:rsidR="0017370C" w:rsidRPr="00B966EB" w:rsidRDefault="0017370C" w:rsidP="00B966EB">
            <w:pPr>
              <w:cnfStyle w:val="000000000000" w:firstRow="0" w:lastRow="0" w:firstColumn="0" w:lastColumn="0" w:oddVBand="0" w:evenVBand="0" w:oddHBand="0" w:evenHBand="0" w:firstRowFirstColumn="0" w:firstRowLastColumn="0" w:lastRowFirstColumn="0" w:lastRowLastColumn="0"/>
            </w:pPr>
            <w:r w:rsidRPr="00B966EB">
              <w:t>332.6</w:t>
            </w:r>
          </w:p>
        </w:tc>
        <w:tc>
          <w:tcPr>
            <w:tcW w:w="690" w:type="pct"/>
          </w:tcPr>
          <w:p w:rsidR="0017370C" w:rsidRPr="00B966EB" w:rsidRDefault="0017370C" w:rsidP="00B966EB">
            <w:pPr>
              <w:cnfStyle w:val="000000000000" w:firstRow="0" w:lastRow="0" w:firstColumn="0" w:lastColumn="0" w:oddVBand="0" w:evenVBand="0" w:oddHBand="0" w:evenHBand="0" w:firstRowFirstColumn="0" w:firstRowLastColumn="0" w:lastRowFirstColumn="0" w:lastRowLastColumn="0"/>
            </w:pPr>
            <w:r w:rsidRPr="00B966EB">
              <w:t>337.2</w:t>
            </w:r>
          </w:p>
        </w:tc>
        <w:tc>
          <w:tcPr>
            <w:tcW w:w="690" w:type="pct"/>
          </w:tcPr>
          <w:p w:rsidR="0017370C" w:rsidRPr="00B966EB" w:rsidRDefault="0017370C" w:rsidP="00B966EB">
            <w:pPr>
              <w:cnfStyle w:val="000000000000" w:firstRow="0" w:lastRow="0" w:firstColumn="0" w:lastColumn="0" w:oddVBand="0" w:evenVBand="0" w:oddHBand="0" w:evenHBand="0" w:firstRowFirstColumn="0" w:firstRowLastColumn="0" w:lastRowFirstColumn="0" w:lastRowLastColumn="0"/>
            </w:pPr>
            <w:r w:rsidRPr="00B966EB">
              <w:t>348.0</w:t>
            </w:r>
          </w:p>
        </w:tc>
        <w:tc>
          <w:tcPr>
            <w:tcW w:w="688" w:type="pct"/>
          </w:tcPr>
          <w:p w:rsidR="0017370C" w:rsidRPr="00B966EB" w:rsidRDefault="0017370C" w:rsidP="00B966EB">
            <w:pPr>
              <w:cnfStyle w:val="000000000000" w:firstRow="0" w:lastRow="0" w:firstColumn="0" w:lastColumn="0" w:oddVBand="0" w:evenVBand="0" w:oddHBand="0" w:evenHBand="0" w:firstRowFirstColumn="0" w:firstRowLastColumn="0" w:lastRowFirstColumn="0" w:lastRowLastColumn="0"/>
            </w:pPr>
            <w:r w:rsidRPr="00B966EB">
              <w:t>350.0</w:t>
            </w:r>
          </w:p>
        </w:tc>
      </w:tr>
    </w:tbl>
    <w:p w:rsidR="00F53BFF" w:rsidRDefault="00F53BFF" w:rsidP="00F53BFF">
      <w:pPr>
        <w:pStyle w:val="AERtablesource"/>
      </w:pPr>
      <w:r>
        <w:t xml:space="preserve">Source: </w:t>
      </w:r>
      <w:r w:rsidR="000F2D08">
        <w:tab/>
      </w:r>
      <w:r>
        <w:t>AER analysis.</w:t>
      </w:r>
      <w:r w:rsidR="000F2D08">
        <w:t xml:space="preserve"> Energex</w:t>
      </w:r>
      <w:r w:rsidR="000F2D08" w:rsidRPr="000F2D08">
        <w:t xml:space="preserve">, </w:t>
      </w:r>
      <w:r w:rsidR="000F2D08" w:rsidRPr="000F2D08">
        <w:rPr>
          <w:rStyle w:val="AERtextitalic"/>
        </w:rPr>
        <w:t>Revised regulatory proposal</w:t>
      </w:r>
      <w:r w:rsidR="000F2D08" w:rsidRPr="000F2D08">
        <w:t xml:space="preserve">, </w:t>
      </w:r>
      <w:r w:rsidR="000F2D08" w:rsidRPr="000F2D08">
        <w:rPr>
          <w:rStyle w:val="AERtextitalic"/>
        </w:rPr>
        <w:t>PTRM</w:t>
      </w:r>
      <w:r w:rsidR="000F2D08">
        <w:t>.</w:t>
      </w:r>
    </w:p>
    <w:p w:rsidR="00F53BFF" w:rsidRPr="00F53BFF" w:rsidRDefault="00F53BFF" w:rsidP="00F53BFF">
      <w:pPr>
        <w:pStyle w:val="AERtablesource"/>
      </w:pPr>
      <w:r w:rsidRPr="00F53BFF">
        <w:t xml:space="preserve">Note: </w:t>
      </w:r>
      <w:r w:rsidR="000F2D08">
        <w:tab/>
      </w:r>
      <w:r w:rsidR="000F2D08" w:rsidRPr="000F2D08">
        <w:t xml:space="preserve">Total forecast opex less forecast opex on debt raising costs and DMIA. </w:t>
      </w:r>
    </w:p>
    <w:p w:rsidR="00C13E4C" w:rsidRDefault="00C13E4C" w:rsidP="00C13E4C">
      <w:pPr>
        <w:pStyle w:val="Heading2"/>
      </w:pPr>
      <w:bookmarkStart w:id="14" w:name="_Toc432853906"/>
      <w:r>
        <w:t>Preliminary decision</w:t>
      </w:r>
      <w:bookmarkEnd w:id="14"/>
    </w:p>
    <w:p w:rsidR="00073373" w:rsidRPr="00073373" w:rsidRDefault="00222BA8" w:rsidP="00073373">
      <w:r>
        <w:t>In our preliminary decision, w</w:t>
      </w:r>
      <w:r w:rsidR="00073373">
        <w:t>e estimated Energex would receive an EBSS carryover amount of –$</w:t>
      </w:r>
      <w:r w:rsidR="00073373" w:rsidRPr="0096360B">
        <w:t>56.9</w:t>
      </w:r>
      <w:r w:rsidR="00073373">
        <w:t xml:space="preserve"> million ($2014–15) from the application of the EBSS during the 2010–15 regulatory control </w:t>
      </w:r>
      <w:proofErr w:type="gramStart"/>
      <w:r w:rsidR="00073373">
        <w:t>period</w:t>
      </w:r>
      <w:proofErr w:type="gramEnd"/>
      <w:r w:rsidR="00073373">
        <w:t>.</w:t>
      </w:r>
      <w:r w:rsidR="00CE7359">
        <w:rPr>
          <w:rStyle w:val="FootnoteReference"/>
        </w:rPr>
        <w:footnoteReference w:id="4"/>
      </w:r>
      <w:r w:rsidR="00073373">
        <w:t xml:space="preserve"> </w:t>
      </w:r>
      <w:r w:rsidR="00073373" w:rsidRPr="00073373">
        <w:t>The difference between o</w:t>
      </w:r>
      <w:r w:rsidR="00073373">
        <w:t>ur calculations</w:t>
      </w:r>
      <w:r w:rsidR="006353CC">
        <w:t xml:space="preserve"> and Energex's calculations ($33</w:t>
      </w:r>
      <w:r w:rsidR="00073373" w:rsidRPr="00073373">
        <w:t xml:space="preserve">.8 million) </w:t>
      </w:r>
      <w:r w:rsidR="00073373">
        <w:t>was</w:t>
      </w:r>
      <w:r w:rsidR="00073373" w:rsidRPr="00073373">
        <w:t xml:space="preserve"> </w:t>
      </w:r>
      <w:r w:rsidR="00073373">
        <w:t>because we</w:t>
      </w:r>
      <w:r w:rsidR="00073373" w:rsidRPr="00073373">
        <w:t xml:space="preserve">: </w:t>
      </w:r>
    </w:p>
    <w:p w:rsidR="00073373" w:rsidRPr="000B7096" w:rsidRDefault="00073373" w:rsidP="000B7096">
      <w:pPr>
        <w:pStyle w:val="AERbulletlistfirststyle"/>
      </w:pPr>
      <w:r w:rsidRPr="000B7096">
        <w:t>removed movements in provisions from actual opex</w:t>
      </w:r>
    </w:p>
    <w:p w:rsidR="00073373" w:rsidRPr="000B7096" w:rsidRDefault="00073373" w:rsidP="000B7096">
      <w:pPr>
        <w:pStyle w:val="AERbulletlistfirststyle"/>
      </w:pPr>
      <w:r w:rsidRPr="000B7096">
        <w:t>did not adjust actual opex to take account of a greater share of overhead costs allocated to opex</w:t>
      </w:r>
    </w:p>
    <w:p w:rsidR="00C13E4C" w:rsidRPr="000B7096" w:rsidRDefault="00073373" w:rsidP="000B7096">
      <w:pPr>
        <w:pStyle w:val="AERbulletlistfirststyle"/>
      </w:pPr>
      <w:proofErr w:type="gramStart"/>
      <w:r w:rsidRPr="000B7096">
        <w:t>did</w:t>
      </w:r>
      <w:proofErr w:type="gramEnd"/>
      <w:r w:rsidRPr="000B7096">
        <w:t xml:space="preserve"> not exclude costs related to the 2011 flood event or Cyclone Oswald.</w:t>
      </w:r>
    </w:p>
    <w:p w:rsidR="00073373" w:rsidRDefault="00CE7359" w:rsidP="00073373">
      <w:r>
        <w:t>Our preliminary decision was</w:t>
      </w:r>
      <w:r w:rsidR="00073373" w:rsidRPr="00073373">
        <w:t xml:space="preserve"> not to apply this penalty because </w:t>
      </w:r>
      <w:r w:rsidR="00073373">
        <w:t>our</w:t>
      </w:r>
      <w:r w:rsidR="00073373" w:rsidRPr="00073373">
        <w:t xml:space="preserve"> forecast for Energex's opex </w:t>
      </w:r>
      <w:r>
        <w:t>was</w:t>
      </w:r>
      <w:r w:rsidR="00073373">
        <w:t xml:space="preserve"> </w:t>
      </w:r>
      <w:r w:rsidR="00073373" w:rsidRPr="00073373">
        <w:t>a lower forecast than that bas</w:t>
      </w:r>
      <w:r w:rsidR="00073373">
        <w:t xml:space="preserve">ed on Energex’s revealed costs. </w:t>
      </w:r>
      <w:r w:rsidR="00073373" w:rsidRPr="00073373">
        <w:t xml:space="preserve">Consequently, </w:t>
      </w:r>
      <w:r w:rsidR="00073373">
        <w:t>we</w:t>
      </w:r>
      <w:r w:rsidR="00073373" w:rsidRPr="00073373">
        <w:t xml:space="preserve"> </w:t>
      </w:r>
      <w:r w:rsidR="00073373">
        <w:t>considered</w:t>
      </w:r>
      <w:r w:rsidR="00073373" w:rsidRPr="00073373">
        <w:t xml:space="preserve"> it would be inconsistent with the intended operation of the EBSS and NER to carryover this EBSS penalty.</w:t>
      </w:r>
    </w:p>
    <w:p w:rsidR="00CB6B74" w:rsidRPr="00AC6285" w:rsidRDefault="00CB6B74" w:rsidP="00073373">
      <w:r w:rsidRPr="001D6F12">
        <w:rPr>
          <w:rStyle w:val="AERbody"/>
        </w:rPr>
        <w:t xml:space="preserve">Our preliminary </w:t>
      </w:r>
      <w:r>
        <w:rPr>
          <w:rStyle w:val="AERbody"/>
        </w:rPr>
        <w:t>decision</w:t>
      </w:r>
      <w:r w:rsidRPr="001D6F12">
        <w:rPr>
          <w:rStyle w:val="AERbody"/>
        </w:rPr>
        <w:t xml:space="preserve"> </w:t>
      </w:r>
      <w:r>
        <w:rPr>
          <w:rStyle w:val="AERbody"/>
        </w:rPr>
        <w:t>was</w:t>
      </w:r>
      <w:r w:rsidRPr="001D6F12">
        <w:rPr>
          <w:rStyle w:val="AERbody"/>
        </w:rPr>
        <w:t xml:space="preserve"> to apply </w:t>
      </w:r>
      <w:r>
        <w:rPr>
          <w:rStyle w:val="AERbody"/>
        </w:rPr>
        <w:t>version two of the</w:t>
      </w:r>
      <w:r w:rsidRPr="001D6F12">
        <w:rPr>
          <w:rStyle w:val="AERbody"/>
        </w:rPr>
        <w:t xml:space="preserve"> EBSS to </w:t>
      </w:r>
      <w:r>
        <w:rPr>
          <w:rStyle w:val="AERbody"/>
        </w:rPr>
        <w:t>Energex</w:t>
      </w:r>
      <w:r w:rsidRPr="001D6F12">
        <w:rPr>
          <w:rStyle w:val="AERbody"/>
        </w:rPr>
        <w:t xml:space="preserve"> in the </w:t>
      </w:r>
      <w:r>
        <w:rPr>
          <w:rStyle w:val="AERbody"/>
        </w:rPr>
        <w:br/>
      </w:r>
      <w:r>
        <w:t>2015–20</w:t>
      </w:r>
      <w:r w:rsidRPr="00BD4587">
        <w:t xml:space="preserve"> </w:t>
      </w:r>
      <w:r w:rsidRPr="001D6F12">
        <w:rPr>
          <w:rStyle w:val="AERbody"/>
        </w:rPr>
        <w:t>regulatory control period.</w:t>
      </w:r>
      <w:r>
        <w:rPr>
          <w:rStyle w:val="FootnoteReference"/>
        </w:rPr>
        <w:footnoteReference w:id="5"/>
      </w:r>
    </w:p>
    <w:p w:rsidR="00F5390E" w:rsidRDefault="00F5390E" w:rsidP="00F5390E">
      <w:pPr>
        <w:pStyle w:val="Heading2"/>
      </w:pPr>
      <w:bookmarkStart w:id="15" w:name="_Toc406679045"/>
      <w:bookmarkStart w:id="16" w:name="_Toc432853907"/>
      <w:r w:rsidRPr="00F760AF">
        <w:t xml:space="preserve">Energex’s </w:t>
      </w:r>
      <w:r w:rsidR="00504F7A">
        <w:t xml:space="preserve">revised </w:t>
      </w:r>
      <w:r w:rsidRPr="00F760AF">
        <w:t>proposal</w:t>
      </w:r>
      <w:bookmarkEnd w:id="15"/>
      <w:r w:rsidR="00C13E4C">
        <w:t xml:space="preserve"> and submissions</w:t>
      </w:r>
      <w:bookmarkEnd w:id="16"/>
    </w:p>
    <w:p w:rsidR="00C13E4C" w:rsidRDefault="00F53F95" w:rsidP="00C13E4C">
      <w:r>
        <w:t>Energex accepted our preliminary decision not to apply the EBSS carryover</w:t>
      </w:r>
      <w:r w:rsidR="0072005B">
        <w:t xml:space="preserve"> penaltie</w:t>
      </w:r>
      <w:r>
        <w:t xml:space="preserve">s it accrued during the 2010–15 regulatory control period. However, </w:t>
      </w:r>
      <w:r w:rsidR="00CB6B74">
        <w:t>Energex had</w:t>
      </w:r>
      <w:r w:rsidR="00CB6B74" w:rsidRPr="00CB6B74">
        <w:t xml:space="preserve"> </w:t>
      </w:r>
      <w:r>
        <w:t xml:space="preserve">some </w:t>
      </w:r>
      <w:r w:rsidR="00CB6B74" w:rsidRPr="00CB6B74">
        <w:t xml:space="preserve">concerns about the way </w:t>
      </w:r>
      <w:r w:rsidR="00CB6B74">
        <w:t xml:space="preserve">we </w:t>
      </w:r>
      <w:r w:rsidR="00CB6B74" w:rsidRPr="00CB6B74">
        <w:t xml:space="preserve">reached </w:t>
      </w:r>
      <w:r w:rsidR="00CB6B74">
        <w:t>our preliminary</w:t>
      </w:r>
      <w:r w:rsidR="00CB6B74" w:rsidRPr="00CB6B74">
        <w:t xml:space="preserve"> decision</w:t>
      </w:r>
      <w:r w:rsidR="00CB6B74">
        <w:t>:</w:t>
      </w:r>
      <w:r w:rsidR="00CB6B74">
        <w:rPr>
          <w:rStyle w:val="FootnoteReference"/>
        </w:rPr>
        <w:footnoteReference w:id="6"/>
      </w:r>
    </w:p>
    <w:p w:rsidR="00CB6B74" w:rsidRDefault="00CB6B74" w:rsidP="00CB6B74">
      <w:pPr>
        <w:pStyle w:val="AERbulletlistfirststyle"/>
      </w:pPr>
      <w:r>
        <w:t>It questioned</w:t>
      </w:r>
      <w:r w:rsidRPr="00CB6B74">
        <w:t xml:space="preserve"> the purpose of the EBSS in the context of </w:t>
      </w:r>
      <w:r>
        <w:t>our</w:t>
      </w:r>
      <w:r w:rsidRPr="00CB6B74">
        <w:t xml:space="preserve"> reliance on benchmarking tools to set the efficient base year opex, as opposed to relying on revealed costs, under </w:t>
      </w:r>
      <w:r>
        <w:t>our</w:t>
      </w:r>
      <w:r w:rsidRPr="00CB6B74">
        <w:t xml:space="preserve"> preferred base-step-trend forecasting methodology</w:t>
      </w:r>
      <w:r>
        <w:t>.</w:t>
      </w:r>
    </w:p>
    <w:p w:rsidR="00CB6B74" w:rsidRDefault="00CB6B74" w:rsidP="00CB6B74">
      <w:pPr>
        <w:pStyle w:val="AERbulletlistfirststyle"/>
      </w:pPr>
      <w:r>
        <w:t>It disagreed</w:t>
      </w:r>
      <w:r w:rsidRPr="00CB6B74">
        <w:t xml:space="preserve"> with </w:t>
      </w:r>
      <w:r>
        <w:t>our</w:t>
      </w:r>
      <w:r w:rsidRPr="00CB6B74">
        <w:t xml:space="preserve"> treatment of </w:t>
      </w:r>
      <w:r w:rsidR="00513243">
        <w:t>the</w:t>
      </w:r>
      <w:r w:rsidRPr="00CB6B74">
        <w:t xml:space="preserve"> 2011 flood event and Cyclone Oswald event costs</w:t>
      </w:r>
      <w:r w:rsidR="0072005B">
        <w:t>.</w:t>
      </w:r>
    </w:p>
    <w:p w:rsidR="00CB6B74" w:rsidRDefault="00CB6B74" w:rsidP="00CB6B74">
      <w:pPr>
        <w:pStyle w:val="AERbulletlistfirststyle"/>
      </w:pPr>
      <w:r>
        <w:lastRenderedPageBreak/>
        <w:t xml:space="preserve">It </w:t>
      </w:r>
      <w:r w:rsidR="0072005B">
        <w:t xml:space="preserve">found </w:t>
      </w:r>
      <w:r>
        <w:t>the ongoing operation of the EBSS, specifically the calculation of financial rewards or penalties, lacking in transparency</w:t>
      </w:r>
      <w:r w:rsidRPr="00CB6B74">
        <w:t>.</w:t>
      </w:r>
    </w:p>
    <w:p w:rsidR="005906F8" w:rsidRPr="005906F8" w:rsidRDefault="005906F8" w:rsidP="00EB33E4">
      <w:pPr>
        <w:pStyle w:val="AERbulletlistfirststyle"/>
        <w:numPr>
          <w:ilvl w:val="0"/>
          <w:numId w:val="0"/>
        </w:numPr>
        <w:rPr>
          <w:rStyle w:val="AERbody"/>
        </w:rPr>
      </w:pPr>
      <w:r w:rsidRPr="005906F8">
        <w:t xml:space="preserve">In its submission the Alliance of Electricity Consumers (Alliance) considered we should not apply the EBSS to Energex in the 2015–20 regulatory control </w:t>
      </w:r>
      <w:proofErr w:type="gramStart"/>
      <w:r w:rsidRPr="005906F8">
        <w:t>period</w:t>
      </w:r>
      <w:proofErr w:type="gramEnd"/>
      <w:r w:rsidRPr="005906F8">
        <w:t>.</w:t>
      </w:r>
      <w:r>
        <w:rPr>
          <w:rStyle w:val="FootnoteReference"/>
        </w:rPr>
        <w:footnoteReference w:id="7"/>
      </w:r>
      <w:r w:rsidRPr="005906F8">
        <w:t xml:space="preserve"> </w:t>
      </w:r>
      <w:r w:rsidR="00EB33E4" w:rsidRPr="00EB33E4">
        <w:t xml:space="preserve">We disagree with the Alliance. If the best information we have about Energex’s efficient opex is its revealed costs, without the EBSS, there is a risk it will not improve its efficiency. With the EBSS in place, we are more confident it will improve its efficiency over time. </w:t>
      </w:r>
      <w:r w:rsidR="00EB33E4">
        <w:t>The Alliance also</w:t>
      </w:r>
      <w:r w:rsidR="00EB33E4" w:rsidRPr="00EB33E4">
        <w:t xml:space="preserve"> considered consumers should not have to share 30 per cent of inefficient costs incurred by Energex. We consider it is important that the EBSS is symmetrical. That is, if consumers share in ongoing cost reductions, they should also share in ongoing cost increases. This represents a fair sharing of efficiency gains and losses as required by the NER.</w:t>
      </w:r>
      <w:r w:rsidR="00C84B81">
        <w:rPr>
          <w:rStyle w:val="FootnoteReference"/>
        </w:rPr>
        <w:footnoteReference w:id="8"/>
      </w:r>
      <w:r w:rsidRPr="005906F8">
        <w:rPr>
          <w:rStyle w:val="AERbody"/>
        </w:rPr>
        <w:t xml:space="preserve"> </w:t>
      </w:r>
    </w:p>
    <w:p w:rsidR="00F5390E" w:rsidRDefault="00F5390E" w:rsidP="00F5390E">
      <w:pPr>
        <w:pStyle w:val="Heading2"/>
      </w:pPr>
      <w:bookmarkStart w:id="17" w:name="_Toc406679046"/>
      <w:bookmarkStart w:id="18" w:name="_Toc432853908"/>
      <w:r w:rsidRPr="00F760AF">
        <w:t>AER’s assessment approach</w:t>
      </w:r>
      <w:bookmarkEnd w:id="17"/>
      <w:bookmarkEnd w:id="18"/>
    </w:p>
    <w:p w:rsidR="008C50B6" w:rsidRPr="002D16B9" w:rsidRDefault="008C50B6" w:rsidP="008C50B6">
      <w:pPr>
        <w:numPr>
          <w:ilvl w:val="0"/>
          <w:numId w:val="25"/>
        </w:numPr>
      </w:pPr>
      <w:bookmarkStart w:id="19" w:name="_Toc387916854"/>
      <w:bookmarkStart w:id="20" w:name="_Toc404363762"/>
      <w:bookmarkStart w:id="21" w:name="_Toc406679047"/>
      <w:bookmarkStart w:id="22" w:name="_Ref416846681"/>
      <w:bookmarkStart w:id="23" w:name="_Toc416871304"/>
      <w:r>
        <w:t>Under t</w:t>
      </w:r>
      <w:r w:rsidRPr="002D16B9">
        <w:t xml:space="preserve">he NER </w:t>
      </w:r>
      <w:r>
        <w:t xml:space="preserve">we must </w:t>
      </w:r>
      <w:r w:rsidRPr="002D16B9">
        <w:t xml:space="preserve">decide: </w:t>
      </w:r>
    </w:p>
    <w:p w:rsidR="008C50B6" w:rsidRPr="002D16B9" w:rsidRDefault="008C50B6" w:rsidP="008C50B6">
      <w:pPr>
        <w:pStyle w:val="ListNumber"/>
        <w:numPr>
          <w:ilvl w:val="1"/>
          <w:numId w:val="25"/>
        </w:numPr>
      </w:pPr>
      <w:r w:rsidRPr="002D16B9">
        <w:t xml:space="preserve">the </w:t>
      </w:r>
      <w:r w:rsidRPr="00061D4E">
        <w:t xml:space="preserve">revenue increments or decrements (if any) for each regulatory year </w:t>
      </w:r>
      <w:r>
        <w:t xml:space="preserve">of the 2015–20 period </w:t>
      </w:r>
      <w:r w:rsidRPr="00061D4E">
        <w:t xml:space="preserve">arising from the application of the EBSS during the </w:t>
      </w:r>
      <w:r>
        <w:t>2010–15</w:t>
      </w:r>
      <w:r w:rsidRPr="00061D4E">
        <w:t xml:space="preserve"> </w:t>
      </w:r>
      <w:r>
        <w:t xml:space="preserve">regulatory control </w:t>
      </w:r>
      <w:r w:rsidRPr="00061D4E">
        <w:t>period</w:t>
      </w:r>
      <w:r>
        <w:rPr>
          <w:rStyle w:val="FootnoteReference"/>
        </w:rPr>
        <w:footnoteReference w:id="9"/>
      </w:r>
    </w:p>
    <w:p w:rsidR="008C50B6" w:rsidRDefault="008C50B6" w:rsidP="008C50B6">
      <w:pPr>
        <w:pStyle w:val="ListNumber"/>
        <w:numPr>
          <w:ilvl w:val="1"/>
          <w:numId w:val="25"/>
        </w:numPr>
      </w:pPr>
      <w:proofErr w:type="gramStart"/>
      <w:r>
        <w:t>how</w:t>
      </w:r>
      <w:proofErr w:type="gramEnd"/>
      <w:r>
        <w:t xml:space="preserve"> any applicable</w:t>
      </w:r>
      <w:r w:rsidRPr="002D16B9">
        <w:t xml:space="preserve"> EBSS </w:t>
      </w:r>
      <w:r>
        <w:t>is to</w:t>
      </w:r>
      <w:r w:rsidRPr="002D16B9">
        <w:t xml:space="preserve"> a</w:t>
      </w:r>
      <w:r>
        <w:t>pply to Energex in the 2015–20</w:t>
      </w:r>
      <w:r w:rsidRPr="002D16B9">
        <w:t xml:space="preserve"> </w:t>
      </w:r>
      <w:r w:rsidR="00B966EB">
        <w:t xml:space="preserve">regulatory control </w:t>
      </w:r>
      <w:r w:rsidRPr="002D16B9">
        <w:t>period.</w:t>
      </w:r>
      <w:r>
        <w:rPr>
          <w:rStyle w:val="FootnoteReference"/>
        </w:rPr>
        <w:footnoteReference w:id="10"/>
      </w:r>
    </w:p>
    <w:p w:rsidR="008C50B6" w:rsidRDefault="008C50B6" w:rsidP="008C50B6">
      <w:pPr>
        <w:numPr>
          <w:ilvl w:val="0"/>
          <w:numId w:val="25"/>
        </w:numPr>
      </w:pPr>
      <w:r>
        <w:rPr>
          <w:rStyle w:val="AERbody"/>
        </w:rPr>
        <w:t>The EBSS must provide for a fair sharing between service providers and network users of opex efficiency gains and efficiency losses.</w:t>
      </w:r>
      <w:r>
        <w:rPr>
          <w:rStyle w:val="FootnoteReference"/>
        </w:rPr>
        <w:footnoteReference w:id="11"/>
      </w:r>
      <w:r>
        <w:rPr>
          <w:rStyle w:val="AERbody"/>
        </w:rPr>
        <w:t xml:space="preserve"> We must also have regard to the following factors when implementing the EBSS</w:t>
      </w:r>
      <w:r>
        <w:t>:</w:t>
      </w:r>
      <w:r>
        <w:rPr>
          <w:rStyle w:val="FootnoteReference"/>
        </w:rPr>
        <w:footnoteReference w:id="12"/>
      </w:r>
    </w:p>
    <w:p w:rsidR="008C50B6" w:rsidRPr="00684CF5" w:rsidRDefault="008C50B6" w:rsidP="008C50B6">
      <w:pPr>
        <w:pStyle w:val="AERbulletlistfirststyle"/>
      </w:pPr>
      <w:r>
        <w:t>the need to ensure that benefits to electricity consumers likely to result from the scheme are sufficient to warrant any reward or penalty under the scheme</w:t>
      </w:r>
    </w:p>
    <w:p w:rsidR="008C50B6" w:rsidRPr="00684CF5" w:rsidRDefault="008C50B6" w:rsidP="008C50B6">
      <w:pPr>
        <w:pStyle w:val="AERbulletlistfirststyle"/>
      </w:pPr>
      <w:r w:rsidRPr="007439B9">
        <w:t xml:space="preserve">the need to provide </w:t>
      </w:r>
      <w:r w:rsidRPr="00684CF5">
        <w:t>service providers with continuous incentives</w:t>
      </w:r>
      <w:r>
        <w:t>, so far as is consistent with economic efficiency,</w:t>
      </w:r>
      <w:r w:rsidRPr="00684CF5">
        <w:t xml:space="preserve"> to reduce opex </w:t>
      </w:r>
    </w:p>
    <w:p w:rsidR="008C50B6" w:rsidRPr="00684CF5" w:rsidRDefault="008C50B6" w:rsidP="008C50B6">
      <w:pPr>
        <w:pStyle w:val="AERbulletlistfirststyle"/>
      </w:pPr>
      <w:r w:rsidRPr="007439B9">
        <w:t xml:space="preserve">the desirability of both rewarding </w:t>
      </w:r>
      <w:r w:rsidRPr="00684CF5">
        <w:t xml:space="preserve">service providers for efficiency gains and penalising them for efficiency losses </w:t>
      </w:r>
    </w:p>
    <w:p w:rsidR="008C50B6" w:rsidRPr="00684CF5" w:rsidRDefault="008C50B6" w:rsidP="008C50B6">
      <w:pPr>
        <w:pStyle w:val="AERbulletlistfirststyle"/>
      </w:pPr>
      <w:r w:rsidRPr="007439B9">
        <w:t>any incentives that service providers may have to capitalise expenditure</w:t>
      </w:r>
    </w:p>
    <w:p w:rsidR="008C50B6" w:rsidRDefault="008C50B6" w:rsidP="008C50B6">
      <w:pPr>
        <w:pStyle w:val="AERbulletlistfirststyle"/>
      </w:pPr>
      <w:proofErr w:type="gramStart"/>
      <w:r w:rsidRPr="00DC57D9">
        <w:t>the</w:t>
      </w:r>
      <w:proofErr w:type="gramEnd"/>
      <w:r w:rsidRPr="00DC57D9">
        <w:t xml:space="preserve"> possible effects of the scheme on incentives for the implementation of non–network alternatives.</w:t>
      </w:r>
    </w:p>
    <w:p w:rsidR="00B966EB" w:rsidRPr="00684CF5" w:rsidRDefault="00B966EB" w:rsidP="00B966EB">
      <w:pPr>
        <w:pStyle w:val="AERbulletlistfirststyle"/>
        <w:numPr>
          <w:ilvl w:val="0"/>
          <w:numId w:val="0"/>
        </w:numPr>
        <w:ind w:left="357"/>
      </w:pPr>
    </w:p>
    <w:p w:rsidR="008C50B6" w:rsidRDefault="008C50B6" w:rsidP="008C50B6">
      <w:pPr>
        <w:pStyle w:val="Heading3"/>
      </w:pPr>
      <w:bookmarkStart w:id="24" w:name="_Toc417475105"/>
      <w:bookmarkStart w:id="25" w:name="_Toc417718067"/>
      <w:bookmarkStart w:id="26" w:name="_Toc432853909"/>
      <w:r>
        <w:lastRenderedPageBreak/>
        <w:t>Interrelationships</w:t>
      </w:r>
      <w:bookmarkEnd w:id="24"/>
      <w:bookmarkEnd w:id="25"/>
      <w:bookmarkEnd w:id="26"/>
      <w:r>
        <w:t xml:space="preserve"> </w:t>
      </w:r>
    </w:p>
    <w:p w:rsidR="008C50B6" w:rsidRDefault="008C50B6" w:rsidP="008C50B6">
      <w:pPr>
        <w:numPr>
          <w:ilvl w:val="0"/>
          <w:numId w:val="25"/>
        </w:numPr>
      </w:pPr>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the</w:t>
      </w:r>
      <w:r w:rsidRPr="00327E47">
        <w:t xml:space="preserve"> EBSS</w:t>
      </w:r>
      <w:r>
        <w:t xml:space="preserve"> has two specific functions:</w:t>
      </w:r>
    </w:p>
    <w:p w:rsidR="008C50B6" w:rsidRPr="00684CF5" w:rsidRDefault="008C50B6" w:rsidP="008C50B6">
      <w:pPr>
        <w:pStyle w:val="AERbulletlistfirststyle"/>
      </w:pPr>
      <w:r>
        <w:t xml:space="preserve">To mitigate the incentive for a service provider </w:t>
      </w:r>
      <w:r w:rsidRPr="00684CF5">
        <w:t xml:space="preserve">to increase opex in the expected 'base year' to increase its </w:t>
      </w:r>
      <w:r>
        <w:t xml:space="preserve">approved opex </w:t>
      </w:r>
      <w:r w:rsidRPr="00684CF5">
        <w:t>forecast for the following regulatory control period.</w:t>
      </w:r>
    </w:p>
    <w:p w:rsidR="008C50B6" w:rsidRPr="00684CF5" w:rsidRDefault="008C50B6" w:rsidP="008C50B6">
      <w:pPr>
        <w:pStyle w:val="AERbulletlistfirststyle"/>
      </w:pPr>
      <w:r>
        <w:t xml:space="preserve">To provide a continuous incentive for a service provider to make efficiency gains - service providers receive </w:t>
      </w:r>
      <w:r w:rsidRPr="00684CF5">
        <w:t xml:space="preserve">the same reward for </w:t>
      </w:r>
      <w:proofErr w:type="gramStart"/>
      <w:r w:rsidRPr="00684CF5">
        <w:t>an underspend</w:t>
      </w:r>
      <w:proofErr w:type="gramEnd"/>
      <w:r w:rsidRPr="00684CF5">
        <w:t xml:space="preserve"> and the same penalty for an overspend in each year of the regulatory control period.</w:t>
      </w:r>
    </w:p>
    <w:p w:rsidR="008C50B6" w:rsidRDefault="008C50B6" w:rsidP="008C50B6">
      <w:pPr>
        <w:numPr>
          <w:ilvl w:val="0"/>
          <w:numId w:val="25"/>
        </w:numPr>
      </w:pPr>
      <w:r w:rsidRPr="009A7159">
        <w:t xml:space="preserve">Where </w:t>
      </w:r>
      <w:r>
        <w:t>we do</w:t>
      </w:r>
      <w:r w:rsidRPr="009A7159">
        <w:t xml:space="preserve"> not</w:t>
      </w:r>
      <w:r>
        <w:t xml:space="preserve"> propose to rely on the revealed costs of a service provider in forecasting opex there are</w:t>
      </w:r>
      <w:r w:rsidRPr="009A7159">
        <w:t xml:space="preserve"> consequences for </w:t>
      </w:r>
      <w:r>
        <w:t>a</w:t>
      </w:r>
      <w:r w:rsidRPr="009A7159">
        <w:t xml:space="preserve"> </w:t>
      </w:r>
      <w:r>
        <w:t>service provider's</w:t>
      </w:r>
      <w:r w:rsidRPr="009A7159">
        <w:t xml:space="preserve"> incentives to make productivity improvements</w:t>
      </w:r>
      <w:r>
        <w:t>. This effects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our approach to opex forecasting in reaching our decision.</w:t>
      </w:r>
    </w:p>
    <w:p w:rsidR="008C50B6" w:rsidRDefault="008C50B6" w:rsidP="008C50B6">
      <w:pPr>
        <w:numPr>
          <w:ilvl w:val="0"/>
          <w:numId w:val="25"/>
        </w:numPr>
      </w:pPr>
      <w:r>
        <w:t xml:space="preserve">Incentives to reduce opex may also affect a service provider's incentives to undertake capex. We take into account these interactions in developing and implementing the EBSS as well as developing the </w:t>
      </w:r>
      <w:r w:rsidR="00B966EB">
        <w:t>capital expenditure sharing scheme (</w:t>
      </w:r>
      <w:r>
        <w:t>CESS</w:t>
      </w:r>
      <w:r w:rsidR="00B966EB">
        <w:t>)</w:t>
      </w:r>
      <w:r>
        <w:t>. For instance:</w:t>
      </w:r>
    </w:p>
    <w:p w:rsidR="008C50B6" w:rsidRPr="002F0531" w:rsidRDefault="00B966EB" w:rsidP="008C50B6">
      <w:pPr>
        <w:pStyle w:val="AERbulletlistfirststyle"/>
        <w:rPr>
          <w:rStyle w:val="AERbody"/>
        </w:rPr>
      </w:pPr>
      <w:proofErr w:type="gramStart"/>
      <w:r>
        <w:rPr>
          <w:rStyle w:val="AERbody"/>
        </w:rPr>
        <w:t>i</w:t>
      </w:r>
      <w:r w:rsidR="008C50B6" w:rsidRPr="002F0531">
        <w:rPr>
          <w:rStyle w:val="AERbody"/>
        </w:rPr>
        <w:t>n</w:t>
      </w:r>
      <w:proofErr w:type="gramEnd"/>
      <w:r w:rsidR="008C50B6" w:rsidRPr="002F0531">
        <w:rPr>
          <w:rStyle w:val="AERbody"/>
        </w:rPr>
        <w:t xml:space="preserve"> developing and implementing the EBSS, </w:t>
      </w:r>
      <w:r w:rsidR="008C50B6">
        <w:rPr>
          <w:rStyle w:val="AERbody"/>
        </w:rPr>
        <w:t>we</w:t>
      </w:r>
      <w:r w:rsidR="008C50B6" w:rsidRPr="002F0531">
        <w:rPr>
          <w:rStyle w:val="AERbody"/>
        </w:rPr>
        <w:t xml:space="preserve"> must have regard to any inc</w:t>
      </w:r>
      <w:r w:rsidR="008C50B6">
        <w:rPr>
          <w:rStyle w:val="AERbody"/>
        </w:rPr>
        <w:t>entives that service providers may have to</w:t>
      </w:r>
      <w:r w:rsidR="008C50B6" w:rsidRPr="002F0531">
        <w:rPr>
          <w:rStyle w:val="AERbody"/>
        </w:rPr>
        <w:t xml:space="preserve"> capitalise operating expenditure as well as the possible effects of the scheme on incentives for the implementation of non-network alternatives</w:t>
      </w:r>
      <w:r w:rsidR="008C50B6">
        <w:rPr>
          <w:rStyle w:val="AERbody"/>
        </w:rPr>
        <w:t>.</w:t>
      </w:r>
      <w:r w:rsidR="008C50B6">
        <w:rPr>
          <w:rStyle w:val="FootnoteReference"/>
        </w:rPr>
        <w:footnoteReference w:id="13"/>
      </w:r>
    </w:p>
    <w:p w:rsidR="008C50B6" w:rsidRPr="002F0531" w:rsidRDefault="00B966EB" w:rsidP="008C50B6">
      <w:pPr>
        <w:pStyle w:val="AERbulletlistfirststyle"/>
        <w:rPr>
          <w:rStyle w:val="AERbody"/>
        </w:rPr>
      </w:pPr>
      <w:r>
        <w:rPr>
          <w:rStyle w:val="AERbody"/>
        </w:rPr>
        <w:t>i</w:t>
      </w:r>
      <w:r w:rsidR="008C50B6" w:rsidRPr="002F0531">
        <w:rPr>
          <w:rStyle w:val="AERbody"/>
        </w:rPr>
        <w:t xml:space="preserve">n developing the CESS, </w:t>
      </w:r>
      <w:r w:rsidR="008C50B6">
        <w:rPr>
          <w:rStyle w:val="AERbody"/>
        </w:rPr>
        <w:t>we</w:t>
      </w:r>
      <w:r w:rsidR="008C50B6" w:rsidRPr="002F0531">
        <w:rPr>
          <w:rStyle w:val="AERbody"/>
        </w:rPr>
        <w:t xml:space="preserve"> must take into account the interaction of the scheme with</w:t>
      </w:r>
      <w:r w:rsidR="008C50B6">
        <w:rPr>
          <w:rStyle w:val="AERbody"/>
        </w:rPr>
        <w:t xml:space="preserve"> other incentives that service providers</w:t>
      </w:r>
      <w:r w:rsidR="008C50B6" w:rsidRPr="002F0531">
        <w:rPr>
          <w:rStyle w:val="AERbody"/>
        </w:rPr>
        <w:t xml:space="preserve"> may have in relation to undertaking efficient opex or capex as well as the capex objectives and, if relevant, the opex objectives</w:t>
      </w:r>
      <w:r w:rsidR="008C50B6">
        <w:rPr>
          <w:rStyle w:val="AERbody"/>
        </w:rPr>
        <w:t>.</w:t>
      </w:r>
      <w:r w:rsidR="008C50B6">
        <w:rPr>
          <w:rStyle w:val="FootnoteReference"/>
        </w:rPr>
        <w:footnoteReference w:id="14"/>
      </w:r>
      <w:r w:rsidR="008C50B6" w:rsidRPr="002F0531">
        <w:rPr>
          <w:rStyle w:val="AERbody"/>
        </w:rPr>
        <w:t xml:space="preserve"> </w:t>
      </w:r>
    </w:p>
    <w:p w:rsidR="00F5390E" w:rsidRDefault="00F5390E" w:rsidP="00F5390E">
      <w:pPr>
        <w:pStyle w:val="Heading2"/>
      </w:pPr>
      <w:bookmarkStart w:id="27" w:name="_Toc387916855"/>
      <w:bookmarkStart w:id="28" w:name="_Toc404363763"/>
      <w:bookmarkStart w:id="29" w:name="_Toc406679048"/>
      <w:bookmarkStart w:id="30" w:name="_Toc432853910"/>
      <w:bookmarkEnd w:id="19"/>
      <w:bookmarkEnd w:id="20"/>
      <w:bookmarkEnd w:id="21"/>
      <w:bookmarkEnd w:id="22"/>
      <w:bookmarkEnd w:id="23"/>
      <w:r w:rsidRPr="00F760AF">
        <w:t xml:space="preserve">Reasons for </w:t>
      </w:r>
      <w:r w:rsidR="00504F7A">
        <w:t xml:space="preserve">final </w:t>
      </w:r>
      <w:r w:rsidRPr="00F760AF">
        <w:t>decision</w:t>
      </w:r>
      <w:bookmarkEnd w:id="27"/>
      <w:bookmarkEnd w:id="28"/>
      <w:bookmarkEnd w:id="29"/>
      <w:bookmarkEnd w:id="30"/>
    </w:p>
    <w:p w:rsidR="00AC6285" w:rsidRDefault="009D2568" w:rsidP="00AC6285">
      <w:r>
        <w:t>Our final decision is the sa</w:t>
      </w:r>
      <w:r w:rsidR="0006496D">
        <w:t xml:space="preserve">me as our preliminary decision and is outlined below. </w:t>
      </w:r>
      <w:r>
        <w:t xml:space="preserve">We </w:t>
      </w:r>
      <w:r w:rsidR="0006496D">
        <w:t xml:space="preserve">also </w:t>
      </w:r>
      <w:r>
        <w:t xml:space="preserve">address Energex's concerns </w:t>
      </w:r>
      <w:r w:rsidR="004F2834">
        <w:t>about</w:t>
      </w:r>
      <w:r>
        <w:t xml:space="preserve"> our preliminary decision.</w:t>
      </w:r>
    </w:p>
    <w:p w:rsidR="00B73941" w:rsidRPr="00E974BF" w:rsidRDefault="00B73941" w:rsidP="00B73941">
      <w:pPr>
        <w:pStyle w:val="Heading3"/>
      </w:pPr>
      <w:bookmarkStart w:id="31" w:name="_Toc417508302"/>
      <w:bookmarkStart w:id="32" w:name="_Toc417721236"/>
      <w:bookmarkStart w:id="33" w:name="_Toc432853911"/>
      <w:bookmarkStart w:id="34" w:name="_Toc409015723"/>
      <w:r>
        <w:t xml:space="preserve">Carryover amounts </w:t>
      </w:r>
      <w:r w:rsidR="00161A72">
        <w:t>from</w:t>
      </w:r>
      <w:r>
        <w:t xml:space="preserve"> the 2010–15</w:t>
      </w:r>
      <w:r w:rsidRPr="00D06BEA">
        <w:t xml:space="preserve"> regulatory control period</w:t>
      </w:r>
      <w:bookmarkEnd w:id="31"/>
      <w:bookmarkEnd w:id="32"/>
      <w:bookmarkEnd w:id="33"/>
    </w:p>
    <w:bookmarkEnd w:id="34"/>
    <w:p w:rsidR="00E24326" w:rsidRDefault="004523B5" w:rsidP="0072005B">
      <w:r>
        <w:t>We maintain o</w:t>
      </w:r>
      <w:r w:rsidR="00E24326">
        <w:t xml:space="preserve">ur </w:t>
      </w:r>
      <w:r>
        <w:t>preliminary</w:t>
      </w:r>
      <w:r w:rsidR="00E24326">
        <w:t xml:space="preserve"> decision</w:t>
      </w:r>
      <w:r w:rsidR="000B7096">
        <w:t xml:space="preserve"> </w:t>
      </w:r>
      <w:r w:rsidR="00E24326" w:rsidRPr="0040481F">
        <w:t xml:space="preserve">not </w:t>
      </w:r>
      <w:r w:rsidR="00513243">
        <w:t xml:space="preserve">to </w:t>
      </w:r>
      <w:r w:rsidR="00E24326" w:rsidRPr="0040481F">
        <w:t xml:space="preserve">apply </w:t>
      </w:r>
      <w:r w:rsidR="00E24326">
        <w:t>the</w:t>
      </w:r>
      <w:r w:rsidR="00E24326" w:rsidRPr="0040481F">
        <w:t xml:space="preserve"> EBSS carryover penalty from the 20</w:t>
      </w:r>
      <w:r w:rsidR="00E24326">
        <w:t>10–15</w:t>
      </w:r>
      <w:r w:rsidR="00E24326" w:rsidRPr="0040481F">
        <w:t xml:space="preserve"> regulatory control </w:t>
      </w:r>
      <w:proofErr w:type="gramStart"/>
      <w:r w:rsidR="00E24326" w:rsidRPr="0040481F">
        <w:t>period</w:t>
      </w:r>
      <w:proofErr w:type="gramEnd"/>
      <w:r w:rsidR="00471E87" w:rsidRPr="00471E87">
        <w:t xml:space="preserve"> </w:t>
      </w:r>
      <w:r w:rsidR="00471E87" w:rsidRPr="0040481F">
        <w:t xml:space="preserve">to </w:t>
      </w:r>
      <w:r w:rsidR="00471E87">
        <w:t>Energex's revenue requirements in the 2015–20 regulatory control period</w:t>
      </w:r>
      <w:r w:rsidR="00E24326">
        <w:t>.</w:t>
      </w:r>
    </w:p>
    <w:p w:rsidR="00FD761F" w:rsidRPr="00FD761F" w:rsidRDefault="00FD761F" w:rsidP="0072005B">
      <w:pPr>
        <w:pStyle w:val="AERbulletlistfirststyle"/>
        <w:numPr>
          <w:ilvl w:val="0"/>
          <w:numId w:val="0"/>
        </w:numPr>
      </w:pPr>
      <w:r w:rsidRPr="00FD761F">
        <w:lastRenderedPageBreak/>
        <w:t xml:space="preserve">We calculate Energex would receive an EBSS penalty of </w:t>
      </w:r>
      <w:r w:rsidR="00894F5D">
        <w:t>–</w:t>
      </w:r>
      <w:r w:rsidRPr="00FD761F">
        <w:t xml:space="preserve">$87.9 million ($2014–15) from the application of the EBSS during the 2010–15 regulatory control </w:t>
      </w:r>
      <w:proofErr w:type="gramStart"/>
      <w:r w:rsidRPr="00FD761F">
        <w:t>period</w:t>
      </w:r>
      <w:proofErr w:type="gramEnd"/>
      <w:r w:rsidRPr="00FD761F">
        <w:t xml:space="preserve">. </w:t>
      </w:r>
      <w:r>
        <w:t xml:space="preserve">This is higher than the </w:t>
      </w:r>
      <w:r w:rsidRPr="00FD761F">
        <w:t xml:space="preserve">penalty </w:t>
      </w:r>
      <w:r>
        <w:t>we calculated in our preliminary decision (</w:t>
      </w:r>
      <w:r w:rsidR="00894F5D">
        <w:t>–</w:t>
      </w:r>
      <w:r w:rsidRPr="00FD761F">
        <w:t>$56.9 million</w:t>
      </w:r>
      <w:r>
        <w:t xml:space="preserve">). </w:t>
      </w:r>
      <w:r w:rsidR="00513243">
        <w:t>The accrued penalty</w:t>
      </w:r>
      <w:r>
        <w:t xml:space="preserve"> is</w:t>
      </w:r>
      <w:r w:rsidRPr="00FD761F">
        <w:t xml:space="preserve"> </w:t>
      </w:r>
      <w:r w:rsidR="00513243">
        <w:t xml:space="preserve">higher </w:t>
      </w:r>
      <w:r>
        <w:t xml:space="preserve">because we have excluded the costs of the </w:t>
      </w:r>
      <w:r w:rsidR="00513243">
        <w:t xml:space="preserve">2011 </w:t>
      </w:r>
      <w:r>
        <w:t xml:space="preserve">flood event and Cyclone Oswald </w:t>
      </w:r>
      <w:r w:rsidRPr="00FD761F">
        <w:t xml:space="preserve">from </w:t>
      </w:r>
      <w:r>
        <w:t>actual opex</w:t>
      </w:r>
      <w:r w:rsidR="00513243">
        <w:t>,</w:t>
      </w:r>
      <w:r w:rsidR="00513243" w:rsidRPr="00513243">
        <w:t xml:space="preserve"> as Energex proposed</w:t>
      </w:r>
      <w:r>
        <w:t>.</w:t>
      </w:r>
      <w:r w:rsidR="00513243">
        <w:rPr>
          <w:rStyle w:val="FootnoteReference"/>
        </w:rPr>
        <w:footnoteReference w:id="15"/>
      </w:r>
    </w:p>
    <w:p w:rsidR="00470309" w:rsidRDefault="00A30C5F" w:rsidP="00470309">
      <w:r>
        <w:t xml:space="preserve">In its revised proposal, </w:t>
      </w:r>
      <w:r w:rsidR="00470309">
        <w:t>Energex had</w:t>
      </w:r>
      <w:r w:rsidR="00470309" w:rsidRPr="00CB6B74">
        <w:t xml:space="preserve"> a nu</w:t>
      </w:r>
      <w:r w:rsidR="004F2834">
        <w:t xml:space="preserve">mber of concerns about </w:t>
      </w:r>
      <w:r w:rsidR="00470309">
        <w:t>our preliminary</w:t>
      </w:r>
      <w:r w:rsidR="00470309" w:rsidRPr="00CB6B74">
        <w:t xml:space="preserve"> decision</w:t>
      </w:r>
      <w:r w:rsidR="00470309">
        <w:t>.</w:t>
      </w:r>
      <w:r w:rsidR="00470309">
        <w:rPr>
          <w:rStyle w:val="FootnoteReference"/>
        </w:rPr>
        <w:footnoteReference w:id="16"/>
      </w:r>
    </w:p>
    <w:p w:rsidR="004523B5" w:rsidRDefault="00470309" w:rsidP="00470309">
      <w:pPr>
        <w:rPr>
          <w:rStyle w:val="AERbody"/>
        </w:rPr>
      </w:pPr>
      <w:r>
        <w:rPr>
          <w:rStyle w:val="AERbody"/>
        </w:rPr>
        <w:t>Energex</w:t>
      </w:r>
      <w:r w:rsidRPr="00470309">
        <w:rPr>
          <w:rStyle w:val="AERbody"/>
        </w:rPr>
        <w:t xml:space="preserve"> questioned the purpose of the EBSS in the context of our reliance on benchmarking tools to set the efficient base opex</w:t>
      </w:r>
      <w:r w:rsidR="0017370C">
        <w:rPr>
          <w:rStyle w:val="AERbody"/>
        </w:rPr>
        <w:t xml:space="preserve"> amount</w:t>
      </w:r>
      <w:r w:rsidRPr="00470309">
        <w:rPr>
          <w:rStyle w:val="AERbody"/>
        </w:rPr>
        <w:t>, as oppos</w:t>
      </w:r>
      <w:r w:rsidR="005D0839">
        <w:rPr>
          <w:rStyle w:val="AERbody"/>
        </w:rPr>
        <w:t>ed to relying on revealed costs</w:t>
      </w:r>
      <w:r w:rsidRPr="00470309">
        <w:rPr>
          <w:rStyle w:val="AERbody"/>
        </w:rPr>
        <w:t>.</w:t>
      </w:r>
      <w:r w:rsidR="004523B5">
        <w:rPr>
          <w:rStyle w:val="FootnoteReference"/>
        </w:rPr>
        <w:footnoteReference w:id="17"/>
      </w:r>
      <w:r>
        <w:rPr>
          <w:rStyle w:val="AERbody"/>
        </w:rPr>
        <w:t xml:space="preserve"> </w:t>
      </w:r>
      <w:r w:rsidR="004523B5">
        <w:rPr>
          <w:rStyle w:val="AERbody"/>
        </w:rPr>
        <w:t xml:space="preserve">It stated </w:t>
      </w:r>
      <w:r w:rsidR="004523B5" w:rsidRPr="004523B5">
        <w:rPr>
          <w:rStyle w:val="AERbody"/>
        </w:rPr>
        <w:t xml:space="preserve">this reliance is contrary to the NER principle that a </w:t>
      </w:r>
      <w:r w:rsidR="0072005B">
        <w:rPr>
          <w:rStyle w:val="AERbody"/>
        </w:rPr>
        <w:t>distributor</w:t>
      </w:r>
      <w:r w:rsidR="0072005B" w:rsidRPr="004523B5">
        <w:rPr>
          <w:rStyle w:val="AERbody"/>
        </w:rPr>
        <w:t xml:space="preserve"> </w:t>
      </w:r>
      <w:r w:rsidR="004523B5" w:rsidRPr="004523B5">
        <w:rPr>
          <w:rStyle w:val="AERbody"/>
        </w:rPr>
        <w:t>be provided with a continuous incentive, so far as is consistent with economic efficiency, to reduce its opex from on</w:t>
      </w:r>
      <w:r w:rsidR="004523B5">
        <w:rPr>
          <w:rStyle w:val="AERbody"/>
        </w:rPr>
        <w:t>e regulatory period to the next.</w:t>
      </w:r>
      <w:r w:rsidR="004523B5" w:rsidRPr="004523B5">
        <w:rPr>
          <w:rStyle w:val="AERbody"/>
        </w:rPr>
        <w:t xml:space="preserve"> </w:t>
      </w:r>
      <w:r w:rsidR="004523B5">
        <w:rPr>
          <w:rStyle w:val="AERbody"/>
        </w:rPr>
        <w:t xml:space="preserve">It </w:t>
      </w:r>
      <w:r w:rsidR="003B6C2D">
        <w:rPr>
          <w:rStyle w:val="AERbody"/>
        </w:rPr>
        <w:t xml:space="preserve">is concerned </w:t>
      </w:r>
      <w:r w:rsidR="004523B5" w:rsidRPr="004523B5">
        <w:rPr>
          <w:rStyle w:val="AERbody"/>
        </w:rPr>
        <w:t xml:space="preserve">its revealed costs </w:t>
      </w:r>
      <w:r w:rsidR="003B6C2D">
        <w:rPr>
          <w:rStyle w:val="AERbody"/>
        </w:rPr>
        <w:t>may</w:t>
      </w:r>
      <w:r w:rsidR="003B6C2D" w:rsidRPr="004523B5">
        <w:rPr>
          <w:rStyle w:val="AERbody"/>
        </w:rPr>
        <w:t xml:space="preserve"> </w:t>
      </w:r>
      <w:r w:rsidR="004523B5" w:rsidRPr="004523B5">
        <w:rPr>
          <w:rStyle w:val="AERbody"/>
        </w:rPr>
        <w:t>be ignored in favour of a lower external benchmark when the base year opex value for the forthcoming regulatory period is set.</w:t>
      </w:r>
      <w:r w:rsidR="00FA5E3B">
        <w:rPr>
          <w:rStyle w:val="FootnoteReference"/>
        </w:rPr>
        <w:footnoteReference w:id="18"/>
      </w:r>
    </w:p>
    <w:p w:rsidR="000221AD" w:rsidRDefault="00B966EB" w:rsidP="00470309">
      <w:pPr>
        <w:rPr>
          <w:rStyle w:val="AERbody"/>
        </w:rPr>
      </w:pPr>
      <w:r>
        <w:t xml:space="preserve">We do not agree with Energex's criticisms. </w:t>
      </w:r>
      <w:r w:rsidR="00505357" w:rsidRPr="004F2F29">
        <w:t>The EBSS was intended to work in conjunction with a revealed cost forecast</w:t>
      </w:r>
      <w:r w:rsidR="00505357">
        <w:t>ing</w:t>
      </w:r>
      <w:r w:rsidR="00505357" w:rsidRPr="004F2F29">
        <w:t xml:space="preserve"> approach. </w:t>
      </w:r>
      <w:r w:rsidR="000221AD">
        <w:rPr>
          <w:rStyle w:val="AERbody"/>
        </w:rPr>
        <w:t xml:space="preserve">We </w:t>
      </w:r>
      <w:r w:rsidR="00505357">
        <w:rPr>
          <w:rStyle w:val="AERbody"/>
        </w:rPr>
        <w:t>did not ignore its revealed costs in favour of a lower external benchmark.</w:t>
      </w:r>
      <w:r w:rsidR="000221AD">
        <w:rPr>
          <w:rStyle w:val="AERbody"/>
        </w:rPr>
        <w:t xml:space="preserve"> Rather we</w:t>
      </w:r>
      <w:r w:rsidR="0017370C">
        <w:rPr>
          <w:rStyle w:val="AERbody"/>
        </w:rPr>
        <w:t xml:space="preserve"> accepted</w:t>
      </w:r>
      <w:r w:rsidR="000221AD">
        <w:rPr>
          <w:rStyle w:val="AERbody"/>
        </w:rPr>
        <w:t xml:space="preserve"> Energex's </w:t>
      </w:r>
      <w:r w:rsidR="00C840A2">
        <w:rPr>
          <w:rStyle w:val="AERbody"/>
        </w:rPr>
        <w:t>propos</w:t>
      </w:r>
      <w:r w:rsidR="00121939">
        <w:rPr>
          <w:rStyle w:val="AERbody"/>
        </w:rPr>
        <w:t>ed</w:t>
      </w:r>
      <w:r w:rsidR="000221AD">
        <w:rPr>
          <w:rStyle w:val="AERbody"/>
        </w:rPr>
        <w:t xml:space="preserve"> opex </w:t>
      </w:r>
      <w:r w:rsidR="00121939">
        <w:rPr>
          <w:rStyle w:val="AERbody"/>
        </w:rPr>
        <w:t xml:space="preserve">forecast </w:t>
      </w:r>
      <w:r w:rsidR="000221AD">
        <w:rPr>
          <w:rStyle w:val="AERbody"/>
        </w:rPr>
        <w:t xml:space="preserve">for the 2015–20 regulatory control period. </w:t>
      </w:r>
      <w:r w:rsidR="000221AD">
        <w:t>Because w</w:t>
      </w:r>
      <w:r w:rsidR="000221AD" w:rsidRPr="0040481F">
        <w:t xml:space="preserve">e </w:t>
      </w:r>
      <w:r w:rsidR="000221AD">
        <w:t xml:space="preserve">are using Energex's forecast which is substantially lower than a forecast based on its revealed costs, we consider </w:t>
      </w:r>
      <w:r w:rsidR="000221AD" w:rsidRPr="00984361">
        <w:t>if we were to carryover the EBSS penalty</w:t>
      </w:r>
      <w:r w:rsidR="000221AD">
        <w:t>,</w:t>
      </w:r>
      <w:r w:rsidR="000221AD" w:rsidRPr="00984361">
        <w:t xml:space="preserve"> </w:t>
      </w:r>
      <w:r w:rsidR="000221AD" w:rsidRPr="0040481F">
        <w:t xml:space="preserve">it would be </w:t>
      </w:r>
      <w:r w:rsidR="000221AD">
        <w:t>in</w:t>
      </w:r>
      <w:r w:rsidR="000221AD" w:rsidRPr="0040481F">
        <w:t>consistent with the</w:t>
      </w:r>
      <w:r w:rsidR="000221AD">
        <w:t xml:space="preserve"> intended operation of the EBSS</w:t>
      </w:r>
      <w:r w:rsidR="00505357">
        <w:t>.</w:t>
      </w:r>
      <w:r w:rsidR="000221AD" w:rsidRPr="0040481F">
        <w:t xml:space="preserve"> </w:t>
      </w:r>
      <w:r w:rsidR="00505357">
        <w:t>Further,</w:t>
      </w:r>
      <w:r w:rsidR="000221AD" w:rsidRPr="0040481F">
        <w:t xml:space="preserve"> it would not implement the EBSS in accor</w:t>
      </w:r>
      <w:r w:rsidR="000221AD">
        <w:t>dance with the NER</w:t>
      </w:r>
      <w:r w:rsidR="000221AD" w:rsidRPr="0040481F">
        <w:t>.</w:t>
      </w:r>
      <w:r w:rsidR="00F53F95" w:rsidRPr="00F53F95">
        <w:rPr>
          <w:rStyle w:val="FootnoteReference"/>
        </w:rPr>
        <w:t xml:space="preserve"> </w:t>
      </w:r>
      <w:r w:rsidR="00F53F95">
        <w:t xml:space="preserve">For instance, Energex's opex increased materially because of increased </w:t>
      </w:r>
      <w:r w:rsidR="00D34AB6">
        <w:t>restructuring</w:t>
      </w:r>
      <w:r w:rsidR="00F53F95">
        <w:t xml:space="preserve"> costs in </w:t>
      </w:r>
      <w:r w:rsidR="0017370C">
        <w:t>2013–14.</w:t>
      </w:r>
      <w:r w:rsidR="00F53F95">
        <w:t xml:space="preserve"> Typically</w:t>
      </w:r>
      <w:r w:rsidR="0017370C">
        <w:t>,</w:t>
      </w:r>
      <w:r w:rsidR="00F53F95">
        <w:t xml:space="preserve"> if this occurred</w:t>
      </w:r>
      <w:r w:rsidR="0017370C">
        <w:t>,</w:t>
      </w:r>
      <w:r w:rsidR="00F53F95">
        <w:t xml:space="preserve"> a service provider would receive EBSS penalties as well as a higher opex forecast. In combination</w:t>
      </w:r>
      <w:r w:rsidR="00513243">
        <w:t>,</w:t>
      </w:r>
      <w:r w:rsidR="00F53F95">
        <w:t xml:space="preserve"> this would lead to a fair sharing of efficiency losses.  We do not consider it would lead to a fair sharing of efficiency losses if Energex received a significant EBSS penalty for </w:t>
      </w:r>
      <w:r w:rsidR="0017370C">
        <w:t>an increase in redundancy costs</w:t>
      </w:r>
      <w:r w:rsidR="00F53F95">
        <w:t xml:space="preserve"> but did not receive a corresponding increase in its opex forecast.</w:t>
      </w:r>
    </w:p>
    <w:p w:rsidR="000C0F6D" w:rsidRPr="00DA4C78" w:rsidRDefault="00470309" w:rsidP="000C0F6D">
      <w:r>
        <w:rPr>
          <w:rStyle w:val="AERbody"/>
        </w:rPr>
        <w:t>Energex</w:t>
      </w:r>
      <w:r w:rsidRPr="00470309">
        <w:rPr>
          <w:rStyle w:val="AERbody"/>
        </w:rPr>
        <w:t xml:space="preserve"> </w:t>
      </w:r>
      <w:r w:rsidR="00F53F95">
        <w:rPr>
          <w:rStyle w:val="AERbody"/>
        </w:rPr>
        <w:t xml:space="preserve">also </w:t>
      </w:r>
      <w:r w:rsidRPr="00470309">
        <w:rPr>
          <w:rStyle w:val="AERbody"/>
        </w:rPr>
        <w:t>disagreed with our treatment of its 2011 flood and Cyclone Oswald costs</w:t>
      </w:r>
      <w:r>
        <w:rPr>
          <w:rStyle w:val="AERbody"/>
        </w:rPr>
        <w:t>.</w:t>
      </w:r>
      <w:r w:rsidR="00A30C5F">
        <w:rPr>
          <w:rStyle w:val="FootnoteReference"/>
        </w:rPr>
        <w:footnoteReference w:id="19"/>
      </w:r>
      <w:r>
        <w:rPr>
          <w:rStyle w:val="AERbody"/>
        </w:rPr>
        <w:t xml:space="preserve"> </w:t>
      </w:r>
      <w:r w:rsidR="002011F9">
        <w:t xml:space="preserve">It stated our approach appears to be directly contrary to the generic EBSS exclusion event relating to uncontrollable costs that was established in </w:t>
      </w:r>
      <w:r w:rsidR="002011F9" w:rsidRPr="000C0F6D">
        <w:rPr>
          <w:rStyle w:val="AERbody"/>
        </w:rPr>
        <w:t xml:space="preserve">the Queensland 2010–15 distribution determination. </w:t>
      </w:r>
      <w:r w:rsidR="001135F5">
        <w:rPr>
          <w:rStyle w:val="AERbody"/>
        </w:rPr>
        <w:t xml:space="preserve">We </w:t>
      </w:r>
      <w:r w:rsidR="0017370C">
        <w:rPr>
          <w:rStyle w:val="AERbody"/>
        </w:rPr>
        <w:t xml:space="preserve">have reconsidered this position and we now </w:t>
      </w:r>
      <w:r w:rsidR="001135F5">
        <w:rPr>
          <w:rStyle w:val="AERbody"/>
        </w:rPr>
        <w:t>agree that the provisions of the EBSS allow Energex to exclude these costs from actual opex. Consequently, we have excluded t</w:t>
      </w:r>
      <w:r w:rsidR="00740D84">
        <w:t>he costs</w:t>
      </w:r>
      <w:r w:rsidR="00436786">
        <w:t xml:space="preserve"> of the flood and cyclone</w:t>
      </w:r>
      <w:r w:rsidR="00740D84">
        <w:t xml:space="preserve"> </w:t>
      </w:r>
      <w:r w:rsidR="00906A4E">
        <w:t>from</w:t>
      </w:r>
      <w:r w:rsidR="00740D84">
        <w:t xml:space="preserve"> the </w:t>
      </w:r>
      <w:r w:rsidR="001166E4">
        <w:t>actual opex we used to calculate its carryover amounts</w:t>
      </w:r>
      <w:r w:rsidR="001135F5">
        <w:t>. As a result</w:t>
      </w:r>
      <w:r w:rsidR="00740D84">
        <w:t xml:space="preserve"> </w:t>
      </w:r>
      <w:r w:rsidR="001135F5">
        <w:t>Energex's</w:t>
      </w:r>
      <w:r w:rsidR="00740D84">
        <w:t xml:space="preserve"> carryover </w:t>
      </w:r>
      <w:r w:rsidR="001135F5">
        <w:t>penalty</w:t>
      </w:r>
      <w:r w:rsidR="00740D84">
        <w:t xml:space="preserve"> </w:t>
      </w:r>
      <w:r w:rsidR="00C840A2">
        <w:t xml:space="preserve">would be </w:t>
      </w:r>
      <w:r w:rsidR="001135F5">
        <w:t>increased</w:t>
      </w:r>
      <w:r w:rsidR="00436786">
        <w:t xml:space="preserve"> by a further $31.0</w:t>
      </w:r>
      <w:r w:rsidR="00740D84">
        <w:t xml:space="preserve"> million.</w:t>
      </w:r>
    </w:p>
    <w:p w:rsidR="00D617EB" w:rsidRDefault="00470309" w:rsidP="00171A62">
      <w:pPr>
        <w:rPr>
          <w:rStyle w:val="AERbody"/>
        </w:rPr>
      </w:pPr>
      <w:r>
        <w:rPr>
          <w:rStyle w:val="AERbody"/>
        </w:rPr>
        <w:lastRenderedPageBreak/>
        <w:t>Energex</w:t>
      </w:r>
      <w:r w:rsidR="00D617EB">
        <w:rPr>
          <w:rStyle w:val="AERbody"/>
        </w:rPr>
        <w:t xml:space="preserve"> also</w:t>
      </w:r>
      <w:r w:rsidRPr="00470309">
        <w:rPr>
          <w:rStyle w:val="AERbody"/>
        </w:rPr>
        <w:t xml:space="preserve"> finds the ongoing operation of the EBSS, specifically the calculation of financial rewards or penalties, lacking in transparency.</w:t>
      </w:r>
      <w:r w:rsidR="00436786">
        <w:rPr>
          <w:rStyle w:val="FootnoteReference"/>
        </w:rPr>
        <w:footnoteReference w:id="20"/>
      </w:r>
      <w:r>
        <w:rPr>
          <w:rStyle w:val="AERbody"/>
        </w:rPr>
        <w:t xml:space="preserve"> </w:t>
      </w:r>
      <w:r w:rsidR="00436786">
        <w:rPr>
          <w:rStyle w:val="AERbody"/>
        </w:rPr>
        <w:t>It states this is evidenced by t</w:t>
      </w:r>
      <w:r w:rsidR="00436786" w:rsidRPr="00436786">
        <w:rPr>
          <w:rStyle w:val="AERbody"/>
        </w:rPr>
        <w:t xml:space="preserve">he significant variation between </w:t>
      </w:r>
      <w:proofErr w:type="gramStart"/>
      <w:r w:rsidR="00E233FC">
        <w:rPr>
          <w:rStyle w:val="AERbody"/>
        </w:rPr>
        <w:t>its</w:t>
      </w:r>
      <w:proofErr w:type="gramEnd"/>
      <w:r w:rsidR="00906A4E">
        <w:rPr>
          <w:rStyle w:val="AERbody"/>
        </w:rPr>
        <w:t xml:space="preserve"> (and other network service providers') calculations of the </w:t>
      </w:r>
      <w:r w:rsidR="00436786" w:rsidRPr="00436786">
        <w:rPr>
          <w:rStyle w:val="AERbody"/>
        </w:rPr>
        <w:t xml:space="preserve">EBSS carryover amounts </w:t>
      </w:r>
      <w:r w:rsidR="00436786">
        <w:rPr>
          <w:rStyle w:val="AERbody"/>
        </w:rPr>
        <w:t>for the 2010–</w:t>
      </w:r>
      <w:r w:rsidR="00436786" w:rsidRPr="00436786">
        <w:rPr>
          <w:rStyle w:val="AERbody"/>
        </w:rPr>
        <w:t>15 regulatory control period</w:t>
      </w:r>
      <w:r w:rsidR="00906A4E">
        <w:rPr>
          <w:rStyle w:val="AERbody"/>
        </w:rPr>
        <w:t xml:space="preserve"> and ours</w:t>
      </w:r>
      <w:r w:rsidR="00436786">
        <w:rPr>
          <w:rStyle w:val="AERbody"/>
        </w:rPr>
        <w:t xml:space="preserve">. </w:t>
      </w:r>
    </w:p>
    <w:p w:rsidR="00255BC6" w:rsidRDefault="00D617EB" w:rsidP="00171A62">
      <w:r>
        <w:rPr>
          <w:rStyle w:val="AERbody"/>
        </w:rPr>
        <w:t>The only adjustment we made to Energex's EBSS carryovers that was not explic</w:t>
      </w:r>
      <w:r w:rsidR="001166E4">
        <w:rPr>
          <w:rStyle w:val="AERbody"/>
        </w:rPr>
        <w:t>i</w:t>
      </w:r>
      <w:r>
        <w:rPr>
          <w:rStyle w:val="AERbody"/>
        </w:rPr>
        <w:t xml:space="preserve">tly stated in </w:t>
      </w:r>
      <w:r w:rsidR="004C418B">
        <w:rPr>
          <w:rStyle w:val="AERbody"/>
        </w:rPr>
        <w:t xml:space="preserve">our </w:t>
      </w:r>
      <w:r w:rsidR="00B966EB">
        <w:rPr>
          <w:rStyle w:val="AERbody"/>
        </w:rPr>
        <w:t>2010</w:t>
      </w:r>
      <w:r>
        <w:rPr>
          <w:rStyle w:val="AERbody"/>
        </w:rPr>
        <w:t xml:space="preserve"> determination for Energex was to exclude movements in provisions.</w:t>
      </w:r>
      <w:r w:rsidR="005D0839">
        <w:rPr>
          <w:rStyle w:val="FootnoteReference"/>
        </w:rPr>
        <w:footnoteReference w:id="21"/>
      </w:r>
      <w:r w:rsidR="004C418B">
        <w:rPr>
          <w:rStyle w:val="AERbody"/>
        </w:rPr>
        <w:t xml:space="preserve"> However w</w:t>
      </w:r>
      <w:r>
        <w:rPr>
          <w:rStyle w:val="AERbody"/>
        </w:rPr>
        <w:t>e have applied this approach in implementing the EBSS since the Victorian distribution determination in 2010.</w:t>
      </w:r>
      <w:r w:rsidR="005D0839">
        <w:rPr>
          <w:rStyle w:val="FootnoteReference"/>
        </w:rPr>
        <w:footnoteReference w:id="22"/>
      </w:r>
      <w:r>
        <w:rPr>
          <w:rStyle w:val="AERbody"/>
        </w:rPr>
        <w:t xml:space="preserve"> It is difficult to see how our approach lacks transparency. </w:t>
      </w:r>
      <w:r w:rsidR="00222BA8">
        <w:rPr>
          <w:rStyle w:val="AERbody"/>
        </w:rPr>
        <w:t xml:space="preserve">Our decision to exclude movements in provisions </w:t>
      </w:r>
      <w:r w:rsidR="00255BC6">
        <w:t>is discussed in more detail in our preliminary decision.</w:t>
      </w:r>
      <w:r w:rsidR="00255BC6">
        <w:rPr>
          <w:rStyle w:val="FootnoteReference"/>
        </w:rPr>
        <w:footnoteReference w:id="23"/>
      </w:r>
    </w:p>
    <w:p w:rsidR="00B73941" w:rsidRPr="00E974BF" w:rsidRDefault="00161A72" w:rsidP="00B73941">
      <w:pPr>
        <w:pStyle w:val="Heading3"/>
      </w:pPr>
      <w:bookmarkStart w:id="35" w:name="_Toc417508303"/>
      <w:bookmarkStart w:id="36" w:name="_Toc417721237"/>
      <w:bookmarkStart w:id="37" w:name="_Ref430873126"/>
      <w:bookmarkStart w:id="38" w:name="_Ref431560961"/>
      <w:bookmarkStart w:id="39" w:name="_Toc432853912"/>
      <w:r>
        <w:t xml:space="preserve">How the </w:t>
      </w:r>
      <w:r w:rsidR="00B73941">
        <w:t xml:space="preserve">EBSS </w:t>
      </w:r>
      <w:r>
        <w:t xml:space="preserve">will apply </w:t>
      </w:r>
      <w:r w:rsidR="00B73941">
        <w:t>in the 2015–20 regulatory control period</w:t>
      </w:r>
      <w:bookmarkEnd w:id="35"/>
      <w:bookmarkEnd w:id="36"/>
      <w:bookmarkEnd w:id="37"/>
      <w:bookmarkEnd w:id="38"/>
      <w:bookmarkEnd w:id="39"/>
    </w:p>
    <w:p w:rsidR="00A71D3E" w:rsidRDefault="004523B5" w:rsidP="00A71D3E">
      <w:r>
        <w:rPr>
          <w:rStyle w:val="AERbody"/>
        </w:rPr>
        <w:t>We have maintained o</w:t>
      </w:r>
      <w:r w:rsidR="00A71D3E">
        <w:rPr>
          <w:rStyle w:val="AERbody"/>
        </w:rPr>
        <w:t xml:space="preserve">ur </w:t>
      </w:r>
      <w:r>
        <w:rPr>
          <w:rStyle w:val="AERbody"/>
        </w:rPr>
        <w:t>preliminary</w:t>
      </w:r>
      <w:r w:rsidR="00A71D3E">
        <w:rPr>
          <w:rStyle w:val="AERbody"/>
        </w:rPr>
        <w:t xml:space="preserve"> decision</w:t>
      </w:r>
      <w:r w:rsidR="000B7096">
        <w:rPr>
          <w:rStyle w:val="AERbody"/>
        </w:rPr>
        <w:t xml:space="preserve"> </w:t>
      </w:r>
      <w:r w:rsidR="00A71D3E">
        <w:rPr>
          <w:rStyle w:val="AERbody"/>
        </w:rPr>
        <w:t>to</w:t>
      </w:r>
      <w:r w:rsidR="00A71D3E" w:rsidRPr="00A95046">
        <w:rPr>
          <w:rStyle w:val="AERbody"/>
        </w:rPr>
        <w:t xml:space="preserve"> apply version two of the EBSS</w:t>
      </w:r>
      <w:r w:rsidR="00A71D3E">
        <w:rPr>
          <w:rStyle w:val="AERbody"/>
        </w:rPr>
        <w:t xml:space="preserve"> </w:t>
      </w:r>
      <w:r w:rsidR="00A71D3E" w:rsidRPr="00A95046">
        <w:rPr>
          <w:rStyle w:val="AERbody"/>
        </w:rPr>
        <w:t xml:space="preserve">to </w:t>
      </w:r>
      <w:r w:rsidR="000B7096">
        <w:rPr>
          <w:rStyle w:val="AERbody"/>
        </w:rPr>
        <w:t xml:space="preserve">Energex in the </w:t>
      </w:r>
      <w:r w:rsidR="00A71D3E">
        <w:rPr>
          <w:rStyle w:val="AERbody"/>
        </w:rPr>
        <w:t>2015–20 regulatory control period.</w:t>
      </w:r>
      <w:r w:rsidR="00A71D3E" w:rsidRPr="00A95046">
        <w:t xml:space="preserve"> </w:t>
      </w:r>
    </w:p>
    <w:p w:rsidR="00A71D3E" w:rsidRPr="00A95046" w:rsidRDefault="00A71D3E" w:rsidP="00A71D3E">
      <w:pPr>
        <w:rPr>
          <w:rStyle w:val="AERbody"/>
        </w:rPr>
      </w:pPr>
      <w:r w:rsidRPr="00A95046">
        <w:t xml:space="preserve">Version </w:t>
      </w:r>
      <w:r>
        <w:t>two</w:t>
      </w:r>
      <w:r w:rsidRPr="00A95046">
        <w:t xml:space="preserve"> of the EBSS specifies our approach to determining the length of the carryover period, calculating the incremental efficiency gains and adjusting forecast or actual opex when calculating carryover amounts. </w:t>
      </w:r>
      <w:r>
        <w:t>These are detailed below.</w:t>
      </w:r>
    </w:p>
    <w:p w:rsidR="00A71D3E" w:rsidRDefault="00A71D3E" w:rsidP="00B966EB">
      <w:pPr>
        <w:pStyle w:val="HeadingBoldBlue"/>
      </w:pPr>
      <w:bookmarkStart w:id="40" w:name="_Toc411326655"/>
      <w:bookmarkStart w:id="41" w:name="_Toc416871312"/>
      <w:bookmarkStart w:id="42" w:name="_Toc432755553"/>
      <w:bookmarkStart w:id="43" w:name="_Toc432853913"/>
      <w:r>
        <w:t>Length of carryover period</w:t>
      </w:r>
      <w:bookmarkEnd w:id="40"/>
      <w:bookmarkEnd w:id="41"/>
      <w:bookmarkEnd w:id="42"/>
      <w:bookmarkEnd w:id="43"/>
    </w:p>
    <w:p w:rsidR="00A71D3E" w:rsidRDefault="00A71D3E" w:rsidP="00A71D3E">
      <w:pPr>
        <w:numPr>
          <w:ilvl w:val="0"/>
          <w:numId w:val="25"/>
        </w:numPr>
      </w:pPr>
      <w:r>
        <w:t xml:space="preserve">The length of the carryover period for the 2015–20 regulatory control </w:t>
      </w:r>
      <w:proofErr w:type="gramStart"/>
      <w:r>
        <w:t>period</w:t>
      </w:r>
      <w:proofErr w:type="gramEnd"/>
      <w:r>
        <w:t xml:space="preserve"> will be five years. This aligns the EBSS carryover period with the length of Energex's regulatory control periods. </w:t>
      </w:r>
    </w:p>
    <w:p w:rsidR="00A71D3E" w:rsidRDefault="00A71D3E" w:rsidP="00B966EB">
      <w:pPr>
        <w:pStyle w:val="HeadingBoldBlue"/>
      </w:pPr>
      <w:bookmarkStart w:id="44" w:name="_Toc411326656"/>
      <w:bookmarkStart w:id="45" w:name="_Toc416871313"/>
      <w:bookmarkStart w:id="46" w:name="_Toc432755554"/>
      <w:bookmarkStart w:id="47" w:name="_Toc432853914"/>
      <w:r>
        <w:t>Incremental efficiency gains</w:t>
      </w:r>
      <w:bookmarkEnd w:id="44"/>
      <w:bookmarkEnd w:id="45"/>
      <w:bookmarkEnd w:id="46"/>
      <w:bookmarkEnd w:id="47"/>
    </w:p>
    <w:p w:rsidR="00A71D3E" w:rsidRDefault="00A71D3E" w:rsidP="00A71D3E">
      <w:pPr>
        <w:numPr>
          <w:ilvl w:val="0"/>
          <w:numId w:val="25"/>
        </w:numPr>
      </w:pPr>
      <w:r>
        <w:t>We will calculate incremental efficiency gains differently depending on whether they are in:</w:t>
      </w:r>
    </w:p>
    <w:p w:rsidR="00A71D3E" w:rsidRPr="006E608B" w:rsidRDefault="00A71D3E" w:rsidP="00A71D3E">
      <w:pPr>
        <w:pStyle w:val="AERbulletlistfirststyle"/>
      </w:pPr>
      <w:r>
        <w:t>the first regulatory year</w:t>
      </w:r>
    </w:p>
    <w:p w:rsidR="00A71D3E" w:rsidRPr="006E608B" w:rsidRDefault="00A71D3E" w:rsidP="00A71D3E">
      <w:pPr>
        <w:pStyle w:val="AERbulletlistfirststyle"/>
      </w:pPr>
      <w:r>
        <w:t>the second regulatory year to the penultimate regulatory year</w:t>
      </w:r>
    </w:p>
    <w:p w:rsidR="00A71D3E" w:rsidRPr="006E608B" w:rsidRDefault="00A71D3E" w:rsidP="00A71D3E">
      <w:pPr>
        <w:pStyle w:val="AERbulletlistfirststyle"/>
      </w:pPr>
      <w:proofErr w:type="gramStart"/>
      <w:r>
        <w:t>the</w:t>
      </w:r>
      <w:proofErr w:type="gramEnd"/>
      <w:r>
        <w:t xml:space="preserve"> final regulatory year.</w:t>
      </w:r>
    </w:p>
    <w:p w:rsidR="00A71D3E" w:rsidRDefault="00A71D3E" w:rsidP="00A71D3E">
      <w:pPr>
        <w:numPr>
          <w:ilvl w:val="0"/>
          <w:numId w:val="25"/>
        </w:numPr>
      </w:pPr>
      <w:r>
        <w:t>We will do this according to the formulas set out in version two of the EBSS.</w:t>
      </w:r>
      <w:r>
        <w:rPr>
          <w:rStyle w:val="FootnoteReference"/>
        </w:rPr>
        <w:footnoteReference w:id="24"/>
      </w:r>
      <w:r>
        <w:t xml:space="preserve"> </w:t>
      </w:r>
    </w:p>
    <w:p w:rsidR="00A71D3E" w:rsidRDefault="00A71D3E" w:rsidP="00A71D3E">
      <w:pPr>
        <w:numPr>
          <w:ilvl w:val="0"/>
          <w:numId w:val="25"/>
        </w:numPr>
      </w:pPr>
      <w:r>
        <w:t xml:space="preserve">When calculating actual opex under the EBSS we will </w:t>
      </w:r>
      <w:r w:rsidRPr="006F6CCB">
        <w:t xml:space="preserve">adjust </w:t>
      </w:r>
      <w:r>
        <w:t xml:space="preserve">reported </w:t>
      </w:r>
      <w:r w:rsidRPr="006F6CCB">
        <w:t xml:space="preserve">actual opex for the </w:t>
      </w:r>
      <w:r>
        <w:t>2015–20 regulatory control period</w:t>
      </w:r>
      <w:r w:rsidRPr="006F6CCB">
        <w:t xml:space="preserve"> to rever</w:t>
      </w:r>
      <w:r>
        <w:t xml:space="preserve">se any movements in provisions. We </w:t>
      </w:r>
      <w:r>
        <w:lastRenderedPageBreak/>
        <w:t>consider actual opex net of movement in provisions best reflects the actual opex incurred by the service provider during the regulatory control period.</w:t>
      </w:r>
    </w:p>
    <w:p w:rsidR="00A71D3E" w:rsidRDefault="00A71D3E" w:rsidP="00B966EB">
      <w:pPr>
        <w:pStyle w:val="HeadingBoldBlue"/>
      </w:pPr>
      <w:bookmarkStart w:id="48" w:name="_Toc411326657"/>
      <w:bookmarkStart w:id="49" w:name="_Toc416871314"/>
      <w:bookmarkStart w:id="50" w:name="_Toc432755555"/>
      <w:bookmarkStart w:id="51" w:name="_Toc432853915"/>
      <w:r>
        <w:t>Adjustments to forecast or actual opex when calculating carryover amounts</w:t>
      </w:r>
      <w:bookmarkEnd w:id="48"/>
      <w:bookmarkEnd w:id="49"/>
      <w:bookmarkEnd w:id="50"/>
      <w:bookmarkEnd w:id="51"/>
    </w:p>
    <w:p w:rsidR="000F2D08" w:rsidRPr="000F2D08" w:rsidRDefault="000F2D08" w:rsidP="000F2D08">
      <w:r w:rsidRPr="000F2D08">
        <w:t xml:space="preserve">The EBSS allows for exclusions of categories of costs from the EBSS where we do not use a single year revealed cost forecasting approach. </w:t>
      </w:r>
      <w:r w:rsidR="00736E04" w:rsidRPr="00736E04">
        <w:t>This is designed to fairly share efficiency gains and losses. For instance, where a service provider achieves efficiency improvements, it receives a benefit through the EBSS and consumers receive a benefit through lower forecast opex in the next period. This is the way consumers and the service provider share in the benefits of an efficiency improvement.</w:t>
      </w:r>
      <w:r w:rsidRPr="000F2D08">
        <w:t xml:space="preserve"> </w:t>
      </w:r>
    </w:p>
    <w:p w:rsidR="00736E04" w:rsidRPr="00736E04" w:rsidRDefault="00736E04" w:rsidP="00736E04">
      <w:pPr>
        <w:numPr>
          <w:ilvl w:val="0"/>
          <w:numId w:val="25"/>
        </w:numPr>
      </w:pPr>
      <w:r w:rsidRPr="00736E04">
        <w:t>If we do not use a single year revealed cost forecasting approach, lower actual opex will not necessarily be passed through to consumers. Consumers should not pay for EBSS benefits where they do not receive the benefits of a lower opex forecast.</w:t>
      </w:r>
    </w:p>
    <w:p w:rsidR="00A71D3E" w:rsidRPr="00877DAE" w:rsidRDefault="00A71D3E" w:rsidP="00A71D3E">
      <w:pPr>
        <w:rPr>
          <w:rStyle w:val="AERbody"/>
        </w:rPr>
      </w:pPr>
      <w:r w:rsidRPr="00D55DB8">
        <w:rPr>
          <w:rStyle w:val="AERbody"/>
        </w:rPr>
        <w:t xml:space="preserve">We </w:t>
      </w:r>
      <w:r w:rsidR="0006496D">
        <w:rPr>
          <w:rStyle w:val="AERbody"/>
        </w:rPr>
        <w:t>will</w:t>
      </w:r>
      <w:r w:rsidRPr="00D55DB8">
        <w:rPr>
          <w:rStyle w:val="AERbody"/>
        </w:rPr>
        <w:t xml:space="preserve"> exclude debt raising costs</w:t>
      </w:r>
      <w:r>
        <w:rPr>
          <w:rStyle w:val="AERbody"/>
        </w:rPr>
        <w:t xml:space="preserve"> </w:t>
      </w:r>
      <w:r w:rsidRPr="0033489E">
        <w:rPr>
          <w:rStyle w:val="AERbody"/>
        </w:rPr>
        <w:t xml:space="preserve">and the </w:t>
      </w:r>
      <w:r>
        <w:t>demand management innovation allowance (</w:t>
      </w:r>
      <w:r w:rsidRPr="0033489E">
        <w:rPr>
          <w:rStyle w:val="AERbody"/>
        </w:rPr>
        <w:t>DMIA</w:t>
      </w:r>
      <w:r>
        <w:rPr>
          <w:rStyle w:val="AERbody"/>
        </w:rPr>
        <w:t>)</w:t>
      </w:r>
      <w:r w:rsidRPr="0033489E">
        <w:rPr>
          <w:rStyle w:val="AERbody"/>
        </w:rPr>
        <w:t xml:space="preserve"> </w:t>
      </w:r>
      <w:r w:rsidRPr="00D55DB8">
        <w:rPr>
          <w:rStyle w:val="AERbody"/>
        </w:rPr>
        <w:t>from the EBSS</w:t>
      </w:r>
      <w:r w:rsidRPr="0033489E">
        <w:rPr>
          <w:rStyle w:val="AERbody"/>
        </w:rPr>
        <w:t xml:space="preserve"> </w:t>
      </w:r>
      <w:r w:rsidR="008B5571" w:rsidRPr="008B5571">
        <w:rPr>
          <w:rStyle w:val="AERbody"/>
        </w:rPr>
        <w:t>because the forecasts for these categories are not based on a single year of revealed expenditure</w:t>
      </w:r>
      <w:r w:rsidRPr="00833B22">
        <w:rPr>
          <w:rStyle w:val="AERbody"/>
        </w:rPr>
        <w:t>.</w:t>
      </w:r>
    </w:p>
    <w:p w:rsidR="00A71D3E" w:rsidRDefault="00A71D3E" w:rsidP="00A71D3E">
      <w:r>
        <w:t xml:space="preserve">In addition to the excluded cost category we will also: </w:t>
      </w:r>
    </w:p>
    <w:p w:rsidR="00A71D3E" w:rsidRPr="006E608B" w:rsidRDefault="00A71D3E" w:rsidP="00A71D3E">
      <w:pPr>
        <w:pStyle w:val="AERbulletlistfirststyle"/>
      </w:pPr>
      <w:proofErr w:type="gramStart"/>
      <w:r w:rsidRPr="00A95046">
        <w:t>adjust</w:t>
      </w:r>
      <w:proofErr w:type="gramEnd"/>
      <w:r w:rsidRPr="00A95046">
        <w:t xml:space="preserve"> forecast opex to add (subtract) any approved revenue increments (decrements) made after the initial regulatory determination. This may include approved pass through amounts </w:t>
      </w:r>
    </w:p>
    <w:p w:rsidR="00A71D3E" w:rsidRPr="006E608B" w:rsidRDefault="00A71D3E" w:rsidP="00A71D3E">
      <w:pPr>
        <w:pStyle w:val="AERbulletlistfirststyle"/>
      </w:pPr>
      <w:r w:rsidRPr="00A95046">
        <w:t>adjust actual opex to add capitalised opex that has been excluded</w:t>
      </w:r>
      <w:r w:rsidRPr="006E608B">
        <w:t xml:space="preserve"> from the RAB </w:t>
      </w:r>
    </w:p>
    <w:p w:rsidR="00A71D3E" w:rsidRPr="006E608B" w:rsidRDefault="00A71D3E" w:rsidP="00A71D3E">
      <w:pPr>
        <w:pStyle w:val="AERbulletlistfirststyle"/>
      </w:pPr>
      <w:proofErr w:type="gramStart"/>
      <w:r w:rsidRPr="00A95046">
        <w:t>exclude</w:t>
      </w:r>
      <w:proofErr w:type="gramEnd"/>
      <w:r w:rsidRPr="00A95046">
        <w:t xml:space="preserve"> categories of opex not forecast using a single year revealed cost approach for the regulatory control period beginning in 20</w:t>
      </w:r>
      <w:r w:rsidRPr="006E608B">
        <w:t xml:space="preserve">20 where doing so better achieves the requirements of clause </w:t>
      </w:r>
      <w:r>
        <w:t>6.5.8</w:t>
      </w:r>
      <w:r w:rsidRPr="006E608B">
        <w:t xml:space="preserve"> of the NER.</w:t>
      </w:r>
    </w:p>
    <w:p w:rsidR="00CE7359" w:rsidRPr="00AC6285" w:rsidRDefault="00CE7359" w:rsidP="00AC6285"/>
    <w:sectPr w:rsidR="00CE7359" w:rsidRPr="00AC6285" w:rsidSect="00DE563D">
      <w:footerReference w:type="even" r:id="rId15"/>
      <w:footerReference w:type="default" r:id="rId16"/>
      <w:footerReference w:type="first" r:id="rId1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86" w:rsidRPr="00290C63" w:rsidRDefault="00436786" w:rsidP="00290C63">
      <w:r>
        <w:separator/>
      </w:r>
    </w:p>
    <w:p w:rsidR="00436786" w:rsidRDefault="00436786"/>
  </w:endnote>
  <w:endnote w:type="continuationSeparator" w:id="0">
    <w:p w:rsidR="00436786" w:rsidRPr="00290C63" w:rsidRDefault="00436786" w:rsidP="00290C63">
      <w:r>
        <w:continuationSeparator/>
      </w:r>
    </w:p>
    <w:p w:rsidR="00436786" w:rsidRDefault="00436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86" w:rsidRPr="00290C63" w:rsidRDefault="0043678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36786" w:rsidRDefault="00436786"/>
  <w:p w:rsidR="00436786" w:rsidRDefault="00436786"/>
  <w:p w:rsidR="00436786" w:rsidRDefault="00436786"/>
  <w:p w:rsidR="00436786" w:rsidRDefault="00436786"/>
  <w:p w:rsidR="00436786" w:rsidRDefault="00436786"/>
  <w:p w:rsidR="00436786" w:rsidRDefault="00436786"/>
  <w:p w:rsidR="00436786" w:rsidRDefault="004367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784"/>
      <w:docPartObj>
        <w:docPartGallery w:val="Page Numbers (Bottom of Page)"/>
        <w:docPartUnique/>
      </w:docPartObj>
    </w:sdtPr>
    <w:sdtEndPr>
      <w:rPr>
        <w:noProof/>
      </w:rPr>
    </w:sdtEndPr>
    <w:sdtContent>
      <w:p w:rsidR="00436786" w:rsidRDefault="00436786">
        <w:pPr>
          <w:pStyle w:val="Footer"/>
        </w:pPr>
        <w:r>
          <w:t>9-</w:t>
        </w:r>
        <w:r>
          <w:fldChar w:fldCharType="begin"/>
        </w:r>
        <w:r>
          <w:instrText xml:space="preserve"> PAGE   \* MERGEFORMAT </w:instrText>
        </w:r>
        <w:r>
          <w:fldChar w:fldCharType="separate"/>
        </w:r>
        <w:r w:rsidR="00382C6B">
          <w:rPr>
            <w:noProof/>
          </w:rPr>
          <w:t>2</w:t>
        </w:r>
        <w:r>
          <w:rPr>
            <w:noProof/>
          </w:rPr>
          <w:fldChar w:fldCharType="end"/>
        </w:r>
        <w:r>
          <w:rPr>
            <w:noProof/>
          </w:rPr>
          <w:t xml:space="preserve">      </w:t>
        </w:r>
        <w:r>
          <w:t xml:space="preserve">           </w:t>
        </w:r>
        <w:r>
          <w:rPr>
            <w:noProof/>
          </w:rPr>
          <w:t xml:space="preserve">  Attachment </w:t>
        </w:r>
        <w:r>
          <w:t xml:space="preserve">9 </w:t>
        </w:r>
        <w:r>
          <w:rPr>
            <w:rFonts w:cs="Gautami"/>
            <w:noProof/>
          </w:rPr>
          <w:t xml:space="preserve">– </w:t>
        </w:r>
        <w:r>
          <w:t>EBSS</w:t>
        </w:r>
        <w:r>
          <w:rPr>
            <w:rFonts w:cs="Gautami"/>
            <w:noProof/>
          </w:rPr>
          <w:t xml:space="preserve"> | </w:t>
        </w:r>
        <w:r>
          <w:t>Energex</w:t>
        </w:r>
        <w:r>
          <w:rPr>
            <w:rFonts w:cs="Gautami"/>
            <w:noProof/>
          </w:rPr>
          <w:t xml:space="preserve"> determination 2015–20</w:t>
        </w:r>
      </w:p>
    </w:sdtContent>
  </w:sdt>
  <w:p w:rsidR="00436786" w:rsidRDefault="004367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86" w:rsidRPr="00290C63" w:rsidRDefault="0043678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36786" w:rsidRDefault="00436786">
    <w:pPr>
      <w:pStyle w:val="Footer"/>
    </w:pPr>
  </w:p>
  <w:p w:rsidR="00436786" w:rsidRDefault="00436786"/>
  <w:p w:rsidR="00436786" w:rsidRDefault="00436786"/>
  <w:p w:rsidR="00436786" w:rsidRDefault="00436786"/>
  <w:p w:rsidR="00436786" w:rsidRDefault="00436786"/>
  <w:p w:rsidR="00436786" w:rsidRDefault="00436786"/>
  <w:p w:rsidR="00436786" w:rsidRDefault="00436786"/>
  <w:p w:rsidR="00436786" w:rsidRDefault="0043678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86" w:rsidRPr="00290C63" w:rsidRDefault="0043678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36786" w:rsidRDefault="00436786"/>
  <w:p w:rsidR="00436786" w:rsidRDefault="00436786"/>
  <w:p w:rsidR="00436786" w:rsidRDefault="00436786"/>
  <w:p w:rsidR="00436786" w:rsidRDefault="00436786"/>
  <w:p w:rsidR="00436786" w:rsidRDefault="00436786"/>
  <w:p w:rsidR="00436786" w:rsidRDefault="00436786"/>
  <w:p w:rsidR="00436786" w:rsidRDefault="0043678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436786" w:rsidRDefault="00436786">
        <w:pPr>
          <w:pStyle w:val="Footer"/>
        </w:pPr>
        <w:r>
          <w:t>9-</w:t>
        </w:r>
        <w:r>
          <w:fldChar w:fldCharType="begin"/>
        </w:r>
        <w:r>
          <w:instrText xml:space="preserve"> PAGE   \* MERGEFORMAT </w:instrText>
        </w:r>
        <w:r>
          <w:fldChar w:fldCharType="separate"/>
        </w:r>
        <w:r w:rsidR="00BB5051">
          <w:rPr>
            <w:noProof/>
          </w:rPr>
          <w:t>6</w:t>
        </w:r>
        <w:r>
          <w:rPr>
            <w:noProof/>
          </w:rPr>
          <w:fldChar w:fldCharType="end"/>
        </w:r>
        <w:r>
          <w:rPr>
            <w:noProof/>
          </w:rPr>
          <w:t xml:space="preserve">      </w:t>
        </w:r>
        <w:r>
          <w:t xml:space="preserve">           </w:t>
        </w:r>
        <w:r>
          <w:rPr>
            <w:noProof/>
          </w:rPr>
          <w:t xml:space="preserve">  Attachment </w:t>
        </w:r>
        <w:r>
          <w:t xml:space="preserve">9 </w:t>
        </w:r>
        <w:r>
          <w:rPr>
            <w:rFonts w:cs="Gautami"/>
            <w:noProof/>
          </w:rPr>
          <w:t xml:space="preserve">– </w:t>
        </w:r>
        <w:r>
          <w:t>EBSS</w:t>
        </w:r>
        <w:r>
          <w:rPr>
            <w:rFonts w:cs="Gautami"/>
            <w:noProof/>
          </w:rPr>
          <w:t xml:space="preserve"> | </w:t>
        </w:r>
        <w:r>
          <w:t>Energex</w:t>
        </w:r>
        <w:r>
          <w:rPr>
            <w:rFonts w:cs="Gautami"/>
            <w:noProof/>
          </w:rPr>
          <w:t xml:space="preserve"> determination 2015–20</w:t>
        </w:r>
      </w:p>
    </w:sdtContent>
  </w:sdt>
  <w:p w:rsidR="00436786" w:rsidRDefault="004367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86" w:rsidRPr="00290C63" w:rsidRDefault="0043678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36786" w:rsidRDefault="00436786">
    <w:pPr>
      <w:pStyle w:val="Footer"/>
    </w:pPr>
  </w:p>
  <w:p w:rsidR="00436786" w:rsidRDefault="00436786"/>
  <w:p w:rsidR="00436786" w:rsidRDefault="00436786"/>
  <w:p w:rsidR="00436786" w:rsidRDefault="00436786"/>
  <w:p w:rsidR="00436786" w:rsidRDefault="00436786"/>
  <w:p w:rsidR="00436786" w:rsidRDefault="00436786"/>
  <w:p w:rsidR="00436786" w:rsidRDefault="00436786"/>
  <w:p w:rsidR="00436786" w:rsidRDefault="004367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86" w:rsidRPr="00290C63" w:rsidRDefault="00436786" w:rsidP="00290C63">
      <w:r>
        <w:separator/>
      </w:r>
    </w:p>
    <w:p w:rsidR="00436786" w:rsidRDefault="00436786"/>
  </w:footnote>
  <w:footnote w:type="continuationSeparator" w:id="0">
    <w:p w:rsidR="00436786" w:rsidRPr="00290C63" w:rsidRDefault="00436786" w:rsidP="00290C63">
      <w:r>
        <w:continuationSeparator/>
      </w:r>
    </w:p>
    <w:p w:rsidR="00436786" w:rsidRDefault="00436786"/>
  </w:footnote>
  <w:footnote w:id="1">
    <w:p w:rsidR="00436786" w:rsidRDefault="00436786" w:rsidP="008C50B6">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2">
    <w:p w:rsidR="00894F5D" w:rsidRDefault="00894F5D">
      <w:pPr>
        <w:pStyle w:val="FootnoteText"/>
      </w:pPr>
      <w:r>
        <w:rPr>
          <w:rStyle w:val="FootnoteReference"/>
        </w:rPr>
        <w:footnoteRef/>
      </w:r>
      <w:r>
        <w:t xml:space="preserve"> </w:t>
      </w:r>
      <w:r>
        <w:tab/>
      </w:r>
      <w:r w:rsidRPr="00894F5D">
        <w:t xml:space="preserve">AER, </w:t>
      </w:r>
      <w:r w:rsidRPr="00894F5D">
        <w:rPr>
          <w:rStyle w:val="AERtextitalic"/>
        </w:rPr>
        <w:t>Electricity distribution network service providers Efficiency benefit sharing scheme</w:t>
      </w:r>
      <w:r w:rsidRPr="00894F5D">
        <w:t>, June 2008.</w:t>
      </w:r>
    </w:p>
  </w:footnote>
  <w:footnote w:id="3">
    <w:p w:rsidR="004C1671" w:rsidRDefault="004C1671">
      <w:pPr>
        <w:pStyle w:val="FootnoteText"/>
      </w:pPr>
      <w:r>
        <w:rPr>
          <w:rStyle w:val="FootnoteReference"/>
        </w:rPr>
        <w:footnoteRef/>
      </w:r>
      <w:r>
        <w:t xml:space="preserve"> </w:t>
      </w:r>
      <w:r>
        <w:tab/>
      </w:r>
      <w:proofErr w:type="gramStart"/>
      <w:r w:rsidR="00894F5D" w:rsidRPr="00894F5D">
        <w:t xml:space="preserve">AER, </w:t>
      </w:r>
      <w:r w:rsidR="00894F5D" w:rsidRPr="00894F5D">
        <w:rPr>
          <w:rStyle w:val="AERtextitalic"/>
        </w:rPr>
        <w:t>Efficiency benefit sharing scheme for electricity network service providers</w:t>
      </w:r>
      <w:r w:rsidR="00894F5D" w:rsidRPr="00894F5D">
        <w:t>, November 2013.</w:t>
      </w:r>
      <w:proofErr w:type="gramEnd"/>
    </w:p>
  </w:footnote>
  <w:footnote w:id="4">
    <w:p w:rsidR="00436786" w:rsidRDefault="00436786">
      <w:pPr>
        <w:pStyle w:val="FootnoteText"/>
      </w:pPr>
      <w:r>
        <w:rPr>
          <w:rStyle w:val="FootnoteReference"/>
        </w:rPr>
        <w:footnoteRef/>
      </w:r>
      <w:r>
        <w:t xml:space="preserve"> </w:t>
      </w:r>
      <w:r>
        <w:tab/>
        <w:t xml:space="preserve">AER, </w:t>
      </w:r>
      <w:r w:rsidRPr="004F2834">
        <w:rPr>
          <w:rStyle w:val="AERtextitalic"/>
        </w:rPr>
        <w:t>Preliminary decision, Energex determination 2015-20, Attachment 9</w:t>
      </w:r>
      <w:r w:rsidR="00992F9F">
        <w:t xml:space="preserve">, April 2015, p. </w:t>
      </w:r>
      <w:r>
        <w:t>6.</w:t>
      </w:r>
    </w:p>
  </w:footnote>
  <w:footnote w:id="5">
    <w:p w:rsidR="00436786" w:rsidRDefault="00436786" w:rsidP="00CB6B74">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w:t>
      </w:r>
      <w:proofErr w:type="gramEnd"/>
    </w:p>
  </w:footnote>
  <w:footnote w:id="6">
    <w:p w:rsidR="00436786" w:rsidRDefault="00436786">
      <w:pPr>
        <w:pStyle w:val="FootnoteText"/>
      </w:pPr>
      <w:r>
        <w:rPr>
          <w:rStyle w:val="FootnoteReference"/>
        </w:rPr>
        <w:footnoteRef/>
      </w:r>
      <w:r>
        <w:t xml:space="preserve"> </w:t>
      </w:r>
      <w:r>
        <w:tab/>
        <w:t>Energex</w:t>
      </w:r>
      <w:r w:rsidRPr="00CE7359">
        <w:rPr>
          <w:rStyle w:val="AERtextitalic"/>
        </w:rPr>
        <w:t>, Revised regulatory proposal</w:t>
      </w:r>
      <w:r>
        <w:t>, October 2015, p. 129.</w:t>
      </w:r>
    </w:p>
  </w:footnote>
  <w:footnote w:id="7">
    <w:p w:rsidR="005906F8" w:rsidRDefault="005906F8">
      <w:pPr>
        <w:pStyle w:val="FootnoteText"/>
      </w:pPr>
      <w:r>
        <w:rPr>
          <w:rStyle w:val="FootnoteReference"/>
        </w:rPr>
        <w:footnoteRef/>
      </w:r>
      <w:r>
        <w:t xml:space="preserve"> </w:t>
      </w:r>
      <w:r>
        <w:tab/>
      </w:r>
      <w:proofErr w:type="gramStart"/>
      <w:r>
        <w:t xml:space="preserve">Alliance of Energy Consumers, </w:t>
      </w:r>
      <w:r w:rsidRPr="005906F8">
        <w:rPr>
          <w:rStyle w:val="AERtextitalic"/>
        </w:rPr>
        <w:t>Submission to the AER's preliminary decision (Queensland)</w:t>
      </w:r>
      <w:r>
        <w:t>, 3 July 2015, p. 30.</w:t>
      </w:r>
      <w:proofErr w:type="gramEnd"/>
      <w:r>
        <w:t xml:space="preserve"> </w:t>
      </w:r>
    </w:p>
  </w:footnote>
  <w:footnote w:id="8">
    <w:p w:rsidR="00C84B81" w:rsidRDefault="00C84B81">
      <w:pPr>
        <w:pStyle w:val="FootnoteText"/>
      </w:pPr>
      <w:r>
        <w:rPr>
          <w:rStyle w:val="FootnoteReference"/>
        </w:rPr>
        <w:footnoteRef/>
      </w:r>
      <w:r>
        <w:t xml:space="preserve"> </w:t>
      </w:r>
      <w:r>
        <w:tab/>
      </w:r>
      <w:proofErr w:type="gramStart"/>
      <w:r>
        <w:t>NER, cl. 6.5.8(a).</w:t>
      </w:r>
      <w:proofErr w:type="gramEnd"/>
    </w:p>
  </w:footnote>
  <w:footnote w:id="9">
    <w:p w:rsidR="00436786" w:rsidRDefault="00436786" w:rsidP="008C50B6">
      <w:pPr>
        <w:pStyle w:val="FootnoteText"/>
      </w:pPr>
      <w:r>
        <w:rPr>
          <w:rStyle w:val="FootnoteReference"/>
        </w:rPr>
        <w:footnoteRef/>
      </w:r>
      <w:r>
        <w:t xml:space="preserve"> </w:t>
      </w:r>
      <w:r>
        <w:tab/>
        <w:t>NER, cl. 6.4.3(a</w:t>
      </w:r>
      <w:proofErr w:type="gramStart"/>
      <w:r>
        <w:t>)(</w:t>
      </w:r>
      <w:proofErr w:type="gramEnd"/>
      <w:r>
        <w:t>5).</w:t>
      </w:r>
    </w:p>
  </w:footnote>
  <w:footnote w:id="10">
    <w:p w:rsidR="00436786" w:rsidRDefault="00436786" w:rsidP="008C50B6">
      <w:pPr>
        <w:pStyle w:val="FootnoteText"/>
      </w:pPr>
      <w:r>
        <w:rPr>
          <w:rStyle w:val="FootnoteReference"/>
        </w:rPr>
        <w:footnoteRef/>
      </w:r>
      <w:r>
        <w:t xml:space="preserve"> </w:t>
      </w:r>
      <w:r>
        <w:tab/>
        <w:t>NER, cl. 6.3.2(a</w:t>
      </w:r>
      <w:proofErr w:type="gramStart"/>
      <w:r>
        <w:t>)(</w:t>
      </w:r>
      <w:proofErr w:type="gramEnd"/>
      <w:r>
        <w:t>3); cl. 6.12.1(9).</w:t>
      </w:r>
    </w:p>
  </w:footnote>
  <w:footnote w:id="11">
    <w:p w:rsidR="00436786" w:rsidRDefault="00436786" w:rsidP="008C50B6">
      <w:pPr>
        <w:pStyle w:val="FootnoteText"/>
      </w:pPr>
      <w:r>
        <w:rPr>
          <w:rStyle w:val="FootnoteReference"/>
        </w:rPr>
        <w:footnoteRef/>
      </w:r>
      <w:r>
        <w:t xml:space="preserve"> </w:t>
      </w:r>
      <w:r>
        <w:tab/>
      </w:r>
      <w:proofErr w:type="gramStart"/>
      <w:r>
        <w:t>NER, cl. 6.5.8(a).</w:t>
      </w:r>
      <w:proofErr w:type="gramEnd"/>
    </w:p>
  </w:footnote>
  <w:footnote w:id="12">
    <w:p w:rsidR="00436786" w:rsidRDefault="00436786" w:rsidP="008C50B6">
      <w:pPr>
        <w:pStyle w:val="FootnoteText"/>
      </w:pPr>
      <w:r>
        <w:rPr>
          <w:rStyle w:val="FootnoteReference"/>
        </w:rPr>
        <w:footnoteRef/>
      </w:r>
      <w:r>
        <w:t xml:space="preserve"> </w:t>
      </w:r>
      <w:r>
        <w:tab/>
      </w:r>
      <w:proofErr w:type="gramStart"/>
      <w:r>
        <w:t>NER, cl. 6.5.8(c).</w:t>
      </w:r>
      <w:proofErr w:type="gramEnd"/>
    </w:p>
  </w:footnote>
  <w:footnote w:id="13">
    <w:p w:rsidR="00436786" w:rsidRDefault="00436786" w:rsidP="008C50B6">
      <w:pPr>
        <w:pStyle w:val="FootnoteText"/>
      </w:pPr>
      <w:r>
        <w:rPr>
          <w:rStyle w:val="FootnoteReference"/>
        </w:rPr>
        <w:footnoteRef/>
      </w:r>
      <w:r>
        <w:t xml:space="preserve"> </w:t>
      </w:r>
      <w:r>
        <w:tab/>
        <w:t>NER, cl. 6.4.3(a</w:t>
      </w:r>
      <w:proofErr w:type="gramStart"/>
      <w:r>
        <w:t>)(</w:t>
      </w:r>
      <w:proofErr w:type="gramEnd"/>
      <w:r>
        <w:t>4),(5).</w:t>
      </w:r>
    </w:p>
  </w:footnote>
  <w:footnote w:id="14">
    <w:p w:rsidR="00436786" w:rsidRDefault="00436786" w:rsidP="008C50B6">
      <w:pPr>
        <w:pStyle w:val="FootnoteText"/>
      </w:pPr>
      <w:r>
        <w:rPr>
          <w:rStyle w:val="FootnoteReference"/>
        </w:rPr>
        <w:footnoteRef/>
      </w:r>
      <w:r>
        <w:t xml:space="preserve"> </w:t>
      </w:r>
      <w:r>
        <w:tab/>
        <w:t xml:space="preserve">NER, cl. </w:t>
      </w:r>
      <w:proofErr w:type="gramStart"/>
      <w:r>
        <w:t>6.5.8A(</w:t>
      </w:r>
      <w:proofErr w:type="gramEnd"/>
      <w:r>
        <w:t xml:space="preserve">d). </w:t>
      </w:r>
    </w:p>
  </w:footnote>
  <w:footnote w:id="15">
    <w:p w:rsidR="00513243" w:rsidRDefault="00513243">
      <w:pPr>
        <w:pStyle w:val="FootnoteText"/>
      </w:pPr>
      <w:r>
        <w:rPr>
          <w:rStyle w:val="FootnoteReference"/>
        </w:rPr>
        <w:footnoteRef/>
      </w:r>
      <w:r>
        <w:t xml:space="preserve"> </w:t>
      </w:r>
      <w:r>
        <w:tab/>
      </w:r>
      <w:r w:rsidRPr="00513243">
        <w:t xml:space="preserve">Energex, </w:t>
      </w:r>
      <w:r w:rsidRPr="00513243">
        <w:rPr>
          <w:rStyle w:val="AERtextitalic"/>
        </w:rPr>
        <w:t>Revised regulatory proposal</w:t>
      </w:r>
      <w:r w:rsidR="00FF06E8">
        <w:t>, October 2015, p. 187</w:t>
      </w:r>
      <w:r w:rsidRPr="00513243">
        <w:t>.</w:t>
      </w:r>
    </w:p>
  </w:footnote>
  <w:footnote w:id="16">
    <w:p w:rsidR="00436786" w:rsidRDefault="00436786" w:rsidP="00470309">
      <w:pPr>
        <w:pStyle w:val="FootnoteText"/>
      </w:pPr>
      <w:r>
        <w:rPr>
          <w:rStyle w:val="FootnoteReference"/>
        </w:rPr>
        <w:footnoteRef/>
      </w:r>
      <w:r>
        <w:t xml:space="preserve"> </w:t>
      </w:r>
      <w:r>
        <w:tab/>
        <w:t xml:space="preserve">Energex, </w:t>
      </w:r>
      <w:r w:rsidRPr="004523B5">
        <w:rPr>
          <w:rStyle w:val="AERtextitalic"/>
        </w:rPr>
        <w:t>Revised regulatory proposal</w:t>
      </w:r>
      <w:r>
        <w:t>, October 2015, p. 129.</w:t>
      </w:r>
    </w:p>
  </w:footnote>
  <w:footnote w:id="17">
    <w:p w:rsidR="00436786" w:rsidRDefault="00436786">
      <w:pPr>
        <w:pStyle w:val="FootnoteText"/>
      </w:pPr>
      <w:r>
        <w:rPr>
          <w:rStyle w:val="FootnoteReference"/>
        </w:rPr>
        <w:footnoteRef/>
      </w:r>
      <w:r>
        <w:t xml:space="preserve"> </w:t>
      </w:r>
      <w:r>
        <w:tab/>
        <w:t xml:space="preserve">Energex, </w:t>
      </w:r>
      <w:r w:rsidRPr="004523B5">
        <w:rPr>
          <w:rStyle w:val="AERtextitalic"/>
        </w:rPr>
        <w:t>Revised regulatory proposal</w:t>
      </w:r>
      <w:r>
        <w:t>, October 2015, p. 129.</w:t>
      </w:r>
    </w:p>
  </w:footnote>
  <w:footnote w:id="18">
    <w:p w:rsidR="00436786" w:rsidRDefault="00436786">
      <w:pPr>
        <w:pStyle w:val="FootnoteText"/>
      </w:pPr>
      <w:r>
        <w:rPr>
          <w:rStyle w:val="FootnoteReference"/>
        </w:rPr>
        <w:footnoteRef/>
      </w:r>
      <w:r>
        <w:t xml:space="preserve"> </w:t>
      </w:r>
      <w:r>
        <w:tab/>
        <w:t>W</w:t>
      </w:r>
      <w:r w:rsidRPr="00FA5E3B">
        <w:t>e did not use a lower external benchmark to establish the base year opex for our forecast.</w:t>
      </w:r>
    </w:p>
  </w:footnote>
  <w:footnote w:id="19">
    <w:p w:rsidR="00A30C5F" w:rsidRDefault="00A30C5F">
      <w:pPr>
        <w:pStyle w:val="FootnoteText"/>
      </w:pPr>
      <w:r>
        <w:rPr>
          <w:rStyle w:val="FootnoteReference"/>
        </w:rPr>
        <w:footnoteRef/>
      </w:r>
      <w:r>
        <w:t xml:space="preserve"> </w:t>
      </w:r>
      <w:r>
        <w:tab/>
        <w:t xml:space="preserve">Energex, </w:t>
      </w:r>
      <w:r w:rsidRPr="004523B5">
        <w:rPr>
          <w:rStyle w:val="AERtextitalic"/>
        </w:rPr>
        <w:t>Revised regulatory proposal</w:t>
      </w:r>
      <w:r>
        <w:t>, October 2015, p. 130.</w:t>
      </w:r>
    </w:p>
  </w:footnote>
  <w:footnote w:id="20">
    <w:p w:rsidR="00436786" w:rsidRDefault="00436786">
      <w:pPr>
        <w:pStyle w:val="FootnoteText"/>
      </w:pPr>
      <w:r>
        <w:rPr>
          <w:rStyle w:val="FootnoteReference"/>
        </w:rPr>
        <w:footnoteRef/>
      </w:r>
      <w:r>
        <w:t xml:space="preserve"> </w:t>
      </w:r>
      <w:r>
        <w:tab/>
        <w:t xml:space="preserve">Energex, </w:t>
      </w:r>
      <w:r w:rsidRPr="004523B5">
        <w:rPr>
          <w:rStyle w:val="AERtextitalic"/>
        </w:rPr>
        <w:t>Revised regulatory proposal</w:t>
      </w:r>
      <w:r>
        <w:t>, October 2015, p. 130.</w:t>
      </w:r>
    </w:p>
  </w:footnote>
  <w:footnote w:id="21">
    <w:p w:rsidR="005D0839" w:rsidRDefault="005D0839">
      <w:pPr>
        <w:pStyle w:val="FootnoteText"/>
      </w:pPr>
      <w:r>
        <w:rPr>
          <w:rStyle w:val="FootnoteReference"/>
        </w:rPr>
        <w:footnoteRef/>
      </w:r>
      <w:r>
        <w:t xml:space="preserve"> </w:t>
      </w:r>
      <w:r>
        <w:tab/>
      </w:r>
      <w:proofErr w:type="gramStart"/>
      <w:r w:rsidRPr="005D0839">
        <w:t xml:space="preserve">AER, </w:t>
      </w:r>
      <w:r>
        <w:rPr>
          <w:rStyle w:val="AERtextitalic"/>
        </w:rPr>
        <w:t>Final</w:t>
      </w:r>
      <w:r w:rsidRPr="005D0839">
        <w:rPr>
          <w:rStyle w:val="AERtextitalic"/>
        </w:rPr>
        <w:t xml:space="preserve"> deci</w:t>
      </w:r>
      <w:r>
        <w:rPr>
          <w:rStyle w:val="AERtextitalic"/>
        </w:rPr>
        <w:t>sion, Energex determination 2010-15,</w:t>
      </w:r>
      <w:r>
        <w:t xml:space="preserve"> 6 May 2010, pp</w:t>
      </w:r>
      <w:r w:rsidR="00E233FC">
        <w:t>.</w:t>
      </w:r>
      <w:r>
        <w:t xml:space="preserve"> 282-289.</w:t>
      </w:r>
      <w:proofErr w:type="gramEnd"/>
      <w:r>
        <w:t xml:space="preserve"> </w:t>
      </w:r>
    </w:p>
  </w:footnote>
  <w:footnote w:id="22">
    <w:p w:rsidR="005D0839" w:rsidRDefault="005D0839">
      <w:pPr>
        <w:pStyle w:val="FootnoteText"/>
      </w:pPr>
      <w:r>
        <w:rPr>
          <w:rStyle w:val="FootnoteReference"/>
        </w:rPr>
        <w:footnoteRef/>
      </w:r>
      <w:r>
        <w:t xml:space="preserve"> </w:t>
      </w:r>
      <w:r>
        <w:tab/>
      </w:r>
      <w:proofErr w:type="gramStart"/>
      <w:r w:rsidRPr="005D0839">
        <w:t xml:space="preserve">AER, </w:t>
      </w:r>
      <w:r w:rsidRPr="005D0839">
        <w:rPr>
          <w:rStyle w:val="AERtextitalic"/>
        </w:rPr>
        <w:t xml:space="preserve">Final decision, </w:t>
      </w:r>
      <w:r>
        <w:rPr>
          <w:rStyle w:val="AERtextitalic"/>
        </w:rPr>
        <w:t>Victorian</w:t>
      </w:r>
      <w:r w:rsidRPr="005D0839">
        <w:rPr>
          <w:rStyle w:val="AERtextitalic"/>
        </w:rPr>
        <w:t xml:space="preserve"> </w:t>
      </w:r>
      <w:r w:rsidR="00E233FC">
        <w:rPr>
          <w:rStyle w:val="AERtextitalic"/>
        </w:rPr>
        <w:t xml:space="preserve">distribution </w:t>
      </w:r>
      <w:r w:rsidRPr="005D0839">
        <w:rPr>
          <w:rStyle w:val="AERtextitalic"/>
        </w:rPr>
        <w:t>determination 201</w:t>
      </w:r>
      <w:r>
        <w:rPr>
          <w:rStyle w:val="AERtextitalic"/>
        </w:rPr>
        <w:t>1</w:t>
      </w:r>
      <w:r w:rsidRPr="005D0839">
        <w:rPr>
          <w:rStyle w:val="AERtextitalic"/>
        </w:rPr>
        <w:t>-15,</w:t>
      </w:r>
      <w:r w:rsidRPr="005D0839">
        <w:t xml:space="preserve"> </w:t>
      </w:r>
      <w:r w:rsidR="00E233FC">
        <w:t>29</w:t>
      </w:r>
      <w:r w:rsidRPr="005D0839">
        <w:t xml:space="preserve"> </w:t>
      </w:r>
      <w:r w:rsidR="00E233FC">
        <w:t>October</w:t>
      </w:r>
      <w:r w:rsidRPr="005D0839">
        <w:t xml:space="preserve"> 2010</w:t>
      </w:r>
      <w:r w:rsidR="00E233FC">
        <w:t>, p. 589.</w:t>
      </w:r>
      <w:proofErr w:type="gramEnd"/>
    </w:p>
  </w:footnote>
  <w:footnote w:id="23">
    <w:p w:rsidR="00255BC6" w:rsidRDefault="00255BC6">
      <w:pPr>
        <w:pStyle w:val="FootnoteText"/>
      </w:pPr>
      <w:r>
        <w:rPr>
          <w:rStyle w:val="FootnoteReference"/>
        </w:rPr>
        <w:footnoteRef/>
      </w:r>
      <w:r>
        <w:t xml:space="preserve"> </w:t>
      </w:r>
      <w:r>
        <w:tab/>
      </w:r>
      <w:r w:rsidR="00171A62">
        <w:t xml:space="preserve">AER, </w:t>
      </w:r>
      <w:r w:rsidR="00171A62" w:rsidRPr="004F2834">
        <w:rPr>
          <w:rStyle w:val="AERtextitalic"/>
        </w:rPr>
        <w:t>Preliminary decision, Energex determination 2015-20, Attachment 9</w:t>
      </w:r>
      <w:r w:rsidR="00171A62">
        <w:t>, April 2015, p. 9-9 to 9-10.</w:t>
      </w:r>
    </w:p>
  </w:footnote>
  <w:footnote w:id="24">
    <w:p w:rsidR="00436786" w:rsidRDefault="00436786" w:rsidP="00A71D3E">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 pp. 5–7.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E908AB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9"/>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5E16F6DA"/>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9396A59"/>
    <w:multiLevelType w:val="multilevel"/>
    <w:tmpl w:val="950A1C52"/>
    <w:numStyleLink w:val="AERHeadings"/>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3"/>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31"/>
  </w:num>
  <w:num w:numId="38">
    <w:abstractNumId w:val="22"/>
  </w:num>
  <w:num w:numId="39">
    <w:abstractNumId w:val="1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e9hcYVnn4AXFbfSG1i5Fbx7WgY0E2PpDUbQO7WE5kc=" w:saltValue="ZXeteA1ChY7R1oFWiIBGPw==" w:algorithmName="SHA-256"/>
  <w:defaultTabStop w:val="34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40\AER15 189[V2]  DOC FINALISED - NO CHANGES - Energex 2015-20 - prelim decision - Attach 9 - EBSS.DOCX"/>
  </w:docVars>
  <w:rsids>
    <w:rsidRoot w:val="00961A4A"/>
    <w:rsid w:val="00021202"/>
    <w:rsid w:val="000221AD"/>
    <w:rsid w:val="0002517F"/>
    <w:rsid w:val="0003578C"/>
    <w:rsid w:val="00035C9F"/>
    <w:rsid w:val="00063247"/>
    <w:rsid w:val="0006496D"/>
    <w:rsid w:val="00070F9F"/>
    <w:rsid w:val="0007137B"/>
    <w:rsid w:val="00073373"/>
    <w:rsid w:val="0007353E"/>
    <w:rsid w:val="000823CF"/>
    <w:rsid w:val="00085663"/>
    <w:rsid w:val="00085EBF"/>
    <w:rsid w:val="000A3020"/>
    <w:rsid w:val="000A469F"/>
    <w:rsid w:val="000A6C7B"/>
    <w:rsid w:val="000B7096"/>
    <w:rsid w:val="000B769D"/>
    <w:rsid w:val="000C0F6D"/>
    <w:rsid w:val="000D0BF0"/>
    <w:rsid w:val="000D122C"/>
    <w:rsid w:val="000D5B59"/>
    <w:rsid w:val="000D72A8"/>
    <w:rsid w:val="000E1819"/>
    <w:rsid w:val="000E4821"/>
    <w:rsid w:val="000E6C72"/>
    <w:rsid w:val="000F2D08"/>
    <w:rsid w:val="00103551"/>
    <w:rsid w:val="001108A2"/>
    <w:rsid w:val="00111A94"/>
    <w:rsid w:val="001135F5"/>
    <w:rsid w:val="001166E4"/>
    <w:rsid w:val="00116EB2"/>
    <w:rsid w:val="001201F1"/>
    <w:rsid w:val="00120D09"/>
    <w:rsid w:val="00121939"/>
    <w:rsid w:val="0012408E"/>
    <w:rsid w:val="00124609"/>
    <w:rsid w:val="00126A4C"/>
    <w:rsid w:val="00135EA6"/>
    <w:rsid w:val="0014573B"/>
    <w:rsid w:val="001573E4"/>
    <w:rsid w:val="00160756"/>
    <w:rsid w:val="00161A72"/>
    <w:rsid w:val="00171A62"/>
    <w:rsid w:val="0017232E"/>
    <w:rsid w:val="0017370C"/>
    <w:rsid w:val="00174102"/>
    <w:rsid w:val="00180157"/>
    <w:rsid w:val="00185CB9"/>
    <w:rsid w:val="00186F77"/>
    <w:rsid w:val="001926A4"/>
    <w:rsid w:val="00192AD5"/>
    <w:rsid w:val="0019546F"/>
    <w:rsid w:val="001B45A0"/>
    <w:rsid w:val="001C641C"/>
    <w:rsid w:val="001D055E"/>
    <w:rsid w:val="001D5A5C"/>
    <w:rsid w:val="001F492E"/>
    <w:rsid w:val="001F6CA9"/>
    <w:rsid w:val="001F6DA3"/>
    <w:rsid w:val="002010BC"/>
    <w:rsid w:val="002011F9"/>
    <w:rsid w:val="00202E03"/>
    <w:rsid w:val="00203374"/>
    <w:rsid w:val="0020492C"/>
    <w:rsid w:val="002131D5"/>
    <w:rsid w:val="00222BA8"/>
    <w:rsid w:val="00224DB9"/>
    <w:rsid w:val="00233775"/>
    <w:rsid w:val="00251745"/>
    <w:rsid w:val="00255BC6"/>
    <w:rsid w:val="00263AC0"/>
    <w:rsid w:val="00264264"/>
    <w:rsid w:val="0026772D"/>
    <w:rsid w:val="00286874"/>
    <w:rsid w:val="00290C63"/>
    <w:rsid w:val="00296B65"/>
    <w:rsid w:val="002A7DEF"/>
    <w:rsid w:val="002D0D05"/>
    <w:rsid w:val="002E1B1E"/>
    <w:rsid w:val="002E5288"/>
    <w:rsid w:val="002E7B22"/>
    <w:rsid w:val="002F2C14"/>
    <w:rsid w:val="002F7986"/>
    <w:rsid w:val="0030172E"/>
    <w:rsid w:val="00301B40"/>
    <w:rsid w:val="003029EE"/>
    <w:rsid w:val="00305CC8"/>
    <w:rsid w:val="00307F6D"/>
    <w:rsid w:val="003172FA"/>
    <w:rsid w:val="003177A2"/>
    <w:rsid w:val="00323178"/>
    <w:rsid w:val="003246A8"/>
    <w:rsid w:val="003271B5"/>
    <w:rsid w:val="00327A1E"/>
    <w:rsid w:val="00331264"/>
    <w:rsid w:val="0033489E"/>
    <w:rsid w:val="00334C8D"/>
    <w:rsid w:val="00343A18"/>
    <w:rsid w:val="003518B3"/>
    <w:rsid w:val="00351A01"/>
    <w:rsid w:val="003540E9"/>
    <w:rsid w:val="00360EF3"/>
    <w:rsid w:val="00375D91"/>
    <w:rsid w:val="00382C6B"/>
    <w:rsid w:val="003846F1"/>
    <w:rsid w:val="00386B09"/>
    <w:rsid w:val="003B484F"/>
    <w:rsid w:val="003B6C2D"/>
    <w:rsid w:val="003B70FE"/>
    <w:rsid w:val="003C3AEC"/>
    <w:rsid w:val="003F174D"/>
    <w:rsid w:val="003F1BD2"/>
    <w:rsid w:val="00403F29"/>
    <w:rsid w:val="0040481F"/>
    <w:rsid w:val="00436786"/>
    <w:rsid w:val="0043683C"/>
    <w:rsid w:val="004523B5"/>
    <w:rsid w:val="0045777E"/>
    <w:rsid w:val="0046041B"/>
    <w:rsid w:val="00470309"/>
    <w:rsid w:val="00471E87"/>
    <w:rsid w:val="00477835"/>
    <w:rsid w:val="00477948"/>
    <w:rsid w:val="00480B4B"/>
    <w:rsid w:val="00485DC4"/>
    <w:rsid w:val="004A43D1"/>
    <w:rsid w:val="004B3B8F"/>
    <w:rsid w:val="004B4412"/>
    <w:rsid w:val="004C1671"/>
    <w:rsid w:val="004C348C"/>
    <w:rsid w:val="004C418B"/>
    <w:rsid w:val="004C5F2E"/>
    <w:rsid w:val="004D1891"/>
    <w:rsid w:val="004D55BA"/>
    <w:rsid w:val="004D7706"/>
    <w:rsid w:val="004E22EC"/>
    <w:rsid w:val="004F2834"/>
    <w:rsid w:val="004F3C65"/>
    <w:rsid w:val="00504F7A"/>
    <w:rsid w:val="00505357"/>
    <w:rsid w:val="00505FA4"/>
    <w:rsid w:val="00507B16"/>
    <w:rsid w:val="005128F2"/>
    <w:rsid w:val="00513243"/>
    <w:rsid w:val="00515453"/>
    <w:rsid w:val="00525312"/>
    <w:rsid w:val="00530128"/>
    <w:rsid w:val="00532467"/>
    <w:rsid w:val="00540B34"/>
    <w:rsid w:val="0054715B"/>
    <w:rsid w:val="00561989"/>
    <w:rsid w:val="00562E54"/>
    <w:rsid w:val="00564A4D"/>
    <w:rsid w:val="00567BA5"/>
    <w:rsid w:val="00571B35"/>
    <w:rsid w:val="00571D57"/>
    <w:rsid w:val="00576E22"/>
    <w:rsid w:val="00577A09"/>
    <w:rsid w:val="005829C2"/>
    <w:rsid w:val="00584D8F"/>
    <w:rsid w:val="005906F8"/>
    <w:rsid w:val="00591FB6"/>
    <w:rsid w:val="0059367A"/>
    <w:rsid w:val="00597E80"/>
    <w:rsid w:val="005A404D"/>
    <w:rsid w:val="005B1E3C"/>
    <w:rsid w:val="005C26CC"/>
    <w:rsid w:val="005D0839"/>
    <w:rsid w:val="005D0E1A"/>
    <w:rsid w:val="005D7BA2"/>
    <w:rsid w:val="005E36C2"/>
    <w:rsid w:val="006134BE"/>
    <w:rsid w:val="00615C6B"/>
    <w:rsid w:val="00617579"/>
    <w:rsid w:val="00621DCE"/>
    <w:rsid w:val="00632D6D"/>
    <w:rsid w:val="006353CC"/>
    <w:rsid w:val="00641B99"/>
    <w:rsid w:val="00642C3E"/>
    <w:rsid w:val="00643A2D"/>
    <w:rsid w:val="0066104A"/>
    <w:rsid w:val="00663DAD"/>
    <w:rsid w:val="00665A1A"/>
    <w:rsid w:val="00675E20"/>
    <w:rsid w:val="00676679"/>
    <w:rsid w:val="00683C89"/>
    <w:rsid w:val="006B2395"/>
    <w:rsid w:val="006B47E3"/>
    <w:rsid w:val="006B4CF9"/>
    <w:rsid w:val="006B7AC8"/>
    <w:rsid w:val="006D550F"/>
    <w:rsid w:val="00701CAB"/>
    <w:rsid w:val="00707563"/>
    <w:rsid w:val="0072005B"/>
    <w:rsid w:val="0072348C"/>
    <w:rsid w:val="00724A37"/>
    <w:rsid w:val="007303C3"/>
    <w:rsid w:val="00736E04"/>
    <w:rsid w:val="00740D84"/>
    <w:rsid w:val="00741ED4"/>
    <w:rsid w:val="007429BE"/>
    <w:rsid w:val="00743223"/>
    <w:rsid w:val="00746E01"/>
    <w:rsid w:val="00757BDF"/>
    <w:rsid w:val="007604AE"/>
    <w:rsid w:val="00762B7E"/>
    <w:rsid w:val="00763E5D"/>
    <w:rsid w:val="00767740"/>
    <w:rsid w:val="00776B85"/>
    <w:rsid w:val="00777EE6"/>
    <w:rsid w:val="00782EEA"/>
    <w:rsid w:val="00784C1F"/>
    <w:rsid w:val="0079098A"/>
    <w:rsid w:val="007920D6"/>
    <w:rsid w:val="007B2C72"/>
    <w:rsid w:val="007B6DBC"/>
    <w:rsid w:val="007C1C53"/>
    <w:rsid w:val="007C33B9"/>
    <w:rsid w:val="007C3DE7"/>
    <w:rsid w:val="007C47D2"/>
    <w:rsid w:val="007C6406"/>
    <w:rsid w:val="007C74BB"/>
    <w:rsid w:val="007D046D"/>
    <w:rsid w:val="007E0E7D"/>
    <w:rsid w:val="007E4904"/>
    <w:rsid w:val="007E4CB5"/>
    <w:rsid w:val="007F066B"/>
    <w:rsid w:val="007F71DD"/>
    <w:rsid w:val="008033C4"/>
    <w:rsid w:val="00806C88"/>
    <w:rsid w:val="0081034E"/>
    <w:rsid w:val="00811961"/>
    <w:rsid w:val="00832FBF"/>
    <w:rsid w:val="00833B22"/>
    <w:rsid w:val="008344F6"/>
    <w:rsid w:val="0083510F"/>
    <w:rsid w:val="00842D56"/>
    <w:rsid w:val="00845C74"/>
    <w:rsid w:val="00851209"/>
    <w:rsid w:val="00860562"/>
    <w:rsid w:val="00876483"/>
    <w:rsid w:val="00877DAE"/>
    <w:rsid w:val="008837AC"/>
    <w:rsid w:val="00894F5D"/>
    <w:rsid w:val="008A587D"/>
    <w:rsid w:val="008B35CD"/>
    <w:rsid w:val="008B403B"/>
    <w:rsid w:val="008B5571"/>
    <w:rsid w:val="008B5FCC"/>
    <w:rsid w:val="008C50B6"/>
    <w:rsid w:val="008C5326"/>
    <w:rsid w:val="008C5486"/>
    <w:rsid w:val="008C606C"/>
    <w:rsid w:val="008D1661"/>
    <w:rsid w:val="008E7031"/>
    <w:rsid w:val="008E77DE"/>
    <w:rsid w:val="008F07A3"/>
    <w:rsid w:val="00900E1B"/>
    <w:rsid w:val="00906A4E"/>
    <w:rsid w:val="00910D0F"/>
    <w:rsid w:val="00916FAA"/>
    <w:rsid w:val="009233EE"/>
    <w:rsid w:val="009460AA"/>
    <w:rsid w:val="00951978"/>
    <w:rsid w:val="009609D3"/>
    <w:rsid w:val="00961A4A"/>
    <w:rsid w:val="0096360B"/>
    <w:rsid w:val="00964609"/>
    <w:rsid w:val="00965251"/>
    <w:rsid w:val="009661DE"/>
    <w:rsid w:val="0097433F"/>
    <w:rsid w:val="009762FE"/>
    <w:rsid w:val="00983C25"/>
    <w:rsid w:val="009856B7"/>
    <w:rsid w:val="00985C86"/>
    <w:rsid w:val="00991802"/>
    <w:rsid w:val="00992F9F"/>
    <w:rsid w:val="009A5FC3"/>
    <w:rsid w:val="009B2123"/>
    <w:rsid w:val="009B23DD"/>
    <w:rsid w:val="009B74B0"/>
    <w:rsid w:val="009D2568"/>
    <w:rsid w:val="009D6B46"/>
    <w:rsid w:val="009F4940"/>
    <w:rsid w:val="009F5BA1"/>
    <w:rsid w:val="00A02A88"/>
    <w:rsid w:val="00A0562E"/>
    <w:rsid w:val="00A0726D"/>
    <w:rsid w:val="00A30C5F"/>
    <w:rsid w:val="00A32FBB"/>
    <w:rsid w:val="00A4093F"/>
    <w:rsid w:val="00A421DC"/>
    <w:rsid w:val="00A428EE"/>
    <w:rsid w:val="00A4478A"/>
    <w:rsid w:val="00A44852"/>
    <w:rsid w:val="00A57D04"/>
    <w:rsid w:val="00A60A26"/>
    <w:rsid w:val="00A61598"/>
    <w:rsid w:val="00A71D3E"/>
    <w:rsid w:val="00A84A99"/>
    <w:rsid w:val="00A84F46"/>
    <w:rsid w:val="00A871F4"/>
    <w:rsid w:val="00AC1B2C"/>
    <w:rsid w:val="00AC3264"/>
    <w:rsid w:val="00AC3743"/>
    <w:rsid w:val="00AC6285"/>
    <w:rsid w:val="00AD095B"/>
    <w:rsid w:val="00AD1F32"/>
    <w:rsid w:val="00AD397D"/>
    <w:rsid w:val="00AE1801"/>
    <w:rsid w:val="00AE1BF1"/>
    <w:rsid w:val="00AF0DD2"/>
    <w:rsid w:val="00B00428"/>
    <w:rsid w:val="00B13048"/>
    <w:rsid w:val="00B1716D"/>
    <w:rsid w:val="00B17226"/>
    <w:rsid w:val="00B17A1D"/>
    <w:rsid w:val="00B207A0"/>
    <w:rsid w:val="00B50F1C"/>
    <w:rsid w:val="00B514DD"/>
    <w:rsid w:val="00B52AF0"/>
    <w:rsid w:val="00B561BD"/>
    <w:rsid w:val="00B56E03"/>
    <w:rsid w:val="00B73941"/>
    <w:rsid w:val="00B8080B"/>
    <w:rsid w:val="00B87BA5"/>
    <w:rsid w:val="00B87C39"/>
    <w:rsid w:val="00B966EB"/>
    <w:rsid w:val="00BA3589"/>
    <w:rsid w:val="00BA4665"/>
    <w:rsid w:val="00BA6A0E"/>
    <w:rsid w:val="00BB2FB2"/>
    <w:rsid w:val="00BB3304"/>
    <w:rsid w:val="00BB5051"/>
    <w:rsid w:val="00BD3446"/>
    <w:rsid w:val="00BD7C7D"/>
    <w:rsid w:val="00BE1F1B"/>
    <w:rsid w:val="00BE47B5"/>
    <w:rsid w:val="00BF0C48"/>
    <w:rsid w:val="00C13E4C"/>
    <w:rsid w:val="00C1605E"/>
    <w:rsid w:val="00C25FA6"/>
    <w:rsid w:val="00C53862"/>
    <w:rsid w:val="00C538A9"/>
    <w:rsid w:val="00C53B5A"/>
    <w:rsid w:val="00C54F5A"/>
    <w:rsid w:val="00C569B4"/>
    <w:rsid w:val="00C67A92"/>
    <w:rsid w:val="00C70C04"/>
    <w:rsid w:val="00C840A2"/>
    <w:rsid w:val="00C84B81"/>
    <w:rsid w:val="00C86679"/>
    <w:rsid w:val="00CA489E"/>
    <w:rsid w:val="00CB0279"/>
    <w:rsid w:val="00CB666B"/>
    <w:rsid w:val="00CB6B74"/>
    <w:rsid w:val="00CC7F1D"/>
    <w:rsid w:val="00CD2944"/>
    <w:rsid w:val="00CD5600"/>
    <w:rsid w:val="00CE7359"/>
    <w:rsid w:val="00CF2A5C"/>
    <w:rsid w:val="00CF7E7E"/>
    <w:rsid w:val="00D00583"/>
    <w:rsid w:val="00D006AE"/>
    <w:rsid w:val="00D01CF0"/>
    <w:rsid w:val="00D0442A"/>
    <w:rsid w:val="00D045DB"/>
    <w:rsid w:val="00D048DE"/>
    <w:rsid w:val="00D122B7"/>
    <w:rsid w:val="00D34AB6"/>
    <w:rsid w:val="00D55DB8"/>
    <w:rsid w:val="00D61388"/>
    <w:rsid w:val="00D617EB"/>
    <w:rsid w:val="00D61A54"/>
    <w:rsid w:val="00D64DEA"/>
    <w:rsid w:val="00D7168E"/>
    <w:rsid w:val="00D71E57"/>
    <w:rsid w:val="00D80893"/>
    <w:rsid w:val="00D84854"/>
    <w:rsid w:val="00D86254"/>
    <w:rsid w:val="00D92CF1"/>
    <w:rsid w:val="00D92D38"/>
    <w:rsid w:val="00D93548"/>
    <w:rsid w:val="00D950F5"/>
    <w:rsid w:val="00DA3FCF"/>
    <w:rsid w:val="00DA4752"/>
    <w:rsid w:val="00DA4FE0"/>
    <w:rsid w:val="00DA61F3"/>
    <w:rsid w:val="00DB0F93"/>
    <w:rsid w:val="00DB1A67"/>
    <w:rsid w:val="00DB5074"/>
    <w:rsid w:val="00DC2299"/>
    <w:rsid w:val="00DC7981"/>
    <w:rsid w:val="00DE1093"/>
    <w:rsid w:val="00DE4EFA"/>
    <w:rsid w:val="00DE5520"/>
    <w:rsid w:val="00DE563D"/>
    <w:rsid w:val="00DF4CDD"/>
    <w:rsid w:val="00DF5324"/>
    <w:rsid w:val="00E04818"/>
    <w:rsid w:val="00E04C1F"/>
    <w:rsid w:val="00E06442"/>
    <w:rsid w:val="00E222D2"/>
    <w:rsid w:val="00E233FC"/>
    <w:rsid w:val="00E23993"/>
    <w:rsid w:val="00E24326"/>
    <w:rsid w:val="00E25B8C"/>
    <w:rsid w:val="00E5473C"/>
    <w:rsid w:val="00E65C85"/>
    <w:rsid w:val="00E66199"/>
    <w:rsid w:val="00E7015C"/>
    <w:rsid w:val="00E712F1"/>
    <w:rsid w:val="00E755EC"/>
    <w:rsid w:val="00E7624D"/>
    <w:rsid w:val="00E76B64"/>
    <w:rsid w:val="00E84D1A"/>
    <w:rsid w:val="00E96B2B"/>
    <w:rsid w:val="00EA0F24"/>
    <w:rsid w:val="00EA3D42"/>
    <w:rsid w:val="00EA6B1B"/>
    <w:rsid w:val="00EB33E4"/>
    <w:rsid w:val="00EC671C"/>
    <w:rsid w:val="00ED7323"/>
    <w:rsid w:val="00EE28F3"/>
    <w:rsid w:val="00EF3ED7"/>
    <w:rsid w:val="00EF5110"/>
    <w:rsid w:val="00EF5F52"/>
    <w:rsid w:val="00F10411"/>
    <w:rsid w:val="00F15882"/>
    <w:rsid w:val="00F171E0"/>
    <w:rsid w:val="00F20BD3"/>
    <w:rsid w:val="00F24F00"/>
    <w:rsid w:val="00F259AB"/>
    <w:rsid w:val="00F373A5"/>
    <w:rsid w:val="00F47559"/>
    <w:rsid w:val="00F53790"/>
    <w:rsid w:val="00F5390E"/>
    <w:rsid w:val="00F53BFF"/>
    <w:rsid w:val="00F53F95"/>
    <w:rsid w:val="00F57FE5"/>
    <w:rsid w:val="00F62A8A"/>
    <w:rsid w:val="00F64C7B"/>
    <w:rsid w:val="00F676DD"/>
    <w:rsid w:val="00F75A26"/>
    <w:rsid w:val="00F760AF"/>
    <w:rsid w:val="00F76706"/>
    <w:rsid w:val="00F813C9"/>
    <w:rsid w:val="00F83FAD"/>
    <w:rsid w:val="00F91C99"/>
    <w:rsid w:val="00F952A0"/>
    <w:rsid w:val="00F95B3A"/>
    <w:rsid w:val="00FA3C7F"/>
    <w:rsid w:val="00FA5E3B"/>
    <w:rsid w:val="00FB74E2"/>
    <w:rsid w:val="00FC10C4"/>
    <w:rsid w:val="00FD5614"/>
    <w:rsid w:val="00FD761F"/>
    <w:rsid w:val="00FE0BE1"/>
    <w:rsid w:val="00FE1DE9"/>
    <w:rsid w:val="00FE36AF"/>
    <w:rsid w:val="00FE39C2"/>
    <w:rsid w:val="00FE3C32"/>
    <w:rsid w:val="00FE64AE"/>
    <w:rsid w:val="00FF06E8"/>
    <w:rsid w:val="00FF4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D0D0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D0D0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56">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29092057">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430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28F2BF-FFE6-4787-8B03-03FB9338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70927720</Template>
  <TotalTime>0</TotalTime>
  <Pages>13</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2015-10-23T06:59:00Z</dcterms:created>
  <dcterms:modified xsi:type="dcterms:W3CDTF">2015-10-23T06:59:00Z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8427679</vt:lpwstr>
  </property>
  <property fmtid="{D5CDD505-2E9C-101B-9397-08002B2CF9AE}" pid="3" name="_MarkAsFinal">
    <vt:bool>true</vt:bool>
  </property>
</Properties>
</file>