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2D284F3" wp14:editId="31431B1F">
                <wp:simplePos x="0" y="0"/>
                <wp:positionH relativeFrom="column">
                  <wp:posOffset>-1102204</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D77A66" w:rsidRDefault="00D77A66" w:rsidP="00F171E0"/>
        <w:p w:rsidR="00040EEA" w:rsidRDefault="00040EEA" w:rsidP="00F171E0"/>
        <w:p w:rsidR="00327A1E" w:rsidRDefault="0050513A" w:rsidP="008F07A3">
          <w:pPr>
            <w:pStyle w:val="ReportSubtitle"/>
          </w:pPr>
          <w:r>
            <w:t>FINAL</w:t>
          </w:r>
          <w:r w:rsidR="00DA4752">
            <w:t xml:space="preserve"> DECISION</w:t>
          </w:r>
        </w:p>
        <w:p w:rsidR="000A6C7B" w:rsidRDefault="00AE735C"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521204" w:rsidP="008F07A3">
          <w:pPr>
            <w:pStyle w:val="ReportSubtitle"/>
          </w:pPr>
          <w:r>
            <w:t>Overview</w:t>
          </w:r>
        </w:p>
        <w:p w:rsidR="000A6C7B" w:rsidRPr="00327A1E" w:rsidRDefault="0050513A"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79150E" w:rsidRPr="0079150E" w:rsidRDefault="000A6C7B" w:rsidP="00983C25">
      <w:pPr>
        <w:pStyle w:val="AERbulletlistfirststyle"/>
        <w:rPr>
          <w:sz w:val="20"/>
        </w:rPr>
      </w:pPr>
      <w:r w:rsidRPr="00983C25">
        <w:rPr>
          <w:sz w:val="20"/>
        </w:rPr>
        <w:t xml:space="preserve">any illustration, </w:t>
      </w:r>
    </w:p>
    <w:p w:rsidR="000A6C7B" w:rsidRPr="00983C25" w:rsidRDefault="000A6C7B" w:rsidP="00983C25">
      <w:pPr>
        <w:pStyle w:val="AERbulletlistfirststyle"/>
        <w:rPr>
          <w:sz w:val="20"/>
        </w:rPr>
      </w:pPr>
      <w:r w:rsidRPr="00983C25">
        <w:rPr>
          <w:sz w:val="20"/>
        </w:rPr>
        <w:t>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521204" w:rsidRDefault="00521204">
      <w:pPr>
        <w:spacing w:line="240" w:lineRule="auto"/>
      </w:pPr>
      <w:r>
        <w:br w:type="page"/>
      </w:r>
    </w:p>
    <w:p w:rsidR="008F07A3" w:rsidRDefault="00DA61F3" w:rsidP="008F07A3">
      <w:pPr>
        <w:pStyle w:val="UnnumberedHeading"/>
        <w:numPr>
          <w:ilvl w:val="0"/>
          <w:numId w:val="24"/>
        </w:numPr>
      </w:pPr>
      <w:bookmarkStart w:id="0" w:name="_Toc404354899"/>
      <w:bookmarkStart w:id="1" w:name="_Toc404353070"/>
      <w:bookmarkStart w:id="2" w:name="_Toc404684201"/>
      <w:bookmarkStart w:id="3" w:name="_Toc404700923"/>
      <w:bookmarkStart w:id="4" w:name="_Toc433723287"/>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w:t>
      </w:r>
      <w:r w:rsidR="0025769C">
        <w:t xml:space="preserve">overview </w:t>
      </w:r>
      <w:r>
        <w:t xml:space="preserve">forms part of the AER's </w:t>
      </w:r>
      <w:r w:rsidR="0050513A">
        <w:t xml:space="preserve">final </w:t>
      </w:r>
      <w:r>
        <w:t xml:space="preserve">decision </w:t>
      </w:r>
      <w:r w:rsidR="00AE735C">
        <w:t>on Energex's</w:t>
      </w:r>
      <w:r>
        <w:t xml:space="preserve"> 2015–20 distribution determination. It should be read with </w:t>
      </w:r>
      <w:r w:rsidR="004A4D49">
        <w:t xml:space="preserve">all </w:t>
      </w:r>
      <w:r>
        <w:t xml:space="preserve">other parts of the </w:t>
      </w:r>
      <w:r w:rsidR="0050513A">
        <w:t>final</w:t>
      </w:r>
      <w:r>
        <w:t xml:space="preserve"> decision.</w:t>
      </w:r>
    </w:p>
    <w:p w:rsidR="008F07A3" w:rsidRDefault="008F07A3" w:rsidP="008F07A3">
      <w:pPr>
        <w:numPr>
          <w:ilvl w:val="0"/>
          <w:numId w:val="25"/>
        </w:numPr>
      </w:pPr>
      <w:r>
        <w:t xml:space="preserve">The </w:t>
      </w:r>
      <w:r w:rsidR="0050513A">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DB23EF">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33723288"/>
      <w:r>
        <w:t>Contents</w:t>
      </w:r>
      <w:bookmarkStart w:id="7" w:name="_GoBack"/>
      <w:bookmarkEnd w:id="5"/>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509E6" w:rsidRDefault="005E643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723287" w:history="1">
            <w:r w:rsidR="001509E6" w:rsidRPr="00711227">
              <w:rPr>
                <w:rStyle w:val="Hyperlink"/>
              </w:rPr>
              <w:t>Note</w:t>
            </w:r>
            <w:r w:rsidR="001509E6">
              <w:rPr>
                <w:webHidden/>
              </w:rPr>
              <w:tab/>
            </w:r>
            <w:r w:rsidR="001509E6">
              <w:rPr>
                <w:webHidden/>
              </w:rPr>
              <w:fldChar w:fldCharType="begin"/>
            </w:r>
            <w:r w:rsidR="001509E6">
              <w:rPr>
                <w:webHidden/>
              </w:rPr>
              <w:instrText xml:space="preserve"> PAGEREF _Toc433723287 \h </w:instrText>
            </w:r>
            <w:r w:rsidR="001509E6">
              <w:rPr>
                <w:webHidden/>
              </w:rPr>
            </w:r>
            <w:r w:rsidR="001509E6">
              <w:rPr>
                <w:webHidden/>
              </w:rPr>
              <w:fldChar w:fldCharType="separate"/>
            </w:r>
            <w:r w:rsidR="001509E6">
              <w:rPr>
                <w:webHidden/>
              </w:rPr>
              <w:t>2</w:t>
            </w:r>
            <w:r w:rsidR="001509E6">
              <w:rPr>
                <w:webHidden/>
              </w:rPr>
              <w:fldChar w:fldCharType="end"/>
            </w:r>
          </w:hyperlink>
        </w:p>
        <w:p w:rsidR="001509E6" w:rsidRDefault="001509E6">
          <w:pPr>
            <w:pStyle w:val="TOC1"/>
            <w:rPr>
              <w:rFonts w:asciiTheme="minorHAnsi" w:eastAsiaTheme="minorEastAsia" w:hAnsiTheme="minorHAnsi"/>
              <w:b w:val="0"/>
              <w:color w:val="auto"/>
              <w:sz w:val="22"/>
              <w:lang w:val="en-AU" w:eastAsia="en-AU"/>
            </w:rPr>
          </w:pPr>
          <w:hyperlink w:anchor="_Toc433723288" w:history="1">
            <w:r w:rsidRPr="00711227">
              <w:rPr>
                <w:rStyle w:val="Hyperlink"/>
              </w:rPr>
              <w:t>Contents</w:t>
            </w:r>
            <w:r>
              <w:rPr>
                <w:webHidden/>
              </w:rPr>
              <w:tab/>
            </w:r>
            <w:r>
              <w:rPr>
                <w:webHidden/>
              </w:rPr>
              <w:fldChar w:fldCharType="begin"/>
            </w:r>
            <w:r>
              <w:rPr>
                <w:webHidden/>
              </w:rPr>
              <w:instrText xml:space="preserve"> PAGEREF _Toc433723288 \h </w:instrText>
            </w:r>
            <w:r>
              <w:rPr>
                <w:webHidden/>
              </w:rPr>
            </w:r>
            <w:r>
              <w:rPr>
                <w:webHidden/>
              </w:rPr>
              <w:fldChar w:fldCharType="separate"/>
            </w:r>
            <w:r>
              <w:rPr>
                <w:webHidden/>
              </w:rPr>
              <w:t>3</w:t>
            </w:r>
            <w:r>
              <w:rPr>
                <w:webHidden/>
              </w:rPr>
              <w:fldChar w:fldCharType="end"/>
            </w:r>
          </w:hyperlink>
        </w:p>
        <w:p w:rsidR="001509E6" w:rsidRDefault="001509E6">
          <w:pPr>
            <w:pStyle w:val="TOC1"/>
            <w:rPr>
              <w:rFonts w:asciiTheme="minorHAnsi" w:eastAsiaTheme="minorEastAsia" w:hAnsiTheme="minorHAnsi"/>
              <w:b w:val="0"/>
              <w:color w:val="auto"/>
              <w:sz w:val="22"/>
              <w:lang w:val="en-AU" w:eastAsia="en-AU"/>
            </w:rPr>
          </w:pPr>
          <w:hyperlink w:anchor="_Toc433723289" w:history="1">
            <w:r w:rsidRPr="00711227">
              <w:rPr>
                <w:rStyle w:val="Hyperlink"/>
              </w:rPr>
              <w:t>Shortened forms</w:t>
            </w:r>
            <w:r>
              <w:rPr>
                <w:webHidden/>
              </w:rPr>
              <w:tab/>
            </w:r>
            <w:r>
              <w:rPr>
                <w:webHidden/>
              </w:rPr>
              <w:fldChar w:fldCharType="begin"/>
            </w:r>
            <w:r>
              <w:rPr>
                <w:webHidden/>
              </w:rPr>
              <w:instrText xml:space="preserve"> PAGEREF _Toc433723289 \h </w:instrText>
            </w:r>
            <w:r>
              <w:rPr>
                <w:webHidden/>
              </w:rPr>
            </w:r>
            <w:r>
              <w:rPr>
                <w:webHidden/>
              </w:rPr>
              <w:fldChar w:fldCharType="separate"/>
            </w:r>
            <w:r>
              <w:rPr>
                <w:webHidden/>
              </w:rPr>
              <w:t>5</w:t>
            </w:r>
            <w:r>
              <w:rPr>
                <w:webHidden/>
              </w:rPr>
              <w:fldChar w:fldCharType="end"/>
            </w:r>
          </w:hyperlink>
        </w:p>
        <w:p w:rsidR="001509E6" w:rsidRDefault="001509E6">
          <w:pPr>
            <w:pStyle w:val="TOC1"/>
            <w:rPr>
              <w:rFonts w:asciiTheme="minorHAnsi" w:eastAsiaTheme="minorEastAsia" w:hAnsiTheme="minorHAnsi"/>
              <w:b w:val="0"/>
              <w:color w:val="auto"/>
              <w:sz w:val="22"/>
              <w:lang w:val="en-AU" w:eastAsia="en-AU"/>
            </w:rPr>
          </w:pPr>
          <w:hyperlink w:anchor="_Toc433723290" w:history="1">
            <w:r w:rsidRPr="00711227">
              <w:rPr>
                <w:rStyle w:val="Hyperlink"/>
              </w:rPr>
              <w:t>Revocation and substitution of preliminary decision</w:t>
            </w:r>
            <w:r>
              <w:rPr>
                <w:webHidden/>
              </w:rPr>
              <w:tab/>
            </w:r>
            <w:r>
              <w:rPr>
                <w:webHidden/>
              </w:rPr>
              <w:fldChar w:fldCharType="begin"/>
            </w:r>
            <w:r>
              <w:rPr>
                <w:webHidden/>
              </w:rPr>
              <w:instrText xml:space="preserve"> PAGEREF _Toc433723290 \h </w:instrText>
            </w:r>
            <w:r>
              <w:rPr>
                <w:webHidden/>
              </w:rPr>
            </w:r>
            <w:r>
              <w:rPr>
                <w:webHidden/>
              </w:rPr>
              <w:fldChar w:fldCharType="separate"/>
            </w:r>
            <w:r>
              <w:rPr>
                <w:webHidden/>
              </w:rPr>
              <w:t>7</w:t>
            </w:r>
            <w:r>
              <w:rPr>
                <w:webHidden/>
              </w:rPr>
              <w:fldChar w:fldCharType="end"/>
            </w:r>
          </w:hyperlink>
        </w:p>
        <w:p w:rsidR="001509E6" w:rsidRDefault="001509E6">
          <w:pPr>
            <w:pStyle w:val="TOC1"/>
            <w:rPr>
              <w:rFonts w:asciiTheme="minorHAnsi" w:eastAsiaTheme="minorEastAsia" w:hAnsiTheme="minorHAnsi"/>
              <w:b w:val="0"/>
              <w:color w:val="auto"/>
              <w:sz w:val="22"/>
              <w:lang w:val="en-AU" w:eastAsia="en-AU"/>
            </w:rPr>
          </w:pPr>
          <w:hyperlink w:anchor="_Toc433723291" w:history="1">
            <w:r w:rsidRPr="00711227">
              <w:rPr>
                <w:rStyle w:val="Hyperlink"/>
              </w:rPr>
              <w:t>1</w:t>
            </w:r>
            <w:r>
              <w:rPr>
                <w:rFonts w:asciiTheme="minorHAnsi" w:eastAsiaTheme="minorEastAsia" w:hAnsiTheme="minorHAnsi"/>
                <w:b w:val="0"/>
                <w:color w:val="auto"/>
                <w:sz w:val="22"/>
                <w:lang w:val="en-AU" w:eastAsia="en-AU"/>
              </w:rPr>
              <w:tab/>
            </w:r>
            <w:r w:rsidRPr="00711227">
              <w:rPr>
                <w:rStyle w:val="Hyperlink"/>
              </w:rPr>
              <w:t>Introduction</w:t>
            </w:r>
            <w:r>
              <w:rPr>
                <w:webHidden/>
              </w:rPr>
              <w:tab/>
            </w:r>
            <w:r>
              <w:rPr>
                <w:webHidden/>
              </w:rPr>
              <w:fldChar w:fldCharType="begin"/>
            </w:r>
            <w:r>
              <w:rPr>
                <w:webHidden/>
              </w:rPr>
              <w:instrText xml:space="preserve"> PAGEREF _Toc433723291 \h </w:instrText>
            </w:r>
            <w:r>
              <w:rPr>
                <w:webHidden/>
              </w:rPr>
            </w:r>
            <w:r>
              <w:rPr>
                <w:webHidden/>
              </w:rPr>
              <w:fldChar w:fldCharType="separate"/>
            </w:r>
            <w:r>
              <w:rPr>
                <w:webHidden/>
              </w:rPr>
              <w:t>8</w:t>
            </w:r>
            <w:r>
              <w:rPr>
                <w:webHidden/>
              </w:rPr>
              <w:fldChar w:fldCharType="end"/>
            </w:r>
          </w:hyperlink>
        </w:p>
        <w:p w:rsidR="001509E6" w:rsidRDefault="001509E6">
          <w:pPr>
            <w:pStyle w:val="TOC1"/>
            <w:rPr>
              <w:rFonts w:asciiTheme="minorHAnsi" w:eastAsiaTheme="minorEastAsia" w:hAnsiTheme="minorHAnsi"/>
              <w:b w:val="0"/>
              <w:color w:val="auto"/>
              <w:sz w:val="22"/>
              <w:lang w:val="en-AU" w:eastAsia="en-AU"/>
            </w:rPr>
          </w:pPr>
          <w:hyperlink w:anchor="_Toc433723292" w:history="1">
            <w:r w:rsidRPr="00711227">
              <w:rPr>
                <w:rStyle w:val="Hyperlink"/>
              </w:rPr>
              <w:t>2</w:t>
            </w:r>
            <w:r>
              <w:rPr>
                <w:rFonts w:asciiTheme="minorHAnsi" w:eastAsiaTheme="minorEastAsia" w:hAnsiTheme="minorHAnsi"/>
                <w:b w:val="0"/>
                <w:color w:val="auto"/>
                <w:sz w:val="22"/>
                <w:lang w:val="en-AU" w:eastAsia="en-AU"/>
              </w:rPr>
              <w:tab/>
            </w:r>
            <w:r w:rsidRPr="00711227">
              <w:rPr>
                <w:rStyle w:val="Hyperlink"/>
              </w:rPr>
              <w:t>Decision</w:t>
            </w:r>
            <w:r>
              <w:rPr>
                <w:webHidden/>
              </w:rPr>
              <w:tab/>
            </w:r>
            <w:r>
              <w:rPr>
                <w:webHidden/>
              </w:rPr>
              <w:fldChar w:fldCharType="begin"/>
            </w:r>
            <w:r>
              <w:rPr>
                <w:webHidden/>
              </w:rPr>
              <w:instrText xml:space="preserve"> PAGEREF _Toc433723292 \h </w:instrText>
            </w:r>
            <w:r>
              <w:rPr>
                <w:webHidden/>
              </w:rPr>
            </w:r>
            <w:r>
              <w:rPr>
                <w:webHidden/>
              </w:rPr>
              <w:fldChar w:fldCharType="separate"/>
            </w:r>
            <w:r>
              <w:rPr>
                <w:webHidden/>
              </w:rPr>
              <w:t>10</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293" w:history="1">
            <w:r w:rsidRPr="00711227">
              <w:rPr>
                <w:rStyle w:val="Hyperlink"/>
              </w:rPr>
              <w:t>2.1</w:t>
            </w:r>
            <w:r>
              <w:rPr>
                <w:rFonts w:asciiTheme="minorHAnsi" w:eastAsiaTheme="minorEastAsia" w:hAnsiTheme="minorHAnsi"/>
                <w:b w:val="0"/>
                <w:color w:val="auto"/>
                <w:sz w:val="22"/>
                <w:lang w:eastAsia="en-AU"/>
              </w:rPr>
              <w:tab/>
            </w:r>
            <w:r w:rsidRPr="00711227">
              <w:rPr>
                <w:rStyle w:val="Hyperlink"/>
              </w:rPr>
              <w:t>Impact of decision</w:t>
            </w:r>
            <w:r>
              <w:rPr>
                <w:webHidden/>
              </w:rPr>
              <w:tab/>
            </w:r>
            <w:r>
              <w:rPr>
                <w:webHidden/>
              </w:rPr>
              <w:fldChar w:fldCharType="begin"/>
            </w:r>
            <w:r>
              <w:rPr>
                <w:webHidden/>
              </w:rPr>
              <w:instrText xml:space="preserve"> PAGEREF _Toc433723293 \h </w:instrText>
            </w:r>
            <w:r>
              <w:rPr>
                <w:webHidden/>
              </w:rPr>
            </w:r>
            <w:r>
              <w:rPr>
                <w:webHidden/>
              </w:rPr>
              <w:fldChar w:fldCharType="separate"/>
            </w:r>
            <w:r>
              <w:rPr>
                <w:webHidden/>
              </w:rPr>
              <w:t>15</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294" w:history="1">
            <w:r w:rsidRPr="00711227">
              <w:rPr>
                <w:rStyle w:val="Hyperlink"/>
              </w:rPr>
              <w:t>2.2</w:t>
            </w:r>
            <w:r>
              <w:rPr>
                <w:rFonts w:asciiTheme="minorHAnsi" w:eastAsiaTheme="minorEastAsia" w:hAnsiTheme="minorHAnsi"/>
                <w:b w:val="0"/>
                <w:color w:val="auto"/>
                <w:sz w:val="22"/>
                <w:lang w:eastAsia="en-AU"/>
              </w:rPr>
              <w:tab/>
            </w:r>
            <w:r w:rsidRPr="00711227">
              <w:rPr>
                <w:rStyle w:val="Hyperlink"/>
              </w:rPr>
              <w:t>Key issues raised in revised proposal</w:t>
            </w:r>
            <w:r>
              <w:rPr>
                <w:webHidden/>
              </w:rPr>
              <w:tab/>
            </w:r>
            <w:r>
              <w:rPr>
                <w:webHidden/>
              </w:rPr>
              <w:fldChar w:fldCharType="begin"/>
            </w:r>
            <w:r>
              <w:rPr>
                <w:webHidden/>
              </w:rPr>
              <w:instrText xml:space="preserve"> PAGEREF _Toc433723294 \h </w:instrText>
            </w:r>
            <w:r>
              <w:rPr>
                <w:webHidden/>
              </w:rPr>
            </w:r>
            <w:r>
              <w:rPr>
                <w:webHidden/>
              </w:rPr>
              <w:fldChar w:fldCharType="separate"/>
            </w:r>
            <w:r>
              <w:rPr>
                <w:webHidden/>
              </w:rPr>
              <w:t>17</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295" w:history="1">
            <w:r w:rsidRPr="00711227">
              <w:rPr>
                <w:rStyle w:val="Hyperlink"/>
              </w:rPr>
              <w:t>2.3</w:t>
            </w:r>
            <w:r>
              <w:rPr>
                <w:rFonts w:asciiTheme="minorHAnsi" w:eastAsiaTheme="minorEastAsia" w:hAnsiTheme="minorHAnsi"/>
                <w:b w:val="0"/>
                <w:color w:val="auto"/>
                <w:sz w:val="22"/>
                <w:lang w:eastAsia="en-AU"/>
              </w:rPr>
              <w:tab/>
            </w:r>
            <w:r w:rsidRPr="00711227">
              <w:rPr>
                <w:rStyle w:val="Hyperlink"/>
              </w:rPr>
              <w:t>Structure of the overview</w:t>
            </w:r>
            <w:r>
              <w:rPr>
                <w:webHidden/>
              </w:rPr>
              <w:tab/>
            </w:r>
            <w:r>
              <w:rPr>
                <w:webHidden/>
              </w:rPr>
              <w:fldChar w:fldCharType="begin"/>
            </w:r>
            <w:r>
              <w:rPr>
                <w:webHidden/>
              </w:rPr>
              <w:instrText xml:space="preserve"> PAGEREF _Toc433723295 \h </w:instrText>
            </w:r>
            <w:r>
              <w:rPr>
                <w:webHidden/>
              </w:rPr>
            </w:r>
            <w:r>
              <w:rPr>
                <w:webHidden/>
              </w:rPr>
              <w:fldChar w:fldCharType="separate"/>
            </w:r>
            <w:r>
              <w:rPr>
                <w:webHidden/>
              </w:rPr>
              <w:t>17</w:t>
            </w:r>
            <w:r>
              <w:rPr>
                <w:webHidden/>
              </w:rPr>
              <w:fldChar w:fldCharType="end"/>
            </w:r>
          </w:hyperlink>
        </w:p>
        <w:p w:rsidR="001509E6" w:rsidRDefault="001509E6">
          <w:pPr>
            <w:pStyle w:val="TOC1"/>
            <w:rPr>
              <w:rFonts w:asciiTheme="minorHAnsi" w:eastAsiaTheme="minorEastAsia" w:hAnsiTheme="minorHAnsi"/>
              <w:b w:val="0"/>
              <w:color w:val="auto"/>
              <w:sz w:val="22"/>
              <w:lang w:val="en-AU" w:eastAsia="en-AU"/>
            </w:rPr>
          </w:pPr>
          <w:hyperlink w:anchor="_Toc433723296" w:history="1">
            <w:r w:rsidRPr="00711227">
              <w:rPr>
                <w:rStyle w:val="Hyperlink"/>
              </w:rPr>
              <w:t>3</w:t>
            </w:r>
            <w:r>
              <w:rPr>
                <w:rFonts w:asciiTheme="minorHAnsi" w:eastAsiaTheme="minorEastAsia" w:hAnsiTheme="minorHAnsi"/>
                <w:b w:val="0"/>
                <w:color w:val="auto"/>
                <w:sz w:val="22"/>
                <w:lang w:val="en-AU" w:eastAsia="en-AU"/>
              </w:rPr>
              <w:tab/>
            </w:r>
            <w:r w:rsidRPr="00711227">
              <w:rPr>
                <w:rStyle w:val="Hyperlink"/>
              </w:rPr>
              <w:t>Key elements of decision on Energex's revenue</w:t>
            </w:r>
            <w:r>
              <w:rPr>
                <w:webHidden/>
              </w:rPr>
              <w:tab/>
            </w:r>
            <w:r>
              <w:rPr>
                <w:webHidden/>
              </w:rPr>
              <w:fldChar w:fldCharType="begin"/>
            </w:r>
            <w:r>
              <w:rPr>
                <w:webHidden/>
              </w:rPr>
              <w:instrText xml:space="preserve"> PAGEREF _Toc433723296 \h </w:instrText>
            </w:r>
            <w:r>
              <w:rPr>
                <w:webHidden/>
              </w:rPr>
            </w:r>
            <w:r>
              <w:rPr>
                <w:webHidden/>
              </w:rPr>
              <w:fldChar w:fldCharType="separate"/>
            </w:r>
            <w:r>
              <w:rPr>
                <w:webHidden/>
              </w:rPr>
              <w:t>18</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297" w:history="1">
            <w:r w:rsidRPr="00711227">
              <w:rPr>
                <w:rStyle w:val="Hyperlink"/>
              </w:rPr>
              <w:t>3.1</w:t>
            </w:r>
            <w:r>
              <w:rPr>
                <w:rFonts w:asciiTheme="minorHAnsi" w:eastAsiaTheme="minorEastAsia" w:hAnsiTheme="minorHAnsi"/>
                <w:b w:val="0"/>
                <w:color w:val="auto"/>
                <w:sz w:val="22"/>
                <w:lang w:eastAsia="en-AU"/>
              </w:rPr>
              <w:tab/>
            </w:r>
            <w:r w:rsidRPr="00711227">
              <w:rPr>
                <w:rStyle w:val="Hyperlink"/>
              </w:rPr>
              <w:t>Regulatory asset base</w:t>
            </w:r>
            <w:r>
              <w:rPr>
                <w:webHidden/>
              </w:rPr>
              <w:tab/>
            </w:r>
            <w:r>
              <w:rPr>
                <w:webHidden/>
              </w:rPr>
              <w:fldChar w:fldCharType="begin"/>
            </w:r>
            <w:r>
              <w:rPr>
                <w:webHidden/>
              </w:rPr>
              <w:instrText xml:space="preserve"> PAGEREF _Toc433723297 \h </w:instrText>
            </w:r>
            <w:r>
              <w:rPr>
                <w:webHidden/>
              </w:rPr>
            </w:r>
            <w:r>
              <w:rPr>
                <w:webHidden/>
              </w:rPr>
              <w:fldChar w:fldCharType="separate"/>
            </w:r>
            <w:r>
              <w:rPr>
                <w:webHidden/>
              </w:rPr>
              <w:t>20</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298" w:history="1">
            <w:r w:rsidRPr="00711227">
              <w:rPr>
                <w:rStyle w:val="Hyperlink"/>
              </w:rPr>
              <w:t>3.2</w:t>
            </w:r>
            <w:r>
              <w:rPr>
                <w:rFonts w:asciiTheme="minorHAnsi" w:eastAsiaTheme="minorEastAsia" w:hAnsiTheme="minorHAnsi"/>
                <w:b w:val="0"/>
                <w:color w:val="auto"/>
                <w:sz w:val="22"/>
                <w:lang w:eastAsia="en-AU"/>
              </w:rPr>
              <w:tab/>
            </w:r>
            <w:r w:rsidRPr="00711227">
              <w:rPr>
                <w:rStyle w:val="Hyperlink"/>
              </w:rPr>
              <w:t>Rate of return (return on capital)</w:t>
            </w:r>
            <w:r>
              <w:rPr>
                <w:webHidden/>
              </w:rPr>
              <w:tab/>
            </w:r>
            <w:r>
              <w:rPr>
                <w:webHidden/>
              </w:rPr>
              <w:fldChar w:fldCharType="begin"/>
            </w:r>
            <w:r>
              <w:rPr>
                <w:webHidden/>
              </w:rPr>
              <w:instrText xml:space="preserve"> PAGEREF _Toc433723298 \h </w:instrText>
            </w:r>
            <w:r>
              <w:rPr>
                <w:webHidden/>
              </w:rPr>
            </w:r>
            <w:r>
              <w:rPr>
                <w:webHidden/>
              </w:rPr>
              <w:fldChar w:fldCharType="separate"/>
            </w:r>
            <w:r>
              <w:rPr>
                <w:webHidden/>
              </w:rPr>
              <w:t>22</w:t>
            </w:r>
            <w:r>
              <w:rPr>
                <w:webHidden/>
              </w:rPr>
              <w:fldChar w:fldCharType="end"/>
            </w:r>
          </w:hyperlink>
        </w:p>
        <w:p w:rsidR="001509E6" w:rsidRDefault="001509E6">
          <w:pPr>
            <w:pStyle w:val="TOC3"/>
            <w:rPr>
              <w:rFonts w:asciiTheme="minorHAnsi" w:eastAsiaTheme="minorEastAsia" w:hAnsiTheme="minorHAnsi"/>
              <w:lang w:eastAsia="en-AU"/>
            </w:rPr>
          </w:pPr>
          <w:hyperlink w:anchor="_Toc433723299" w:history="1">
            <w:r w:rsidRPr="00711227">
              <w:rPr>
                <w:rStyle w:val="Hyperlink"/>
              </w:rPr>
              <w:t>Our approach</w:t>
            </w:r>
            <w:r>
              <w:rPr>
                <w:webHidden/>
              </w:rPr>
              <w:tab/>
            </w:r>
            <w:r>
              <w:rPr>
                <w:webHidden/>
              </w:rPr>
              <w:fldChar w:fldCharType="begin"/>
            </w:r>
            <w:r>
              <w:rPr>
                <w:webHidden/>
              </w:rPr>
              <w:instrText xml:space="preserve"> PAGEREF _Toc433723299 \h </w:instrText>
            </w:r>
            <w:r>
              <w:rPr>
                <w:webHidden/>
              </w:rPr>
            </w:r>
            <w:r>
              <w:rPr>
                <w:webHidden/>
              </w:rPr>
              <w:fldChar w:fldCharType="separate"/>
            </w:r>
            <w:r>
              <w:rPr>
                <w:webHidden/>
              </w:rPr>
              <w:t>23</w:t>
            </w:r>
            <w:r>
              <w:rPr>
                <w:webHidden/>
              </w:rPr>
              <w:fldChar w:fldCharType="end"/>
            </w:r>
          </w:hyperlink>
        </w:p>
        <w:p w:rsidR="001509E6" w:rsidRDefault="001509E6">
          <w:pPr>
            <w:pStyle w:val="TOC3"/>
            <w:rPr>
              <w:rFonts w:asciiTheme="minorHAnsi" w:eastAsiaTheme="minorEastAsia" w:hAnsiTheme="minorHAnsi"/>
              <w:lang w:eastAsia="en-AU"/>
            </w:rPr>
          </w:pPr>
          <w:hyperlink w:anchor="_Toc433723300" w:history="1">
            <w:r w:rsidRPr="00711227">
              <w:rPr>
                <w:rStyle w:val="Hyperlink"/>
              </w:rPr>
              <w:t>Return on debt</w:t>
            </w:r>
            <w:r>
              <w:rPr>
                <w:webHidden/>
              </w:rPr>
              <w:tab/>
            </w:r>
            <w:r>
              <w:rPr>
                <w:webHidden/>
              </w:rPr>
              <w:fldChar w:fldCharType="begin"/>
            </w:r>
            <w:r>
              <w:rPr>
                <w:webHidden/>
              </w:rPr>
              <w:instrText xml:space="preserve"> PAGEREF _Toc433723300 \h </w:instrText>
            </w:r>
            <w:r>
              <w:rPr>
                <w:webHidden/>
              </w:rPr>
            </w:r>
            <w:r>
              <w:rPr>
                <w:webHidden/>
              </w:rPr>
              <w:fldChar w:fldCharType="separate"/>
            </w:r>
            <w:r>
              <w:rPr>
                <w:webHidden/>
              </w:rPr>
              <w:t>24</w:t>
            </w:r>
            <w:r>
              <w:rPr>
                <w:webHidden/>
              </w:rPr>
              <w:fldChar w:fldCharType="end"/>
            </w:r>
          </w:hyperlink>
        </w:p>
        <w:p w:rsidR="001509E6" w:rsidRDefault="001509E6">
          <w:pPr>
            <w:pStyle w:val="TOC3"/>
            <w:rPr>
              <w:rFonts w:asciiTheme="minorHAnsi" w:eastAsiaTheme="minorEastAsia" w:hAnsiTheme="minorHAnsi"/>
              <w:lang w:eastAsia="en-AU"/>
            </w:rPr>
          </w:pPr>
          <w:hyperlink w:anchor="_Toc433723301" w:history="1">
            <w:r w:rsidRPr="00711227">
              <w:rPr>
                <w:rStyle w:val="Hyperlink"/>
              </w:rPr>
              <w:t>Return on equity</w:t>
            </w:r>
            <w:r>
              <w:rPr>
                <w:webHidden/>
              </w:rPr>
              <w:tab/>
            </w:r>
            <w:r>
              <w:rPr>
                <w:webHidden/>
              </w:rPr>
              <w:fldChar w:fldCharType="begin"/>
            </w:r>
            <w:r>
              <w:rPr>
                <w:webHidden/>
              </w:rPr>
              <w:instrText xml:space="preserve"> PAGEREF _Toc433723301 \h </w:instrText>
            </w:r>
            <w:r>
              <w:rPr>
                <w:webHidden/>
              </w:rPr>
            </w:r>
            <w:r>
              <w:rPr>
                <w:webHidden/>
              </w:rPr>
              <w:fldChar w:fldCharType="separate"/>
            </w:r>
            <w:r>
              <w:rPr>
                <w:webHidden/>
              </w:rPr>
              <w:t>24</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302" w:history="1">
            <w:r w:rsidRPr="00711227">
              <w:rPr>
                <w:rStyle w:val="Hyperlink"/>
              </w:rPr>
              <w:t>3.3</w:t>
            </w:r>
            <w:r>
              <w:rPr>
                <w:rFonts w:asciiTheme="minorHAnsi" w:eastAsiaTheme="minorEastAsia" w:hAnsiTheme="minorHAnsi"/>
                <w:b w:val="0"/>
                <w:color w:val="auto"/>
                <w:sz w:val="22"/>
                <w:lang w:eastAsia="en-AU"/>
              </w:rPr>
              <w:tab/>
            </w:r>
            <w:r w:rsidRPr="00711227">
              <w:rPr>
                <w:rStyle w:val="Hyperlink"/>
              </w:rPr>
              <w:t>Value of imputation credits (gamma)</w:t>
            </w:r>
            <w:r>
              <w:rPr>
                <w:webHidden/>
              </w:rPr>
              <w:tab/>
            </w:r>
            <w:r>
              <w:rPr>
                <w:webHidden/>
              </w:rPr>
              <w:fldChar w:fldCharType="begin"/>
            </w:r>
            <w:r>
              <w:rPr>
                <w:webHidden/>
              </w:rPr>
              <w:instrText xml:space="preserve"> PAGEREF _Toc433723302 \h </w:instrText>
            </w:r>
            <w:r>
              <w:rPr>
                <w:webHidden/>
              </w:rPr>
            </w:r>
            <w:r>
              <w:rPr>
                <w:webHidden/>
              </w:rPr>
              <w:fldChar w:fldCharType="separate"/>
            </w:r>
            <w:r>
              <w:rPr>
                <w:webHidden/>
              </w:rPr>
              <w:t>26</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303" w:history="1">
            <w:r w:rsidRPr="00711227">
              <w:rPr>
                <w:rStyle w:val="Hyperlink"/>
              </w:rPr>
              <w:t>3.4</w:t>
            </w:r>
            <w:r>
              <w:rPr>
                <w:rFonts w:asciiTheme="minorHAnsi" w:eastAsiaTheme="minorEastAsia" w:hAnsiTheme="minorHAnsi"/>
                <w:b w:val="0"/>
                <w:color w:val="auto"/>
                <w:sz w:val="22"/>
                <w:lang w:eastAsia="en-AU"/>
              </w:rPr>
              <w:tab/>
            </w:r>
            <w:r w:rsidRPr="00711227">
              <w:rPr>
                <w:rStyle w:val="Hyperlink"/>
              </w:rPr>
              <w:t>Regulatory depreciation (return of capital)</w:t>
            </w:r>
            <w:r>
              <w:rPr>
                <w:webHidden/>
              </w:rPr>
              <w:tab/>
            </w:r>
            <w:r>
              <w:rPr>
                <w:webHidden/>
              </w:rPr>
              <w:fldChar w:fldCharType="begin"/>
            </w:r>
            <w:r>
              <w:rPr>
                <w:webHidden/>
              </w:rPr>
              <w:instrText xml:space="preserve"> PAGEREF _Toc433723303 \h </w:instrText>
            </w:r>
            <w:r>
              <w:rPr>
                <w:webHidden/>
              </w:rPr>
            </w:r>
            <w:r>
              <w:rPr>
                <w:webHidden/>
              </w:rPr>
              <w:fldChar w:fldCharType="separate"/>
            </w:r>
            <w:r>
              <w:rPr>
                <w:webHidden/>
              </w:rPr>
              <w:t>28</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304" w:history="1">
            <w:r w:rsidRPr="00711227">
              <w:rPr>
                <w:rStyle w:val="Hyperlink"/>
              </w:rPr>
              <w:t>3.5</w:t>
            </w:r>
            <w:r>
              <w:rPr>
                <w:rFonts w:asciiTheme="minorHAnsi" w:eastAsiaTheme="minorEastAsia" w:hAnsiTheme="minorHAnsi"/>
                <w:b w:val="0"/>
                <w:color w:val="auto"/>
                <w:sz w:val="22"/>
                <w:lang w:eastAsia="en-AU"/>
              </w:rPr>
              <w:tab/>
            </w:r>
            <w:r w:rsidRPr="00711227">
              <w:rPr>
                <w:rStyle w:val="Hyperlink"/>
              </w:rPr>
              <w:t>Capital expenditure</w:t>
            </w:r>
            <w:r>
              <w:rPr>
                <w:webHidden/>
              </w:rPr>
              <w:tab/>
            </w:r>
            <w:r>
              <w:rPr>
                <w:webHidden/>
              </w:rPr>
              <w:fldChar w:fldCharType="begin"/>
            </w:r>
            <w:r>
              <w:rPr>
                <w:webHidden/>
              </w:rPr>
              <w:instrText xml:space="preserve"> PAGEREF _Toc433723304 \h </w:instrText>
            </w:r>
            <w:r>
              <w:rPr>
                <w:webHidden/>
              </w:rPr>
            </w:r>
            <w:r>
              <w:rPr>
                <w:webHidden/>
              </w:rPr>
              <w:fldChar w:fldCharType="separate"/>
            </w:r>
            <w:r>
              <w:rPr>
                <w:webHidden/>
              </w:rPr>
              <w:t>29</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305" w:history="1">
            <w:r w:rsidRPr="00711227">
              <w:rPr>
                <w:rStyle w:val="Hyperlink"/>
              </w:rPr>
              <w:t>3.6</w:t>
            </w:r>
            <w:r>
              <w:rPr>
                <w:rFonts w:asciiTheme="minorHAnsi" w:eastAsiaTheme="minorEastAsia" w:hAnsiTheme="minorHAnsi"/>
                <w:b w:val="0"/>
                <w:color w:val="auto"/>
                <w:sz w:val="22"/>
                <w:lang w:eastAsia="en-AU"/>
              </w:rPr>
              <w:tab/>
            </w:r>
            <w:r w:rsidRPr="00711227">
              <w:rPr>
                <w:rStyle w:val="Hyperlink"/>
              </w:rPr>
              <w:t>Operating expenditure</w:t>
            </w:r>
            <w:r>
              <w:rPr>
                <w:webHidden/>
              </w:rPr>
              <w:tab/>
            </w:r>
            <w:r>
              <w:rPr>
                <w:webHidden/>
              </w:rPr>
              <w:fldChar w:fldCharType="begin"/>
            </w:r>
            <w:r>
              <w:rPr>
                <w:webHidden/>
              </w:rPr>
              <w:instrText xml:space="preserve"> PAGEREF _Toc433723305 \h </w:instrText>
            </w:r>
            <w:r>
              <w:rPr>
                <w:webHidden/>
              </w:rPr>
            </w:r>
            <w:r>
              <w:rPr>
                <w:webHidden/>
              </w:rPr>
              <w:fldChar w:fldCharType="separate"/>
            </w:r>
            <w:r>
              <w:rPr>
                <w:webHidden/>
              </w:rPr>
              <w:t>31</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306" w:history="1">
            <w:r w:rsidRPr="00711227">
              <w:rPr>
                <w:rStyle w:val="Hyperlink"/>
              </w:rPr>
              <w:t>3.7</w:t>
            </w:r>
            <w:r>
              <w:rPr>
                <w:rFonts w:asciiTheme="minorHAnsi" w:eastAsiaTheme="minorEastAsia" w:hAnsiTheme="minorHAnsi"/>
                <w:b w:val="0"/>
                <w:color w:val="auto"/>
                <w:sz w:val="22"/>
                <w:lang w:eastAsia="en-AU"/>
              </w:rPr>
              <w:tab/>
            </w:r>
            <w:r w:rsidRPr="00711227">
              <w:rPr>
                <w:rStyle w:val="Hyperlink"/>
              </w:rPr>
              <w:t>Corporate income tax</w:t>
            </w:r>
            <w:r>
              <w:rPr>
                <w:webHidden/>
              </w:rPr>
              <w:tab/>
            </w:r>
            <w:r>
              <w:rPr>
                <w:webHidden/>
              </w:rPr>
              <w:fldChar w:fldCharType="begin"/>
            </w:r>
            <w:r>
              <w:rPr>
                <w:webHidden/>
              </w:rPr>
              <w:instrText xml:space="preserve"> PAGEREF _Toc433723306 \h </w:instrText>
            </w:r>
            <w:r>
              <w:rPr>
                <w:webHidden/>
              </w:rPr>
            </w:r>
            <w:r>
              <w:rPr>
                <w:webHidden/>
              </w:rPr>
              <w:fldChar w:fldCharType="separate"/>
            </w:r>
            <w:r>
              <w:rPr>
                <w:webHidden/>
              </w:rPr>
              <w:t>33</w:t>
            </w:r>
            <w:r>
              <w:rPr>
                <w:webHidden/>
              </w:rPr>
              <w:fldChar w:fldCharType="end"/>
            </w:r>
          </w:hyperlink>
        </w:p>
        <w:p w:rsidR="001509E6" w:rsidRDefault="001509E6">
          <w:pPr>
            <w:pStyle w:val="TOC1"/>
            <w:rPr>
              <w:rFonts w:asciiTheme="minorHAnsi" w:eastAsiaTheme="minorEastAsia" w:hAnsiTheme="minorHAnsi"/>
              <w:b w:val="0"/>
              <w:color w:val="auto"/>
              <w:sz w:val="22"/>
              <w:lang w:val="en-AU" w:eastAsia="en-AU"/>
            </w:rPr>
          </w:pPr>
          <w:hyperlink w:anchor="_Toc433723307" w:history="1">
            <w:r w:rsidRPr="00711227">
              <w:rPr>
                <w:rStyle w:val="Hyperlink"/>
              </w:rPr>
              <w:t>4</w:t>
            </w:r>
            <w:r>
              <w:rPr>
                <w:rFonts w:asciiTheme="minorHAnsi" w:eastAsiaTheme="minorEastAsia" w:hAnsiTheme="minorHAnsi"/>
                <w:b w:val="0"/>
                <w:color w:val="auto"/>
                <w:sz w:val="22"/>
                <w:lang w:val="en-AU" w:eastAsia="en-AU"/>
              </w:rPr>
              <w:tab/>
            </w:r>
            <w:r w:rsidRPr="00711227">
              <w:rPr>
                <w:rStyle w:val="Hyperlink"/>
              </w:rPr>
              <w:t>Service classification, control mechanisms and incentive schemes</w:t>
            </w:r>
            <w:r>
              <w:rPr>
                <w:webHidden/>
              </w:rPr>
              <w:tab/>
            </w:r>
            <w:r>
              <w:rPr>
                <w:webHidden/>
              </w:rPr>
              <w:fldChar w:fldCharType="begin"/>
            </w:r>
            <w:r>
              <w:rPr>
                <w:webHidden/>
              </w:rPr>
              <w:instrText xml:space="preserve"> PAGEREF _Toc433723307 \h </w:instrText>
            </w:r>
            <w:r>
              <w:rPr>
                <w:webHidden/>
              </w:rPr>
            </w:r>
            <w:r>
              <w:rPr>
                <w:webHidden/>
              </w:rPr>
              <w:fldChar w:fldCharType="separate"/>
            </w:r>
            <w:r>
              <w:rPr>
                <w:webHidden/>
              </w:rPr>
              <w:t>34</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308" w:history="1">
            <w:r w:rsidRPr="00711227">
              <w:rPr>
                <w:rStyle w:val="Hyperlink"/>
              </w:rPr>
              <w:t>4.1</w:t>
            </w:r>
            <w:r>
              <w:rPr>
                <w:rFonts w:asciiTheme="minorHAnsi" w:eastAsiaTheme="minorEastAsia" w:hAnsiTheme="minorHAnsi"/>
                <w:b w:val="0"/>
                <w:color w:val="auto"/>
                <w:sz w:val="22"/>
                <w:lang w:eastAsia="en-AU"/>
              </w:rPr>
              <w:tab/>
            </w:r>
            <w:r w:rsidRPr="00711227">
              <w:rPr>
                <w:rStyle w:val="Hyperlink"/>
              </w:rPr>
              <w:t>Classification of services and control mechanisms</w:t>
            </w:r>
            <w:r>
              <w:rPr>
                <w:webHidden/>
              </w:rPr>
              <w:tab/>
            </w:r>
            <w:r>
              <w:rPr>
                <w:webHidden/>
              </w:rPr>
              <w:fldChar w:fldCharType="begin"/>
            </w:r>
            <w:r>
              <w:rPr>
                <w:webHidden/>
              </w:rPr>
              <w:instrText xml:space="preserve"> PAGEREF _Toc433723308 \h </w:instrText>
            </w:r>
            <w:r>
              <w:rPr>
                <w:webHidden/>
              </w:rPr>
            </w:r>
            <w:r>
              <w:rPr>
                <w:webHidden/>
              </w:rPr>
              <w:fldChar w:fldCharType="separate"/>
            </w:r>
            <w:r>
              <w:rPr>
                <w:webHidden/>
              </w:rPr>
              <w:t>34</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309" w:history="1">
            <w:r w:rsidRPr="00711227">
              <w:rPr>
                <w:rStyle w:val="Hyperlink"/>
              </w:rPr>
              <w:t>4.2</w:t>
            </w:r>
            <w:r>
              <w:rPr>
                <w:rFonts w:asciiTheme="minorHAnsi" w:eastAsiaTheme="minorEastAsia" w:hAnsiTheme="minorHAnsi"/>
                <w:b w:val="0"/>
                <w:color w:val="auto"/>
                <w:sz w:val="22"/>
                <w:lang w:eastAsia="en-AU"/>
              </w:rPr>
              <w:tab/>
            </w:r>
            <w:r w:rsidRPr="00711227">
              <w:rPr>
                <w:rStyle w:val="Hyperlink"/>
              </w:rPr>
              <w:t>Alternative control services</w:t>
            </w:r>
            <w:r>
              <w:rPr>
                <w:webHidden/>
              </w:rPr>
              <w:tab/>
            </w:r>
            <w:r>
              <w:rPr>
                <w:webHidden/>
              </w:rPr>
              <w:fldChar w:fldCharType="begin"/>
            </w:r>
            <w:r>
              <w:rPr>
                <w:webHidden/>
              </w:rPr>
              <w:instrText xml:space="preserve"> PAGEREF _Toc433723309 \h </w:instrText>
            </w:r>
            <w:r>
              <w:rPr>
                <w:webHidden/>
              </w:rPr>
            </w:r>
            <w:r>
              <w:rPr>
                <w:webHidden/>
              </w:rPr>
              <w:fldChar w:fldCharType="separate"/>
            </w:r>
            <w:r>
              <w:rPr>
                <w:webHidden/>
              </w:rPr>
              <w:t>35</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310" w:history="1">
            <w:r w:rsidRPr="00711227">
              <w:rPr>
                <w:rStyle w:val="Hyperlink"/>
              </w:rPr>
              <w:t>4.3</w:t>
            </w:r>
            <w:r>
              <w:rPr>
                <w:rFonts w:asciiTheme="minorHAnsi" w:eastAsiaTheme="minorEastAsia" w:hAnsiTheme="minorHAnsi"/>
                <w:b w:val="0"/>
                <w:color w:val="auto"/>
                <w:sz w:val="22"/>
                <w:lang w:eastAsia="en-AU"/>
              </w:rPr>
              <w:tab/>
            </w:r>
            <w:r w:rsidRPr="00711227">
              <w:rPr>
                <w:rStyle w:val="Hyperlink"/>
              </w:rPr>
              <w:t>Incentive schemes</w:t>
            </w:r>
            <w:r>
              <w:rPr>
                <w:webHidden/>
              </w:rPr>
              <w:tab/>
            </w:r>
            <w:r>
              <w:rPr>
                <w:webHidden/>
              </w:rPr>
              <w:fldChar w:fldCharType="begin"/>
            </w:r>
            <w:r>
              <w:rPr>
                <w:webHidden/>
              </w:rPr>
              <w:instrText xml:space="preserve"> PAGEREF _Toc433723310 \h </w:instrText>
            </w:r>
            <w:r>
              <w:rPr>
                <w:webHidden/>
              </w:rPr>
            </w:r>
            <w:r>
              <w:rPr>
                <w:webHidden/>
              </w:rPr>
              <w:fldChar w:fldCharType="separate"/>
            </w:r>
            <w:r>
              <w:rPr>
                <w:webHidden/>
              </w:rPr>
              <w:t>35</w:t>
            </w:r>
            <w:r>
              <w:rPr>
                <w:webHidden/>
              </w:rPr>
              <w:fldChar w:fldCharType="end"/>
            </w:r>
          </w:hyperlink>
        </w:p>
        <w:p w:rsidR="001509E6" w:rsidRDefault="001509E6">
          <w:pPr>
            <w:pStyle w:val="TOC3"/>
            <w:rPr>
              <w:rFonts w:asciiTheme="minorHAnsi" w:eastAsiaTheme="minorEastAsia" w:hAnsiTheme="minorHAnsi"/>
              <w:lang w:eastAsia="en-AU"/>
            </w:rPr>
          </w:pPr>
          <w:hyperlink w:anchor="_Toc433723311" w:history="1">
            <w:r w:rsidRPr="00711227">
              <w:rPr>
                <w:rStyle w:val="Hyperlink"/>
              </w:rPr>
              <w:t>4.3.1</w:t>
            </w:r>
            <w:r>
              <w:rPr>
                <w:rFonts w:asciiTheme="minorHAnsi" w:eastAsiaTheme="minorEastAsia" w:hAnsiTheme="minorHAnsi"/>
                <w:lang w:eastAsia="en-AU"/>
              </w:rPr>
              <w:tab/>
            </w:r>
            <w:r w:rsidRPr="00711227">
              <w:rPr>
                <w:rStyle w:val="Hyperlink"/>
              </w:rPr>
              <w:t>Efficiency benefit sharing scheme</w:t>
            </w:r>
            <w:r>
              <w:rPr>
                <w:webHidden/>
              </w:rPr>
              <w:tab/>
            </w:r>
            <w:r>
              <w:rPr>
                <w:webHidden/>
              </w:rPr>
              <w:fldChar w:fldCharType="begin"/>
            </w:r>
            <w:r>
              <w:rPr>
                <w:webHidden/>
              </w:rPr>
              <w:instrText xml:space="preserve"> PAGEREF _Toc433723311 \h </w:instrText>
            </w:r>
            <w:r>
              <w:rPr>
                <w:webHidden/>
              </w:rPr>
            </w:r>
            <w:r>
              <w:rPr>
                <w:webHidden/>
              </w:rPr>
              <w:fldChar w:fldCharType="separate"/>
            </w:r>
            <w:r>
              <w:rPr>
                <w:webHidden/>
              </w:rPr>
              <w:t>36</w:t>
            </w:r>
            <w:r>
              <w:rPr>
                <w:webHidden/>
              </w:rPr>
              <w:fldChar w:fldCharType="end"/>
            </w:r>
          </w:hyperlink>
        </w:p>
        <w:p w:rsidR="001509E6" w:rsidRDefault="001509E6">
          <w:pPr>
            <w:pStyle w:val="TOC3"/>
            <w:rPr>
              <w:rFonts w:asciiTheme="minorHAnsi" w:eastAsiaTheme="minorEastAsia" w:hAnsiTheme="minorHAnsi"/>
              <w:lang w:eastAsia="en-AU"/>
            </w:rPr>
          </w:pPr>
          <w:hyperlink w:anchor="_Toc433723312" w:history="1">
            <w:r w:rsidRPr="00711227">
              <w:rPr>
                <w:rStyle w:val="Hyperlink"/>
              </w:rPr>
              <w:t>4.3.2</w:t>
            </w:r>
            <w:r>
              <w:rPr>
                <w:rFonts w:asciiTheme="minorHAnsi" w:eastAsiaTheme="minorEastAsia" w:hAnsiTheme="minorHAnsi"/>
                <w:lang w:eastAsia="en-AU"/>
              </w:rPr>
              <w:tab/>
            </w:r>
            <w:r w:rsidRPr="00711227">
              <w:rPr>
                <w:rStyle w:val="Hyperlink"/>
              </w:rPr>
              <w:t>Capital expenditure sharing scheme</w:t>
            </w:r>
            <w:r>
              <w:rPr>
                <w:webHidden/>
              </w:rPr>
              <w:tab/>
            </w:r>
            <w:r>
              <w:rPr>
                <w:webHidden/>
              </w:rPr>
              <w:fldChar w:fldCharType="begin"/>
            </w:r>
            <w:r>
              <w:rPr>
                <w:webHidden/>
              </w:rPr>
              <w:instrText xml:space="preserve"> PAGEREF _Toc433723312 \h </w:instrText>
            </w:r>
            <w:r>
              <w:rPr>
                <w:webHidden/>
              </w:rPr>
            </w:r>
            <w:r>
              <w:rPr>
                <w:webHidden/>
              </w:rPr>
              <w:fldChar w:fldCharType="separate"/>
            </w:r>
            <w:r>
              <w:rPr>
                <w:webHidden/>
              </w:rPr>
              <w:t>36</w:t>
            </w:r>
            <w:r>
              <w:rPr>
                <w:webHidden/>
              </w:rPr>
              <w:fldChar w:fldCharType="end"/>
            </w:r>
          </w:hyperlink>
        </w:p>
        <w:p w:rsidR="001509E6" w:rsidRDefault="001509E6">
          <w:pPr>
            <w:pStyle w:val="TOC3"/>
            <w:rPr>
              <w:rFonts w:asciiTheme="minorHAnsi" w:eastAsiaTheme="minorEastAsia" w:hAnsiTheme="minorHAnsi"/>
              <w:lang w:eastAsia="en-AU"/>
            </w:rPr>
          </w:pPr>
          <w:hyperlink w:anchor="_Toc433723313" w:history="1">
            <w:r w:rsidRPr="00711227">
              <w:rPr>
                <w:rStyle w:val="Hyperlink"/>
              </w:rPr>
              <w:t>4.3.3</w:t>
            </w:r>
            <w:r>
              <w:rPr>
                <w:rFonts w:asciiTheme="minorHAnsi" w:eastAsiaTheme="minorEastAsia" w:hAnsiTheme="minorHAnsi"/>
                <w:lang w:eastAsia="en-AU"/>
              </w:rPr>
              <w:tab/>
            </w:r>
            <w:r w:rsidRPr="00711227">
              <w:rPr>
                <w:rStyle w:val="Hyperlink"/>
              </w:rPr>
              <w:t>Service target performance incentive scheme (STPIS)</w:t>
            </w:r>
            <w:r>
              <w:rPr>
                <w:webHidden/>
              </w:rPr>
              <w:tab/>
            </w:r>
            <w:r>
              <w:rPr>
                <w:webHidden/>
              </w:rPr>
              <w:fldChar w:fldCharType="begin"/>
            </w:r>
            <w:r>
              <w:rPr>
                <w:webHidden/>
              </w:rPr>
              <w:instrText xml:space="preserve"> PAGEREF _Toc433723313 \h </w:instrText>
            </w:r>
            <w:r>
              <w:rPr>
                <w:webHidden/>
              </w:rPr>
            </w:r>
            <w:r>
              <w:rPr>
                <w:webHidden/>
              </w:rPr>
              <w:fldChar w:fldCharType="separate"/>
            </w:r>
            <w:r>
              <w:rPr>
                <w:webHidden/>
              </w:rPr>
              <w:t>37</w:t>
            </w:r>
            <w:r>
              <w:rPr>
                <w:webHidden/>
              </w:rPr>
              <w:fldChar w:fldCharType="end"/>
            </w:r>
          </w:hyperlink>
        </w:p>
        <w:p w:rsidR="001509E6" w:rsidRDefault="001509E6">
          <w:pPr>
            <w:pStyle w:val="TOC3"/>
            <w:rPr>
              <w:rFonts w:asciiTheme="minorHAnsi" w:eastAsiaTheme="minorEastAsia" w:hAnsiTheme="minorHAnsi"/>
              <w:lang w:eastAsia="en-AU"/>
            </w:rPr>
          </w:pPr>
          <w:hyperlink w:anchor="_Toc433723314" w:history="1">
            <w:r w:rsidRPr="00711227">
              <w:rPr>
                <w:rStyle w:val="Hyperlink"/>
              </w:rPr>
              <w:t>4.3.4</w:t>
            </w:r>
            <w:r>
              <w:rPr>
                <w:rFonts w:asciiTheme="minorHAnsi" w:eastAsiaTheme="minorEastAsia" w:hAnsiTheme="minorHAnsi"/>
                <w:lang w:eastAsia="en-AU"/>
              </w:rPr>
              <w:tab/>
            </w:r>
            <w:r w:rsidRPr="00711227">
              <w:rPr>
                <w:rStyle w:val="Hyperlink"/>
              </w:rPr>
              <w:t>Demand management incentive scheme</w:t>
            </w:r>
            <w:r>
              <w:rPr>
                <w:webHidden/>
              </w:rPr>
              <w:tab/>
            </w:r>
            <w:r>
              <w:rPr>
                <w:webHidden/>
              </w:rPr>
              <w:fldChar w:fldCharType="begin"/>
            </w:r>
            <w:r>
              <w:rPr>
                <w:webHidden/>
              </w:rPr>
              <w:instrText xml:space="preserve"> PAGEREF _Toc433723314 \h </w:instrText>
            </w:r>
            <w:r>
              <w:rPr>
                <w:webHidden/>
              </w:rPr>
            </w:r>
            <w:r>
              <w:rPr>
                <w:webHidden/>
              </w:rPr>
              <w:fldChar w:fldCharType="separate"/>
            </w:r>
            <w:r>
              <w:rPr>
                <w:webHidden/>
              </w:rPr>
              <w:t>38</w:t>
            </w:r>
            <w:r>
              <w:rPr>
                <w:webHidden/>
              </w:rPr>
              <w:fldChar w:fldCharType="end"/>
            </w:r>
          </w:hyperlink>
        </w:p>
        <w:p w:rsidR="001509E6" w:rsidRDefault="001509E6">
          <w:pPr>
            <w:pStyle w:val="TOC1"/>
            <w:rPr>
              <w:rFonts w:asciiTheme="minorHAnsi" w:eastAsiaTheme="minorEastAsia" w:hAnsiTheme="minorHAnsi"/>
              <w:b w:val="0"/>
              <w:color w:val="auto"/>
              <w:sz w:val="22"/>
              <w:lang w:val="en-AU" w:eastAsia="en-AU"/>
            </w:rPr>
          </w:pPr>
          <w:hyperlink w:anchor="_Toc433723315" w:history="1">
            <w:r w:rsidRPr="00711227">
              <w:rPr>
                <w:rStyle w:val="Hyperlink"/>
              </w:rPr>
              <w:t>5</w:t>
            </w:r>
            <w:r>
              <w:rPr>
                <w:rFonts w:asciiTheme="minorHAnsi" w:eastAsiaTheme="minorEastAsia" w:hAnsiTheme="minorHAnsi"/>
                <w:b w:val="0"/>
                <w:color w:val="auto"/>
                <w:sz w:val="22"/>
                <w:lang w:val="en-AU" w:eastAsia="en-AU"/>
              </w:rPr>
              <w:tab/>
            </w:r>
            <w:r w:rsidRPr="00711227">
              <w:rPr>
                <w:rStyle w:val="Hyperlink"/>
              </w:rPr>
              <w:t>Understanding the NEO</w:t>
            </w:r>
            <w:r>
              <w:rPr>
                <w:webHidden/>
              </w:rPr>
              <w:tab/>
            </w:r>
            <w:r>
              <w:rPr>
                <w:webHidden/>
              </w:rPr>
              <w:fldChar w:fldCharType="begin"/>
            </w:r>
            <w:r>
              <w:rPr>
                <w:webHidden/>
              </w:rPr>
              <w:instrText xml:space="preserve"> PAGEREF _Toc433723315 \h </w:instrText>
            </w:r>
            <w:r>
              <w:rPr>
                <w:webHidden/>
              </w:rPr>
            </w:r>
            <w:r>
              <w:rPr>
                <w:webHidden/>
              </w:rPr>
              <w:fldChar w:fldCharType="separate"/>
            </w:r>
            <w:r>
              <w:rPr>
                <w:webHidden/>
              </w:rPr>
              <w:t>39</w:t>
            </w:r>
            <w:r>
              <w:rPr>
                <w:webHidden/>
              </w:rPr>
              <w:fldChar w:fldCharType="end"/>
            </w:r>
          </w:hyperlink>
        </w:p>
        <w:p w:rsidR="001509E6" w:rsidRDefault="001509E6">
          <w:pPr>
            <w:pStyle w:val="TOC2"/>
            <w:rPr>
              <w:rFonts w:asciiTheme="minorHAnsi" w:eastAsiaTheme="minorEastAsia" w:hAnsiTheme="minorHAnsi"/>
              <w:b w:val="0"/>
              <w:color w:val="auto"/>
              <w:sz w:val="22"/>
              <w:lang w:eastAsia="en-AU"/>
            </w:rPr>
          </w:pPr>
          <w:hyperlink w:anchor="_Toc433723316" w:history="1">
            <w:r w:rsidRPr="00711227">
              <w:rPr>
                <w:rStyle w:val="Hyperlink"/>
              </w:rPr>
              <w:t>5.1</w:t>
            </w:r>
            <w:r>
              <w:rPr>
                <w:rFonts w:asciiTheme="minorHAnsi" w:eastAsiaTheme="minorEastAsia" w:hAnsiTheme="minorHAnsi"/>
                <w:b w:val="0"/>
                <w:color w:val="auto"/>
                <w:sz w:val="22"/>
                <w:lang w:eastAsia="en-AU"/>
              </w:rPr>
              <w:tab/>
            </w:r>
            <w:r w:rsidRPr="00711227">
              <w:rPr>
                <w:rStyle w:val="Hyperlink"/>
              </w:rPr>
              <w:t>Achieving the NEO to the greatest degree</w:t>
            </w:r>
            <w:r>
              <w:rPr>
                <w:webHidden/>
              </w:rPr>
              <w:tab/>
            </w:r>
            <w:r>
              <w:rPr>
                <w:webHidden/>
              </w:rPr>
              <w:fldChar w:fldCharType="begin"/>
            </w:r>
            <w:r>
              <w:rPr>
                <w:webHidden/>
              </w:rPr>
              <w:instrText xml:space="preserve"> PAGEREF _Toc433723316 \h </w:instrText>
            </w:r>
            <w:r>
              <w:rPr>
                <w:webHidden/>
              </w:rPr>
            </w:r>
            <w:r>
              <w:rPr>
                <w:webHidden/>
              </w:rPr>
              <w:fldChar w:fldCharType="separate"/>
            </w:r>
            <w:r>
              <w:rPr>
                <w:webHidden/>
              </w:rPr>
              <w:t>42</w:t>
            </w:r>
            <w:r>
              <w:rPr>
                <w:webHidden/>
              </w:rPr>
              <w:fldChar w:fldCharType="end"/>
            </w:r>
          </w:hyperlink>
        </w:p>
        <w:p w:rsidR="001509E6" w:rsidRDefault="001509E6">
          <w:pPr>
            <w:pStyle w:val="TOC3"/>
            <w:rPr>
              <w:rFonts w:asciiTheme="minorHAnsi" w:eastAsiaTheme="minorEastAsia" w:hAnsiTheme="minorHAnsi"/>
              <w:lang w:eastAsia="en-AU"/>
            </w:rPr>
          </w:pPr>
          <w:hyperlink w:anchor="_Toc433723317" w:history="1">
            <w:r w:rsidRPr="00711227">
              <w:rPr>
                <w:rStyle w:val="Hyperlink"/>
              </w:rPr>
              <w:t>5.1.1</w:t>
            </w:r>
            <w:r>
              <w:rPr>
                <w:rFonts w:asciiTheme="minorHAnsi" w:eastAsiaTheme="minorEastAsia" w:hAnsiTheme="minorHAnsi"/>
                <w:lang w:eastAsia="en-AU"/>
              </w:rPr>
              <w:tab/>
            </w:r>
            <w:r w:rsidRPr="00711227">
              <w:rPr>
                <w:rStyle w:val="Hyperlink"/>
              </w:rPr>
              <w:t>Interrelationships between constituent components</w:t>
            </w:r>
            <w:r>
              <w:rPr>
                <w:webHidden/>
              </w:rPr>
              <w:tab/>
            </w:r>
            <w:r>
              <w:rPr>
                <w:webHidden/>
              </w:rPr>
              <w:fldChar w:fldCharType="begin"/>
            </w:r>
            <w:r>
              <w:rPr>
                <w:webHidden/>
              </w:rPr>
              <w:instrText xml:space="preserve"> PAGEREF _Toc433723317 \h </w:instrText>
            </w:r>
            <w:r>
              <w:rPr>
                <w:webHidden/>
              </w:rPr>
            </w:r>
            <w:r>
              <w:rPr>
                <w:webHidden/>
              </w:rPr>
              <w:fldChar w:fldCharType="separate"/>
            </w:r>
            <w:r>
              <w:rPr>
                <w:webHidden/>
              </w:rPr>
              <w:t>43</w:t>
            </w:r>
            <w:r>
              <w:rPr>
                <w:webHidden/>
              </w:rPr>
              <w:fldChar w:fldCharType="end"/>
            </w:r>
          </w:hyperlink>
        </w:p>
        <w:p w:rsidR="001509E6" w:rsidRDefault="001509E6">
          <w:pPr>
            <w:pStyle w:val="TOC1"/>
            <w:rPr>
              <w:rFonts w:asciiTheme="minorHAnsi" w:eastAsiaTheme="minorEastAsia" w:hAnsiTheme="minorHAnsi"/>
              <w:b w:val="0"/>
              <w:color w:val="auto"/>
              <w:sz w:val="22"/>
              <w:lang w:val="en-AU" w:eastAsia="en-AU"/>
            </w:rPr>
          </w:pPr>
          <w:hyperlink w:anchor="_Toc433723318" w:history="1">
            <w:r w:rsidRPr="00711227">
              <w:rPr>
                <w:rStyle w:val="Hyperlink"/>
              </w:rPr>
              <w:t>6</w:t>
            </w:r>
            <w:r>
              <w:rPr>
                <w:rFonts w:asciiTheme="minorHAnsi" w:eastAsiaTheme="minorEastAsia" w:hAnsiTheme="minorHAnsi"/>
                <w:b w:val="0"/>
                <w:color w:val="auto"/>
                <w:sz w:val="22"/>
                <w:lang w:val="en-AU" w:eastAsia="en-AU"/>
              </w:rPr>
              <w:tab/>
            </w:r>
            <w:r w:rsidRPr="00711227">
              <w:rPr>
                <w:rStyle w:val="Hyperlink"/>
              </w:rPr>
              <w:t>Energex's consultation</w:t>
            </w:r>
            <w:r>
              <w:rPr>
                <w:webHidden/>
              </w:rPr>
              <w:tab/>
            </w:r>
            <w:r>
              <w:rPr>
                <w:webHidden/>
              </w:rPr>
              <w:fldChar w:fldCharType="begin"/>
            </w:r>
            <w:r>
              <w:rPr>
                <w:webHidden/>
              </w:rPr>
              <w:instrText xml:space="preserve"> PAGEREF _Toc433723318 \h </w:instrText>
            </w:r>
            <w:r>
              <w:rPr>
                <w:webHidden/>
              </w:rPr>
            </w:r>
            <w:r>
              <w:rPr>
                <w:webHidden/>
              </w:rPr>
              <w:fldChar w:fldCharType="separate"/>
            </w:r>
            <w:r>
              <w:rPr>
                <w:webHidden/>
              </w:rPr>
              <w:t>45</w:t>
            </w:r>
            <w:r>
              <w:rPr>
                <w:webHidden/>
              </w:rPr>
              <w:fldChar w:fldCharType="end"/>
            </w:r>
          </w:hyperlink>
        </w:p>
        <w:p w:rsidR="001509E6" w:rsidRDefault="001509E6">
          <w:pPr>
            <w:pStyle w:val="TOC3"/>
            <w:rPr>
              <w:rFonts w:asciiTheme="minorHAnsi" w:eastAsiaTheme="minorEastAsia" w:hAnsiTheme="minorHAnsi"/>
              <w:lang w:eastAsia="en-AU"/>
            </w:rPr>
          </w:pPr>
          <w:hyperlink w:anchor="_Toc433723319" w:history="1">
            <w:r w:rsidRPr="00711227">
              <w:rPr>
                <w:rStyle w:val="Hyperlink"/>
              </w:rPr>
              <w:t>6.1.1</w:t>
            </w:r>
            <w:r>
              <w:rPr>
                <w:rFonts w:asciiTheme="minorHAnsi" w:eastAsiaTheme="minorEastAsia" w:hAnsiTheme="minorHAnsi"/>
                <w:lang w:eastAsia="en-AU"/>
              </w:rPr>
              <w:tab/>
            </w:r>
            <w:r w:rsidRPr="00711227">
              <w:rPr>
                <w:rStyle w:val="Hyperlink"/>
              </w:rPr>
              <w:t>NER requirements around consumer engagement</w:t>
            </w:r>
            <w:r>
              <w:rPr>
                <w:webHidden/>
              </w:rPr>
              <w:tab/>
            </w:r>
            <w:r>
              <w:rPr>
                <w:webHidden/>
              </w:rPr>
              <w:fldChar w:fldCharType="begin"/>
            </w:r>
            <w:r>
              <w:rPr>
                <w:webHidden/>
              </w:rPr>
              <w:instrText xml:space="preserve"> PAGEREF _Toc433723319 \h </w:instrText>
            </w:r>
            <w:r>
              <w:rPr>
                <w:webHidden/>
              </w:rPr>
            </w:r>
            <w:r>
              <w:rPr>
                <w:webHidden/>
              </w:rPr>
              <w:fldChar w:fldCharType="separate"/>
            </w:r>
            <w:r>
              <w:rPr>
                <w:webHidden/>
              </w:rPr>
              <w:t>46</w:t>
            </w:r>
            <w:r>
              <w:rPr>
                <w:webHidden/>
              </w:rPr>
              <w:fldChar w:fldCharType="end"/>
            </w:r>
          </w:hyperlink>
        </w:p>
        <w:p w:rsidR="001509E6" w:rsidRDefault="001509E6">
          <w:pPr>
            <w:pStyle w:val="TOC3"/>
            <w:rPr>
              <w:rFonts w:asciiTheme="minorHAnsi" w:eastAsiaTheme="minorEastAsia" w:hAnsiTheme="minorHAnsi"/>
              <w:lang w:eastAsia="en-AU"/>
            </w:rPr>
          </w:pPr>
          <w:hyperlink w:anchor="_Toc433723320" w:history="1">
            <w:r w:rsidRPr="00711227">
              <w:rPr>
                <w:rStyle w:val="Hyperlink"/>
              </w:rPr>
              <w:t>6.1.2</w:t>
            </w:r>
            <w:r>
              <w:rPr>
                <w:rFonts w:asciiTheme="minorHAnsi" w:eastAsiaTheme="minorEastAsia" w:hAnsiTheme="minorHAnsi"/>
                <w:lang w:eastAsia="en-AU"/>
              </w:rPr>
              <w:tab/>
            </w:r>
            <w:r w:rsidRPr="00711227">
              <w:rPr>
                <w:rStyle w:val="Hyperlink"/>
              </w:rPr>
              <w:t>Comments on Energex’s consumer engagement</w:t>
            </w:r>
            <w:r>
              <w:rPr>
                <w:webHidden/>
              </w:rPr>
              <w:tab/>
            </w:r>
            <w:r>
              <w:rPr>
                <w:webHidden/>
              </w:rPr>
              <w:fldChar w:fldCharType="begin"/>
            </w:r>
            <w:r>
              <w:rPr>
                <w:webHidden/>
              </w:rPr>
              <w:instrText xml:space="preserve"> PAGEREF _Toc433723320 \h </w:instrText>
            </w:r>
            <w:r>
              <w:rPr>
                <w:webHidden/>
              </w:rPr>
            </w:r>
            <w:r>
              <w:rPr>
                <w:webHidden/>
              </w:rPr>
              <w:fldChar w:fldCharType="separate"/>
            </w:r>
            <w:r>
              <w:rPr>
                <w:webHidden/>
              </w:rPr>
              <w:t>47</w:t>
            </w:r>
            <w:r>
              <w:rPr>
                <w:webHidden/>
              </w:rPr>
              <w:fldChar w:fldCharType="end"/>
            </w:r>
          </w:hyperlink>
        </w:p>
        <w:p w:rsidR="001509E6" w:rsidRDefault="001509E6">
          <w:pPr>
            <w:pStyle w:val="TOC1"/>
            <w:rPr>
              <w:rFonts w:asciiTheme="minorHAnsi" w:eastAsiaTheme="minorEastAsia" w:hAnsiTheme="minorHAnsi"/>
              <w:b w:val="0"/>
              <w:color w:val="auto"/>
              <w:sz w:val="22"/>
              <w:lang w:val="en-AU" w:eastAsia="en-AU"/>
            </w:rPr>
          </w:pPr>
          <w:hyperlink w:anchor="_Toc433723321" w:history="1">
            <w:r w:rsidRPr="00711227">
              <w:rPr>
                <w:rStyle w:val="Hyperlink"/>
              </w:rPr>
              <w:t>A</w:t>
            </w:r>
            <w:r>
              <w:rPr>
                <w:rFonts w:asciiTheme="minorHAnsi" w:eastAsiaTheme="minorEastAsia" w:hAnsiTheme="minorHAnsi"/>
                <w:b w:val="0"/>
                <w:color w:val="auto"/>
                <w:sz w:val="22"/>
                <w:lang w:val="en-AU" w:eastAsia="en-AU"/>
              </w:rPr>
              <w:tab/>
            </w:r>
            <w:r w:rsidRPr="00711227">
              <w:rPr>
                <w:rStyle w:val="Hyperlink"/>
              </w:rPr>
              <w:t>Constituent decisions</w:t>
            </w:r>
            <w:r>
              <w:rPr>
                <w:webHidden/>
              </w:rPr>
              <w:tab/>
            </w:r>
            <w:r>
              <w:rPr>
                <w:webHidden/>
              </w:rPr>
              <w:fldChar w:fldCharType="begin"/>
            </w:r>
            <w:r>
              <w:rPr>
                <w:webHidden/>
              </w:rPr>
              <w:instrText xml:space="preserve"> PAGEREF _Toc433723321 \h </w:instrText>
            </w:r>
            <w:r>
              <w:rPr>
                <w:webHidden/>
              </w:rPr>
            </w:r>
            <w:r>
              <w:rPr>
                <w:webHidden/>
              </w:rPr>
              <w:fldChar w:fldCharType="separate"/>
            </w:r>
            <w:r>
              <w:rPr>
                <w:webHidden/>
              </w:rPr>
              <w:t>49</w:t>
            </w:r>
            <w:r>
              <w:rPr>
                <w:webHidden/>
              </w:rPr>
              <w:fldChar w:fldCharType="end"/>
            </w:r>
          </w:hyperlink>
        </w:p>
        <w:p w:rsidR="001509E6" w:rsidRDefault="001509E6">
          <w:pPr>
            <w:pStyle w:val="TOC1"/>
            <w:rPr>
              <w:rFonts w:asciiTheme="minorHAnsi" w:eastAsiaTheme="minorEastAsia" w:hAnsiTheme="minorHAnsi"/>
              <w:b w:val="0"/>
              <w:color w:val="auto"/>
              <w:sz w:val="22"/>
              <w:lang w:val="en-AU" w:eastAsia="en-AU"/>
            </w:rPr>
          </w:pPr>
          <w:hyperlink w:anchor="_Toc433723322" w:history="1">
            <w:r w:rsidRPr="00711227">
              <w:rPr>
                <w:rStyle w:val="Hyperlink"/>
              </w:rPr>
              <w:t>B</w:t>
            </w:r>
            <w:r>
              <w:rPr>
                <w:rFonts w:asciiTheme="minorHAnsi" w:eastAsiaTheme="minorEastAsia" w:hAnsiTheme="minorHAnsi"/>
                <w:b w:val="0"/>
                <w:color w:val="auto"/>
                <w:sz w:val="22"/>
                <w:lang w:val="en-AU" w:eastAsia="en-AU"/>
              </w:rPr>
              <w:tab/>
            </w:r>
            <w:r w:rsidRPr="00711227">
              <w:rPr>
                <w:rStyle w:val="Hyperlink"/>
              </w:rPr>
              <w:t>Our consultation process</w:t>
            </w:r>
            <w:r>
              <w:rPr>
                <w:webHidden/>
              </w:rPr>
              <w:tab/>
            </w:r>
            <w:r>
              <w:rPr>
                <w:webHidden/>
              </w:rPr>
              <w:fldChar w:fldCharType="begin"/>
            </w:r>
            <w:r>
              <w:rPr>
                <w:webHidden/>
              </w:rPr>
              <w:instrText xml:space="preserve"> PAGEREF _Toc433723322 \h </w:instrText>
            </w:r>
            <w:r>
              <w:rPr>
                <w:webHidden/>
              </w:rPr>
            </w:r>
            <w:r>
              <w:rPr>
                <w:webHidden/>
              </w:rPr>
              <w:fldChar w:fldCharType="separate"/>
            </w:r>
            <w:r>
              <w:rPr>
                <w:webHidden/>
              </w:rPr>
              <w:t>52</w:t>
            </w:r>
            <w:r>
              <w:rPr>
                <w:webHidden/>
              </w:rPr>
              <w:fldChar w:fldCharType="end"/>
            </w:r>
          </w:hyperlink>
        </w:p>
        <w:p w:rsidR="001509E6" w:rsidRDefault="001509E6">
          <w:pPr>
            <w:pStyle w:val="TOC1"/>
            <w:rPr>
              <w:rFonts w:asciiTheme="minorHAnsi" w:eastAsiaTheme="minorEastAsia" w:hAnsiTheme="minorHAnsi"/>
              <w:b w:val="0"/>
              <w:color w:val="auto"/>
              <w:sz w:val="22"/>
              <w:lang w:val="en-AU" w:eastAsia="en-AU"/>
            </w:rPr>
          </w:pPr>
          <w:hyperlink w:anchor="_Toc433723323" w:history="1">
            <w:r w:rsidRPr="00711227">
              <w:rPr>
                <w:rStyle w:val="Hyperlink"/>
              </w:rPr>
              <w:t>C</w:t>
            </w:r>
            <w:r>
              <w:rPr>
                <w:rFonts w:asciiTheme="minorHAnsi" w:eastAsiaTheme="minorEastAsia" w:hAnsiTheme="minorHAnsi"/>
                <w:b w:val="0"/>
                <w:color w:val="auto"/>
                <w:sz w:val="22"/>
                <w:lang w:val="en-AU" w:eastAsia="en-AU"/>
              </w:rPr>
              <w:tab/>
            </w:r>
            <w:r w:rsidRPr="00711227">
              <w:rPr>
                <w:rStyle w:val="Hyperlink"/>
              </w:rPr>
              <w:t>List of submissions</w:t>
            </w:r>
            <w:r>
              <w:rPr>
                <w:webHidden/>
              </w:rPr>
              <w:tab/>
            </w:r>
            <w:r>
              <w:rPr>
                <w:webHidden/>
              </w:rPr>
              <w:fldChar w:fldCharType="begin"/>
            </w:r>
            <w:r>
              <w:rPr>
                <w:webHidden/>
              </w:rPr>
              <w:instrText xml:space="preserve"> PAGEREF _Toc433723323 \h </w:instrText>
            </w:r>
            <w:r>
              <w:rPr>
                <w:webHidden/>
              </w:rPr>
            </w:r>
            <w:r>
              <w:rPr>
                <w:webHidden/>
              </w:rPr>
              <w:fldChar w:fldCharType="separate"/>
            </w:r>
            <w:r>
              <w:rPr>
                <w:webHidden/>
              </w:rPr>
              <w:t>54</w:t>
            </w:r>
            <w:r>
              <w:rPr>
                <w:webHidden/>
              </w:rPr>
              <w:fldChar w:fldCharType="end"/>
            </w:r>
          </w:hyperlink>
        </w:p>
        <w:p w:rsidR="001509E6" w:rsidRDefault="001509E6">
          <w:pPr>
            <w:pStyle w:val="TOC1"/>
            <w:rPr>
              <w:rFonts w:asciiTheme="minorHAnsi" w:eastAsiaTheme="minorEastAsia" w:hAnsiTheme="minorHAnsi"/>
              <w:b w:val="0"/>
              <w:color w:val="auto"/>
              <w:sz w:val="22"/>
              <w:lang w:val="en-AU" w:eastAsia="en-AU"/>
            </w:rPr>
          </w:pPr>
          <w:hyperlink w:anchor="_Toc433723324" w:history="1">
            <w:r w:rsidRPr="00711227">
              <w:rPr>
                <w:rStyle w:val="Hyperlink"/>
              </w:rPr>
              <w:t>D</w:t>
            </w:r>
            <w:r>
              <w:rPr>
                <w:rFonts w:asciiTheme="minorHAnsi" w:eastAsiaTheme="minorEastAsia" w:hAnsiTheme="minorHAnsi"/>
                <w:b w:val="0"/>
                <w:color w:val="auto"/>
                <w:sz w:val="22"/>
                <w:lang w:val="en-AU" w:eastAsia="en-AU"/>
              </w:rPr>
              <w:tab/>
            </w:r>
            <w:r w:rsidRPr="00711227">
              <w:rPr>
                <w:rStyle w:val="Hyperlink"/>
              </w:rPr>
              <w:t>Interrelationships in the AER’s final decision for Energex</w:t>
            </w:r>
            <w:r>
              <w:rPr>
                <w:webHidden/>
              </w:rPr>
              <w:tab/>
            </w:r>
            <w:r>
              <w:rPr>
                <w:webHidden/>
              </w:rPr>
              <w:fldChar w:fldCharType="begin"/>
            </w:r>
            <w:r>
              <w:rPr>
                <w:webHidden/>
              </w:rPr>
              <w:instrText xml:space="preserve"> PAGEREF _Toc433723324 \h </w:instrText>
            </w:r>
            <w:r>
              <w:rPr>
                <w:webHidden/>
              </w:rPr>
            </w:r>
            <w:r>
              <w:rPr>
                <w:webHidden/>
              </w:rPr>
              <w:fldChar w:fldCharType="separate"/>
            </w:r>
            <w:r>
              <w:rPr>
                <w:webHidden/>
              </w:rPr>
              <w:t>55</w:t>
            </w:r>
            <w:r>
              <w:rPr>
                <w:webHidden/>
              </w:rPr>
              <w:fldChar w:fldCharType="end"/>
            </w:r>
          </w:hyperlink>
        </w:p>
        <w:p w:rsidR="00DE563D" w:rsidRDefault="005E6437" w:rsidP="005E6437">
          <w:pPr>
            <w:pStyle w:val="TOC1"/>
          </w:pPr>
          <w:r>
            <w:rPr>
              <w:color w:val="auto"/>
              <w:sz w:val="22"/>
            </w:rPr>
            <w:fldChar w:fldCharType="end"/>
          </w:r>
        </w:p>
      </w:sdtContent>
    </w:sdt>
    <w:p w:rsidR="00DE563D" w:rsidRDefault="00DE563D" w:rsidP="00DE563D">
      <w:pPr>
        <w:pStyle w:val="UnnumberedHeading"/>
        <w:numPr>
          <w:ilvl w:val="0"/>
          <w:numId w:val="24"/>
        </w:numPr>
      </w:pPr>
      <w:bookmarkStart w:id="8" w:name="_Toc404700925"/>
      <w:bookmarkStart w:id="9" w:name="_Toc433723289"/>
      <w:r>
        <w:t>Shortened forms</w:t>
      </w:r>
      <w:bookmarkEnd w:id="8"/>
      <w:bookmarkEnd w:id="9"/>
    </w:p>
    <w:tbl>
      <w:tblPr>
        <w:tblStyle w:val="AERtable-numbers"/>
        <w:tblW w:w="0" w:type="auto"/>
        <w:tblLook w:val="04A0" w:firstRow="1" w:lastRow="0" w:firstColumn="1" w:lastColumn="0" w:noHBand="0" w:noVBand="1"/>
      </w:tblPr>
      <w:tblGrid>
        <w:gridCol w:w="4341"/>
        <w:gridCol w:w="4352"/>
      </w:tblGrid>
      <w:tr w:rsidR="00DE563D" w:rsidTr="004A4D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Shortened form</w:t>
            </w:r>
          </w:p>
        </w:tc>
        <w:tc>
          <w:tcPr>
            <w:tcW w:w="4352" w:type="dxa"/>
          </w:tcPr>
          <w:p w:rsidR="00DE563D" w:rsidRPr="005B7031"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rPr>
                <w:rStyle w:val="AERtextsize10"/>
              </w:rPr>
            </w:pPr>
            <w:r w:rsidRPr="005B7031">
              <w:rPr>
                <w:rStyle w:val="AERtextsize10"/>
              </w:rPr>
              <w:t>Extended form</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AEMC</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Australian Energy Market Commission</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AEMO</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Australian Energy Market Operator</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AER</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Australian Energy Regulator</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augex</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augmentation expenditure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capex</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capital expenditure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CCP</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Consumer Challenge Panel</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CESS</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capital expenditure sharing scheme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CPI</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consumer price index</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DRP</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debt risk premium</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DMIA</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demand management innovation allowance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DMIS</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demand management incentive scheme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distributor</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distribution network service provider</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DUoS</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distribution use of system</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EBSS</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efficiency benefit sharing scheme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ERP</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equity risk premium</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79150E" w:rsidP="0079150E">
            <w:pPr>
              <w:pStyle w:val="AERtabletextleft"/>
              <w:rPr>
                <w:rStyle w:val="AERtextsize10"/>
              </w:rPr>
            </w:pPr>
            <w:r w:rsidRPr="005B7031">
              <w:rPr>
                <w:rStyle w:val="AERtextsize10"/>
              </w:rPr>
              <w:t>E</w:t>
            </w:r>
            <w:r w:rsidR="00DE563D" w:rsidRPr="005B7031">
              <w:rPr>
                <w:rStyle w:val="AERtextsize10"/>
              </w:rPr>
              <w:t xml:space="preserve">xpenditure </w:t>
            </w:r>
            <w:r w:rsidRPr="005B7031">
              <w:rPr>
                <w:rStyle w:val="AERtextsize10"/>
              </w:rPr>
              <w:t>A</w:t>
            </w:r>
            <w:r w:rsidR="00DE563D" w:rsidRPr="005B7031">
              <w:rPr>
                <w:rStyle w:val="AERtextsize10"/>
              </w:rPr>
              <w:t xml:space="preserve">ssessment </w:t>
            </w:r>
            <w:r w:rsidRPr="005B7031">
              <w:rPr>
                <w:rStyle w:val="AERtextsize10"/>
              </w:rPr>
              <w:t>G</w:t>
            </w:r>
            <w:r w:rsidR="00DE563D" w:rsidRPr="005B7031">
              <w:rPr>
                <w:rStyle w:val="AERtextsize10"/>
              </w:rPr>
              <w:t>uideline</w:t>
            </w:r>
          </w:p>
        </w:tc>
        <w:tc>
          <w:tcPr>
            <w:tcW w:w="4352" w:type="dxa"/>
          </w:tcPr>
          <w:p w:rsidR="00DE563D" w:rsidRPr="005B7031" w:rsidRDefault="007B3355" w:rsidP="007B3355">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E</w:t>
            </w:r>
            <w:r w:rsidR="00DE563D" w:rsidRPr="005B7031">
              <w:rPr>
                <w:rStyle w:val="AERtextsize10"/>
              </w:rPr>
              <w:t xml:space="preserve">xpenditure </w:t>
            </w:r>
            <w:r w:rsidRPr="005B7031">
              <w:rPr>
                <w:rStyle w:val="AERtextsize10"/>
              </w:rPr>
              <w:t>F</w:t>
            </w:r>
            <w:r w:rsidR="00DE563D" w:rsidRPr="005B7031">
              <w:rPr>
                <w:rStyle w:val="AERtextsize10"/>
              </w:rPr>
              <w:t xml:space="preserve">orecast </w:t>
            </w:r>
            <w:r w:rsidRPr="005B7031">
              <w:rPr>
                <w:rStyle w:val="AERtextsize10"/>
              </w:rPr>
              <w:t>A</w:t>
            </w:r>
            <w:r w:rsidR="00DE563D" w:rsidRPr="005B7031">
              <w:rPr>
                <w:rStyle w:val="AERtextsize10"/>
              </w:rPr>
              <w:t xml:space="preserve">ssessment </w:t>
            </w:r>
            <w:r w:rsidR="00497F95" w:rsidRPr="005B7031">
              <w:rPr>
                <w:rStyle w:val="AERtextsize10"/>
              </w:rPr>
              <w:t>G</w:t>
            </w:r>
            <w:r w:rsidR="00DE563D" w:rsidRPr="005B7031">
              <w:rPr>
                <w:rStyle w:val="AERtextsize10"/>
              </w:rPr>
              <w:t xml:space="preserve">uideline for </w:t>
            </w:r>
            <w:r w:rsidR="0014471B" w:rsidRPr="005B7031">
              <w:rPr>
                <w:rStyle w:val="AERtextsize10"/>
              </w:rPr>
              <w:t>e</w:t>
            </w:r>
            <w:r w:rsidR="00DE563D" w:rsidRPr="005B7031">
              <w:rPr>
                <w:rStyle w:val="AERtextsize10"/>
              </w:rPr>
              <w:t xml:space="preserve">lectricity </w:t>
            </w:r>
            <w:r w:rsidR="0014471B" w:rsidRPr="005B7031">
              <w:rPr>
                <w:rStyle w:val="AERtextsize10"/>
              </w:rPr>
              <w:t>d</w:t>
            </w:r>
            <w:r w:rsidR="00DE563D" w:rsidRPr="005B7031">
              <w:rPr>
                <w:rStyle w:val="AERtextsize10"/>
              </w:rPr>
              <w:t>istribution</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F&amp;A</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framework and approach</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MRP</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market risk premium</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NEL</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national electricity law</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NEM</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national electricity market</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NEO</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national electricity objective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NER</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national electricity rules</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NSP</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network service provider</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opex</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operating expenditure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PPI</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partial performance indicators</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PTRM</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post-tax revenue model</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RAB</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regulatory asset base</w:t>
            </w:r>
          </w:p>
        </w:tc>
      </w:tr>
      <w:tr w:rsidR="00DE563D" w:rsidRPr="004A4D49"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RBA</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Reserve Bank of Australia</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repex</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replacement expenditure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RFM</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roll forward model</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RIN</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regulatory information notice</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RPP</w:t>
            </w:r>
          </w:p>
        </w:tc>
        <w:tc>
          <w:tcPr>
            <w:tcW w:w="4352" w:type="dxa"/>
          </w:tcPr>
          <w:p w:rsidR="00DE563D" w:rsidRPr="005B7031"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 xml:space="preserve">revenue </w:t>
            </w:r>
            <w:r w:rsidR="0014471B" w:rsidRPr="005B7031">
              <w:rPr>
                <w:rStyle w:val="AERtextsize10"/>
              </w:rPr>
              <w:t xml:space="preserve">and </w:t>
            </w:r>
            <w:r w:rsidRPr="005B7031">
              <w:rPr>
                <w:rStyle w:val="AERtextsize10"/>
              </w:rPr>
              <w:t>pricing principles</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SAIDI</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system average interruption duration index</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SAIFI</w:t>
            </w:r>
          </w:p>
        </w:tc>
        <w:tc>
          <w:tcPr>
            <w:tcW w:w="4352" w:type="dxa"/>
          </w:tcPr>
          <w:p w:rsidR="00DE563D" w:rsidRPr="005B7031" w:rsidRDefault="00DE563D" w:rsidP="004A4D49">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system average interruption frequency index</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SLCAPM</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Sharpe-Lintner capital asset pricing model</w:t>
            </w:r>
          </w:p>
        </w:tc>
      </w:tr>
      <w:tr w:rsidR="00DE563D" w:rsidTr="004A4D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STPIS</w:t>
            </w:r>
          </w:p>
        </w:tc>
        <w:tc>
          <w:tcPr>
            <w:tcW w:w="4352" w:type="dxa"/>
          </w:tcPr>
          <w:p w:rsidR="00DE563D" w:rsidRPr="005B7031" w:rsidRDefault="00DE563D" w:rsidP="004A4D49">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5B7031">
              <w:rPr>
                <w:rStyle w:val="AERtextsize10"/>
              </w:rPr>
              <w:t>service target performance incentive scheme</w:t>
            </w:r>
          </w:p>
        </w:tc>
      </w:tr>
      <w:tr w:rsidR="00DE563D" w:rsidTr="004A4D49">
        <w:tc>
          <w:tcPr>
            <w:cnfStyle w:val="001000000000" w:firstRow="0" w:lastRow="0" w:firstColumn="1" w:lastColumn="0" w:oddVBand="0" w:evenVBand="0" w:oddHBand="0" w:evenHBand="0" w:firstRowFirstColumn="0" w:firstRowLastColumn="0" w:lastRowFirstColumn="0" w:lastRowLastColumn="0"/>
            <w:tcW w:w="4341" w:type="dxa"/>
          </w:tcPr>
          <w:p w:rsidR="00DE563D" w:rsidRPr="005B7031" w:rsidRDefault="00DE563D" w:rsidP="00DE563D">
            <w:pPr>
              <w:pStyle w:val="AERtabletextleft"/>
              <w:rPr>
                <w:rStyle w:val="AERtextsize10"/>
              </w:rPr>
            </w:pPr>
            <w:r w:rsidRPr="005B7031">
              <w:rPr>
                <w:rStyle w:val="AERtextsize10"/>
              </w:rPr>
              <w:t>WACC</w:t>
            </w:r>
          </w:p>
        </w:tc>
        <w:tc>
          <w:tcPr>
            <w:tcW w:w="4352" w:type="dxa"/>
          </w:tcPr>
          <w:p w:rsidR="00DE563D" w:rsidRPr="005B7031"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5B7031">
              <w:rPr>
                <w:rStyle w:val="AERtextsize10"/>
              </w:rP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8C3676" w:rsidRDefault="008C3676" w:rsidP="00DE563D"/>
    <w:p w:rsidR="008C3676" w:rsidRDefault="008C3676" w:rsidP="00DE563D"/>
    <w:p w:rsidR="008C3676" w:rsidRDefault="008C3676" w:rsidP="00DE563D"/>
    <w:p w:rsidR="008C3676" w:rsidRDefault="008C3676" w:rsidP="00DE563D"/>
    <w:p w:rsidR="008C3676" w:rsidRDefault="008C3676" w:rsidP="00DE563D"/>
    <w:p w:rsidR="008C3676" w:rsidRDefault="008C3676" w:rsidP="00DE563D"/>
    <w:p w:rsidR="003C24C9" w:rsidRPr="00687F34" w:rsidRDefault="003C24C9" w:rsidP="003C24C9">
      <w:pPr>
        <w:pStyle w:val="UnnumberedHeading"/>
      </w:pPr>
      <w:bookmarkStart w:id="10" w:name="_Toc433723290"/>
      <w:r w:rsidRPr="00687F34">
        <w:t>Revocation and substitution of preliminary decision</w:t>
      </w:r>
      <w:bookmarkEnd w:id="10"/>
    </w:p>
    <w:p w:rsidR="00040EEA" w:rsidRDefault="00040EEA" w:rsidP="00040EEA">
      <w:r>
        <w:t>In November 2012, the Australian Energy Market Commission (AEMC) introduced major changes to the economic regulation of electricity distributors under chapter 6 of the National Electricity Rules (NER).</w:t>
      </w:r>
      <w:r>
        <w:rPr>
          <w:rStyle w:val="FootnoteReference"/>
        </w:rPr>
        <w:footnoteReference w:id="1"/>
      </w:r>
    </w:p>
    <w:p w:rsidR="00040EEA" w:rsidRDefault="00040EEA" w:rsidP="00040EEA">
      <w:r>
        <w:t>To allow consumers to receive the benefit of the new rules the AEMC made transitional rules under chapter 11 of the NER. In accordance with those transitional rules, we:</w:t>
      </w:r>
      <w:r>
        <w:rPr>
          <w:rStyle w:val="FootnoteReference"/>
        </w:rPr>
        <w:footnoteReference w:id="2"/>
      </w:r>
    </w:p>
    <w:p w:rsidR="00040EEA" w:rsidRDefault="00040EEA" w:rsidP="00040EEA">
      <w:pPr>
        <w:pStyle w:val="AERbulletlistfirststyle"/>
      </w:pPr>
      <w:r>
        <w:t>made a preliminary determination for the 2015</w:t>
      </w:r>
      <w:r w:rsidRPr="007B3355">
        <w:t>−</w:t>
      </w:r>
      <w:r>
        <w:t>20 regulatory control period on 29 April 2015. This preliminary determination formed the basis for approving prices for Energex's customers from 1 July 2015 to 30 June 2016.</w:t>
      </w:r>
    </w:p>
    <w:p w:rsidR="00040EEA" w:rsidRDefault="00040EEA" w:rsidP="00040EEA">
      <w:pPr>
        <w:pStyle w:val="AERbulletlistfirststyle"/>
      </w:pPr>
      <w:r>
        <w:t>now revoke that preliminary determination and substitute it with a new distribution determination which takes effect at the date it is made and applies in respect of the 2015</w:t>
      </w:r>
      <w:r w:rsidRPr="00AB0C80">
        <w:t>─</w:t>
      </w:r>
      <w:r>
        <w:t>20 regulatory control period (referred to as our final decision). The new distribution determination provides for adjustments over the regulatory control period to account for differences between the revenue that we approved for the 2015</w:t>
      </w:r>
      <w:r w:rsidRPr="00CB0443">
        <w:t>─</w:t>
      </w:r>
      <w:r>
        <w:t>16 regulatory year in the preliminary determination and in the final decision.</w:t>
      </w:r>
      <w:r>
        <w:rPr>
          <w:rStyle w:val="FootnoteReference"/>
        </w:rPr>
        <w:footnoteReference w:id="3"/>
      </w:r>
      <w:r>
        <w:t xml:space="preserve"> </w:t>
      </w:r>
    </w:p>
    <w:p w:rsidR="008C3676" w:rsidRDefault="008C3676" w:rsidP="00DE563D"/>
    <w:p w:rsidR="008C3676" w:rsidRDefault="008C3676" w:rsidP="00DE563D"/>
    <w:p w:rsidR="009761DD" w:rsidRDefault="008C38A3" w:rsidP="009761DD">
      <w:pPr>
        <w:pStyle w:val="Heading1"/>
      </w:pPr>
      <w:bookmarkStart w:id="11" w:name="_Toc433723291"/>
      <w:r>
        <w:t>Introduction</w:t>
      </w:r>
      <w:bookmarkEnd w:id="11"/>
      <w:r>
        <w:t xml:space="preserve"> </w:t>
      </w:r>
    </w:p>
    <w:p w:rsidR="007B3355" w:rsidRDefault="007B3355" w:rsidP="007B3355">
      <w:r>
        <w:t xml:space="preserve">The Australian Energy Regulatory (AER) is responsible for the economic regulation of electricity transmission and distribution systems in </w:t>
      </w:r>
      <w:r w:rsidR="00143594">
        <w:t>Australia, except for Western Australia.</w:t>
      </w:r>
      <w:r>
        <w:t xml:space="preserve"> Energex is one of two distribution network service providers (distributors) in Queensland and is responsible for providing electricity distribution services in certain areas of Queensland including </w:t>
      </w:r>
      <w:r w:rsidRPr="004F37A8">
        <w:t>Brisbane, the Gold Coast,</w:t>
      </w:r>
      <w:r>
        <w:t xml:space="preserve"> </w:t>
      </w:r>
      <w:r w:rsidRPr="004F37A8">
        <w:t>Sunshine Coast and Ipswich</w:t>
      </w:r>
      <w:r>
        <w:t xml:space="preserve">. We regulate the revenue Energex and other distributors can recover from their customers. </w:t>
      </w:r>
    </w:p>
    <w:p w:rsidR="007B3355" w:rsidRDefault="007B3355" w:rsidP="00143594">
      <w:r>
        <w:t xml:space="preserve">The National Electricity Law (NEL) and National Electricity Rules (NER) </w:t>
      </w:r>
      <w:r w:rsidR="00D239C8">
        <w:t>provide</w:t>
      </w:r>
      <w:r w:rsidR="00143594">
        <w:t xml:space="preserve"> </w:t>
      </w:r>
      <w:r>
        <w:t xml:space="preserve">the regulatory framework </w:t>
      </w:r>
      <w:r w:rsidR="00143594">
        <w:t>governing electricity networks</w:t>
      </w:r>
      <w:r>
        <w:t xml:space="preserve">. </w:t>
      </w:r>
      <w:r w:rsidR="00143594">
        <w:t xml:space="preserve">The National Electricity Objective (NEO), as set out in the NEL, is to promote efficient investment in, and efficient operation and use of, </w:t>
      </w:r>
      <w:r>
        <w:t>electricity services for the long term interests of consumers of electricity with respect to</w:t>
      </w:r>
      <w:r w:rsidRPr="007B3355">
        <w:t>─</w:t>
      </w:r>
      <w:r w:rsidR="00143594">
        <w:t xml:space="preserve"> </w:t>
      </w:r>
    </w:p>
    <w:p w:rsidR="007B3355" w:rsidRDefault="007B3355" w:rsidP="007B3355">
      <w:pPr>
        <w:pStyle w:val="AERquote"/>
      </w:pPr>
      <w:r>
        <w:t>price, quality, safety, reliability and security of supply of electricity; and</w:t>
      </w:r>
    </w:p>
    <w:p w:rsidR="007B3355" w:rsidRDefault="007B3355" w:rsidP="007B3355">
      <w:pPr>
        <w:pStyle w:val="AERquote"/>
      </w:pPr>
      <w:r>
        <w:t>the reliability, safety and security of the national electricity system.</w:t>
      </w:r>
      <w:r w:rsidR="00A607F9">
        <w:rPr>
          <w:rStyle w:val="FootnoteReference"/>
        </w:rPr>
        <w:footnoteReference w:id="4"/>
      </w:r>
    </w:p>
    <w:p w:rsidR="00715575" w:rsidRDefault="00715575" w:rsidP="00715575">
      <w:r>
        <w:t>Energex was required to submit a regulatory proposal to us for approval.</w:t>
      </w:r>
      <w:r>
        <w:rPr>
          <w:rStyle w:val="FootnoteReference"/>
        </w:rPr>
        <w:footnoteReference w:id="5"/>
      </w:r>
      <w:r>
        <w:t xml:space="preserve"> </w:t>
      </w:r>
      <w:r w:rsidRPr="003B504B">
        <w:t xml:space="preserve">The central component of a regulatory proposal is the amount of revenue </w:t>
      </w:r>
      <w:r>
        <w:t>Energex</w:t>
      </w:r>
      <w:r w:rsidRPr="003B504B">
        <w:t xml:space="preserve"> proposes to recove</w:t>
      </w:r>
      <w:r>
        <w:t>r from consumers over the 2015</w:t>
      </w:r>
      <w:r w:rsidRPr="009761DD">
        <w:t>−</w:t>
      </w:r>
      <w:r>
        <w:t>20</w:t>
      </w:r>
      <w:r w:rsidRPr="003B504B">
        <w:t xml:space="preserve"> regulatory control period.</w:t>
      </w:r>
      <w:r>
        <w:rPr>
          <w:rStyle w:val="FootnoteReference"/>
        </w:rPr>
        <w:footnoteReference w:id="6"/>
      </w:r>
      <w:r w:rsidRPr="003B504B">
        <w:t xml:space="preserve"> </w:t>
      </w:r>
      <w:r>
        <w:t>We</w:t>
      </w:r>
      <w:r w:rsidRPr="003B504B">
        <w:t xml:space="preserve"> assess </w:t>
      </w:r>
      <w:r>
        <w:t xml:space="preserve">Energex's </w:t>
      </w:r>
      <w:r w:rsidRPr="003B504B">
        <w:t>proposal</w:t>
      </w:r>
      <w:r>
        <w:t xml:space="preserve">, using the NER's detailed rules including a 'building block model' to determine how much revenue a distributor requires to cover its efficient costs. We must </w:t>
      </w:r>
      <w:r w:rsidRPr="003B504B">
        <w:t xml:space="preserve">decide whether to accept </w:t>
      </w:r>
      <w:r>
        <w:t>Energex's regulatory proposal</w:t>
      </w:r>
      <w:r w:rsidRPr="003B504B">
        <w:t xml:space="preserve">. If </w:t>
      </w:r>
      <w:r>
        <w:t xml:space="preserve">we do not accept that Energex's proposal complies with the requirements of the NER, we must </w:t>
      </w:r>
      <w:r w:rsidRPr="003B504B">
        <w:t>substitute an alternative amount of revenue that</w:t>
      </w:r>
      <w:r>
        <w:t xml:space="preserve"> we are satisfied does comply. We must undertake this assessment and make this decision in a manner that will or is likely to contribute to the achievement of the NEO</w:t>
      </w:r>
      <w:r w:rsidR="00DB43F3">
        <w:t>. W</w:t>
      </w:r>
      <w:r>
        <w:t xml:space="preserve">here there are </w:t>
      </w:r>
      <w:r w:rsidR="005C03C3">
        <w:t>two</w:t>
      </w:r>
      <w:r>
        <w:t xml:space="preserve"> or more possible decisions that will do so, make the decision that we are satisfied will contribute to </w:t>
      </w:r>
      <w:r w:rsidR="00040EEA">
        <w:t xml:space="preserve">the NEO to </w:t>
      </w:r>
      <w:r>
        <w:t xml:space="preserve">the greatest degree. </w:t>
      </w:r>
    </w:p>
    <w:p w:rsidR="00144760" w:rsidRDefault="00F6603A" w:rsidP="00144760">
      <w:r w:rsidRPr="00F6603A">
        <w:t>The NER sets out an incentive regime to guide our decision on a distributor's revenue</w:t>
      </w:r>
      <w:r w:rsidR="00144760">
        <w:t>.</w:t>
      </w:r>
      <w:r w:rsidR="00144760">
        <w:rPr>
          <w:rStyle w:val="FootnoteReference"/>
        </w:rPr>
        <w:footnoteReference w:id="7"/>
      </w:r>
      <w:r w:rsidR="00144760">
        <w:t xml:space="preserve"> Incentive regulation encourages </w:t>
      </w:r>
      <w:r w:rsidR="00BD6A5B">
        <w:t>distributors</w:t>
      </w:r>
      <w:r w:rsidR="00144760">
        <w:t xml:space="preserve"> to spend efficiently and to share the benefits of efficiency gains with consumers.</w:t>
      </w:r>
      <w:r w:rsidR="00144760">
        <w:rPr>
          <w:rStyle w:val="FootnoteReference"/>
        </w:rPr>
        <w:footnoteReference w:id="8"/>
      </w:r>
    </w:p>
    <w:p w:rsidR="00143594" w:rsidRDefault="00143594" w:rsidP="007B3355">
      <w:r>
        <w:t xml:space="preserve">Under this incentive regime, the revenue allowance </w:t>
      </w:r>
      <w:r w:rsidR="00F6603A">
        <w:t>we determine</w:t>
      </w:r>
      <w:r>
        <w:t xml:space="preserve"> does no</w:t>
      </w:r>
      <w:r w:rsidR="00144760">
        <w:t xml:space="preserve">t set </w:t>
      </w:r>
      <w:r w:rsidR="00A87E03">
        <w:t xml:space="preserve">Energex's </w:t>
      </w:r>
      <w:r w:rsidR="00144760">
        <w:t>actual operating</w:t>
      </w:r>
      <w:r>
        <w:t xml:space="preserve"> budget. It is up to </w:t>
      </w:r>
      <w:r w:rsidR="00A87E03">
        <w:t>Energex</w:t>
      </w:r>
      <w:r>
        <w:t xml:space="preserve"> to decide how best to use this revenue allowance in providing distribution services and </w:t>
      </w:r>
      <w:r w:rsidR="00F6603A">
        <w:t xml:space="preserve">complying with </w:t>
      </w:r>
      <w:r>
        <w:t xml:space="preserve">its obligations. To determine the revenue allowance, we </w:t>
      </w:r>
      <w:r w:rsidR="00232769">
        <w:t xml:space="preserve">assess and determine </w:t>
      </w:r>
      <w:r>
        <w:t xml:space="preserve">forecast expenditure required </w:t>
      </w:r>
      <w:r w:rsidR="00A87E03">
        <w:t>by Energex,</w:t>
      </w:r>
      <w:r>
        <w:t xml:space="preserve"> acting as a prudent operator, incurring efficient costs</w:t>
      </w:r>
      <w:r w:rsidR="00F6603A">
        <w:t xml:space="preserve"> </w:t>
      </w:r>
      <w:r w:rsidR="00F6603A" w:rsidRPr="00F6603A">
        <w:t>in delivering safe and reliable distribution services</w:t>
      </w:r>
      <w:r>
        <w:t xml:space="preserve">. </w:t>
      </w:r>
      <w:r w:rsidR="00F6603A" w:rsidRPr="00F6603A">
        <w:t xml:space="preserve">The regime works to provide </w:t>
      </w:r>
      <w:r w:rsidR="00F6603A">
        <w:t>Energex</w:t>
      </w:r>
      <w:r w:rsidR="00F6603A" w:rsidRPr="00F6603A">
        <w:t xml:space="preserve"> with incentives to </w:t>
      </w:r>
      <w:r>
        <w:t xml:space="preserve">outperform </w:t>
      </w:r>
      <w:r w:rsidR="00232769">
        <w:t>those</w:t>
      </w:r>
      <w:r>
        <w:t xml:space="preserve"> forecasts, while delivering safe, reliable and secure services to its customers. In other words, a prudent operator is expected to respond to the incentives </w:t>
      </w:r>
      <w:r w:rsidR="00BD6A5B">
        <w:t>for distributors to innovate and invest in response to changes in consumer needs and productive opportunities</w:t>
      </w:r>
      <w:r>
        <w:t>.</w:t>
      </w:r>
      <w:r w:rsidR="00BD6A5B">
        <w:rPr>
          <w:rStyle w:val="FootnoteReference"/>
        </w:rPr>
        <w:footnoteReference w:id="9"/>
      </w:r>
      <w:r>
        <w:t xml:space="preserve"> This is consistent with the NEO.</w:t>
      </w:r>
    </w:p>
    <w:p w:rsidR="001A2140" w:rsidRDefault="001A2140" w:rsidP="007B3355">
      <w:r>
        <w:t xml:space="preserve">Energex submitted its </w:t>
      </w:r>
      <w:r w:rsidR="00040EEA">
        <w:t xml:space="preserve">initial </w:t>
      </w:r>
      <w:r>
        <w:t xml:space="preserve">regulatory proposal </w:t>
      </w:r>
      <w:r w:rsidR="00AD6E88">
        <w:t>for the 2015</w:t>
      </w:r>
      <w:r w:rsidR="009C4B00">
        <w:rPr>
          <w:rFonts w:cs="Arial"/>
        </w:rPr>
        <w:t>─</w:t>
      </w:r>
      <w:r w:rsidR="00AD6E88">
        <w:t xml:space="preserve">20 regulatory control period </w:t>
      </w:r>
      <w:r>
        <w:t>in October 2014. In April 2015</w:t>
      </w:r>
      <w:r w:rsidR="00947873">
        <w:t>,</w:t>
      </w:r>
      <w:r>
        <w:t xml:space="preserve"> we </w:t>
      </w:r>
      <w:r w:rsidR="00884BA8">
        <w:t>published our</w:t>
      </w:r>
      <w:r w:rsidR="00782F62">
        <w:t xml:space="preserve"> </w:t>
      </w:r>
      <w:r w:rsidR="00AD6E88">
        <w:t>distribution determination</w:t>
      </w:r>
      <w:r w:rsidR="005A1BEF">
        <w:t xml:space="preserve"> (</w:t>
      </w:r>
      <w:r w:rsidR="00AD6E88">
        <w:t xml:space="preserve">referred to as our </w:t>
      </w:r>
      <w:r>
        <w:t>preliminary decision</w:t>
      </w:r>
      <w:r w:rsidR="005A1BEF">
        <w:t>)</w:t>
      </w:r>
      <w:r w:rsidR="00884BA8">
        <w:t>,</w:t>
      </w:r>
      <w:r>
        <w:t xml:space="preserve"> </w:t>
      </w:r>
      <w:r w:rsidR="00807FC3">
        <w:t xml:space="preserve">which took effect on 1 July 2015. At the same time as we published our preliminary decision, we invited submissions on the revocation and substitution of that determination. </w:t>
      </w:r>
      <w:r>
        <w:t>Energex submitted a revised proposal</w:t>
      </w:r>
      <w:r w:rsidR="00E7576C">
        <w:t xml:space="preserve"> in July 2015</w:t>
      </w:r>
      <w:r>
        <w:t xml:space="preserve">. </w:t>
      </w:r>
      <w:r w:rsidR="00F6603A" w:rsidRPr="00F6603A">
        <w:t xml:space="preserve">This final decision replaces the preliminary decision and is based on consultation and </w:t>
      </w:r>
      <w:r>
        <w:t xml:space="preserve">submissions from various stakeholders on Energex's initial and revised proposals as well as our preliminary decision. </w:t>
      </w:r>
    </w:p>
    <w:p w:rsidR="007B3355" w:rsidRDefault="00AD6E88" w:rsidP="007B3355">
      <w:r>
        <w:t>In accordance with the transitional rules, w</w:t>
      </w:r>
      <w:r w:rsidR="00E7576C">
        <w:t xml:space="preserve">e revoke </w:t>
      </w:r>
      <w:r>
        <w:t xml:space="preserve">our </w:t>
      </w:r>
      <w:r w:rsidR="00E7576C">
        <w:t>preliminary decision</w:t>
      </w:r>
      <w:r>
        <w:t xml:space="preserve">. </w:t>
      </w:r>
      <w:r w:rsidR="007B3355">
        <w:t xml:space="preserve">This overview, together with its </w:t>
      </w:r>
      <w:r w:rsidR="007B3355" w:rsidRPr="003B504B">
        <w:t xml:space="preserve">attachments, constitutes our </w:t>
      </w:r>
      <w:r w:rsidR="006B269A">
        <w:t>final</w:t>
      </w:r>
      <w:r w:rsidR="007B3355" w:rsidRPr="003B504B">
        <w:t xml:space="preserve"> decision on</w:t>
      </w:r>
      <w:r w:rsidR="00DD02C9">
        <w:t xml:space="preserve"> the making of </w:t>
      </w:r>
      <w:r w:rsidR="005A1BEF">
        <w:t xml:space="preserve">a </w:t>
      </w:r>
      <w:r w:rsidR="00DD02C9">
        <w:t xml:space="preserve">new distribution determination in substitution for </w:t>
      </w:r>
      <w:r w:rsidR="00A424B1">
        <w:t>that preliminary decision</w:t>
      </w:r>
      <w:r>
        <w:t>, in response to</w:t>
      </w:r>
      <w:r w:rsidR="007B3355" w:rsidRPr="003B504B">
        <w:t xml:space="preserve"> </w:t>
      </w:r>
      <w:r w:rsidR="007B3355">
        <w:t xml:space="preserve">Energex's </w:t>
      </w:r>
      <w:r w:rsidR="00BD6A5B">
        <w:t xml:space="preserve">revised </w:t>
      </w:r>
      <w:r w:rsidR="007B3355">
        <w:t>regulatory proposal</w:t>
      </w:r>
      <w:r w:rsidR="007B3355" w:rsidRPr="003B504B">
        <w:t xml:space="preserve">. </w:t>
      </w:r>
      <w:r w:rsidR="007B3355">
        <w:t xml:space="preserve">The overview provides a summary of our </w:t>
      </w:r>
      <w:r w:rsidR="001A2140">
        <w:t>final</w:t>
      </w:r>
      <w:r w:rsidR="007B3355">
        <w:t xml:space="preserve"> decision and its constituent components. It sets out the issues we covered, the conclusions we made, and how those conclusions were reached. We also explain why we are satisfied our decision contributes to the achievement of the NEO to the greatest degree</w:t>
      </w:r>
      <w:r w:rsidR="007B3355" w:rsidRPr="003B504B">
        <w:t xml:space="preserve">. In </w:t>
      </w:r>
      <w:r w:rsidR="007B3355">
        <w:t>our</w:t>
      </w:r>
      <w:r w:rsidR="007B3355" w:rsidRPr="003B504B">
        <w:t xml:space="preserve"> attachments we set out detailed analysis of the constituent components that make up </w:t>
      </w:r>
      <w:r w:rsidR="007B3355">
        <w:t xml:space="preserve">Energex's </w:t>
      </w:r>
      <w:r w:rsidR="001A2140">
        <w:t xml:space="preserve">revised </w:t>
      </w:r>
      <w:r w:rsidR="007B3355">
        <w:t>proposal</w:t>
      </w:r>
      <w:r w:rsidR="007B3355" w:rsidRPr="003B504B">
        <w:t xml:space="preserve"> and our decision on each of them.</w:t>
      </w:r>
      <w:r w:rsidR="001A2140">
        <w:t xml:space="preserve"> Appendix A contains the full list of constituent components for our final decision. </w:t>
      </w:r>
    </w:p>
    <w:p w:rsidR="007B3355" w:rsidRPr="00012781" w:rsidRDefault="007B3355" w:rsidP="001D6ED8">
      <w:pPr>
        <w:pStyle w:val="Heading1"/>
      </w:pPr>
      <w:bookmarkStart w:id="12" w:name="_Toc417973130"/>
      <w:bookmarkStart w:id="13" w:name="_Toc433723292"/>
      <w:r w:rsidRPr="00012781">
        <w:t>Decision</w:t>
      </w:r>
      <w:bookmarkEnd w:id="12"/>
      <w:bookmarkEnd w:id="13"/>
      <w:r>
        <w:t xml:space="preserve"> </w:t>
      </w:r>
    </w:p>
    <w:p w:rsidR="00A8481E" w:rsidRDefault="007B3355" w:rsidP="007B3355">
      <w:r w:rsidRPr="00012781">
        <w:t xml:space="preserve">Our </w:t>
      </w:r>
      <w:r w:rsidR="001A2140">
        <w:t>final</w:t>
      </w:r>
      <w:r w:rsidRPr="00012781">
        <w:t xml:space="preserve"> decision </w:t>
      </w:r>
      <w:r>
        <w:t xml:space="preserve">is that Energex can </w:t>
      </w:r>
      <w:r w:rsidRPr="007B3355">
        <w:rPr>
          <w:rStyle w:val="AERbodytextChar"/>
          <w:rFonts w:eastAsiaTheme="minorHAnsi"/>
        </w:rPr>
        <w:t>recover $</w:t>
      </w:r>
      <w:r w:rsidR="000F6084">
        <w:rPr>
          <w:rStyle w:val="AERbodytextChar"/>
          <w:rFonts w:eastAsiaTheme="minorHAnsi"/>
        </w:rPr>
        <w:t>6</w:t>
      </w:r>
      <w:r w:rsidR="007F4080">
        <w:rPr>
          <w:rStyle w:val="AERbodytextChar"/>
          <w:rFonts w:eastAsiaTheme="minorHAnsi"/>
        </w:rPr>
        <w:t>599.9</w:t>
      </w:r>
      <w:r w:rsidRPr="007B3355">
        <w:rPr>
          <w:rStyle w:val="AERbodytextChar"/>
          <w:rFonts w:eastAsiaTheme="minorHAnsi"/>
        </w:rPr>
        <w:t xml:space="preserve"> million ($ nominal) from consumers over the 2015–20 regulatory control period.</w:t>
      </w:r>
      <w:r w:rsidRPr="00765FEE">
        <w:rPr>
          <w:rStyle w:val="AERsuperscript"/>
        </w:rPr>
        <w:footnoteReference w:id="10"/>
      </w:r>
      <w:r w:rsidRPr="007B3355">
        <w:rPr>
          <w:rStyle w:val="AERbodytextChar"/>
          <w:rFonts w:eastAsiaTheme="minorHAnsi"/>
        </w:rPr>
        <w:t xml:space="preserve"> </w:t>
      </w:r>
      <w:r w:rsidR="00FA00DD">
        <w:t xml:space="preserve">Our total revenue allowance is </w:t>
      </w:r>
      <w:r w:rsidR="000F6084">
        <w:t>21.7</w:t>
      </w:r>
      <w:r w:rsidR="00FA00DD">
        <w:t xml:space="preserve"> per cent less than Energex's initial regulatory proposal and </w:t>
      </w:r>
      <w:r w:rsidR="005C03C3">
        <w:t>16.2 per cent</w:t>
      </w:r>
      <w:r w:rsidR="00FA00DD">
        <w:t xml:space="preserve"> less than its revised regulatory proposal </w:t>
      </w:r>
      <w:r w:rsidR="00DB5133">
        <w:t xml:space="preserve">of </w:t>
      </w:r>
      <w:r w:rsidR="005C03C3">
        <w:t>$</w:t>
      </w:r>
      <w:r w:rsidR="00DB5133">
        <w:t>7</w:t>
      </w:r>
      <w:r w:rsidR="00D14E73">
        <w:t>873.5</w:t>
      </w:r>
      <w:r w:rsidR="00DB5133">
        <w:t xml:space="preserve">  million ($ nominal) </w:t>
      </w:r>
      <w:r w:rsidR="00FA00DD">
        <w:t>for the 2015</w:t>
      </w:r>
      <w:r w:rsidR="00FA00DD">
        <w:rPr>
          <w:rFonts w:cs="Arial"/>
        </w:rPr>
        <w:t>─</w:t>
      </w:r>
      <w:r w:rsidR="00FA00DD">
        <w:t>20 regulatory control period.</w:t>
      </w:r>
    </w:p>
    <w:p w:rsidR="00F6603A" w:rsidRDefault="00F6603A" w:rsidP="007B3355">
      <w:pPr>
        <w:rPr>
          <w:rStyle w:val="AERbodytextChar"/>
          <w:rFonts w:eastAsiaTheme="minorHAnsi"/>
        </w:rPr>
      </w:pPr>
      <w:r w:rsidRPr="00F6603A">
        <w:rPr>
          <w:rStyle w:val="AERbody"/>
        </w:rPr>
        <w:t>Our final decisions provides for $</w:t>
      </w:r>
      <w:r>
        <w:t>71.8 </w:t>
      </w:r>
      <w:r w:rsidRPr="00F6603A">
        <w:t>million ($ nominal)</w:t>
      </w:r>
      <w:r>
        <w:t xml:space="preserve"> more</w:t>
      </w:r>
      <w:r w:rsidRPr="00F6603A">
        <w:t xml:space="preserve"> in allowed revenue over the 2015─20 regulatory control period tha</w:t>
      </w:r>
      <w:r>
        <w:t>n</w:t>
      </w:r>
      <w:r w:rsidRPr="00F6603A">
        <w:t xml:space="preserve"> our preliminary decision set out. The reasons we depart from our preliminary decision are set out in this overview and subsequent attachment</w:t>
      </w:r>
    </w:p>
    <w:p w:rsidR="00F30D3D" w:rsidRDefault="00A313D6" w:rsidP="00FD10D2">
      <w:r>
        <w:t xml:space="preserve">This decision represents a turning point for electricity prices </w:t>
      </w:r>
      <w:r w:rsidR="005C03C3">
        <w:t xml:space="preserve">in Queensland </w:t>
      </w:r>
      <w:r>
        <w:t>that have increased consistently since 2004</w:t>
      </w:r>
      <w:r w:rsidR="00B87A88">
        <w:t xml:space="preserve"> up until recently</w:t>
      </w:r>
      <w:r>
        <w:t xml:space="preserve">. Over this period retail electricity prices </w:t>
      </w:r>
      <w:r w:rsidR="00251CA7">
        <w:t>rose dramatically</w:t>
      </w:r>
      <w:r>
        <w:t>,</w:t>
      </w:r>
      <w:r w:rsidR="00251CA7">
        <w:rPr>
          <w:rStyle w:val="FootnoteReference"/>
        </w:rPr>
        <w:footnoteReference w:id="11"/>
      </w:r>
      <w:r>
        <w:t xml:space="preserve"> due largely to the rising cost of investing in and operating electricity networks in Queensland.</w:t>
      </w:r>
      <w:r w:rsidR="002025EF">
        <w:rPr>
          <w:rStyle w:val="FootnoteReference"/>
        </w:rPr>
        <w:footnoteReference w:id="12"/>
      </w:r>
      <w:r>
        <w:t xml:space="preserve"> For a decade </w:t>
      </w:r>
      <w:r w:rsidR="00B87A88">
        <w:t>the drivers</w:t>
      </w:r>
      <w:r>
        <w:t xml:space="preserve"> </w:t>
      </w:r>
      <w:r w:rsidR="00B87A88">
        <w:t>of</w:t>
      </w:r>
      <w:r>
        <w:t xml:space="preserve"> higher network costs </w:t>
      </w:r>
      <w:r w:rsidR="005C03C3">
        <w:t xml:space="preserve">included </w:t>
      </w:r>
      <w:r w:rsidR="00B87A88">
        <w:t>stringent</w:t>
      </w:r>
      <w:r>
        <w:t xml:space="preserve"> reliability standards, steadily rising peak demand, population growth and rising costs </w:t>
      </w:r>
      <w:r w:rsidR="00B87A88">
        <w:t>of</w:t>
      </w:r>
      <w:r>
        <w:t xml:space="preserve"> finance. </w:t>
      </w:r>
      <w:r w:rsidR="005C03C3">
        <w:t>These factors are no longer</w:t>
      </w:r>
      <w:r w:rsidR="00B87993">
        <w:t xml:space="preserve"> </w:t>
      </w:r>
      <w:r w:rsidR="00040EEA">
        <w:t xml:space="preserve">significant </w:t>
      </w:r>
      <w:r w:rsidR="00B87A88">
        <w:t>drivers of</w:t>
      </w:r>
      <w:r w:rsidR="00040EEA">
        <w:t xml:space="preserve"> increasing</w:t>
      </w:r>
      <w:r w:rsidR="00B87A88">
        <w:t xml:space="preserve"> network costs in Queensland</w:t>
      </w:r>
      <w:r w:rsidR="00B45B99">
        <w:t xml:space="preserve"> as discussed in this decision</w:t>
      </w:r>
      <w:r w:rsidR="00B87A88">
        <w:t>.</w:t>
      </w:r>
      <w:r w:rsidR="007B3355">
        <w:t xml:space="preserve"> </w:t>
      </w:r>
    </w:p>
    <w:p w:rsidR="00782F62" w:rsidRDefault="00FB267E" w:rsidP="00FD10D2">
      <w:r>
        <w:t>Over the 2015</w:t>
      </w:r>
      <w:r w:rsidRPr="00FB267E">
        <w:t>─</w:t>
      </w:r>
      <w:r>
        <w:t xml:space="preserve">20 regulatory control period the annual revenue to be recovered by Energex from customers will fall each year in real terms. </w:t>
      </w:r>
      <w:r w:rsidR="007B3355">
        <w:t xml:space="preserve">To a large extent, </w:t>
      </w:r>
      <w:r w:rsidR="00B87A88">
        <w:t>the key driver of this outcome is</w:t>
      </w:r>
      <w:r w:rsidR="007B3355">
        <w:t xml:space="preserve"> lower financing costs</w:t>
      </w:r>
      <w:r w:rsidR="008C38A3">
        <w:t xml:space="preserve"> </w:t>
      </w:r>
      <w:r w:rsidR="006E55EF">
        <w:t xml:space="preserve">expected over the next </w:t>
      </w:r>
      <w:r w:rsidR="000E0C66">
        <w:t xml:space="preserve">five years </w:t>
      </w:r>
      <w:r w:rsidR="006E55EF">
        <w:t xml:space="preserve">compared with the rate of return we set </w:t>
      </w:r>
      <w:r w:rsidR="00E412EC">
        <w:t>in our 2010 decision</w:t>
      </w:r>
      <w:r w:rsidR="00B87A88">
        <w:t xml:space="preserve"> that was at a time of market uncertainty due to</w:t>
      </w:r>
      <w:r w:rsidR="00FD10D2">
        <w:t xml:space="preserve"> the </w:t>
      </w:r>
      <w:r w:rsidR="000E0C66">
        <w:t>global financial crisis</w:t>
      </w:r>
      <w:r w:rsidR="007B3355">
        <w:t xml:space="preserve">. </w:t>
      </w:r>
      <w:r w:rsidR="00FD10D2">
        <w:t>Other factors</w:t>
      </w:r>
      <w:r w:rsidR="000E0C66">
        <w:t xml:space="preserve"> contributing to </w:t>
      </w:r>
      <w:r w:rsidR="00FD10D2">
        <w:t xml:space="preserve">our decision to set a </w:t>
      </w:r>
      <w:r w:rsidR="000E0C66">
        <w:t xml:space="preserve">lower </w:t>
      </w:r>
      <w:r w:rsidR="00D03A7B">
        <w:t xml:space="preserve">total </w:t>
      </w:r>
      <w:r w:rsidR="000E0C66">
        <w:t xml:space="preserve">revenue </w:t>
      </w:r>
      <w:r w:rsidR="00FD10D2">
        <w:t>allowance</w:t>
      </w:r>
      <w:r w:rsidR="005C03C3">
        <w:t xml:space="preserve"> than Energex proposed</w:t>
      </w:r>
      <w:r w:rsidR="000E0C66">
        <w:t xml:space="preserve"> </w:t>
      </w:r>
      <w:r w:rsidR="00FD10D2">
        <w:t>include</w:t>
      </w:r>
      <w:r w:rsidR="000E0C66">
        <w:t xml:space="preserve"> </w:t>
      </w:r>
      <w:r w:rsidR="00FD10D2">
        <w:t>Energex's efforts</w:t>
      </w:r>
      <w:r w:rsidR="006E55EF">
        <w:t xml:space="preserve"> to improve </w:t>
      </w:r>
      <w:r w:rsidR="00FD10D2">
        <w:t xml:space="preserve">its </w:t>
      </w:r>
      <w:r w:rsidR="000E0C66">
        <w:t xml:space="preserve">operating efficiency and </w:t>
      </w:r>
      <w:r w:rsidR="006E55EF">
        <w:t xml:space="preserve">a </w:t>
      </w:r>
      <w:r w:rsidR="000E0C66">
        <w:t>reduced</w:t>
      </w:r>
      <w:r w:rsidR="006E55EF">
        <w:t xml:space="preserve"> need</w:t>
      </w:r>
      <w:r w:rsidR="000E0C66">
        <w:t xml:space="preserve"> </w:t>
      </w:r>
      <w:r w:rsidR="00FD10D2">
        <w:t>for capital expenditure (capex)</w:t>
      </w:r>
      <w:r w:rsidR="000E0C66">
        <w:t xml:space="preserve"> </w:t>
      </w:r>
      <w:r w:rsidR="00FD10D2">
        <w:t xml:space="preserve">following changes in </w:t>
      </w:r>
      <w:r w:rsidR="000E0C66">
        <w:t>reliability standards</w:t>
      </w:r>
      <w:r w:rsidR="00066CB3">
        <w:t>.</w:t>
      </w:r>
      <w:r w:rsidR="000E0C66">
        <w:t xml:space="preserve"> </w:t>
      </w:r>
      <w:r w:rsidR="00FD10D2">
        <w:t xml:space="preserve">We discuss each of these factors in more detail in this final decision. </w:t>
      </w:r>
    </w:p>
    <w:p w:rsidR="00F12D72" w:rsidRDefault="00F12D72" w:rsidP="007B3355">
      <w:r>
        <w:t>Figure 1 illustrates our decision</w:t>
      </w:r>
      <w:r w:rsidR="002025EF">
        <w:t xml:space="preserve"> on allowable revenue</w:t>
      </w:r>
      <w:r w:rsidR="00EE6B16">
        <w:t xml:space="preserve">. </w:t>
      </w:r>
      <w:r w:rsidR="006E067B">
        <w:t>The total revenue we have approved</w:t>
      </w:r>
      <w:r w:rsidR="000F7BAC">
        <w:t xml:space="preserve"> will</w:t>
      </w:r>
      <w:r w:rsidR="006E067B">
        <w:t xml:space="preserve"> enable Energex to </w:t>
      </w:r>
      <w:r w:rsidR="00EE6B16">
        <w:t xml:space="preserve">meet the efficient costs of </w:t>
      </w:r>
      <w:r w:rsidR="000616A1">
        <w:t xml:space="preserve">operating and </w:t>
      </w:r>
      <w:r w:rsidR="00EE6B16">
        <w:t>maintain</w:t>
      </w:r>
      <w:r w:rsidR="006E067B">
        <w:t>ing a safe and reliable network</w:t>
      </w:r>
      <w:r w:rsidR="00EE6B16">
        <w:t xml:space="preserve">. </w:t>
      </w:r>
      <w:r w:rsidR="00981848">
        <w:t xml:space="preserve">Also shown in figure 1 </w:t>
      </w:r>
      <w:r w:rsidR="00326AFB">
        <w:t>is</w:t>
      </w:r>
      <w:r w:rsidR="00981848">
        <w:t xml:space="preserve"> the revenue Energex proposed in its initial and revised regulatory proposals. </w:t>
      </w:r>
      <w:r w:rsidR="00EE6B16">
        <w:t xml:space="preserve">The </w:t>
      </w:r>
      <w:r w:rsidR="006E067B">
        <w:t>total revenue allowance</w:t>
      </w:r>
      <w:r w:rsidR="00634477">
        <w:t xml:space="preserve"> takes account of </w:t>
      </w:r>
      <w:r w:rsidR="00981848">
        <w:t>additional amounts that Energex is able to recover from network customers. This</w:t>
      </w:r>
      <w:r w:rsidR="006E067B">
        <w:t xml:space="preserve"> includes</w:t>
      </w:r>
      <w:r>
        <w:t xml:space="preserve"> </w:t>
      </w:r>
      <w:r w:rsidR="005C19DC">
        <w:t>costs</w:t>
      </w:r>
      <w:r w:rsidR="00027580">
        <w:t xml:space="preserve"> that stem from the Queensland </w:t>
      </w:r>
      <w:r w:rsidR="000F7BAC">
        <w:t>S</w:t>
      </w:r>
      <w:r w:rsidR="00027580">
        <w:t xml:space="preserve">olar </w:t>
      </w:r>
      <w:r w:rsidR="000F7BAC">
        <w:t>B</w:t>
      </w:r>
      <w:r w:rsidR="00027580">
        <w:t xml:space="preserve">onus </w:t>
      </w:r>
      <w:r w:rsidR="000F7BAC">
        <w:t>S</w:t>
      </w:r>
      <w:r w:rsidR="00027580">
        <w:t>cheme</w:t>
      </w:r>
      <w:r w:rsidR="005C19DC">
        <w:t xml:space="preserve">. </w:t>
      </w:r>
    </w:p>
    <w:p w:rsidR="005C03C3" w:rsidRDefault="005C03C3" w:rsidP="007B3355"/>
    <w:p w:rsidR="007B3355" w:rsidRDefault="007B3355" w:rsidP="007B3355">
      <w:pPr>
        <w:pStyle w:val="Charttitle"/>
      </w:pPr>
      <w:r w:rsidRPr="00012781">
        <w:t xml:space="preserve">Figure </w:t>
      </w:r>
      <w:r w:rsidR="00A607F9">
        <w:t>1</w:t>
      </w:r>
      <w:r w:rsidRPr="00012781">
        <w:tab/>
        <w:t xml:space="preserve">Energex's past total revenue, proposed total revenue and AER total revenue allowance </w:t>
      </w:r>
      <w:r w:rsidR="00634477">
        <w:t xml:space="preserve">– including additionals </w:t>
      </w:r>
      <w:r w:rsidRPr="00012781">
        <w:t>($ million, 201</w:t>
      </w:r>
      <w:r>
        <w:t>4</w:t>
      </w:r>
      <w:r w:rsidRPr="00012781">
        <w:t>–1</w:t>
      </w:r>
      <w:r>
        <w:t>5</w:t>
      </w:r>
      <w:r w:rsidRPr="00012781">
        <w:t>)</w:t>
      </w:r>
    </w:p>
    <w:p w:rsidR="007B3355" w:rsidRPr="00012781" w:rsidRDefault="00791BAB" w:rsidP="007B3355">
      <w:pPr>
        <w:pStyle w:val="Charttitle"/>
      </w:pPr>
      <w:r w:rsidRPr="00791BAB">
        <w:rPr>
          <w:noProof/>
          <w:lang w:eastAsia="en-AU"/>
        </w:rPr>
        <w:drawing>
          <wp:inline distT="0" distB="0" distL="0" distR="0" wp14:anchorId="755A85E2" wp14:editId="2CCF2EC8">
            <wp:extent cx="5382895" cy="3233541"/>
            <wp:effectExtent l="0" t="0" r="825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33541"/>
                    </a:xfrm>
                    <a:prstGeom prst="rect">
                      <a:avLst/>
                    </a:prstGeom>
                    <a:noFill/>
                    <a:ln>
                      <a:noFill/>
                    </a:ln>
                  </pic:spPr>
                </pic:pic>
              </a:graphicData>
            </a:graphic>
          </wp:inline>
        </w:drawing>
      </w:r>
    </w:p>
    <w:p w:rsidR="007B3355" w:rsidRDefault="007B3355" w:rsidP="007B3355">
      <w:pPr>
        <w:pStyle w:val="AERtablesource"/>
      </w:pPr>
      <w:r>
        <w:t xml:space="preserve">Source: </w:t>
      </w:r>
      <w:r>
        <w:tab/>
        <w:t>AER analysis.</w:t>
      </w:r>
    </w:p>
    <w:p w:rsidR="00965B7C" w:rsidRDefault="007B3355" w:rsidP="00791BAB">
      <w:pPr>
        <w:pStyle w:val="AERtablesource"/>
      </w:pPr>
      <w:r>
        <w:t>Note:</w:t>
      </w:r>
      <w:r w:rsidRPr="00B1069F">
        <w:tab/>
      </w:r>
      <w:r>
        <w:t>'</w:t>
      </w:r>
      <w:r w:rsidRPr="00B1069F">
        <w:t>Additionals</w:t>
      </w:r>
      <w:r>
        <w:t>'</w:t>
      </w:r>
      <w:r w:rsidRPr="00B1069F">
        <w:t xml:space="preserve"> in DUoS include </w:t>
      </w:r>
      <w:r w:rsidR="00AD4710">
        <w:t>S</w:t>
      </w:r>
      <w:r w:rsidRPr="00B1069F">
        <w:t xml:space="preserve">olar </w:t>
      </w:r>
      <w:r w:rsidR="00AD4710">
        <w:t>B</w:t>
      </w:r>
      <w:r w:rsidRPr="00B1069F">
        <w:t xml:space="preserve">onus </w:t>
      </w:r>
      <w:r w:rsidR="00AD4710">
        <w:t>S</w:t>
      </w:r>
      <w:r w:rsidRPr="00B1069F">
        <w:t xml:space="preserve">cheme forecasts (jurisdictional scheme obligation for FiT) for 2015–20, estimated </w:t>
      </w:r>
      <w:r w:rsidR="00AD4710">
        <w:t>S</w:t>
      </w:r>
      <w:r w:rsidRPr="00B1069F">
        <w:t xml:space="preserve">olar </w:t>
      </w:r>
      <w:r w:rsidR="00AD4710">
        <w:t>B</w:t>
      </w:r>
      <w:r w:rsidRPr="00B1069F">
        <w:t xml:space="preserve">onus </w:t>
      </w:r>
      <w:r w:rsidR="00AD4710">
        <w:t>S</w:t>
      </w:r>
      <w:r w:rsidRPr="00B1069F">
        <w:t xml:space="preserve">cheme pass throughs for 2015–16 and 2016–17 relating to under-recoveries in 2013–14 and 2014–15, </w:t>
      </w:r>
      <w:r>
        <w:t xml:space="preserve">expected DUoS under recovery in 2013–14 to be recovered in 2015–16, estimated transitional capital contributions </w:t>
      </w:r>
      <w:r w:rsidRPr="00AC50A4">
        <w:t>pass throughs for 2015–16 and 2016–</w:t>
      </w:r>
      <w:r>
        <w:t>1</w:t>
      </w:r>
      <w:r w:rsidRPr="00AC50A4">
        <w:t>7 relating to under</w:t>
      </w:r>
      <w:r w:rsidR="00ED59B2">
        <w:t>-</w:t>
      </w:r>
      <w:r>
        <w:t xml:space="preserve"> </w:t>
      </w:r>
      <w:r w:rsidRPr="00AC50A4">
        <w:t>recoveries in 2013–14 and 2014–15,</w:t>
      </w:r>
      <w:r>
        <w:t xml:space="preserve"> </w:t>
      </w:r>
      <w:r w:rsidR="00ED59B2">
        <w:t>S</w:t>
      </w:r>
      <w:r w:rsidRPr="00B1069F">
        <w:t xml:space="preserve">TPIS </w:t>
      </w:r>
      <w:r w:rsidR="00ED59B2">
        <w:t>rewards to be recovered in 2015–16 and 2016–17, and DMIS allowance to be returned in 2016–17</w:t>
      </w:r>
      <w:r w:rsidRPr="00B1069F">
        <w:t>.</w:t>
      </w:r>
      <w:r>
        <w:t xml:space="preserve"> This is discussed further in attachment 1, annual revenue requirement. </w:t>
      </w:r>
    </w:p>
    <w:p w:rsidR="007B3355" w:rsidRDefault="00BB5142" w:rsidP="007B3355">
      <w:pPr>
        <w:pStyle w:val="AERtablesource"/>
      </w:pPr>
      <w:r>
        <w:t>Note:</w:t>
      </w:r>
      <w:r>
        <w:tab/>
      </w:r>
      <w:r w:rsidR="007B3355" w:rsidRPr="00B2448C">
        <w:t xml:space="preserve">The ‘Allowed’ 2014–15 data point is the amount allowed in the AER final decision excluding additionals. The ‘Actual’ 2014–15 data point is an updated forecast of the amount </w:t>
      </w:r>
      <w:r w:rsidR="007B3355">
        <w:t>Energex</w:t>
      </w:r>
      <w:r w:rsidR="007B3355" w:rsidRPr="00B2448C">
        <w:t xml:space="preserve"> actually expects to recover, including additionals, as submitted in its reset RIN. </w:t>
      </w:r>
    </w:p>
    <w:p w:rsidR="007656DF" w:rsidRDefault="00884BA8" w:rsidP="00F12D72">
      <w:r>
        <w:t xml:space="preserve">The </w:t>
      </w:r>
      <w:r w:rsidR="00010F0B">
        <w:t>S</w:t>
      </w:r>
      <w:r>
        <w:t xml:space="preserve">olar </w:t>
      </w:r>
      <w:r w:rsidR="00010F0B">
        <w:t>B</w:t>
      </w:r>
      <w:r>
        <w:t xml:space="preserve">onus </w:t>
      </w:r>
      <w:r w:rsidR="00010F0B">
        <w:t>S</w:t>
      </w:r>
      <w:r>
        <w:t>cheme will add an expected $</w:t>
      </w:r>
      <w:r w:rsidR="000F6084">
        <w:t>1387.5</w:t>
      </w:r>
      <w:r>
        <w:t xml:space="preserve"> million </w:t>
      </w:r>
      <w:r w:rsidR="000F6084">
        <w:t xml:space="preserve">($ nominal) </w:t>
      </w:r>
      <w:r>
        <w:t xml:space="preserve">to Energex's approved revenue over </w:t>
      </w:r>
      <w:r w:rsidR="00AA7CEE">
        <w:t xml:space="preserve">the </w:t>
      </w:r>
      <w:r>
        <w:t>2015</w:t>
      </w:r>
      <w:r w:rsidR="00AA7CEE">
        <w:rPr>
          <w:rFonts w:cs="Arial"/>
        </w:rPr>
        <w:t>─</w:t>
      </w:r>
      <w:r>
        <w:t>20</w:t>
      </w:r>
      <w:r w:rsidR="00AA7CEE">
        <w:t xml:space="preserve"> regulatory control period</w:t>
      </w:r>
      <w:r>
        <w:t>.</w:t>
      </w:r>
      <w:r>
        <w:rPr>
          <w:rStyle w:val="FootnoteReference"/>
        </w:rPr>
        <w:footnoteReference w:id="13"/>
      </w:r>
      <w:r>
        <w:t xml:space="preserve"> Neither Energex nor the AER are able to influence the costs that Energex incurs under this scheme. </w:t>
      </w:r>
      <w:r w:rsidR="007656DF">
        <w:t xml:space="preserve">While the </w:t>
      </w:r>
      <w:r w:rsidR="00010F0B">
        <w:t>S</w:t>
      </w:r>
      <w:r w:rsidR="00F12D72">
        <w:t xml:space="preserve">olar </w:t>
      </w:r>
      <w:r w:rsidR="00010F0B">
        <w:t>B</w:t>
      </w:r>
      <w:r w:rsidR="00F12D72">
        <w:t xml:space="preserve">onus </w:t>
      </w:r>
      <w:r w:rsidR="00010F0B">
        <w:t>S</w:t>
      </w:r>
      <w:r w:rsidR="00F12D72">
        <w:t xml:space="preserve">cheme </w:t>
      </w:r>
      <w:r w:rsidR="007656DF">
        <w:t xml:space="preserve">is now closed, </w:t>
      </w:r>
      <w:r w:rsidR="001422C3">
        <w:t xml:space="preserve">costs </w:t>
      </w:r>
      <w:r w:rsidR="008D3900">
        <w:t>associated</w:t>
      </w:r>
      <w:r w:rsidR="001422C3">
        <w:t xml:space="preserve"> with </w:t>
      </w:r>
      <w:r w:rsidR="007656DF">
        <w:t>the</w:t>
      </w:r>
      <w:r w:rsidR="00F12D72">
        <w:t xml:space="preserve"> feed in tariffs (FiT) </w:t>
      </w:r>
      <w:r w:rsidR="001422C3">
        <w:t xml:space="preserve">available under the scheme </w:t>
      </w:r>
      <w:r w:rsidR="007656DF">
        <w:t>increase</w:t>
      </w:r>
      <w:r w:rsidR="00FD10D2">
        <w:t>d</w:t>
      </w:r>
      <w:r w:rsidR="007656DF">
        <w:t xml:space="preserve"> sharply </w:t>
      </w:r>
      <w:r w:rsidR="00FD10D2">
        <w:t>between 2010 and 2015</w:t>
      </w:r>
      <w:r w:rsidR="007656DF">
        <w:t xml:space="preserve"> and will diminish slowly over time. The rapid growth of solar PV </w:t>
      </w:r>
      <w:r w:rsidR="004E2E7E">
        <w:t>installations</w:t>
      </w:r>
      <w:r w:rsidR="007656DF">
        <w:t xml:space="preserve"> in Energex</w:t>
      </w:r>
      <w:r w:rsidR="006C4F1C">
        <w:t>'s</w:t>
      </w:r>
      <w:r w:rsidR="007656DF">
        <w:t xml:space="preserve"> </w:t>
      </w:r>
      <w:r w:rsidR="004E2E7E">
        <w:t>distribution a</w:t>
      </w:r>
      <w:r w:rsidR="007656DF">
        <w:t xml:space="preserve">rea and </w:t>
      </w:r>
      <w:r w:rsidR="004E2E7E">
        <w:t>the revenue</w:t>
      </w:r>
      <w:r w:rsidR="007656DF">
        <w:t xml:space="preserve"> </w:t>
      </w:r>
      <w:r w:rsidR="00BB5142">
        <w:t xml:space="preserve">raised </w:t>
      </w:r>
      <w:r w:rsidR="007656DF">
        <w:t xml:space="preserve">by Energex to </w:t>
      </w:r>
      <w:r w:rsidR="00BB5142">
        <w:t>fund</w:t>
      </w:r>
      <w:r w:rsidR="006E55EF">
        <w:t xml:space="preserve"> the </w:t>
      </w:r>
      <w:r w:rsidR="00AD4710">
        <w:t>S</w:t>
      </w:r>
      <w:r w:rsidR="006E55EF">
        <w:t xml:space="preserve">olar </w:t>
      </w:r>
      <w:r w:rsidR="00AD4710">
        <w:t>B</w:t>
      </w:r>
      <w:r w:rsidR="006E55EF">
        <w:t xml:space="preserve">onus </w:t>
      </w:r>
      <w:r w:rsidR="00AD4710">
        <w:t>S</w:t>
      </w:r>
      <w:r w:rsidR="006E55EF">
        <w:t>cheme over the 2015</w:t>
      </w:r>
      <w:r w:rsidR="006C4F1C">
        <w:rPr>
          <w:rFonts w:cs="Arial"/>
        </w:rPr>
        <w:t>─</w:t>
      </w:r>
      <w:r w:rsidR="006E55EF">
        <w:t>20</w:t>
      </w:r>
      <w:r w:rsidR="007656DF">
        <w:t xml:space="preserve"> are shown in figure 2. </w:t>
      </w:r>
      <w:r w:rsidR="00BB5142">
        <w:t>Figure 2 shows the FiT passed through to Energex customers in the 2010</w:t>
      </w:r>
      <w:r w:rsidR="00BB5142">
        <w:rPr>
          <w:rFonts w:cs="Arial"/>
        </w:rPr>
        <w:t>─</w:t>
      </w:r>
      <w:r w:rsidR="00BB5142">
        <w:t>15 regulatory period as well as the forecast FiT for the 2015</w:t>
      </w:r>
      <w:r w:rsidR="00BB5142">
        <w:rPr>
          <w:rFonts w:cs="Arial"/>
        </w:rPr>
        <w:t>─</w:t>
      </w:r>
      <w:r w:rsidR="00BB5142">
        <w:t xml:space="preserve">20 regulatory control period. </w:t>
      </w:r>
    </w:p>
    <w:p w:rsidR="00C23E33" w:rsidRDefault="00C23E33" w:rsidP="00782F62">
      <w:pPr>
        <w:pStyle w:val="Caption"/>
      </w:pPr>
      <w:r>
        <w:t xml:space="preserve">Figure 2 </w:t>
      </w:r>
      <w:r w:rsidR="00BE3DC9">
        <w:t>Energex's feed in tariff revenues ($ million, 2014–15)</w:t>
      </w:r>
    </w:p>
    <w:p w:rsidR="004E2E7E" w:rsidRDefault="00BE3DC9" w:rsidP="00F12D72">
      <w:r w:rsidRPr="00BE3DC9">
        <w:rPr>
          <w:noProof/>
          <w:lang w:eastAsia="en-AU"/>
        </w:rPr>
        <w:drawing>
          <wp:inline distT="0" distB="0" distL="0" distR="0" wp14:anchorId="234275EA" wp14:editId="47B261E2">
            <wp:extent cx="5382895" cy="3227838"/>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C0488B" w:rsidRDefault="00AA7CEE" w:rsidP="00BE3DC9">
      <w:pPr>
        <w:pStyle w:val="AERtablesource"/>
      </w:pPr>
      <w:r w:rsidRPr="00BE3DC9">
        <w:t>Source:</w:t>
      </w:r>
      <w:r w:rsidR="00BE3DC9" w:rsidRPr="00BE3DC9">
        <w:tab/>
        <w:t>AER analysis</w:t>
      </w:r>
      <w:r w:rsidR="008150B7">
        <w:t>.</w:t>
      </w:r>
    </w:p>
    <w:p w:rsidR="00AA7CEE" w:rsidRDefault="00C0488B" w:rsidP="00BE3DC9">
      <w:pPr>
        <w:pStyle w:val="AERtablesource"/>
      </w:pPr>
      <w:r>
        <w:t>Note</w:t>
      </w:r>
      <w:r>
        <w:tab/>
        <w:t xml:space="preserve">The overlap in forecast and pass through </w:t>
      </w:r>
      <w:r w:rsidR="00230876">
        <w:t xml:space="preserve">of </w:t>
      </w:r>
      <w:r>
        <w:t xml:space="preserve">FiT payments </w:t>
      </w:r>
      <w:r w:rsidR="00230876">
        <w:t>in 2015</w:t>
      </w:r>
      <w:r w:rsidR="00464D89">
        <w:t>–</w:t>
      </w:r>
      <w:r w:rsidR="00230876">
        <w:t>16 and 2016</w:t>
      </w:r>
      <w:r w:rsidR="00464D89">
        <w:t>–</w:t>
      </w:r>
      <w:r w:rsidR="00230876">
        <w:t xml:space="preserve">17 </w:t>
      </w:r>
      <w:r>
        <w:t xml:space="preserve">reflects the shift from a true-up approach conducted with a 2 years lag </w:t>
      </w:r>
      <w:r w:rsidR="00464D89">
        <w:t xml:space="preserve">applying to the 2010–15 regulatory control period </w:t>
      </w:r>
      <w:r>
        <w:t>to a forecast approach</w:t>
      </w:r>
      <w:r w:rsidR="00230876">
        <w:t xml:space="preserve"> where costs are recovered in the years they are incurred</w:t>
      </w:r>
      <w:r w:rsidR="00464D89">
        <w:t xml:space="preserve"> for the 2015–20 regulatory control period</w:t>
      </w:r>
      <w:r>
        <w:t>.</w:t>
      </w:r>
    </w:p>
    <w:p w:rsidR="001F7AC7" w:rsidRDefault="001F7AC7" w:rsidP="00CC5FB5">
      <w:r>
        <w:t xml:space="preserve">If the </w:t>
      </w:r>
      <w:r w:rsidR="00230876">
        <w:t xml:space="preserve">revenue needed to meet the cost </w:t>
      </w:r>
      <w:r>
        <w:t xml:space="preserve">of the </w:t>
      </w:r>
      <w:r w:rsidR="00AD4710">
        <w:t>S</w:t>
      </w:r>
      <w:r>
        <w:t xml:space="preserve">olar </w:t>
      </w:r>
      <w:r w:rsidR="00AD4710">
        <w:t>B</w:t>
      </w:r>
      <w:r>
        <w:t xml:space="preserve">onus </w:t>
      </w:r>
      <w:r w:rsidR="00AD4710">
        <w:t>S</w:t>
      </w:r>
      <w:r>
        <w:t xml:space="preserve">cheme </w:t>
      </w:r>
      <w:r w:rsidR="00AA7CEE">
        <w:t>is</w:t>
      </w:r>
      <w:r>
        <w:t xml:space="preserve"> put aside, </w:t>
      </w:r>
      <w:r w:rsidR="00C0488B">
        <w:t xml:space="preserve">the revenue requirement for Energex's </w:t>
      </w:r>
      <w:r w:rsidR="00AA7CEE">
        <w:t>distribution</w:t>
      </w:r>
      <w:r>
        <w:t xml:space="preserve"> network can be shown more clearly. Figure 3 shows </w:t>
      </w:r>
      <w:r w:rsidR="002025EF">
        <w:t>our</w:t>
      </w:r>
      <w:r>
        <w:t xml:space="preserve"> final decision compared with Energex</w:t>
      </w:r>
      <w:r w:rsidR="00F52509">
        <w:t>'s</w:t>
      </w:r>
      <w:r>
        <w:t xml:space="preserve"> initial and revised proposals</w:t>
      </w:r>
      <w:r w:rsidR="00EE6B16">
        <w:t xml:space="preserve"> excluding the</w:t>
      </w:r>
      <w:r w:rsidR="00477310">
        <w:t xml:space="preserve"> additionals such as the</w:t>
      </w:r>
      <w:r w:rsidR="00EE6B16">
        <w:t xml:space="preserve"> </w:t>
      </w:r>
      <w:r w:rsidR="00010F0B">
        <w:t>S</w:t>
      </w:r>
      <w:r w:rsidR="00EE6B16">
        <w:t xml:space="preserve">olar </w:t>
      </w:r>
      <w:r w:rsidR="00010F0B">
        <w:t>B</w:t>
      </w:r>
      <w:r w:rsidR="00EE6B16">
        <w:t xml:space="preserve">onus </w:t>
      </w:r>
      <w:r w:rsidR="00010F0B">
        <w:t>S</w:t>
      </w:r>
      <w:r w:rsidR="00EE6B16">
        <w:t xml:space="preserve">cheme </w:t>
      </w:r>
      <w:r w:rsidR="00477310">
        <w:t>and other</w:t>
      </w:r>
      <w:r w:rsidR="00061095">
        <w:t xml:space="preserve"> revenue adjustments carried forward</w:t>
      </w:r>
      <w:r w:rsidR="00EE6B16">
        <w:t xml:space="preserve"> from the </w:t>
      </w:r>
      <w:r w:rsidR="006E067B">
        <w:t>2010</w:t>
      </w:r>
      <w:r w:rsidR="006E067B">
        <w:rPr>
          <w:rFonts w:cs="Arial"/>
        </w:rPr>
        <w:t>─</w:t>
      </w:r>
      <w:r w:rsidR="006E067B">
        <w:t xml:space="preserve">15 </w:t>
      </w:r>
      <w:r w:rsidR="00EE6B16">
        <w:t>regulatory control period</w:t>
      </w:r>
      <w:r>
        <w:t>.</w:t>
      </w:r>
      <w:r w:rsidR="00010F0B">
        <w:t xml:space="preserve"> Figure 3 also shows the revenue we approved in our final and preliminary decisions are very similar.</w:t>
      </w:r>
    </w:p>
    <w:p w:rsidR="001F7AC7" w:rsidRDefault="001F7AC7" w:rsidP="00782F62">
      <w:pPr>
        <w:pStyle w:val="Caption"/>
      </w:pPr>
      <w:r>
        <w:t xml:space="preserve">Figure 3 </w:t>
      </w:r>
      <w:r w:rsidR="00477310" w:rsidRPr="00012781">
        <w:t xml:space="preserve">Energex's past total revenue, proposed total revenue and AER total revenue allowance </w:t>
      </w:r>
      <w:r w:rsidR="00477310">
        <w:t xml:space="preserve">– excluding additionals </w:t>
      </w:r>
      <w:r w:rsidR="00477310" w:rsidRPr="00012781">
        <w:t>($ million, 201</w:t>
      </w:r>
      <w:r w:rsidR="00477310">
        <w:t>4</w:t>
      </w:r>
      <w:r w:rsidR="00477310" w:rsidRPr="00012781">
        <w:t>–1</w:t>
      </w:r>
      <w:r w:rsidR="00477310">
        <w:t>5</w:t>
      </w:r>
      <w:r w:rsidR="00477310" w:rsidRPr="00012781">
        <w:t>)</w:t>
      </w:r>
      <w:r w:rsidR="00477310" w:rsidDel="00477310">
        <w:t xml:space="preserve"> </w:t>
      </w:r>
    </w:p>
    <w:p w:rsidR="00782F62" w:rsidRDefault="00D261DC" w:rsidP="005C03C3">
      <w:pPr>
        <w:pStyle w:val="Caption"/>
      </w:pPr>
      <w:r w:rsidRPr="00D261DC">
        <w:rPr>
          <w:noProof/>
          <w:lang w:eastAsia="en-AU"/>
        </w:rPr>
        <w:drawing>
          <wp:inline distT="0" distB="0" distL="0" distR="0" wp14:anchorId="2161E6B5" wp14:editId="43DC6BCB">
            <wp:extent cx="5381625" cy="3238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1625" cy="3238500"/>
                    </a:xfrm>
                    <a:prstGeom prst="rect">
                      <a:avLst/>
                    </a:prstGeom>
                    <a:noFill/>
                    <a:ln>
                      <a:noFill/>
                    </a:ln>
                  </pic:spPr>
                </pic:pic>
              </a:graphicData>
            </a:graphic>
          </wp:inline>
        </w:drawing>
      </w:r>
    </w:p>
    <w:p w:rsidR="00477310" w:rsidRDefault="00477310" w:rsidP="00477310">
      <w:pPr>
        <w:pStyle w:val="AERtablesource"/>
      </w:pPr>
      <w:r>
        <w:t xml:space="preserve">Source: </w:t>
      </w:r>
      <w:r>
        <w:tab/>
        <w:t>AER analysis.</w:t>
      </w:r>
    </w:p>
    <w:p w:rsidR="004301E6" w:rsidRDefault="004301E6" w:rsidP="00CC5FB5">
      <w:r>
        <w:t xml:space="preserve">Figure 3 shows that, after accounting for the </w:t>
      </w:r>
      <w:r w:rsidR="00AD4710">
        <w:t>S</w:t>
      </w:r>
      <w:r>
        <w:t xml:space="preserve">olar </w:t>
      </w:r>
      <w:r w:rsidR="00AD4710">
        <w:t>B</w:t>
      </w:r>
      <w:r>
        <w:t xml:space="preserve">onus </w:t>
      </w:r>
      <w:r w:rsidR="00AD4710">
        <w:t>S</w:t>
      </w:r>
      <w:r>
        <w:t>cheme, the underlying revenue requirement from 2015</w:t>
      </w:r>
      <w:r w:rsidR="004C3879">
        <w:rPr>
          <w:rFonts w:cs="Arial"/>
        </w:rPr>
        <w:t>─</w:t>
      </w:r>
      <w:r>
        <w:t>16 onwards is lower than in the recent past. However, it is also clear there are differences between the revenue Energex is seeking and what we have a</w:t>
      </w:r>
      <w:r w:rsidR="004C3879">
        <w:t>pproved</w:t>
      </w:r>
      <w:r>
        <w:t xml:space="preserve"> in this final decision. </w:t>
      </w:r>
    </w:p>
    <w:p w:rsidR="00CC5FB5" w:rsidRPr="00211F3B" w:rsidRDefault="00B525C6" w:rsidP="00CC5FB5">
      <w:pPr>
        <w:rPr>
          <w:rStyle w:val="AERbody"/>
        </w:rPr>
      </w:pPr>
      <w:r>
        <w:rPr>
          <w:rStyle w:val="AERbody"/>
        </w:rPr>
        <w:t xml:space="preserve">We determine the revenue Energex is to recover from customers by examining the costs we expect it to incur as an efficient and prudent service provider. </w:t>
      </w:r>
      <w:r w:rsidR="00336DDD">
        <w:rPr>
          <w:rStyle w:val="AERbody"/>
        </w:rPr>
        <w:t xml:space="preserve">In assessing Energex's revised proposal, which </w:t>
      </w:r>
      <w:r w:rsidR="00477310">
        <w:rPr>
          <w:rStyle w:val="AERbody"/>
        </w:rPr>
        <w:t xml:space="preserve">incorporated </w:t>
      </w:r>
      <w:r w:rsidR="008F1BE2">
        <w:rPr>
          <w:rStyle w:val="AERbody"/>
        </w:rPr>
        <w:t xml:space="preserve">many </w:t>
      </w:r>
      <w:r w:rsidR="00477310">
        <w:rPr>
          <w:rStyle w:val="AERbody"/>
        </w:rPr>
        <w:t xml:space="preserve">aspects </w:t>
      </w:r>
      <w:r w:rsidR="008F1BE2">
        <w:rPr>
          <w:rStyle w:val="AERbody"/>
        </w:rPr>
        <w:t xml:space="preserve">of </w:t>
      </w:r>
      <w:r w:rsidR="00477310">
        <w:rPr>
          <w:rStyle w:val="AERbody"/>
        </w:rPr>
        <w:t xml:space="preserve">our preliminary </w:t>
      </w:r>
      <w:r w:rsidR="005C03C3">
        <w:rPr>
          <w:rStyle w:val="AERbody"/>
        </w:rPr>
        <w:t>decision</w:t>
      </w:r>
      <w:r w:rsidR="00336DDD">
        <w:rPr>
          <w:rStyle w:val="AERbody"/>
        </w:rPr>
        <w:t xml:space="preserve">, we </w:t>
      </w:r>
      <w:r w:rsidR="000D1E4D">
        <w:rPr>
          <w:rStyle w:val="AERbody"/>
        </w:rPr>
        <w:t>have identified the following</w:t>
      </w:r>
      <w:r w:rsidR="00CC5FB5" w:rsidRPr="00211F3B">
        <w:rPr>
          <w:rStyle w:val="AERbody"/>
        </w:rPr>
        <w:t xml:space="preserve"> factors </w:t>
      </w:r>
      <w:r w:rsidR="000D1E4D">
        <w:rPr>
          <w:rStyle w:val="AERbody"/>
        </w:rPr>
        <w:t xml:space="preserve">that </w:t>
      </w:r>
      <w:r w:rsidR="00CC5FB5" w:rsidRPr="00211F3B">
        <w:rPr>
          <w:rStyle w:val="AERbody"/>
        </w:rPr>
        <w:t xml:space="preserve">we see impacting on </w:t>
      </w:r>
      <w:r w:rsidR="00CC5FB5">
        <w:rPr>
          <w:rStyle w:val="AERbody"/>
        </w:rPr>
        <w:t>Energex's</w:t>
      </w:r>
      <w:r w:rsidR="00CC5FB5" w:rsidRPr="00211F3B">
        <w:rPr>
          <w:rStyle w:val="AERbody"/>
        </w:rPr>
        <w:t xml:space="preserve"> costs in the 2015–</w:t>
      </w:r>
      <w:r w:rsidR="00CC5FB5">
        <w:rPr>
          <w:rStyle w:val="AERbody"/>
        </w:rPr>
        <w:t>20</w:t>
      </w:r>
      <w:r w:rsidR="00CC5FB5" w:rsidRPr="00211F3B">
        <w:rPr>
          <w:rStyle w:val="AERbody"/>
        </w:rPr>
        <w:t xml:space="preserve"> </w:t>
      </w:r>
      <w:r w:rsidR="00CC5FB5">
        <w:rPr>
          <w:rStyle w:val="AERbody"/>
        </w:rPr>
        <w:t xml:space="preserve">regulatory control </w:t>
      </w:r>
      <w:r w:rsidR="00CC5FB5" w:rsidRPr="00211F3B">
        <w:rPr>
          <w:rStyle w:val="AERbody"/>
        </w:rPr>
        <w:t>period:</w:t>
      </w:r>
    </w:p>
    <w:p w:rsidR="00CC5FB5" w:rsidRPr="003424EA" w:rsidRDefault="002E09AD" w:rsidP="00090C83">
      <w:pPr>
        <w:pStyle w:val="AERbulletlistfirststyle"/>
        <w:rPr>
          <w:rStyle w:val="AERbody"/>
        </w:rPr>
      </w:pPr>
      <w:r>
        <w:rPr>
          <w:rStyle w:val="AERbody"/>
        </w:rPr>
        <w:t>A</w:t>
      </w:r>
      <w:r w:rsidR="00CC5FB5" w:rsidRPr="003424EA">
        <w:rPr>
          <w:rStyle w:val="AERbody"/>
        </w:rPr>
        <w:t>n improved investment environment</w:t>
      </w:r>
      <w:r w:rsidR="00CC5FB5">
        <w:rPr>
          <w:rStyle w:val="AERbody"/>
        </w:rPr>
        <w:t xml:space="preserve"> compared to our 2010 decision, which translates to lower financing costs necessary to attract efficient investment.</w:t>
      </w:r>
      <w:r w:rsidR="00646D93">
        <w:rPr>
          <w:rStyle w:val="AERbody"/>
        </w:rPr>
        <w:t xml:space="preserve"> </w:t>
      </w:r>
      <w:r w:rsidR="00E34D08">
        <w:rPr>
          <w:rStyle w:val="AERbody"/>
        </w:rPr>
        <w:t>In our 2010</w:t>
      </w:r>
      <w:r w:rsidR="00646D93">
        <w:rPr>
          <w:rStyle w:val="AERbody"/>
        </w:rPr>
        <w:t xml:space="preserve"> </w:t>
      </w:r>
      <w:r w:rsidR="006C4F1C">
        <w:rPr>
          <w:rStyle w:val="AERbody"/>
        </w:rPr>
        <w:t>f</w:t>
      </w:r>
      <w:r w:rsidR="00E34D08">
        <w:rPr>
          <w:rStyle w:val="AERbody"/>
        </w:rPr>
        <w:t xml:space="preserve">inal </w:t>
      </w:r>
      <w:r w:rsidR="006C4F1C">
        <w:rPr>
          <w:rStyle w:val="AERbody"/>
        </w:rPr>
        <w:t>d</w:t>
      </w:r>
      <w:r w:rsidR="00E34D08">
        <w:rPr>
          <w:rStyle w:val="AERbody"/>
        </w:rPr>
        <w:t xml:space="preserve">ecision </w:t>
      </w:r>
      <w:r w:rsidR="00090C83">
        <w:rPr>
          <w:rStyle w:val="AERbody"/>
        </w:rPr>
        <w:t xml:space="preserve">we </w:t>
      </w:r>
      <w:r w:rsidR="00E34D08">
        <w:rPr>
          <w:rStyle w:val="AERbody"/>
        </w:rPr>
        <w:t xml:space="preserve">approved a </w:t>
      </w:r>
      <w:r w:rsidR="00646D93">
        <w:rPr>
          <w:rStyle w:val="AERbody"/>
        </w:rPr>
        <w:t>rate of return of 9.</w:t>
      </w:r>
      <w:r w:rsidR="00E34D08">
        <w:rPr>
          <w:rStyle w:val="AERbody"/>
        </w:rPr>
        <w:t>72</w:t>
      </w:r>
      <w:r w:rsidR="005B7C12">
        <w:rPr>
          <w:rStyle w:val="AERbody"/>
        </w:rPr>
        <w:t xml:space="preserve"> per cent</w:t>
      </w:r>
      <w:r w:rsidR="00E34D08">
        <w:rPr>
          <w:rStyle w:val="AERbody"/>
        </w:rPr>
        <w:t>.</w:t>
      </w:r>
      <w:r w:rsidR="00090C83">
        <w:rPr>
          <w:rStyle w:val="FootnoteReference"/>
        </w:rPr>
        <w:footnoteReference w:id="14"/>
      </w:r>
      <w:r w:rsidR="00E34D08">
        <w:rPr>
          <w:rStyle w:val="AERbody"/>
        </w:rPr>
        <w:t xml:space="preserve"> This compare</w:t>
      </w:r>
      <w:r w:rsidR="008F1BE2">
        <w:rPr>
          <w:rStyle w:val="AERbody"/>
        </w:rPr>
        <w:t>s</w:t>
      </w:r>
      <w:r w:rsidR="00E34D08">
        <w:rPr>
          <w:rStyle w:val="AERbody"/>
        </w:rPr>
        <w:t xml:space="preserve"> with the approved rate of return in this final decision of </w:t>
      </w:r>
      <w:r w:rsidR="00477310">
        <w:rPr>
          <w:rStyle w:val="AERbody"/>
        </w:rPr>
        <w:t>6.01</w:t>
      </w:r>
      <w:r w:rsidR="005C03C3">
        <w:rPr>
          <w:rStyle w:val="AERbody"/>
        </w:rPr>
        <w:t xml:space="preserve"> </w:t>
      </w:r>
      <w:r w:rsidR="005B7C12">
        <w:rPr>
          <w:rStyle w:val="AERbody"/>
        </w:rPr>
        <w:t>per cent</w:t>
      </w:r>
      <w:r w:rsidR="00E34D08">
        <w:rPr>
          <w:rStyle w:val="AERbody"/>
        </w:rPr>
        <w:t xml:space="preserve">. </w:t>
      </w:r>
    </w:p>
    <w:p w:rsidR="00CC5FB5" w:rsidRDefault="002E09AD" w:rsidP="00CC5FB5">
      <w:pPr>
        <w:pStyle w:val="AERbulletlistfirststyle"/>
        <w:rPr>
          <w:rStyle w:val="AERbody"/>
        </w:rPr>
      </w:pPr>
      <w:r>
        <w:rPr>
          <w:rStyle w:val="AERbody"/>
        </w:rPr>
        <w:t>F</w:t>
      </w:r>
      <w:r w:rsidR="00CC5FB5">
        <w:rPr>
          <w:rStyle w:val="AERbody"/>
        </w:rPr>
        <w:t xml:space="preserve">orecast </w:t>
      </w:r>
      <w:r w:rsidR="008F1BE2">
        <w:rPr>
          <w:rStyle w:val="AERbody"/>
        </w:rPr>
        <w:t xml:space="preserve">average </w:t>
      </w:r>
      <w:r w:rsidR="00CC5FB5" w:rsidRPr="003424EA">
        <w:rPr>
          <w:rStyle w:val="AERbody"/>
        </w:rPr>
        <w:t>demand</w:t>
      </w:r>
      <w:r w:rsidR="00CC5FB5">
        <w:rPr>
          <w:rStyle w:val="AERbody"/>
        </w:rPr>
        <w:t>, which is expected to remain reasonably flat over the 2015–20 regulatory control period.</w:t>
      </w:r>
      <w:r w:rsidR="000878F9">
        <w:rPr>
          <w:rStyle w:val="AERbody"/>
        </w:rPr>
        <w:t xml:space="preserve"> Maximum demand is forecast to grow by around 1 per cent over the five years.</w:t>
      </w:r>
      <w:r w:rsidR="00CC5FB5">
        <w:rPr>
          <w:rStyle w:val="AERbody"/>
        </w:rPr>
        <w:t xml:space="preserve"> This means Energex is under less pressure to expand its network than in the </w:t>
      </w:r>
      <w:r w:rsidR="00E9135F">
        <w:rPr>
          <w:rStyle w:val="AERbody"/>
        </w:rPr>
        <w:t>2010</w:t>
      </w:r>
      <w:r w:rsidR="00E9135F">
        <w:rPr>
          <w:rStyle w:val="AERbody"/>
          <w:rFonts w:cs="Arial"/>
        </w:rPr>
        <w:t>─</w:t>
      </w:r>
      <w:r w:rsidR="00E9135F">
        <w:rPr>
          <w:rStyle w:val="AERbody"/>
        </w:rPr>
        <w:t xml:space="preserve">15 </w:t>
      </w:r>
      <w:r w:rsidR="00CC5FB5">
        <w:rPr>
          <w:rStyle w:val="AERbody"/>
        </w:rPr>
        <w:t>regulatory control period to meet the needs of additional customers or any increased demand from existing customers.</w:t>
      </w:r>
      <w:r w:rsidR="00AD58C9">
        <w:rPr>
          <w:rStyle w:val="AERbody"/>
        </w:rPr>
        <w:t xml:space="preserve"> </w:t>
      </w:r>
      <w:r w:rsidR="00AC2D34">
        <w:rPr>
          <w:rStyle w:val="AERbody"/>
        </w:rPr>
        <w:t>We discuss this in detail in a</w:t>
      </w:r>
      <w:r w:rsidR="000E2FF2">
        <w:rPr>
          <w:rStyle w:val="AERbody"/>
        </w:rPr>
        <w:t xml:space="preserve">ttachment </w:t>
      </w:r>
      <w:r w:rsidR="00AC2D34">
        <w:rPr>
          <w:rStyle w:val="AERbody"/>
        </w:rPr>
        <w:t>6</w:t>
      </w:r>
      <w:r w:rsidR="000E2FF2">
        <w:rPr>
          <w:rStyle w:val="AERbody"/>
        </w:rPr>
        <w:t>.</w:t>
      </w:r>
    </w:p>
    <w:p w:rsidR="00CC5FB5" w:rsidRDefault="000B63A0" w:rsidP="00CC5FB5">
      <w:pPr>
        <w:pStyle w:val="AERbulletlistfirststyle"/>
        <w:rPr>
          <w:rStyle w:val="AERbody"/>
        </w:rPr>
      </w:pPr>
      <w:r>
        <w:rPr>
          <w:rStyle w:val="AERbody"/>
        </w:rPr>
        <w:t xml:space="preserve">A reduction in capex in response to the recommendations from the </w:t>
      </w:r>
      <w:r w:rsidR="008F1BE2">
        <w:rPr>
          <w:rStyle w:val="AERbody"/>
        </w:rPr>
        <w:t xml:space="preserve">Queensland </w:t>
      </w:r>
      <w:r>
        <w:rPr>
          <w:rStyle w:val="AERbody"/>
        </w:rPr>
        <w:t>Electricity Network Capital Program Review 2011. Specifically, the independent panel recommended that alternatives were now available which allowed for more efficient capital investment that better reflected the needs of customers in the current economic climate while still achieving the level of security envisaged.</w:t>
      </w:r>
      <w:r>
        <w:rPr>
          <w:rStyle w:val="FootnoteReference"/>
        </w:rPr>
        <w:footnoteReference w:id="15"/>
      </w:r>
      <w:r>
        <w:rPr>
          <w:rStyle w:val="AERbody"/>
        </w:rPr>
        <w:t xml:space="preserve"> </w:t>
      </w:r>
      <w:r w:rsidR="000E2FF2">
        <w:rPr>
          <w:rStyle w:val="AERbody"/>
        </w:rPr>
        <w:t xml:space="preserve">The effect of </w:t>
      </w:r>
      <w:r w:rsidR="00C51472">
        <w:rPr>
          <w:rStyle w:val="AERbody"/>
        </w:rPr>
        <w:t xml:space="preserve">these changes </w:t>
      </w:r>
      <w:r w:rsidR="00F639DE">
        <w:rPr>
          <w:rStyle w:val="AERbody"/>
        </w:rPr>
        <w:t>became</w:t>
      </w:r>
      <w:r w:rsidR="00C51472">
        <w:rPr>
          <w:rStyle w:val="AERbody"/>
        </w:rPr>
        <w:t xml:space="preserve"> evident </w:t>
      </w:r>
      <w:r>
        <w:rPr>
          <w:rStyle w:val="AERbody"/>
        </w:rPr>
        <w:t>throughout the 2010</w:t>
      </w:r>
      <w:r>
        <w:rPr>
          <w:rStyle w:val="AERbody"/>
          <w:rFonts w:cs="Arial"/>
        </w:rPr>
        <w:t>─</w:t>
      </w:r>
      <w:r>
        <w:rPr>
          <w:rStyle w:val="AERbody"/>
        </w:rPr>
        <w:t>15 regulatory control period, particularly from 2012.</w:t>
      </w:r>
      <w:r>
        <w:rPr>
          <w:rStyle w:val="FootnoteReference"/>
        </w:rPr>
        <w:footnoteReference w:id="16"/>
      </w:r>
      <w:r w:rsidR="00C51472">
        <w:rPr>
          <w:rStyle w:val="AERbody"/>
        </w:rPr>
        <w:t xml:space="preserve"> </w:t>
      </w:r>
      <w:r w:rsidR="00AC2D34">
        <w:rPr>
          <w:rStyle w:val="AERbody"/>
        </w:rPr>
        <w:t>Further detail is provided in attachment 6</w:t>
      </w:r>
      <w:r w:rsidR="000E2FF2">
        <w:rPr>
          <w:rStyle w:val="AERbody"/>
        </w:rPr>
        <w:t>.</w:t>
      </w:r>
    </w:p>
    <w:p w:rsidR="00E9135F" w:rsidRDefault="002E09AD" w:rsidP="00E9135F">
      <w:pPr>
        <w:pStyle w:val="AERbulletlistfirststyle"/>
        <w:rPr>
          <w:rStyle w:val="AERbody"/>
        </w:rPr>
      </w:pPr>
      <w:r>
        <w:t>C</w:t>
      </w:r>
      <w:r w:rsidR="00E9135F">
        <w:t>hanges to the Queensland Government's</w:t>
      </w:r>
      <w:r w:rsidR="00E9135F">
        <w:rPr>
          <w:rStyle w:val="AERbody"/>
        </w:rPr>
        <w:t xml:space="preserve"> reliability standards. From 1 July 2014 the reliability standards, amongst other things, reduced the need to build new infrastructure for reliability purposes.</w:t>
      </w:r>
      <w:r w:rsidR="00E9135F">
        <w:rPr>
          <w:rStyle w:val="FootnoteReference"/>
        </w:rPr>
        <w:footnoteReference w:id="17"/>
      </w:r>
      <w:r w:rsidR="00E9135F">
        <w:rPr>
          <w:rStyle w:val="AERbody"/>
        </w:rPr>
        <w:t xml:space="preserve"> </w:t>
      </w:r>
      <w:r w:rsidR="00F639DE">
        <w:rPr>
          <w:rStyle w:val="AERbody"/>
        </w:rPr>
        <w:t>This prompted further reductions in Energex's proposed capex for the 2015</w:t>
      </w:r>
      <w:r w:rsidR="00F639DE">
        <w:rPr>
          <w:rStyle w:val="AERbody"/>
          <w:rFonts w:cs="Arial"/>
        </w:rPr>
        <w:t>─</w:t>
      </w:r>
      <w:r w:rsidR="00F639DE">
        <w:rPr>
          <w:rStyle w:val="AERbody"/>
        </w:rPr>
        <w:t>20 regulatory control period.</w:t>
      </w:r>
      <w:r w:rsidR="00186C43">
        <w:rPr>
          <w:rStyle w:val="FootnoteReference"/>
        </w:rPr>
        <w:footnoteReference w:id="18"/>
      </w:r>
      <w:r w:rsidR="00F639DE">
        <w:rPr>
          <w:rStyle w:val="AERbody"/>
        </w:rPr>
        <w:t xml:space="preserve"> </w:t>
      </w:r>
    </w:p>
    <w:p w:rsidR="00CC5FB5" w:rsidRDefault="002E09AD" w:rsidP="00CC5FB5">
      <w:pPr>
        <w:pStyle w:val="AERbulletlistfirststyle"/>
        <w:rPr>
          <w:rStyle w:val="AERbody"/>
        </w:rPr>
      </w:pPr>
      <w:r>
        <w:rPr>
          <w:rStyle w:val="AERbody"/>
        </w:rPr>
        <w:t>I</w:t>
      </w:r>
      <w:r w:rsidR="00CC5FB5">
        <w:rPr>
          <w:rStyle w:val="AERbody"/>
        </w:rPr>
        <w:t xml:space="preserve">mprovements in efficiency </w:t>
      </w:r>
      <w:r w:rsidR="00DC62BF">
        <w:rPr>
          <w:rStyle w:val="AERbody"/>
        </w:rPr>
        <w:t xml:space="preserve">to </w:t>
      </w:r>
      <w:r w:rsidR="00CC5FB5">
        <w:rPr>
          <w:rStyle w:val="AERbody"/>
        </w:rPr>
        <w:t>how Energex operates its business.</w:t>
      </w:r>
      <w:r w:rsidR="00C51472">
        <w:rPr>
          <w:rStyle w:val="AERbody"/>
        </w:rPr>
        <w:t xml:space="preserve"> </w:t>
      </w:r>
      <w:r w:rsidR="00C74AC0">
        <w:rPr>
          <w:rStyle w:val="AERbody"/>
        </w:rPr>
        <w:t>In May 2012, the Queens</w:t>
      </w:r>
      <w:r w:rsidR="00F92D46">
        <w:rPr>
          <w:rStyle w:val="AERbody"/>
        </w:rPr>
        <w:t>land Government initiated the Inter</w:t>
      </w:r>
      <w:r w:rsidR="00C74AC0">
        <w:rPr>
          <w:rStyle w:val="AERbody"/>
        </w:rPr>
        <w:t>departmental Committee on Electricity Sector Reform (IDC).</w:t>
      </w:r>
      <w:r w:rsidR="00F92D46">
        <w:rPr>
          <w:rStyle w:val="FootnoteReference"/>
        </w:rPr>
        <w:footnoteReference w:id="19"/>
      </w:r>
      <w:r w:rsidR="00C74AC0">
        <w:rPr>
          <w:rStyle w:val="AERbody"/>
        </w:rPr>
        <w:t xml:space="preserve"> The IDC appointed a network-specific Independent Review Panel (IRP). The IRP recommended </w:t>
      </w:r>
      <w:r w:rsidR="00F92D46">
        <w:rPr>
          <w:rStyle w:val="AERbody"/>
        </w:rPr>
        <w:t>where efficiencies could be created</w:t>
      </w:r>
      <w:r w:rsidR="00C51472">
        <w:rPr>
          <w:rStyle w:val="AERbody"/>
        </w:rPr>
        <w:t>.</w:t>
      </w:r>
      <w:r w:rsidR="00F92D46">
        <w:rPr>
          <w:rStyle w:val="AERbody"/>
        </w:rPr>
        <w:t xml:space="preserve"> In response to this report, Energex identified efficiencies </w:t>
      </w:r>
      <w:r w:rsidR="00595234">
        <w:rPr>
          <w:rStyle w:val="AERbody"/>
        </w:rPr>
        <w:t xml:space="preserve">and these </w:t>
      </w:r>
      <w:r w:rsidR="008F1BE2">
        <w:rPr>
          <w:rStyle w:val="AERbody"/>
        </w:rPr>
        <w:t xml:space="preserve">were </w:t>
      </w:r>
      <w:r w:rsidR="00595234">
        <w:rPr>
          <w:rStyle w:val="AERbody"/>
        </w:rPr>
        <w:t>reflected in</w:t>
      </w:r>
      <w:r w:rsidR="00F92D46">
        <w:rPr>
          <w:rStyle w:val="AERbody"/>
        </w:rPr>
        <w:t xml:space="preserve"> its</w:t>
      </w:r>
      <w:r w:rsidR="008F1BE2">
        <w:rPr>
          <w:rStyle w:val="AERbody"/>
        </w:rPr>
        <w:t xml:space="preserve"> initial</w:t>
      </w:r>
      <w:r w:rsidR="00F92D46">
        <w:rPr>
          <w:rStyle w:val="AERbody"/>
        </w:rPr>
        <w:t xml:space="preserve"> regulatory proposal.</w:t>
      </w:r>
      <w:r w:rsidR="00F92D46">
        <w:rPr>
          <w:rStyle w:val="FootnoteReference"/>
        </w:rPr>
        <w:footnoteReference w:id="20"/>
      </w:r>
      <w:r w:rsidR="00F92D46">
        <w:rPr>
          <w:rStyle w:val="AERbody"/>
        </w:rPr>
        <w:t xml:space="preserve"> </w:t>
      </w:r>
      <w:r w:rsidR="00D82CE6">
        <w:rPr>
          <w:rStyle w:val="AERbody"/>
        </w:rPr>
        <w:t>While we consider Energex can identify further efficiencies in the future, we have not found material inefficiency in Energex's revealed expenditure and for the purposes of our final decision</w:t>
      </w:r>
      <w:r w:rsidR="0079381D">
        <w:rPr>
          <w:rStyle w:val="AERbody"/>
        </w:rPr>
        <w:t xml:space="preserve"> have accepted its forecast opex. </w:t>
      </w:r>
      <w:r w:rsidR="00DB1C15">
        <w:rPr>
          <w:rStyle w:val="AERbody"/>
        </w:rPr>
        <w:t>S</w:t>
      </w:r>
      <w:r w:rsidR="00C51472">
        <w:rPr>
          <w:rStyle w:val="AERbody"/>
        </w:rPr>
        <w:t>ection 3.</w:t>
      </w:r>
      <w:r w:rsidR="00250F95">
        <w:rPr>
          <w:rStyle w:val="AERbody"/>
        </w:rPr>
        <w:t>6</w:t>
      </w:r>
      <w:r w:rsidR="00C51472">
        <w:rPr>
          <w:rStyle w:val="AERbody"/>
        </w:rPr>
        <w:t xml:space="preserve"> of this </w:t>
      </w:r>
      <w:r w:rsidR="00DB1C15">
        <w:rPr>
          <w:rStyle w:val="AERbody"/>
        </w:rPr>
        <w:t>o</w:t>
      </w:r>
      <w:r w:rsidR="00C51472">
        <w:rPr>
          <w:rStyle w:val="AERbody"/>
        </w:rPr>
        <w:t>verview</w:t>
      </w:r>
      <w:r w:rsidR="00584F3E">
        <w:rPr>
          <w:rStyle w:val="AERbody"/>
        </w:rPr>
        <w:t xml:space="preserve"> and attachment 7</w:t>
      </w:r>
      <w:r w:rsidR="00C51472">
        <w:rPr>
          <w:rStyle w:val="AERbody"/>
        </w:rPr>
        <w:t xml:space="preserve"> </w:t>
      </w:r>
      <w:r w:rsidR="0079381D">
        <w:rPr>
          <w:rStyle w:val="AERbody"/>
        </w:rPr>
        <w:t>provide further discussion of Energex's operating costs</w:t>
      </w:r>
      <w:r w:rsidR="00C51472">
        <w:rPr>
          <w:rStyle w:val="AERbody"/>
        </w:rPr>
        <w:t>.</w:t>
      </w:r>
    </w:p>
    <w:p w:rsidR="00E06D02" w:rsidRDefault="00CC5FB5" w:rsidP="00CC5FB5">
      <w:r w:rsidRPr="00393804">
        <w:t>These</w:t>
      </w:r>
      <w:r>
        <w:t xml:space="preserve"> factors are reflected throughout our final decision and</w:t>
      </w:r>
      <w:r w:rsidRPr="00393804">
        <w:t xml:space="preserve"> impact the different constituent components of our decision to varying degrees</w:t>
      </w:r>
      <w:r>
        <w:t xml:space="preserve">. </w:t>
      </w:r>
      <w:r w:rsidR="00E06D02">
        <w:t xml:space="preserve">To a large extent, </w:t>
      </w:r>
      <w:r w:rsidR="00250F95">
        <w:t>Energex has reflected many of these factors in its initial and revised proposals</w:t>
      </w:r>
      <w:r w:rsidR="00E06D02">
        <w:t xml:space="preserve">. </w:t>
      </w:r>
    </w:p>
    <w:p w:rsidR="00CC5FB5" w:rsidRDefault="002A247F" w:rsidP="00CC5FB5">
      <w:r>
        <w:t>The</w:t>
      </w:r>
      <w:r w:rsidR="00CC5FB5">
        <w:t xml:space="preserve"> component of our decision </w:t>
      </w:r>
      <w:r w:rsidR="00250F95">
        <w:t xml:space="preserve">that </w:t>
      </w:r>
      <w:r w:rsidR="00CC5FB5">
        <w:t xml:space="preserve">drives most of the revenue difference </w:t>
      </w:r>
      <w:r w:rsidR="00DB1C15">
        <w:t xml:space="preserve">between our final decision and </w:t>
      </w:r>
      <w:r w:rsidR="00CC5FB5">
        <w:t xml:space="preserve">Energex's </w:t>
      </w:r>
      <w:r w:rsidR="009470BC">
        <w:t xml:space="preserve">revised </w:t>
      </w:r>
      <w:r w:rsidR="00CC5FB5">
        <w:t xml:space="preserve">regulatory proposal, </w:t>
      </w:r>
      <w:r w:rsidR="00250F95">
        <w:t xml:space="preserve">is </w:t>
      </w:r>
      <w:r w:rsidR="00CC5FB5">
        <w:t xml:space="preserve">the allowed rate of return. </w:t>
      </w:r>
      <w:r w:rsidR="00BB274C">
        <w:t xml:space="preserve">A further aspect is the provision made for imputation credits (gamma), which forms part of the </w:t>
      </w:r>
      <w:r w:rsidR="004C3879">
        <w:t xml:space="preserve">corporate tax </w:t>
      </w:r>
      <w:r w:rsidR="00BB274C">
        <w:t xml:space="preserve">allowance. Changes to the allowed rate of return also flow on to impact the corporate tax allowance (in addition to gamma) given the reduction in overall revenue requirements. </w:t>
      </w:r>
      <w:r w:rsidR="00256833">
        <w:t xml:space="preserve">Attachment 4 discusses this interrelationship in detail. </w:t>
      </w:r>
      <w:r w:rsidR="00CC5FB5">
        <w:t xml:space="preserve">Figure </w:t>
      </w:r>
      <w:r w:rsidR="00250F95">
        <w:t xml:space="preserve">4 </w:t>
      </w:r>
      <w:r w:rsidR="00CC5FB5">
        <w:t>illustrates the constituent components of our final decision (which the NER refers to as building blocks).</w:t>
      </w:r>
    </w:p>
    <w:p w:rsidR="00CC5FB5" w:rsidRDefault="00CC5FB5" w:rsidP="00CC5FB5">
      <w:pPr>
        <w:pStyle w:val="Caption"/>
      </w:pPr>
      <w:r>
        <w:t xml:space="preserve">Figure </w:t>
      </w:r>
      <w:r w:rsidR="001F7AC7">
        <w:t>4</w:t>
      </w:r>
      <w:r w:rsidR="00AA7CEE">
        <w:tab/>
      </w:r>
      <w:r>
        <w:t xml:space="preserve">AER's final decision and Energex's </w:t>
      </w:r>
      <w:r w:rsidR="00C62A8E">
        <w:t xml:space="preserve">revised </w:t>
      </w:r>
      <w:r>
        <w:t>proposed annual building block costs ($ million 2014</w:t>
      </w:r>
      <w:r w:rsidRPr="007B3355">
        <w:t>−</w:t>
      </w:r>
      <w:r>
        <w:t>15)</w:t>
      </w:r>
    </w:p>
    <w:p w:rsidR="00CC5FB5" w:rsidRDefault="00441C7B" w:rsidP="00CC5FB5">
      <w:r w:rsidRPr="00441C7B">
        <w:rPr>
          <w:noProof/>
          <w:lang w:eastAsia="en-AU"/>
        </w:rPr>
        <w:drawing>
          <wp:inline distT="0" distB="0" distL="0" distR="0" wp14:anchorId="7A2033DE" wp14:editId="4072C5C8">
            <wp:extent cx="5382895" cy="3216493"/>
            <wp:effectExtent l="0" t="0" r="825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216493"/>
                    </a:xfrm>
                    <a:prstGeom prst="rect">
                      <a:avLst/>
                    </a:prstGeom>
                    <a:noFill/>
                    <a:ln>
                      <a:noFill/>
                    </a:ln>
                  </pic:spPr>
                </pic:pic>
              </a:graphicData>
            </a:graphic>
          </wp:inline>
        </w:drawing>
      </w:r>
    </w:p>
    <w:p w:rsidR="00CC5FB5" w:rsidRPr="00DE1EA5" w:rsidRDefault="00CC5FB5" w:rsidP="00CC5FB5">
      <w:pPr>
        <w:pStyle w:val="AERtablesource"/>
      </w:pPr>
      <w:r>
        <w:t>Source:</w:t>
      </w:r>
      <w:r>
        <w:tab/>
        <w:t>AER analysis.</w:t>
      </w:r>
    </w:p>
    <w:p w:rsidR="00E06D02" w:rsidRDefault="00515970" w:rsidP="00E06D02">
      <w:r>
        <w:rPr>
          <w:rStyle w:val="AERbody"/>
        </w:rPr>
        <w:t>W</w:t>
      </w:r>
      <w:r w:rsidR="00E06D02">
        <w:rPr>
          <w:rStyle w:val="AERbody"/>
        </w:rPr>
        <w:t xml:space="preserve">e conclude that Energex has proposed to recover more revenue from its customers than is necessary </w:t>
      </w:r>
      <w:r w:rsidR="00E06D02" w:rsidRPr="00895CE0">
        <w:rPr>
          <w:rStyle w:val="AERbody"/>
        </w:rPr>
        <w:t>for the safe and reliable operation of its network</w:t>
      </w:r>
      <w:r w:rsidR="00E06D02">
        <w:rPr>
          <w:rStyle w:val="AERbody"/>
        </w:rPr>
        <w:t xml:space="preserve">. It follows that we consider that Energex's proposal does not contribute to the NEO to </w:t>
      </w:r>
      <w:r w:rsidR="008F1BE2">
        <w:rPr>
          <w:rStyle w:val="AERbody"/>
        </w:rPr>
        <w:t>the greatest</w:t>
      </w:r>
      <w:r w:rsidR="00E06D02">
        <w:rPr>
          <w:rStyle w:val="AERbody"/>
        </w:rPr>
        <w:t xml:space="preserve"> degree. </w:t>
      </w:r>
      <w:r w:rsidR="00E06D02" w:rsidRPr="00393804">
        <w:t xml:space="preserve">We come to these views as a result of the detailed analysis for each constituent component of our </w:t>
      </w:r>
      <w:r w:rsidR="00E06D02">
        <w:t>final</w:t>
      </w:r>
      <w:r w:rsidR="00E06D02" w:rsidRPr="00393804">
        <w:t xml:space="preserve"> decision.</w:t>
      </w:r>
    </w:p>
    <w:p w:rsidR="007D5573" w:rsidRPr="007D5573" w:rsidRDefault="007D5573" w:rsidP="001D6ED8">
      <w:pPr>
        <w:pStyle w:val="Heading2"/>
      </w:pPr>
      <w:bookmarkStart w:id="14" w:name="_Toc433723293"/>
      <w:r>
        <w:t>Impact of decision</w:t>
      </w:r>
      <w:bookmarkEnd w:id="14"/>
    </w:p>
    <w:p w:rsidR="009E4305" w:rsidRDefault="008F1BE2" w:rsidP="009E4305">
      <w:r w:rsidRPr="009E4305">
        <w:t>Distribution charges—for standard control ser</w:t>
      </w:r>
      <w:r>
        <w:t>vices—represent approximately 42</w:t>
      </w:r>
      <w:r w:rsidRPr="009E4305">
        <w:t xml:space="preserve"> per cent, on average, of the annual electricity bill for </w:t>
      </w:r>
      <w:r>
        <w:t>Energex</w:t>
      </w:r>
      <w:r w:rsidRPr="009E4305">
        <w:t xml:space="preserve"> customers. Other factors may affect a customer’s electricity bill, such as their consumption, their specific tariff, the wholesale price of electricity, or changes in the retail margin.</w:t>
      </w:r>
      <w:r>
        <w:t xml:space="preserve"> </w:t>
      </w:r>
      <w:r w:rsidR="009E4305">
        <w:t>W</w:t>
      </w:r>
      <w:r w:rsidR="009E4305" w:rsidRPr="009E4305">
        <w:t xml:space="preserve">e expect a typical residential final bill to reduce by </w:t>
      </w:r>
      <w:r w:rsidR="009E4305">
        <w:t>between 1–2</w:t>
      </w:r>
      <w:r w:rsidR="009E4305" w:rsidRPr="009E4305">
        <w:t xml:space="preserve"> per cent per annum</w:t>
      </w:r>
      <w:r w:rsidR="009E4305">
        <w:t xml:space="preserve"> over the 2015–20</w:t>
      </w:r>
      <w:r w:rsidR="00CE3FA2">
        <w:t xml:space="preserve"> regulatory control</w:t>
      </w:r>
      <w:r w:rsidR="009E4305">
        <w:t xml:space="preserve"> period</w:t>
      </w:r>
      <w:r w:rsidR="009E4305" w:rsidRPr="009E4305">
        <w:t xml:space="preserve">. </w:t>
      </w:r>
      <w:r w:rsidR="00C07631" w:rsidRPr="00C07631">
        <w:t>We expect bills to remain below the average annual residential customer bill paid in 2014─15.</w:t>
      </w:r>
      <w:r w:rsidR="00C07631">
        <w:t xml:space="preserve"> </w:t>
      </w:r>
    </w:p>
    <w:p w:rsidR="007B3355" w:rsidRDefault="007B3355" w:rsidP="007B3355">
      <w:r>
        <w:fldChar w:fldCharType="begin"/>
      </w:r>
      <w:r>
        <w:instrText xml:space="preserve"> REF _Ref416879023 \h </w:instrText>
      </w:r>
      <w:r>
        <w:fldChar w:fldCharType="separate"/>
      </w:r>
      <w:r w:rsidR="00BD1E7C" w:rsidRPr="00012781">
        <w:t>Table</w:t>
      </w:r>
      <w:r w:rsidR="00BD1E7C">
        <w:t xml:space="preserve"> </w:t>
      </w:r>
      <w:r w:rsidR="00BD1E7C">
        <w:rPr>
          <w:noProof/>
        </w:rPr>
        <w:t>1</w:t>
      </w:r>
      <w:r w:rsidR="00DB43F3">
        <w:t xml:space="preserve"> </w:t>
      </w:r>
      <w:r>
        <w:fldChar w:fldCharType="end"/>
      </w:r>
      <w:r>
        <w:t xml:space="preserve">shows the estimated impact of our </w:t>
      </w:r>
      <w:r w:rsidR="001A2140">
        <w:t>final</w:t>
      </w:r>
      <w:r>
        <w:t xml:space="preserve"> d</w:t>
      </w:r>
      <w:r w:rsidRPr="00C729DC">
        <w:t xml:space="preserve">ecision </w:t>
      </w:r>
      <w:r>
        <w:t xml:space="preserve">on the average residential and small business customers' annual electricity bills in Energex's network area over the 2015–20 regulatory control period, compared with </w:t>
      </w:r>
      <w:r w:rsidR="00BD6A5B">
        <w:t>Energex's revised proposal</w:t>
      </w:r>
      <w:r>
        <w:t>.</w:t>
      </w:r>
    </w:p>
    <w:p w:rsidR="00E828F4" w:rsidRDefault="00E828F4" w:rsidP="007B3355"/>
    <w:p w:rsidR="007B3355" w:rsidRDefault="007B3355" w:rsidP="007B3355">
      <w:pPr>
        <w:pStyle w:val="Caption"/>
      </w:pPr>
      <w:bookmarkStart w:id="15" w:name="_Ref416879023"/>
      <w:r w:rsidRPr="00012781">
        <w:t>Table</w:t>
      </w:r>
      <w:r>
        <w:t xml:space="preserve"> </w:t>
      </w:r>
      <w:r w:rsidR="00135AC3">
        <w:fldChar w:fldCharType="begin"/>
      </w:r>
      <w:r w:rsidR="00135AC3">
        <w:instrText xml:space="preserve"> SEQ Table \* ARABIC \s 1 </w:instrText>
      </w:r>
      <w:r w:rsidR="00135AC3">
        <w:fldChar w:fldCharType="separate"/>
      </w:r>
      <w:r w:rsidR="00BD1E7C">
        <w:rPr>
          <w:noProof/>
        </w:rPr>
        <w:t>1</w:t>
      </w:r>
      <w:r w:rsidR="00135AC3">
        <w:rPr>
          <w:noProof/>
        </w:rPr>
        <w:fldChar w:fldCharType="end"/>
      </w:r>
      <w:bookmarkEnd w:id="15"/>
      <w:r w:rsidRPr="00012781">
        <w:tab/>
        <w:t xml:space="preserve">AER's </w:t>
      </w:r>
      <w:r>
        <w:t xml:space="preserve">estimated impact of its </w:t>
      </w:r>
      <w:r w:rsidR="008614FA">
        <w:t>final</w:t>
      </w:r>
      <w:r>
        <w:t xml:space="preserve"> decision on the average residential and small business customers' electricity bills in Energex's network for the 2015</w:t>
      </w:r>
      <w:r w:rsidRPr="007B3355">
        <w:t>−</w:t>
      </w:r>
      <w:r>
        <w:t>20 period</w:t>
      </w:r>
      <w:r w:rsidRPr="00012781">
        <w:t xml:space="preserve"> ($ nominal)</w:t>
      </w:r>
    </w:p>
    <w:tbl>
      <w:tblPr>
        <w:tblStyle w:val="AERtable-numbers"/>
        <w:tblW w:w="0" w:type="auto"/>
        <w:tblLayout w:type="fixed"/>
        <w:tblLook w:val="04A0" w:firstRow="1" w:lastRow="0" w:firstColumn="1" w:lastColumn="0" w:noHBand="0" w:noVBand="1"/>
      </w:tblPr>
      <w:tblGrid>
        <w:gridCol w:w="2235"/>
        <w:gridCol w:w="850"/>
        <w:gridCol w:w="1121"/>
        <w:gridCol w:w="1122"/>
        <w:gridCol w:w="1121"/>
        <w:gridCol w:w="1122"/>
        <w:gridCol w:w="1122"/>
      </w:tblGrid>
      <w:tr w:rsidR="007B3355" w:rsidTr="00D276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7B3355" w:rsidRDefault="007B3355" w:rsidP="007B3355"/>
        </w:tc>
        <w:tc>
          <w:tcPr>
            <w:tcW w:w="850" w:type="dxa"/>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t>201</w:t>
            </w:r>
            <w:r w:rsidRPr="007B3355">
              <w:t>4−15</w:t>
            </w:r>
          </w:p>
        </w:tc>
        <w:tc>
          <w:tcPr>
            <w:tcW w:w="1121" w:type="dxa"/>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t>201</w:t>
            </w:r>
            <w:r w:rsidRPr="007B3355">
              <w:t>5−16</w:t>
            </w:r>
          </w:p>
        </w:tc>
        <w:tc>
          <w:tcPr>
            <w:tcW w:w="1122" w:type="dxa"/>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t>201</w:t>
            </w:r>
            <w:r w:rsidRPr="007B3355">
              <w:t>6−17</w:t>
            </w:r>
          </w:p>
        </w:tc>
        <w:tc>
          <w:tcPr>
            <w:tcW w:w="1121" w:type="dxa"/>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t>201</w:t>
            </w:r>
            <w:r w:rsidRPr="007B3355">
              <w:t>7−18</w:t>
            </w:r>
          </w:p>
        </w:tc>
        <w:tc>
          <w:tcPr>
            <w:tcW w:w="1122" w:type="dxa"/>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t>201</w:t>
            </w:r>
            <w:r w:rsidRPr="007B3355">
              <w:t>8−19</w:t>
            </w:r>
          </w:p>
        </w:tc>
        <w:tc>
          <w:tcPr>
            <w:tcW w:w="1122" w:type="dxa"/>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t>2019–20</w:t>
            </w:r>
          </w:p>
        </w:tc>
      </w:tr>
      <w:tr w:rsidR="00044412" w:rsidRPr="00AE31B5" w:rsidTr="00044412">
        <w:tc>
          <w:tcPr>
            <w:cnfStyle w:val="001000000000" w:firstRow="0" w:lastRow="0" w:firstColumn="1" w:lastColumn="0" w:oddVBand="0" w:evenVBand="0" w:oddHBand="0" w:evenHBand="0" w:firstRowFirstColumn="0" w:firstRowLastColumn="0" w:lastRowFirstColumn="0" w:lastRowLastColumn="0"/>
            <w:tcW w:w="8693" w:type="dxa"/>
            <w:gridSpan w:val="7"/>
          </w:tcPr>
          <w:p w:rsidR="00044412" w:rsidRPr="00044412" w:rsidRDefault="00044412" w:rsidP="00044412">
            <w:r w:rsidRPr="00AE31B5">
              <w:rPr>
                <w:rStyle w:val="Strong"/>
              </w:rPr>
              <w:t>AER final decision</w:t>
            </w:r>
          </w:p>
        </w:tc>
      </w:tr>
      <w:tr w:rsidR="00044412" w:rsidRPr="00AE31B5" w:rsidTr="000444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044412" w:rsidRPr="00044412" w:rsidRDefault="00044412" w:rsidP="00044412">
            <w:r w:rsidRPr="00AE31B5">
              <w:t>Residential annual bill</w:t>
            </w:r>
            <w:r w:rsidRPr="00044412">
              <w:rPr>
                <w:rStyle w:val="AERsuperscript"/>
              </w:rPr>
              <w:t>a</w:t>
            </w:r>
          </w:p>
        </w:tc>
        <w:tc>
          <w:tcPr>
            <w:tcW w:w="850" w:type="dxa"/>
            <w:vAlign w:val="bottom"/>
          </w:tcPr>
          <w:p w:rsidR="00044412" w:rsidRPr="00044412" w:rsidRDefault="00044412" w:rsidP="00044412">
            <w:pPr>
              <w:cnfStyle w:val="000000010000" w:firstRow="0" w:lastRow="0" w:firstColumn="0" w:lastColumn="0" w:oddVBand="0" w:evenVBand="0" w:oddHBand="0" w:evenHBand="1" w:firstRowFirstColumn="0" w:firstRowLastColumn="0" w:lastRowFirstColumn="0" w:lastRowLastColumn="0"/>
            </w:pPr>
            <w:r w:rsidRPr="00AE31B5">
              <w:t>1470</w:t>
            </w:r>
          </w:p>
        </w:tc>
        <w:tc>
          <w:tcPr>
            <w:tcW w:w="1121" w:type="dxa"/>
            <w:vAlign w:val="bottom"/>
          </w:tcPr>
          <w:p w:rsidR="00044412" w:rsidRPr="00044412" w:rsidRDefault="00044412" w:rsidP="00044412">
            <w:pPr>
              <w:cnfStyle w:val="000000010000" w:firstRow="0" w:lastRow="0" w:firstColumn="0" w:lastColumn="0" w:oddVBand="0" w:evenVBand="0" w:oddHBand="0" w:evenHBand="1" w:firstRowFirstColumn="0" w:firstRowLastColumn="0" w:lastRowFirstColumn="0" w:lastRowLastColumn="0"/>
            </w:pPr>
            <w:r w:rsidRPr="00AE31B5">
              <w:t>1445</w:t>
            </w:r>
          </w:p>
        </w:tc>
        <w:tc>
          <w:tcPr>
            <w:tcW w:w="1122" w:type="dxa"/>
            <w:vAlign w:val="bottom"/>
          </w:tcPr>
          <w:p w:rsidR="00044412" w:rsidRPr="00044412" w:rsidRDefault="00044412" w:rsidP="00044412">
            <w:pPr>
              <w:cnfStyle w:val="000000010000" w:firstRow="0" w:lastRow="0" w:firstColumn="0" w:lastColumn="0" w:oddVBand="0" w:evenVBand="0" w:oddHBand="0" w:evenHBand="1" w:firstRowFirstColumn="0" w:firstRowLastColumn="0" w:lastRowFirstColumn="0" w:lastRowLastColumn="0"/>
            </w:pPr>
            <w:r w:rsidRPr="00AE31B5">
              <w:t>142</w:t>
            </w:r>
            <w:r w:rsidRPr="00044412">
              <w:t>8</w:t>
            </w:r>
          </w:p>
        </w:tc>
        <w:tc>
          <w:tcPr>
            <w:tcW w:w="1121" w:type="dxa"/>
            <w:vAlign w:val="bottom"/>
          </w:tcPr>
          <w:p w:rsidR="00044412" w:rsidRPr="00044412" w:rsidRDefault="00044412" w:rsidP="00044412">
            <w:pPr>
              <w:cnfStyle w:val="000000010000" w:firstRow="0" w:lastRow="0" w:firstColumn="0" w:lastColumn="0" w:oddVBand="0" w:evenVBand="0" w:oddHBand="0" w:evenHBand="1" w:firstRowFirstColumn="0" w:firstRowLastColumn="0" w:lastRowFirstColumn="0" w:lastRowLastColumn="0"/>
            </w:pPr>
            <w:r w:rsidRPr="00AE31B5">
              <w:t>140</w:t>
            </w:r>
            <w:r w:rsidRPr="00044412">
              <w:t>6</w:t>
            </w:r>
          </w:p>
        </w:tc>
        <w:tc>
          <w:tcPr>
            <w:tcW w:w="1122" w:type="dxa"/>
            <w:vAlign w:val="bottom"/>
          </w:tcPr>
          <w:p w:rsidR="00044412" w:rsidRPr="00044412" w:rsidRDefault="00044412" w:rsidP="00044412">
            <w:pPr>
              <w:cnfStyle w:val="000000010000" w:firstRow="0" w:lastRow="0" w:firstColumn="0" w:lastColumn="0" w:oddVBand="0" w:evenVBand="0" w:oddHBand="0" w:evenHBand="1" w:firstRowFirstColumn="0" w:firstRowLastColumn="0" w:lastRowFirstColumn="0" w:lastRowLastColumn="0"/>
            </w:pPr>
            <w:r w:rsidRPr="00AE31B5">
              <w:t>1389</w:t>
            </w:r>
          </w:p>
        </w:tc>
        <w:tc>
          <w:tcPr>
            <w:tcW w:w="1122" w:type="dxa"/>
            <w:vAlign w:val="bottom"/>
          </w:tcPr>
          <w:p w:rsidR="00044412" w:rsidRPr="00044412" w:rsidRDefault="00044412" w:rsidP="00044412">
            <w:pPr>
              <w:cnfStyle w:val="000000010000" w:firstRow="0" w:lastRow="0" w:firstColumn="0" w:lastColumn="0" w:oddVBand="0" w:evenVBand="0" w:oddHBand="0" w:evenHBand="1" w:firstRowFirstColumn="0" w:firstRowLastColumn="0" w:lastRowFirstColumn="0" w:lastRowLastColumn="0"/>
            </w:pPr>
            <w:r w:rsidRPr="00AE31B5">
              <w:t>1375</w:t>
            </w:r>
          </w:p>
        </w:tc>
      </w:tr>
      <w:tr w:rsidR="00044412" w:rsidRPr="00AE31B5" w:rsidTr="00044412">
        <w:tc>
          <w:tcPr>
            <w:cnfStyle w:val="001000000000" w:firstRow="0" w:lastRow="0" w:firstColumn="1" w:lastColumn="0" w:oddVBand="0" w:evenVBand="0" w:oddHBand="0" w:evenHBand="0" w:firstRowFirstColumn="0" w:firstRowLastColumn="0" w:lastRowFirstColumn="0" w:lastRowLastColumn="0"/>
            <w:tcW w:w="2235" w:type="dxa"/>
          </w:tcPr>
          <w:p w:rsidR="00044412" w:rsidRPr="00044412" w:rsidRDefault="00044412" w:rsidP="00044412">
            <w:r w:rsidRPr="00AE31B5">
              <w:t>Annual change</w:t>
            </w:r>
            <w:r w:rsidRPr="00044412">
              <w:rPr>
                <w:rStyle w:val="AERsuperscript"/>
              </w:rPr>
              <w:t>c</w:t>
            </w:r>
          </w:p>
        </w:tc>
        <w:tc>
          <w:tcPr>
            <w:tcW w:w="850" w:type="dxa"/>
            <w:vAlign w:val="bottom"/>
          </w:tcPr>
          <w:p w:rsidR="00044412" w:rsidRPr="00AE31B5" w:rsidRDefault="00044412" w:rsidP="00044412">
            <w:pPr>
              <w:cnfStyle w:val="000000000000" w:firstRow="0" w:lastRow="0" w:firstColumn="0" w:lastColumn="0" w:oddVBand="0" w:evenVBand="0" w:oddHBand="0" w:evenHBand="0" w:firstRowFirstColumn="0" w:firstRowLastColumn="0" w:lastRowFirstColumn="0" w:lastRowLastColumn="0"/>
            </w:pPr>
          </w:p>
        </w:tc>
        <w:tc>
          <w:tcPr>
            <w:tcW w:w="1121" w:type="dxa"/>
            <w:vAlign w:val="bottom"/>
          </w:tcPr>
          <w:p w:rsidR="00044412" w:rsidRPr="00044412" w:rsidRDefault="00044412" w:rsidP="00044412">
            <w:pPr>
              <w:cnfStyle w:val="000000000000" w:firstRow="0" w:lastRow="0" w:firstColumn="0" w:lastColumn="0" w:oddVBand="0" w:evenVBand="0" w:oddHBand="0" w:evenHBand="0" w:firstRowFirstColumn="0" w:firstRowLastColumn="0" w:lastRowFirstColumn="0" w:lastRowLastColumn="0"/>
            </w:pPr>
            <w:r>
              <w:t>–</w:t>
            </w:r>
            <w:r w:rsidRPr="00044412">
              <w:t>25 (–1.7%)</w:t>
            </w:r>
          </w:p>
        </w:tc>
        <w:tc>
          <w:tcPr>
            <w:tcW w:w="1122" w:type="dxa"/>
            <w:vAlign w:val="bottom"/>
          </w:tcPr>
          <w:p w:rsidR="00044412" w:rsidRPr="00044412" w:rsidRDefault="00044412" w:rsidP="00044412">
            <w:pPr>
              <w:cnfStyle w:val="000000000000" w:firstRow="0" w:lastRow="0" w:firstColumn="0" w:lastColumn="0" w:oddVBand="0" w:evenVBand="0" w:oddHBand="0" w:evenHBand="0" w:firstRowFirstColumn="0" w:firstRowLastColumn="0" w:lastRowFirstColumn="0" w:lastRowLastColumn="0"/>
            </w:pPr>
            <w:r>
              <w:t>–1</w:t>
            </w:r>
            <w:r w:rsidRPr="00044412">
              <w:t>7 (–1.2%)</w:t>
            </w:r>
          </w:p>
        </w:tc>
        <w:tc>
          <w:tcPr>
            <w:tcW w:w="1121" w:type="dxa"/>
            <w:vAlign w:val="bottom"/>
          </w:tcPr>
          <w:p w:rsidR="00044412" w:rsidRPr="00044412" w:rsidRDefault="00044412" w:rsidP="00044412">
            <w:pPr>
              <w:cnfStyle w:val="000000000000" w:firstRow="0" w:lastRow="0" w:firstColumn="0" w:lastColumn="0" w:oddVBand="0" w:evenVBand="0" w:oddHBand="0" w:evenHBand="0" w:firstRowFirstColumn="0" w:firstRowLastColumn="0" w:lastRowFirstColumn="0" w:lastRowLastColumn="0"/>
            </w:pPr>
            <w:r>
              <w:t>–</w:t>
            </w:r>
            <w:r w:rsidRPr="00044412">
              <w:t>21 (–1.5%)</w:t>
            </w:r>
          </w:p>
        </w:tc>
        <w:tc>
          <w:tcPr>
            <w:tcW w:w="1122" w:type="dxa"/>
            <w:vAlign w:val="bottom"/>
          </w:tcPr>
          <w:p w:rsidR="00044412" w:rsidRPr="00044412" w:rsidRDefault="00044412" w:rsidP="00044412">
            <w:pPr>
              <w:cnfStyle w:val="000000000000" w:firstRow="0" w:lastRow="0" w:firstColumn="0" w:lastColumn="0" w:oddVBand="0" w:evenVBand="0" w:oddHBand="0" w:evenHBand="0" w:firstRowFirstColumn="0" w:firstRowLastColumn="0" w:lastRowFirstColumn="0" w:lastRowLastColumn="0"/>
            </w:pPr>
            <w:r>
              <w:t>–17 (–</w:t>
            </w:r>
            <w:r w:rsidRPr="00044412">
              <w:t>1.2%)</w:t>
            </w:r>
          </w:p>
        </w:tc>
        <w:tc>
          <w:tcPr>
            <w:tcW w:w="1122" w:type="dxa"/>
            <w:vAlign w:val="bottom"/>
          </w:tcPr>
          <w:p w:rsidR="00044412" w:rsidRPr="00044412" w:rsidRDefault="00044412" w:rsidP="00044412">
            <w:pPr>
              <w:cnfStyle w:val="000000000000" w:firstRow="0" w:lastRow="0" w:firstColumn="0" w:lastColumn="0" w:oddVBand="0" w:evenVBand="0" w:oddHBand="0" w:evenHBand="0" w:firstRowFirstColumn="0" w:firstRowLastColumn="0" w:lastRowFirstColumn="0" w:lastRowLastColumn="0"/>
            </w:pPr>
            <w:r>
              <w:t>–</w:t>
            </w:r>
            <w:r w:rsidRPr="00044412">
              <w:t>14 (–1.0%)</w:t>
            </w:r>
          </w:p>
        </w:tc>
      </w:tr>
      <w:tr w:rsidR="00044412" w:rsidRPr="00AE31B5" w:rsidTr="000444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044412" w:rsidRPr="00044412" w:rsidRDefault="00044412" w:rsidP="00044412">
            <w:r w:rsidRPr="00AE31B5">
              <w:t>Small business annual bill</w:t>
            </w:r>
            <w:r w:rsidRPr="00044412">
              <w:rPr>
                <w:rStyle w:val="AERsuperscript"/>
              </w:rPr>
              <w:t>b</w:t>
            </w:r>
          </w:p>
        </w:tc>
        <w:tc>
          <w:tcPr>
            <w:tcW w:w="850" w:type="dxa"/>
            <w:vAlign w:val="bottom"/>
          </w:tcPr>
          <w:p w:rsidR="00044412" w:rsidRPr="00044412" w:rsidRDefault="00044412" w:rsidP="00044412">
            <w:pPr>
              <w:cnfStyle w:val="000000010000" w:firstRow="0" w:lastRow="0" w:firstColumn="0" w:lastColumn="0" w:oddVBand="0" w:evenVBand="0" w:oddHBand="0" w:evenHBand="1" w:firstRowFirstColumn="0" w:firstRowLastColumn="0" w:lastRowFirstColumn="0" w:lastRowLastColumn="0"/>
            </w:pPr>
            <w:r w:rsidRPr="00AE31B5">
              <w:t>3036</w:t>
            </w:r>
          </w:p>
        </w:tc>
        <w:tc>
          <w:tcPr>
            <w:tcW w:w="1121" w:type="dxa"/>
            <w:vAlign w:val="bottom"/>
          </w:tcPr>
          <w:p w:rsidR="00044412" w:rsidRPr="00044412" w:rsidRDefault="00044412" w:rsidP="00044412">
            <w:pPr>
              <w:cnfStyle w:val="000000010000" w:firstRow="0" w:lastRow="0" w:firstColumn="0" w:lastColumn="0" w:oddVBand="0" w:evenVBand="0" w:oddHBand="0" w:evenHBand="1" w:firstRowFirstColumn="0" w:firstRowLastColumn="0" w:lastRowFirstColumn="0" w:lastRowLastColumn="0"/>
            </w:pPr>
            <w:r w:rsidRPr="00AE31B5">
              <w:t>2985</w:t>
            </w:r>
          </w:p>
        </w:tc>
        <w:tc>
          <w:tcPr>
            <w:tcW w:w="1122" w:type="dxa"/>
            <w:vAlign w:val="bottom"/>
          </w:tcPr>
          <w:p w:rsidR="00044412" w:rsidRPr="00044412" w:rsidRDefault="00044412" w:rsidP="00044412">
            <w:pPr>
              <w:cnfStyle w:val="000000010000" w:firstRow="0" w:lastRow="0" w:firstColumn="0" w:lastColumn="0" w:oddVBand="0" w:evenVBand="0" w:oddHBand="0" w:evenHBand="1" w:firstRowFirstColumn="0" w:firstRowLastColumn="0" w:lastRowFirstColumn="0" w:lastRowLastColumn="0"/>
            </w:pPr>
            <w:r w:rsidRPr="00AE31B5">
              <w:t>29</w:t>
            </w:r>
            <w:r w:rsidRPr="00044412">
              <w:t>49</w:t>
            </w:r>
          </w:p>
        </w:tc>
        <w:tc>
          <w:tcPr>
            <w:tcW w:w="1121" w:type="dxa"/>
            <w:vAlign w:val="bottom"/>
          </w:tcPr>
          <w:p w:rsidR="00044412" w:rsidRPr="00044412" w:rsidRDefault="00044412" w:rsidP="00044412">
            <w:pPr>
              <w:cnfStyle w:val="000000010000" w:firstRow="0" w:lastRow="0" w:firstColumn="0" w:lastColumn="0" w:oddVBand="0" w:evenVBand="0" w:oddHBand="0" w:evenHBand="1" w:firstRowFirstColumn="0" w:firstRowLastColumn="0" w:lastRowFirstColumn="0" w:lastRowLastColumn="0"/>
            </w:pPr>
            <w:r w:rsidRPr="00AE31B5">
              <w:t>2905</w:t>
            </w:r>
          </w:p>
        </w:tc>
        <w:tc>
          <w:tcPr>
            <w:tcW w:w="1122" w:type="dxa"/>
            <w:vAlign w:val="bottom"/>
          </w:tcPr>
          <w:p w:rsidR="00044412" w:rsidRPr="00044412" w:rsidRDefault="00044412" w:rsidP="00044412">
            <w:pPr>
              <w:cnfStyle w:val="000000010000" w:firstRow="0" w:lastRow="0" w:firstColumn="0" w:lastColumn="0" w:oddVBand="0" w:evenVBand="0" w:oddHBand="0" w:evenHBand="1" w:firstRowFirstColumn="0" w:firstRowLastColumn="0" w:lastRowFirstColumn="0" w:lastRowLastColumn="0"/>
            </w:pPr>
            <w:r w:rsidRPr="00AE31B5">
              <w:t>2869</w:t>
            </w:r>
          </w:p>
        </w:tc>
        <w:tc>
          <w:tcPr>
            <w:tcW w:w="1122" w:type="dxa"/>
            <w:vAlign w:val="bottom"/>
          </w:tcPr>
          <w:p w:rsidR="00044412" w:rsidRPr="00044412" w:rsidRDefault="00044412" w:rsidP="00044412">
            <w:pPr>
              <w:cnfStyle w:val="000000010000" w:firstRow="0" w:lastRow="0" w:firstColumn="0" w:lastColumn="0" w:oddVBand="0" w:evenVBand="0" w:oddHBand="0" w:evenHBand="1" w:firstRowFirstColumn="0" w:firstRowLastColumn="0" w:lastRowFirstColumn="0" w:lastRowLastColumn="0"/>
            </w:pPr>
            <w:r w:rsidRPr="00AE31B5">
              <w:t>28</w:t>
            </w:r>
            <w:r w:rsidRPr="00044412">
              <w:t>39</w:t>
            </w:r>
          </w:p>
        </w:tc>
      </w:tr>
      <w:tr w:rsidR="00044412" w:rsidRPr="00AE31B5" w:rsidTr="00044412">
        <w:tc>
          <w:tcPr>
            <w:cnfStyle w:val="001000000000" w:firstRow="0" w:lastRow="0" w:firstColumn="1" w:lastColumn="0" w:oddVBand="0" w:evenVBand="0" w:oddHBand="0" w:evenHBand="0" w:firstRowFirstColumn="0" w:firstRowLastColumn="0" w:lastRowFirstColumn="0" w:lastRowLastColumn="0"/>
            <w:tcW w:w="2235" w:type="dxa"/>
          </w:tcPr>
          <w:p w:rsidR="00044412" w:rsidRPr="00044412" w:rsidRDefault="00044412" w:rsidP="00044412">
            <w:r w:rsidRPr="00AE31B5">
              <w:t>Annual change</w:t>
            </w:r>
            <w:r w:rsidRPr="00044412">
              <w:rPr>
                <w:rStyle w:val="AERsuperscript"/>
              </w:rPr>
              <w:t>c</w:t>
            </w:r>
          </w:p>
        </w:tc>
        <w:tc>
          <w:tcPr>
            <w:tcW w:w="850" w:type="dxa"/>
            <w:vAlign w:val="bottom"/>
          </w:tcPr>
          <w:p w:rsidR="00044412" w:rsidRPr="00AE31B5" w:rsidRDefault="00044412" w:rsidP="00044412">
            <w:pPr>
              <w:cnfStyle w:val="000000000000" w:firstRow="0" w:lastRow="0" w:firstColumn="0" w:lastColumn="0" w:oddVBand="0" w:evenVBand="0" w:oddHBand="0" w:evenHBand="0" w:firstRowFirstColumn="0" w:firstRowLastColumn="0" w:lastRowFirstColumn="0" w:lastRowLastColumn="0"/>
            </w:pPr>
          </w:p>
        </w:tc>
        <w:tc>
          <w:tcPr>
            <w:tcW w:w="1121" w:type="dxa"/>
            <w:vAlign w:val="bottom"/>
          </w:tcPr>
          <w:p w:rsidR="00044412" w:rsidRPr="00044412" w:rsidRDefault="00044412" w:rsidP="00044412">
            <w:pPr>
              <w:cnfStyle w:val="000000000000" w:firstRow="0" w:lastRow="0" w:firstColumn="0" w:lastColumn="0" w:oddVBand="0" w:evenVBand="0" w:oddHBand="0" w:evenHBand="0" w:firstRowFirstColumn="0" w:firstRowLastColumn="0" w:lastRowFirstColumn="0" w:lastRowLastColumn="0"/>
            </w:pPr>
            <w:r>
              <w:t>–51 (–</w:t>
            </w:r>
            <w:r w:rsidRPr="00044412">
              <w:t>1.7%)</w:t>
            </w:r>
          </w:p>
        </w:tc>
        <w:tc>
          <w:tcPr>
            <w:tcW w:w="1122" w:type="dxa"/>
            <w:vAlign w:val="bottom"/>
          </w:tcPr>
          <w:p w:rsidR="00044412" w:rsidRPr="00044412" w:rsidRDefault="00044412" w:rsidP="00044412">
            <w:pPr>
              <w:cnfStyle w:val="000000000000" w:firstRow="0" w:lastRow="0" w:firstColumn="0" w:lastColumn="0" w:oddVBand="0" w:evenVBand="0" w:oddHBand="0" w:evenHBand="0" w:firstRowFirstColumn="0" w:firstRowLastColumn="0" w:lastRowFirstColumn="0" w:lastRowLastColumn="0"/>
            </w:pPr>
            <w:r>
              <w:t>–</w:t>
            </w:r>
            <w:r w:rsidRPr="00044412">
              <w:t>36 (–1.2%)</w:t>
            </w:r>
          </w:p>
        </w:tc>
        <w:tc>
          <w:tcPr>
            <w:tcW w:w="1121" w:type="dxa"/>
            <w:vAlign w:val="bottom"/>
          </w:tcPr>
          <w:p w:rsidR="00044412" w:rsidRPr="00044412" w:rsidRDefault="00044412" w:rsidP="00044412">
            <w:pPr>
              <w:cnfStyle w:val="000000000000" w:firstRow="0" w:lastRow="0" w:firstColumn="0" w:lastColumn="0" w:oddVBand="0" w:evenVBand="0" w:oddHBand="0" w:evenHBand="0" w:firstRowFirstColumn="0" w:firstRowLastColumn="0" w:lastRowFirstColumn="0" w:lastRowLastColumn="0"/>
            </w:pPr>
            <w:r>
              <w:t>–</w:t>
            </w:r>
            <w:r w:rsidRPr="00044412">
              <w:t>44 (–1.5%)</w:t>
            </w:r>
          </w:p>
        </w:tc>
        <w:tc>
          <w:tcPr>
            <w:tcW w:w="1122" w:type="dxa"/>
            <w:vAlign w:val="bottom"/>
          </w:tcPr>
          <w:p w:rsidR="00044412" w:rsidRPr="00044412" w:rsidRDefault="00044412" w:rsidP="00044412">
            <w:pPr>
              <w:cnfStyle w:val="000000000000" w:firstRow="0" w:lastRow="0" w:firstColumn="0" w:lastColumn="0" w:oddVBand="0" w:evenVBand="0" w:oddHBand="0" w:evenHBand="0" w:firstRowFirstColumn="0" w:firstRowLastColumn="0" w:lastRowFirstColumn="0" w:lastRowLastColumn="0"/>
            </w:pPr>
            <w:r>
              <w:t>–</w:t>
            </w:r>
            <w:r w:rsidRPr="00044412">
              <w:t>36 (–1.2%)</w:t>
            </w:r>
          </w:p>
        </w:tc>
        <w:tc>
          <w:tcPr>
            <w:tcW w:w="1122" w:type="dxa"/>
            <w:vAlign w:val="bottom"/>
          </w:tcPr>
          <w:p w:rsidR="00044412" w:rsidRPr="00044412" w:rsidRDefault="00044412" w:rsidP="00044412">
            <w:pPr>
              <w:cnfStyle w:val="000000000000" w:firstRow="0" w:lastRow="0" w:firstColumn="0" w:lastColumn="0" w:oddVBand="0" w:evenVBand="0" w:oddHBand="0" w:evenHBand="0" w:firstRowFirstColumn="0" w:firstRowLastColumn="0" w:lastRowFirstColumn="0" w:lastRowLastColumn="0"/>
            </w:pPr>
            <w:r>
              <w:t>–30 (–</w:t>
            </w:r>
            <w:r w:rsidRPr="00044412">
              <w:t>1.0%)</w:t>
            </w:r>
          </w:p>
        </w:tc>
      </w:tr>
      <w:tr w:rsidR="007B3355" w:rsidTr="00D276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7"/>
          </w:tcPr>
          <w:p w:rsidR="007B3355" w:rsidRPr="007B3355" w:rsidRDefault="007B3355" w:rsidP="007B3355">
            <w:r w:rsidRPr="00DE5EE5">
              <w:rPr>
                <w:rStyle w:val="Strong"/>
              </w:rPr>
              <w:t>Ene</w:t>
            </w:r>
            <w:r w:rsidRPr="007B3355">
              <w:rPr>
                <w:rStyle w:val="Strong"/>
              </w:rPr>
              <w:t xml:space="preserve">rgex </w:t>
            </w:r>
            <w:r w:rsidR="00BD6A5B">
              <w:rPr>
                <w:rStyle w:val="Strong"/>
              </w:rPr>
              <w:t xml:space="preserve">revised </w:t>
            </w:r>
            <w:r w:rsidRPr="007B3355">
              <w:rPr>
                <w:rStyle w:val="Strong"/>
              </w:rPr>
              <w:t>proposal</w:t>
            </w:r>
          </w:p>
        </w:tc>
      </w:tr>
      <w:tr w:rsidR="00AE31B5" w:rsidTr="00AE31B5">
        <w:tc>
          <w:tcPr>
            <w:cnfStyle w:val="001000000000" w:firstRow="0" w:lastRow="0" w:firstColumn="1" w:lastColumn="0" w:oddVBand="0" w:evenVBand="0" w:oddHBand="0" w:evenHBand="0" w:firstRowFirstColumn="0" w:firstRowLastColumn="0" w:lastRowFirstColumn="0" w:lastRowLastColumn="0"/>
            <w:tcW w:w="2235" w:type="dxa"/>
          </w:tcPr>
          <w:p w:rsidR="00AE31B5" w:rsidRPr="00AE31B5" w:rsidRDefault="00AE31B5" w:rsidP="00AE31B5">
            <w:r w:rsidRPr="00AE31B5">
              <w:t>Residential annual bill</w:t>
            </w:r>
            <w:r w:rsidRPr="00AE31B5">
              <w:rPr>
                <w:rStyle w:val="AERsuperscript"/>
              </w:rPr>
              <w:t>a</w:t>
            </w:r>
          </w:p>
        </w:tc>
        <w:tc>
          <w:tcPr>
            <w:tcW w:w="850" w:type="dxa"/>
            <w:vAlign w:val="bottom"/>
          </w:tcPr>
          <w:p w:rsidR="00AE31B5" w:rsidRPr="00AE31B5" w:rsidRDefault="00AE31B5" w:rsidP="00AE31B5">
            <w:pPr>
              <w:cnfStyle w:val="000000000000" w:firstRow="0" w:lastRow="0" w:firstColumn="0" w:lastColumn="0" w:oddVBand="0" w:evenVBand="0" w:oddHBand="0" w:evenHBand="0" w:firstRowFirstColumn="0" w:firstRowLastColumn="0" w:lastRowFirstColumn="0" w:lastRowLastColumn="0"/>
            </w:pPr>
            <w:r w:rsidRPr="00AE31B5">
              <w:t>1470</w:t>
            </w:r>
          </w:p>
        </w:tc>
        <w:tc>
          <w:tcPr>
            <w:tcW w:w="1121" w:type="dxa"/>
            <w:vAlign w:val="bottom"/>
          </w:tcPr>
          <w:p w:rsidR="00AE31B5" w:rsidRPr="00AE31B5" w:rsidRDefault="00AE31B5" w:rsidP="00AE31B5">
            <w:pPr>
              <w:cnfStyle w:val="000000000000" w:firstRow="0" w:lastRow="0" w:firstColumn="0" w:lastColumn="0" w:oddVBand="0" w:evenVBand="0" w:oddHBand="0" w:evenHBand="0" w:firstRowFirstColumn="0" w:firstRowLastColumn="0" w:lastRowFirstColumn="0" w:lastRowLastColumn="0"/>
            </w:pPr>
            <w:r w:rsidRPr="00AE31B5">
              <w:t>1445</w:t>
            </w:r>
          </w:p>
        </w:tc>
        <w:tc>
          <w:tcPr>
            <w:tcW w:w="1122" w:type="dxa"/>
            <w:vAlign w:val="bottom"/>
          </w:tcPr>
          <w:p w:rsidR="00AE31B5" w:rsidRPr="00AE31B5" w:rsidRDefault="00AE31B5" w:rsidP="00AE31B5">
            <w:pPr>
              <w:cnfStyle w:val="000000000000" w:firstRow="0" w:lastRow="0" w:firstColumn="0" w:lastColumn="0" w:oddVBand="0" w:evenVBand="0" w:oddHBand="0" w:evenHBand="0" w:firstRowFirstColumn="0" w:firstRowLastColumn="0" w:lastRowFirstColumn="0" w:lastRowLastColumn="0"/>
            </w:pPr>
            <w:r w:rsidRPr="00AE31B5">
              <w:t>1473</w:t>
            </w:r>
          </w:p>
        </w:tc>
        <w:tc>
          <w:tcPr>
            <w:tcW w:w="1121" w:type="dxa"/>
            <w:vAlign w:val="bottom"/>
          </w:tcPr>
          <w:p w:rsidR="00AE31B5" w:rsidRPr="00AE31B5" w:rsidRDefault="00AE31B5" w:rsidP="00AE31B5">
            <w:pPr>
              <w:cnfStyle w:val="000000000000" w:firstRow="0" w:lastRow="0" w:firstColumn="0" w:lastColumn="0" w:oddVBand="0" w:evenVBand="0" w:oddHBand="0" w:evenHBand="0" w:firstRowFirstColumn="0" w:firstRowLastColumn="0" w:lastRowFirstColumn="0" w:lastRowLastColumn="0"/>
            </w:pPr>
            <w:r w:rsidRPr="00AE31B5">
              <w:t>1496</w:t>
            </w:r>
          </w:p>
        </w:tc>
        <w:tc>
          <w:tcPr>
            <w:tcW w:w="1122" w:type="dxa"/>
            <w:vAlign w:val="bottom"/>
          </w:tcPr>
          <w:p w:rsidR="00AE31B5" w:rsidRPr="00AE31B5" w:rsidRDefault="00AE31B5" w:rsidP="00AE31B5">
            <w:pPr>
              <w:cnfStyle w:val="000000000000" w:firstRow="0" w:lastRow="0" w:firstColumn="0" w:lastColumn="0" w:oddVBand="0" w:evenVBand="0" w:oddHBand="0" w:evenHBand="0" w:firstRowFirstColumn="0" w:firstRowLastColumn="0" w:lastRowFirstColumn="0" w:lastRowLastColumn="0"/>
            </w:pPr>
            <w:r w:rsidRPr="00AE31B5">
              <w:t>1518</w:t>
            </w:r>
          </w:p>
        </w:tc>
        <w:tc>
          <w:tcPr>
            <w:tcW w:w="1122" w:type="dxa"/>
            <w:vAlign w:val="bottom"/>
          </w:tcPr>
          <w:p w:rsidR="00AE31B5" w:rsidRPr="00AE31B5" w:rsidRDefault="00AE31B5" w:rsidP="00AE31B5">
            <w:pPr>
              <w:cnfStyle w:val="000000000000" w:firstRow="0" w:lastRow="0" w:firstColumn="0" w:lastColumn="0" w:oddVBand="0" w:evenVBand="0" w:oddHBand="0" w:evenHBand="0" w:firstRowFirstColumn="0" w:firstRowLastColumn="0" w:lastRowFirstColumn="0" w:lastRowLastColumn="0"/>
            </w:pPr>
            <w:r w:rsidRPr="00AE31B5">
              <w:t>1539</w:t>
            </w:r>
          </w:p>
        </w:tc>
      </w:tr>
      <w:tr w:rsidR="00AE31B5" w:rsidTr="00AE3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E31B5" w:rsidRPr="00AE31B5" w:rsidRDefault="00AE31B5" w:rsidP="00AE31B5">
            <w:r w:rsidRPr="00AE31B5">
              <w:t>Annual change</w:t>
            </w:r>
            <w:r w:rsidR="009E494C" w:rsidRPr="00851357">
              <w:rPr>
                <w:rStyle w:val="AERsuperscript"/>
              </w:rPr>
              <w:t>c</w:t>
            </w:r>
          </w:p>
        </w:tc>
        <w:tc>
          <w:tcPr>
            <w:tcW w:w="850" w:type="dxa"/>
            <w:vAlign w:val="bottom"/>
          </w:tcPr>
          <w:p w:rsidR="00AE31B5" w:rsidRPr="00AE31B5" w:rsidRDefault="00AE31B5" w:rsidP="00AE31B5">
            <w:pPr>
              <w:cnfStyle w:val="000000010000" w:firstRow="0" w:lastRow="0" w:firstColumn="0" w:lastColumn="0" w:oddVBand="0" w:evenVBand="0" w:oddHBand="0" w:evenHBand="1" w:firstRowFirstColumn="0" w:firstRowLastColumn="0" w:lastRowFirstColumn="0" w:lastRowLastColumn="0"/>
            </w:pPr>
          </w:p>
        </w:tc>
        <w:tc>
          <w:tcPr>
            <w:tcW w:w="1121" w:type="dxa"/>
            <w:vAlign w:val="bottom"/>
          </w:tcPr>
          <w:p w:rsidR="00AE31B5" w:rsidRPr="00AE31B5" w:rsidRDefault="00AE31B5" w:rsidP="00AE31B5">
            <w:pPr>
              <w:cnfStyle w:val="000000010000" w:firstRow="0" w:lastRow="0" w:firstColumn="0" w:lastColumn="0" w:oddVBand="0" w:evenVBand="0" w:oddHBand="0" w:evenHBand="1" w:firstRowFirstColumn="0" w:firstRowLastColumn="0" w:lastRowFirstColumn="0" w:lastRowLastColumn="0"/>
            </w:pPr>
            <w:r>
              <w:t>–</w:t>
            </w:r>
            <w:r w:rsidRPr="00AE31B5">
              <w:t>25 (</w:t>
            </w:r>
            <w:r>
              <w:t>–</w:t>
            </w:r>
            <w:r w:rsidRPr="00AE31B5">
              <w:t>1.7%)</w:t>
            </w:r>
          </w:p>
        </w:tc>
        <w:tc>
          <w:tcPr>
            <w:tcW w:w="1122" w:type="dxa"/>
            <w:vAlign w:val="bottom"/>
          </w:tcPr>
          <w:p w:rsidR="00AE31B5" w:rsidRPr="00AE31B5" w:rsidRDefault="00AE31B5" w:rsidP="00AE31B5">
            <w:pPr>
              <w:cnfStyle w:val="000000010000" w:firstRow="0" w:lastRow="0" w:firstColumn="0" w:lastColumn="0" w:oddVBand="0" w:evenVBand="0" w:oddHBand="0" w:evenHBand="1" w:firstRowFirstColumn="0" w:firstRowLastColumn="0" w:lastRowFirstColumn="0" w:lastRowLastColumn="0"/>
            </w:pPr>
            <w:r w:rsidRPr="00AE31B5">
              <w:t>28 (1.9%)</w:t>
            </w:r>
          </w:p>
        </w:tc>
        <w:tc>
          <w:tcPr>
            <w:tcW w:w="1121" w:type="dxa"/>
            <w:vAlign w:val="bottom"/>
          </w:tcPr>
          <w:p w:rsidR="00AE31B5" w:rsidRPr="00AE31B5" w:rsidRDefault="00AE31B5" w:rsidP="00AE31B5">
            <w:pPr>
              <w:cnfStyle w:val="000000010000" w:firstRow="0" w:lastRow="0" w:firstColumn="0" w:lastColumn="0" w:oddVBand="0" w:evenVBand="0" w:oddHBand="0" w:evenHBand="1" w:firstRowFirstColumn="0" w:firstRowLastColumn="0" w:lastRowFirstColumn="0" w:lastRowLastColumn="0"/>
            </w:pPr>
            <w:r w:rsidRPr="00AE31B5">
              <w:t>23 (1.6%)</w:t>
            </w:r>
          </w:p>
        </w:tc>
        <w:tc>
          <w:tcPr>
            <w:tcW w:w="1122" w:type="dxa"/>
            <w:vAlign w:val="bottom"/>
          </w:tcPr>
          <w:p w:rsidR="00AE31B5" w:rsidRPr="00AE31B5" w:rsidRDefault="00AE31B5" w:rsidP="00AE31B5">
            <w:pPr>
              <w:cnfStyle w:val="000000010000" w:firstRow="0" w:lastRow="0" w:firstColumn="0" w:lastColumn="0" w:oddVBand="0" w:evenVBand="0" w:oddHBand="0" w:evenHBand="1" w:firstRowFirstColumn="0" w:firstRowLastColumn="0" w:lastRowFirstColumn="0" w:lastRowLastColumn="0"/>
            </w:pPr>
            <w:r w:rsidRPr="00AE31B5">
              <w:t>23 (1.5%)</w:t>
            </w:r>
          </w:p>
        </w:tc>
        <w:tc>
          <w:tcPr>
            <w:tcW w:w="1122" w:type="dxa"/>
            <w:vAlign w:val="bottom"/>
          </w:tcPr>
          <w:p w:rsidR="00AE31B5" w:rsidRPr="00AE31B5" w:rsidRDefault="00AE31B5" w:rsidP="00AE31B5">
            <w:pPr>
              <w:cnfStyle w:val="000000010000" w:firstRow="0" w:lastRow="0" w:firstColumn="0" w:lastColumn="0" w:oddVBand="0" w:evenVBand="0" w:oddHBand="0" w:evenHBand="1" w:firstRowFirstColumn="0" w:firstRowLastColumn="0" w:lastRowFirstColumn="0" w:lastRowLastColumn="0"/>
            </w:pPr>
            <w:r w:rsidRPr="00AE31B5">
              <w:t>21 (1.4%)</w:t>
            </w:r>
          </w:p>
        </w:tc>
      </w:tr>
      <w:tr w:rsidR="00AE31B5" w:rsidTr="00AE31B5">
        <w:tc>
          <w:tcPr>
            <w:cnfStyle w:val="001000000000" w:firstRow="0" w:lastRow="0" w:firstColumn="1" w:lastColumn="0" w:oddVBand="0" w:evenVBand="0" w:oddHBand="0" w:evenHBand="0" w:firstRowFirstColumn="0" w:firstRowLastColumn="0" w:lastRowFirstColumn="0" w:lastRowLastColumn="0"/>
            <w:tcW w:w="2235" w:type="dxa"/>
          </w:tcPr>
          <w:p w:rsidR="00AE31B5" w:rsidRPr="00AE31B5" w:rsidRDefault="00AE31B5" w:rsidP="00AE31B5">
            <w:r w:rsidRPr="00AE31B5">
              <w:t>Small business annual bill</w:t>
            </w:r>
            <w:r w:rsidRPr="00AE31B5">
              <w:rPr>
                <w:rStyle w:val="AERsuperscript"/>
              </w:rPr>
              <w:t>b</w:t>
            </w:r>
          </w:p>
        </w:tc>
        <w:tc>
          <w:tcPr>
            <w:tcW w:w="850" w:type="dxa"/>
            <w:vAlign w:val="bottom"/>
          </w:tcPr>
          <w:p w:rsidR="00AE31B5" w:rsidRPr="00AE31B5" w:rsidRDefault="00AE31B5" w:rsidP="00AE31B5">
            <w:pPr>
              <w:cnfStyle w:val="000000000000" w:firstRow="0" w:lastRow="0" w:firstColumn="0" w:lastColumn="0" w:oddVBand="0" w:evenVBand="0" w:oddHBand="0" w:evenHBand="0" w:firstRowFirstColumn="0" w:firstRowLastColumn="0" w:lastRowFirstColumn="0" w:lastRowLastColumn="0"/>
            </w:pPr>
            <w:r w:rsidRPr="00AE31B5">
              <w:t>3036</w:t>
            </w:r>
          </w:p>
        </w:tc>
        <w:tc>
          <w:tcPr>
            <w:tcW w:w="1121" w:type="dxa"/>
            <w:vAlign w:val="bottom"/>
          </w:tcPr>
          <w:p w:rsidR="00AE31B5" w:rsidRPr="00AE31B5" w:rsidRDefault="00AE31B5" w:rsidP="00AE31B5">
            <w:pPr>
              <w:cnfStyle w:val="000000000000" w:firstRow="0" w:lastRow="0" w:firstColumn="0" w:lastColumn="0" w:oddVBand="0" w:evenVBand="0" w:oddHBand="0" w:evenHBand="0" w:firstRowFirstColumn="0" w:firstRowLastColumn="0" w:lastRowFirstColumn="0" w:lastRowLastColumn="0"/>
            </w:pPr>
            <w:r w:rsidRPr="00AE31B5">
              <w:t>2985</w:t>
            </w:r>
          </w:p>
        </w:tc>
        <w:tc>
          <w:tcPr>
            <w:tcW w:w="1122" w:type="dxa"/>
            <w:vAlign w:val="bottom"/>
          </w:tcPr>
          <w:p w:rsidR="00AE31B5" w:rsidRPr="00AE31B5" w:rsidRDefault="00AE31B5" w:rsidP="00AE31B5">
            <w:pPr>
              <w:cnfStyle w:val="000000000000" w:firstRow="0" w:lastRow="0" w:firstColumn="0" w:lastColumn="0" w:oddVBand="0" w:evenVBand="0" w:oddHBand="0" w:evenHBand="0" w:firstRowFirstColumn="0" w:firstRowLastColumn="0" w:lastRowFirstColumn="0" w:lastRowLastColumn="0"/>
            </w:pPr>
            <w:r w:rsidRPr="00AE31B5">
              <w:t>3042</w:t>
            </w:r>
          </w:p>
        </w:tc>
        <w:tc>
          <w:tcPr>
            <w:tcW w:w="1121" w:type="dxa"/>
            <w:vAlign w:val="bottom"/>
          </w:tcPr>
          <w:p w:rsidR="00AE31B5" w:rsidRPr="00AE31B5" w:rsidRDefault="00AE31B5" w:rsidP="00AE31B5">
            <w:pPr>
              <w:cnfStyle w:val="000000000000" w:firstRow="0" w:lastRow="0" w:firstColumn="0" w:lastColumn="0" w:oddVBand="0" w:evenVBand="0" w:oddHBand="0" w:evenHBand="0" w:firstRowFirstColumn="0" w:firstRowLastColumn="0" w:lastRowFirstColumn="0" w:lastRowLastColumn="0"/>
            </w:pPr>
            <w:r w:rsidRPr="00AE31B5">
              <w:t>3089</w:t>
            </w:r>
          </w:p>
        </w:tc>
        <w:tc>
          <w:tcPr>
            <w:tcW w:w="1122" w:type="dxa"/>
            <w:vAlign w:val="bottom"/>
          </w:tcPr>
          <w:p w:rsidR="00AE31B5" w:rsidRPr="00AE31B5" w:rsidRDefault="00AE31B5" w:rsidP="00AE31B5">
            <w:pPr>
              <w:cnfStyle w:val="000000000000" w:firstRow="0" w:lastRow="0" w:firstColumn="0" w:lastColumn="0" w:oddVBand="0" w:evenVBand="0" w:oddHBand="0" w:evenHBand="0" w:firstRowFirstColumn="0" w:firstRowLastColumn="0" w:lastRowFirstColumn="0" w:lastRowLastColumn="0"/>
            </w:pPr>
            <w:r w:rsidRPr="00AE31B5">
              <w:t>3136</w:t>
            </w:r>
          </w:p>
        </w:tc>
        <w:tc>
          <w:tcPr>
            <w:tcW w:w="1122" w:type="dxa"/>
            <w:vAlign w:val="bottom"/>
          </w:tcPr>
          <w:p w:rsidR="00AE31B5" w:rsidRPr="00AE31B5" w:rsidRDefault="00AE31B5" w:rsidP="00AE31B5">
            <w:pPr>
              <w:cnfStyle w:val="000000000000" w:firstRow="0" w:lastRow="0" w:firstColumn="0" w:lastColumn="0" w:oddVBand="0" w:evenVBand="0" w:oddHBand="0" w:evenHBand="0" w:firstRowFirstColumn="0" w:firstRowLastColumn="0" w:lastRowFirstColumn="0" w:lastRowLastColumn="0"/>
            </w:pPr>
            <w:r w:rsidRPr="00AE31B5">
              <w:t>3178</w:t>
            </w:r>
          </w:p>
        </w:tc>
      </w:tr>
      <w:tr w:rsidR="00AE31B5" w:rsidTr="00AE3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E31B5" w:rsidRPr="00AE31B5" w:rsidRDefault="00AE31B5" w:rsidP="00AE31B5">
            <w:r w:rsidRPr="00AE31B5">
              <w:t>Annual change</w:t>
            </w:r>
            <w:r w:rsidR="009E494C" w:rsidRPr="00851357">
              <w:rPr>
                <w:rStyle w:val="AERsuperscript"/>
              </w:rPr>
              <w:t>c</w:t>
            </w:r>
          </w:p>
        </w:tc>
        <w:tc>
          <w:tcPr>
            <w:tcW w:w="850" w:type="dxa"/>
            <w:vAlign w:val="bottom"/>
          </w:tcPr>
          <w:p w:rsidR="00AE31B5" w:rsidRPr="00AE31B5" w:rsidRDefault="00AE31B5" w:rsidP="00AE31B5">
            <w:pPr>
              <w:cnfStyle w:val="000000010000" w:firstRow="0" w:lastRow="0" w:firstColumn="0" w:lastColumn="0" w:oddVBand="0" w:evenVBand="0" w:oddHBand="0" w:evenHBand="1" w:firstRowFirstColumn="0" w:firstRowLastColumn="0" w:lastRowFirstColumn="0" w:lastRowLastColumn="0"/>
            </w:pPr>
          </w:p>
        </w:tc>
        <w:tc>
          <w:tcPr>
            <w:tcW w:w="1121" w:type="dxa"/>
            <w:vAlign w:val="bottom"/>
          </w:tcPr>
          <w:p w:rsidR="00AE31B5" w:rsidRPr="00AE31B5" w:rsidRDefault="00AE31B5" w:rsidP="00AE31B5">
            <w:pPr>
              <w:cnfStyle w:val="000000010000" w:firstRow="0" w:lastRow="0" w:firstColumn="0" w:lastColumn="0" w:oddVBand="0" w:evenVBand="0" w:oddHBand="0" w:evenHBand="1" w:firstRowFirstColumn="0" w:firstRowLastColumn="0" w:lastRowFirstColumn="0" w:lastRowLastColumn="0"/>
            </w:pPr>
            <w:r>
              <w:t>–51 (–</w:t>
            </w:r>
            <w:r w:rsidRPr="00AE31B5">
              <w:t>1.7%)</w:t>
            </w:r>
          </w:p>
        </w:tc>
        <w:tc>
          <w:tcPr>
            <w:tcW w:w="1122" w:type="dxa"/>
            <w:vAlign w:val="bottom"/>
          </w:tcPr>
          <w:p w:rsidR="00AE31B5" w:rsidRPr="00AE31B5" w:rsidRDefault="00AE31B5" w:rsidP="00AE31B5">
            <w:pPr>
              <w:cnfStyle w:val="000000010000" w:firstRow="0" w:lastRow="0" w:firstColumn="0" w:lastColumn="0" w:oddVBand="0" w:evenVBand="0" w:oddHBand="0" w:evenHBand="1" w:firstRowFirstColumn="0" w:firstRowLastColumn="0" w:lastRowFirstColumn="0" w:lastRowLastColumn="0"/>
            </w:pPr>
            <w:r w:rsidRPr="00AE31B5">
              <w:t>57 (1.9%)</w:t>
            </w:r>
          </w:p>
        </w:tc>
        <w:tc>
          <w:tcPr>
            <w:tcW w:w="1121" w:type="dxa"/>
            <w:vAlign w:val="bottom"/>
          </w:tcPr>
          <w:p w:rsidR="00AE31B5" w:rsidRPr="00AE31B5" w:rsidRDefault="00AE31B5" w:rsidP="00AE31B5">
            <w:pPr>
              <w:cnfStyle w:val="000000010000" w:firstRow="0" w:lastRow="0" w:firstColumn="0" w:lastColumn="0" w:oddVBand="0" w:evenVBand="0" w:oddHBand="0" w:evenHBand="1" w:firstRowFirstColumn="0" w:firstRowLastColumn="0" w:lastRowFirstColumn="0" w:lastRowLastColumn="0"/>
            </w:pPr>
            <w:r w:rsidRPr="00AE31B5">
              <w:t>47 (1.6%)</w:t>
            </w:r>
          </w:p>
        </w:tc>
        <w:tc>
          <w:tcPr>
            <w:tcW w:w="1122" w:type="dxa"/>
            <w:vAlign w:val="bottom"/>
          </w:tcPr>
          <w:p w:rsidR="00AE31B5" w:rsidRPr="00AE31B5" w:rsidRDefault="00AE31B5" w:rsidP="00AE31B5">
            <w:pPr>
              <w:cnfStyle w:val="000000010000" w:firstRow="0" w:lastRow="0" w:firstColumn="0" w:lastColumn="0" w:oddVBand="0" w:evenVBand="0" w:oddHBand="0" w:evenHBand="1" w:firstRowFirstColumn="0" w:firstRowLastColumn="0" w:lastRowFirstColumn="0" w:lastRowLastColumn="0"/>
            </w:pPr>
            <w:r w:rsidRPr="00AE31B5">
              <w:t>47 (1.5%)</w:t>
            </w:r>
          </w:p>
        </w:tc>
        <w:tc>
          <w:tcPr>
            <w:tcW w:w="1122" w:type="dxa"/>
            <w:vAlign w:val="bottom"/>
          </w:tcPr>
          <w:p w:rsidR="00AE31B5" w:rsidRPr="00AE31B5" w:rsidRDefault="00AE31B5" w:rsidP="00AE31B5">
            <w:pPr>
              <w:cnfStyle w:val="000000010000" w:firstRow="0" w:lastRow="0" w:firstColumn="0" w:lastColumn="0" w:oddVBand="0" w:evenVBand="0" w:oddHBand="0" w:evenHBand="1" w:firstRowFirstColumn="0" w:firstRowLastColumn="0" w:lastRowFirstColumn="0" w:lastRowLastColumn="0"/>
            </w:pPr>
            <w:r w:rsidRPr="00AE31B5">
              <w:t>43 (1.4%)</w:t>
            </w:r>
          </w:p>
        </w:tc>
      </w:tr>
    </w:tbl>
    <w:p w:rsidR="007B3355" w:rsidRPr="00A14FB0" w:rsidRDefault="007B3355" w:rsidP="007B3355">
      <w:pPr>
        <w:pStyle w:val="AERtablesource"/>
      </w:pPr>
      <w:r>
        <w:t xml:space="preserve">Source: </w:t>
      </w:r>
      <w:r>
        <w:tab/>
      </w:r>
      <w:r w:rsidRPr="00A14FB0">
        <w:t xml:space="preserve">AER analysis; </w:t>
      </w:r>
      <w:r w:rsidR="00AE31B5">
        <w:t>Energy Made Easy</w:t>
      </w:r>
      <w:r w:rsidRPr="00A14FB0">
        <w:t xml:space="preserve">, </w:t>
      </w:r>
      <w:hyperlink r:id="rId19" w:history="1">
        <w:r w:rsidR="00AE31B5" w:rsidRPr="00B235F0">
          <w:rPr>
            <w:rStyle w:val="Hyperlink"/>
            <w:sz w:val="16"/>
          </w:rPr>
          <w:t>www.energymadeeasy.gov.au</w:t>
        </w:r>
      </w:hyperlink>
      <w:r w:rsidRPr="00A14FB0">
        <w:t xml:space="preserve">; QCA, </w:t>
      </w:r>
      <w:r w:rsidRPr="00D941D2">
        <w:rPr>
          <w:rStyle w:val="AERtextitalic"/>
        </w:rPr>
        <w:t>Final determination, Regulated retail electricity prices 2014–15</w:t>
      </w:r>
      <w:r w:rsidRPr="00A14FB0">
        <w:t>, May 2014, p.</w:t>
      </w:r>
      <w:r>
        <w:t xml:space="preserve"> </w:t>
      </w:r>
      <w:r w:rsidRPr="00A14FB0">
        <w:t>4.</w:t>
      </w:r>
    </w:p>
    <w:p w:rsidR="007B3355" w:rsidRPr="00A14FB0" w:rsidRDefault="007B3355" w:rsidP="007B3355">
      <w:pPr>
        <w:pStyle w:val="AERtablesource"/>
      </w:pPr>
      <w:r w:rsidRPr="00A14FB0">
        <w:t>(a)</w:t>
      </w:r>
      <w:r w:rsidRPr="00A14FB0">
        <w:tab/>
        <w:t xml:space="preserve">Based on </w:t>
      </w:r>
      <w:r w:rsidR="00AE31B5">
        <w:t xml:space="preserve">the </w:t>
      </w:r>
      <w:r w:rsidRPr="00A14FB0">
        <w:t>annual bill for</w:t>
      </w:r>
      <w:r w:rsidR="00AE31B5">
        <w:t xml:space="preserve"> a</w:t>
      </w:r>
      <w:r w:rsidRPr="00A14FB0">
        <w:t xml:space="preserve"> typical consumption of 4100</w:t>
      </w:r>
      <w:r>
        <w:t xml:space="preserve"> k</w:t>
      </w:r>
      <w:r w:rsidRPr="00A14FB0">
        <w:t>Wh per year during the period 1 July 201</w:t>
      </w:r>
      <w:r>
        <w:t>4 to 30 June 2015</w:t>
      </w:r>
      <w:r w:rsidRPr="00A14FB0">
        <w:t>.</w:t>
      </w:r>
    </w:p>
    <w:p w:rsidR="007B3355" w:rsidRDefault="007B3355" w:rsidP="007B3355">
      <w:pPr>
        <w:pStyle w:val="AERtablesource"/>
      </w:pPr>
      <w:r w:rsidRPr="00A14FB0">
        <w:t>(b)</w:t>
      </w:r>
      <w:r w:rsidRPr="00A14FB0">
        <w:tab/>
        <w:t>Based on the annual bill for a typical consumption of 10000 kWh per ye</w:t>
      </w:r>
      <w:r>
        <w:t>ar during the period 1 July 2014 to 30 June 2015</w:t>
      </w:r>
      <w:r w:rsidRPr="00A14FB0">
        <w:t>.</w:t>
      </w:r>
    </w:p>
    <w:p w:rsidR="009E494C" w:rsidRPr="009E494C" w:rsidRDefault="009E494C" w:rsidP="009E494C">
      <w:pPr>
        <w:pStyle w:val="AERtablesource"/>
      </w:pPr>
      <w:r w:rsidRPr="009E494C">
        <w:t>(c)</w:t>
      </w:r>
      <w:r w:rsidRPr="009E494C">
        <w:tab/>
        <w:t>Annual change amounts and percentages are indicative. They are derived by varying 201</w:t>
      </w:r>
      <w:r w:rsidR="00F80F3F">
        <w:t>4–1</w:t>
      </w:r>
      <w:r w:rsidRPr="009E494C">
        <w:t>5 bill amounts in proportion with total annual regulated revenue divided by forecast demand. Actual bill impacts will vary depending on electricity consumption, tariff class and other variables.</w:t>
      </w:r>
    </w:p>
    <w:p w:rsidR="007B3355" w:rsidRDefault="007B3355" w:rsidP="007B3355">
      <w:r>
        <w:t xml:space="preserve">Within the figures presented above </w:t>
      </w:r>
      <w:r w:rsidR="007B5B7D">
        <w:t>are</w:t>
      </w:r>
      <w:r>
        <w:t xml:space="preserve"> included a number of </w:t>
      </w:r>
      <w:r w:rsidR="007B5B7D">
        <w:t xml:space="preserve">additional revenue </w:t>
      </w:r>
      <w:r>
        <w:t xml:space="preserve">adjustments </w:t>
      </w:r>
      <w:r w:rsidR="007B5B7D">
        <w:t>comprising of</w:t>
      </w:r>
      <w:r w:rsidRPr="004C088B">
        <w:t xml:space="preserve"> forecast costs of the Queensland Solar Bonus Scheme FiT (and under recoveries related to this scheme from the 2010–15 regulatory control period)</w:t>
      </w:r>
      <w:r w:rsidR="007B5B7D">
        <w:t xml:space="preserve"> that Energex will recover over the 2015–20 regulatory control period</w:t>
      </w:r>
      <w:r>
        <w:t>.</w:t>
      </w:r>
      <w:r w:rsidR="00C62A8E">
        <w:rPr>
          <w:rStyle w:val="FootnoteReference"/>
        </w:rPr>
        <w:footnoteReference w:id="21"/>
      </w:r>
      <w:r>
        <w:t xml:space="preserve"> These </w:t>
      </w:r>
      <w:r w:rsidR="00A61682">
        <w:t xml:space="preserve">also </w:t>
      </w:r>
      <w:r>
        <w:t xml:space="preserve">include expected </w:t>
      </w:r>
      <w:r w:rsidR="00250F95">
        <w:t xml:space="preserve">distribution use of system </w:t>
      </w:r>
      <w:r>
        <w:t xml:space="preserve">recoveries in 2013–14 (which will be recovered in 2015–16), expected capital contribution pass throughs in 2015–16 and 2016–17, </w:t>
      </w:r>
      <w:r w:rsidRPr="000412C3">
        <w:t>and</w:t>
      </w:r>
      <w:r>
        <w:t xml:space="preserve"> </w:t>
      </w:r>
      <w:r w:rsidRPr="000412C3">
        <w:t xml:space="preserve">STPIS allowance </w:t>
      </w:r>
      <w:r>
        <w:t>whose recovery was deferred</w:t>
      </w:r>
      <w:r w:rsidR="00ED59B2">
        <w:t xml:space="preserve"> (to be recovered in 2015–16 and 2016–17)</w:t>
      </w:r>
      <w:r>
        <w:t>.</w:t>
      </w:r>
      <w:r w:rsidR="00DA4B7A">
        <w:t xml:space="preserve"> While these costs may not be avoidable, we are able to smooth the amounts to minimise price fluctuations across the rem</w:t>
      </w:r>
      <w:r w:rsidR="00A61682">
        <w:t>a</w:t>
      </w:r>
      <w:r w:rsidR="00DA4B7A">
        <w:t>inder of the regulatory control period</w:t>
      </w:r>
      <w:r>
        <w:t>.</w:t>
      </w:r>
    </w:p>
    <w:p w:rsidR="001B39F5" w:rsidRDefault="001B39F5" w:rsidP="007B3355"/>
    <w:p w:rsidR="00D27650" w:rsidRDefault="00D27650" w:rsidP="0005724F">
      <w:pPr>
        <w:pStyle w:val="Heading2"/>
      </w:pPr>
      <w:bookmarkStart w:id="16" w:name="_Toc433723294"/>
      <w:r>
        <w:t>Key issues raised in revised proposal</w:t>
      </w:r>
      <w:bookmarkEnd w:id="16"/>
    </w:p>
    <w:p w:rsidR="0005724F" w:rsidRDefault="0005724F" w:rsidP="0005724F">
      <w:r>
        <w:t xml:space="preserve">In its revised proposal, Energex raised </w:t>
      </w:r>
      <w:r w:rsidR="004A3051">
        <w:t>three key</w:t>
      </w:r>
      <w:r>
        <w:t xml:space="preserve"> concerns it had with our preliminary </w:t>
      </w:r>
      <w:r w:rsidR="0070010C">
        <w:t>decision</w:t>
      </w:r>
      <w:r>
        <w:t>, including:</w:t>
      </w:r>
    </w:p>
    <w:p w:rsidR="0070010C" w:rsidRPr="0070010C" w:rsidRDefault="0070010C" w:rsidP="00E828F4">
      <w:pPr>
        <w:pStyle w:val="ListNumber"/>
      </w:pPr>
      <w:r>
        <w:t xml:space="preserve">Rate of return </w:t>
      </w:r>
      <w:r>
        <w:rPr>
          <w:rFonts w:cs="Arial"/>
        </w:rPr>
        <w:t>─</w:t>
      </w:r>
      <w:r>
        <w:t xml:space="preserve"> </w:t>
      </w:r>
      <w:r w:rsidRPr="0070010C">
        <w:t>the return on capital in the preliminary decision underprovides for the efficient financing costs of a benchmark effici</w:t>
      </w:r>
      <w:r>
        <w:t>ent entity. Energex submitted that we have failed to have regard to the relevant estimation methods, financial models, market data and other evidence in deciding the allowed rate of return.</w:t>
      </w:r>
      <w:r>
        <w:rPr>
          <w:rStyle w:val="FootnoteReference"/>
        </w:rPr>
        <w:footnoteReference w:id="22"/>
      </w:r>
      <w:r>
        <w:t xml:space="preserve"> </w:t>
      </w:r>
    </w:p>
    <w:p w:rsidR="0070010C" w:rsidRPr="0070010C" w:rsidRDefault="0070010C" w:rsidP="00E828F4">
      <w:pPr>
        <w:pStyle w:val="ListNumber"/>
      </w:pPr>
      <w:r>
        <w:t xml:space="preserve">Imputation credits </w:t>
      </w:r>
      <w:r>
        <w:rPr>
          <w:rFonts w:cs="Arial"/>
        </w:rPr>
        <w:t>─</w:t>
      </w:r>
      <w:r>
        <w:t xml:space="preserve"> </w:t>
      </w:r>
      <w:r w:rsidRPr="0070010C">
        <w:t>the value of imputation credits in the preliminary decision undercompensates Energex for its efficient costs</w:t>
      </w:r>
      <w:r>
        <w:t xml:space="preserve">. Energex submitted that </w:t>
      </w:r>
      <w:r w:rsidRPr="0070010C">
        <w:t xml:space="preserve">in estimating the cost of corporate income tax </w:t>
      </w:r>
      <w:r w:rsidR="008F1BE2">
        <w:t>we had</w:t>
      </w:r>
      <w:r w:rsidRPr="0070010C">
        <w:t xml:space="preserve"> not estimated the value of imputation credits as required by the NER and has failed to have regard to the relevant evidence in the estimation </w:t>
      </w:r>
      <w:r w:rsidR="008F1BE2">
        <w:t xml:space="preserve">we had </w:t>
      </w:r>
      <w:r w:rsidRPr="0070010C">
        <w:t>carried out</w:t>
      </w:r>
      <w:r>
        <w:t>.</w:t>
      </w:r>
      <w:r>
        <w:rPr>
          <w:rStyle w:val="FootnoteReference"/>
        </w:rPr>
        <w:footnoteReference w:id="23"/>
      </w:r>
    </w:p>
    <w:p w:rsidR="0070010C" w:rsidRPr="0070010C" w:rsidRDefault="0070010C" w:rsidP="00E828F4">
      <w:pPr>
        <w:pStyle w:val="ListNumber"/>
      </w:pPr>
      <w:r>
        <w:t xml:space="preserve">Forecast capex </w:t>
      </w:r>
      <w:r>
        <w:rPr>
          <w:rFonts w:cs="Arial"/>
        </w:rPr>
        <w:t>─</w:t>
      </w:r>
      <w:r>
        <w:t xml:space="preserve"> </w:t>
      </w:r>
      <w:r w:rsidRPr="0070010C">
        <w:t xml:space="preserve">the reduction in capex will not allow Energex to recover its reasonable costs and so will prejudice its ability to provide an appropriate level of quality, safety, reliability and security of supply of electricity. </w:t>
      </w:r>
      <w:r>
        <w:t>Energex submitted that our substitute capex does not reasonably reflect the capex criteria.</w:t>
      </w:r>
      <w:r>
        <w:rPr>
          <w:rStyle w:val="FootnoteReference"/>
        </w:rPr>
        <w:footnoteReference w:id="24"/>
      </w:r>
      <w:r>
        <w:t xml:space="preserve"> </w:t>
      </w:r>
    </w:p>
    <w:p w:rsidR="0005724F" w:rsidRDefault="00F6603A" w:rsidP="00D75329">
      <w:r w:rsidRPr="00F6603A">
        <w:t xml:space="preserve">In arriving at this final decision we have considered all the material before us. This includes </w:t>
      </w:r>
      <w:r>
        <w:t>Energex's</w:t>
      </w:r>
      <w:r w:rsidRPr="00F6603A">
        <w:t xml:space="preserve"> revised proposal and stakeholder submissions. We have also reviewed the analysis we made in reaching our preliminary decision in light of the new information we have since received. Further, we have conducted additional analysis where required.  While we have accepted some of the arguments raised by </w:t>
      </w:r>
      <w:r>
        <w:t>Energex, particularly around capex (discussed in attachment 6)</w:t>
      </w:r>
      <w:r w:rsidRPr="00F6603A">
        <w:t>, we do not agree with all of their concerns. While we have departed from our preliminary decision in a few respects, our positions in this final decision are broadly in line with our preliminary decision.</w:t>
      </w:r>
    </w:p>
    <w:p w:rsidR="007B3355" w:rsidRDefault="007B3355" w:rsidP="007B3355">
      <w:pPr>
        <w:pStyle w:val="Heading2"/>
      </w:pPr>
      <w:bookmarkStart w:id="17" w:name="_Toc417973134"/>
      <w:bookmarkStart w:id="18" w:name="_Toc433723295"/>
      <w:r>
        <w:t>Structure of the overview</w:t>
      </w:r>
      <w:bookmarkEnd w:id="17"/>
      <w:bookmarkEnd w:id="18"/>
    </w:p>
    <w:p w:rsidR="007B3355" w:rsidRDefault="00920E0B" w:rsidP="007B3355">
      <w:r>
        <w:t>T</w:t>
      </w:r>
      <w:r w:rsidR="007B3355">
        <w:t xml:space="preserve">his overview </w:t>
      </w:r>
      <w:r>
        <w:t>provides a summary of our final decision and its constituent components and is structured as follows</w:t>
      </w:r>
      <w:r w:rsidR="007B3355">
        <w:t>:</w:t>
      </w:r>
    </w:p>
    <w:p w:rsidR="007B3355" w:rsidRPr="00117925" w:rsidRDefault="007B3355" w:rsidP="007B3355">
      <w:pPr>
        <w:pStyle w:val="AERbulletlistfirststyle"/>
      </w:pPr>
      <w:r w:rsidRPr="00117925">
        <w:t xml:space="preserve">Section </w:t>
      </w:r>
      <w:r w:rsidR="00920E0B">
        <w:t>3</w:t>
      </w:r>
      <w:r w:rsidRPr="00117925">
        <w:t xml:space="preserve"> </w:t>
      </w:r>
      <w:r w:rsidR="00920E0B">
        <w:t xml:space="preserve">provides a break-down of our revenue decision into its key components. </w:t>
      </w:r>
    </w:p>
    <w:p w:rsidR="007B3355" w:rsidRPr="00117925" w:rsidRDefault="007B3355" w:rsidP="007B3355">
      <w:pPr>
        <w:pStyle w:val="AERbulletlistfirststyle"/>
      </w:pPr>
      <w:r w:rsidRPr="00117925">
        <w:t xml:space="preserve">Section </w:t>
      </w:r>
      <w:r w:rsidR="00920E0B">
        <w:t>4</w:t>
      </w:r>
      <w:r w:rsidRPr="00117925">
        <w:t xml:space="preserve"> set</w:t>
      </w:r>
      <w:r w:rsidR="00E25C88">
        <w:t>s</w:t>
      </w:r>
      <w:r w:rsidRPr="00117925">
        <w:t xml:space="preserve"> out our </w:t>
      </w:r>
      <w:r w:rsidR="00E25C88">
        <w:t>final</w:t>
      </w:r>
      <w:r w:rsidRPr="00117925">
        <w:t xml:space="preserve"> decision on classification of services, control mechanisms and incentive schemes</w:t>
      </w:r>
      <w:r>
        <w:t xml:space="preserve"> that will apply to Energex</w:t>
      </w:r>
      <w:r w:rsidR="00920E0B">
        <w:t>. These are decisions we make in addition to the building block revenue determination.</w:t>
      </w:r>
    </w:p>
    <w:p w:rsidR="007B3355" w:rsidRPr="00117925" w:rsidRDefault="007B3355" w:rsidP="007B3355">
      <w:pPr>
        <w:pStyle w:val="AERbulletlistfirststyle"/>
      </w:pPr>
      <w:r w:rsidRPr="00117925">
        <w:t xml:space="preserve">Section </w:t>
      </w:r>
      <w:r w:rsidR="00920E0B">
        <w:t>5</w:t>
      </w:r>
      <w:r w:rsidRPr="00117925">
        <w:t xml:space="preserve"> explains our views on the regulatory framework</w:t>
      </w:r>
      <w:r w:rsidR="00920E0B">
        <w:t>.</w:t>
      </w:r>
    </w:p>
    <w:p w:rsidR="007B3355" w:rsidRDefault="007B3355" w:rsidP="007B3355">
      <w:pPr>
        <w:pStyle w:val="AERbulletlistfirststyle"/>
      </w:pPr>
      <w:r w:rsidRPr="00117925">
        <w:t xml:space="preserve">Section </w:t>
      </w:r>
      <w:r w:rsidR="00920E0B">
        <w:t>6</w:t>
      </w:r>
      <w:r w:rsidRPr="00117925">
        <w:t xml:space="preserve"> outlines </w:t>
      </w:r>
      <w:r w:rsidR="00F32711">
        <w:t>Energex's consultation process</w:t>
      </w:r>
      <w:r w:rsidRPr="00117925">
        <w:t xml:space="preserve">. </w:t>
      </w:r>
    </w:p>
    <w:p w:rsidR="007B3355" w:rsidRDefault="007B3355" w:rsidP="007B3355">
      <w:pPr>
        <w:pStyle w:val="Heading1"/>
      </w:pPr>
      <w:bookmarkStart w:id="19" w:name="_Toc417973135"/>
      <w:bookmarkStart w:id="20" w:name="_Toc433723296"/>
      <w:r>
        <w:t xml:space="preserve">Key elements of </w:t>
      </w:r>
      <w:bookmarkEnd w:id="19"/>
      <w:r w:rsidR="00920E0B">
        <w:t>decision on Energex's revenue</w:t>
      </w:r>
      <w:bookmarkEnd w:id="20"/>
    </w:p>
    <w:p w:rsidR="00920E0B" w:rsidRPr="00112BF8" w:rsidRDefault="00920E0B" w:rsidP="00920E0B">
      <w:pPr>
        <w:numPr>
          <w:ilvl w:val="0"/>
          <w:numId w:val="25"/>
        </w:numPr>
      </w:pPr>
      <w:r w:rsidRPr="00112BF8">
        <w:t xml:space="preserve">We </w:t>
      </w:r>
      <w:r>
        <w:t>use</w:t>
      </w:r>
      <w:r w:rsidRPr="00112BF8">
        <w:t xml:space="preserve"> the building block approach to determine Energex's annual revenue requirement</w:t>
      </w:r>
      <w:r w:rsidR="00246FA6">
        <w:t>.</w:t>
      </w:r>
      <w:r>
        <w:t xml:space="preserve"> </w:t>
      </w:r>
      <w:r w:rsidRPr="00112BF8">
        <w:t>The building block costs</w:t>
      </w:r>
      <w:r>
        <w:t xml:space="preserve">, illustrated in figure </w:t>
      </w:r>
      <w:r w:rsidR="00915ABF">
        <w:t>5</w:t>
      </w:r>
      <w:r>
        <w:t>,</w:t>
      </w:r>
      <w:r w:rsidRPr="00112BF8">
        <w:t xml:space="preserve"> include:</w:t>
      </w:r>
      <w:r>
        <w:rPr>
          <w:rStyle w:val="FootnoteReference"/>
        </w:rPr>
        <w:footnoteReference w:id="25"/>
      </w:r>
    </w:p>
    <w:p w:rsidR="00920E0B" w:rsidRPr="00112BF8" w:rsidRDefault="00920E0B" w:rsidP="00920E0B">
      <w:pPr>
        <w:pStyle w:val="AERbulletlistfirststyle"/>
      </w:pPr>
      <w:r w:rsidRPr="00112BF8">
        <w:t xml:space="preserve">a return on the </w:t>
      </w:r>
      <w:r w:rsidR="0072383D">
        <w:t>r</w:t>
      </w:r>
      <w:r w:rsidRPr="00112BF8">
        <w:t xml:space="preserve">egulatory </w:t>
      </w:r>
      <w:r w:rsidR="0072383D">
        <w:t>a</w:t>
      </w:r>
      <w:r w:rsidRPr="00112BF8">
        <w:t xml:space="preserve">sset </w:t>
      </w:r>
      <w:r w:rsidR="0072383D">
        <w:t>b</w:t>
      </w:r>
      <w:r w:rsidRPr="00112BF8">
        <w:t>ase (RAB) (return on capital)</w:t>
      </w:r>
    </w:p>
    <w:p w:rsidR="00920E0B" w:rsidRPr="00112BF8" w:rsidRDefault="00920E0B" w:rsidP="00920E0B">
      <w:pPr>
        <w:pStyle w:val="AERbulletlistfirststyle"/>
      </w:pPr>
      <w:r w:rsidRPr="00112BF8">
        <w:t>depreciation of the RAB (return of capital)</w:t>
      </w:r>
    </w:p>
    <w:p w:rsidR="00920E0B" w:rsidRPr="00112BF8" w:rsidRDefault="00920E0B" w:rsidP="00920E0B">
      <w:pPr>
        <w:pStyle w:val="AERbulletlistfirststyle"/>
      </w:pPr>
      <w:r w:rsidRPr="00112BF8">
        <w:t>forecast opex</w:t>
      </w:r>
    </w:p>
    <w:p w:rsidR="00920E0B" w:rsidRPr="00112BF8" w:rsidRDefault="00D77A66" w:rsidP="00920E0B">
      <w:pPr>
        <w:pStyle w:val="AERbulletlistfirststyle"/>
      </w:pPr>
      <w:r>
        <w:t xml:space="preserve">revenue </w:t>
      </w:r>
      <w:r w:rsidR="00920E0B" w:rsidRPr="00112BF8">
        <w:t>increments or decrements resulting from incentive schemes such as the efficiency benefit sharing scheme (EBSS)</w:t>
      </w:r>
    </w:p>
    <w:p w:rsidR="00920E0B" w:rsidRPr="00112BF8" w:rsidRDefault="00920E0B" w:rsidP="00920E0B">
      <w:pPr>
        <w:pStyle w:val="AERbulletlistfirststyle"/>
      </w:pPr>
      <w:r w:rsidRPr="00112BF8">
        <w:t xml:space="preserve">the estimated cost of corporate income tax. </w:t>
      </w:r>
    </w:p>
    <w:p w:rsidR="00920E0B" w:rsidRPr="00112BF8" w:rsidRDefault="00920E0B" w:rsidP="00920E0B">
      <w:pPr>
        <w:numPr>
          <w:ilvl w:val="0"/>
          <w:numId w:val="25"/>
        </w:numPr>
      </w:pPr>
      <w:r w:rsidRPr="00112BF8">
        <w:t xml:space="preserve">Our assessment of capex directly affects the size of the RAB and therefore, the revenue generated from the return on capital and return of capital building blocks. </w:t>
      </w:r>
    </w:p>
    <w:p w:rsidR="00920E0B" w:rsidRPr="00112BF8" w:rsidRDefault="00920E0B" w:rsidP="00920E0B">
      <w:pPr>
        <w:pStyle w:val="Caption"/>
      </w:pPr>
      <w:r w:rsidRPr="00112BF8">
        <w:t xml:space="preserve">Figure </w:t>
      </w:r>
      <w:r w:rsidR="00915ABF">
        <w:t>5</w:t>
      </w:r>
      <w:r w:rsidRPr="00112BF8">
        <w:tab/>
        <w:t>The building block approach for determining total revenue</w:t>
      </w:r>
    </w:p>
    <w:p w:rsidR="00920E0B" w:rsidRPr="00112BF8" w:rsidRDefault="00920E0B" w:rsidP="00920E0B">
      <w:r w:rsidRPr="00920E0B">
        <w:rPr>
          <w:noProof/>
          <w:lang w:eastAsia="en-AU"/>
        </w:rPr>
        <mc:AlternateContent>
          <mc:Choice Requires="wpc">
            <w:drawing>
              <wp:inline distT="0" distB="0" distL="0" distR="0" wp14:anchorId="71C373DF" wp14:editId="724119DC">
                <wp:extent cx="5410200" cy="3391535"/>
                <wp:effectExtent l="0" t="0" r="19050" b="56515"/>
                <wp:docPr id="36" name="Canvas 36"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Text Box 34"/>
                        <wps:cNvSpPr txBox="1">
                          <a:spLocks noChangeArrowheads="1"/>
                        </wps:cNvSpPr>
                        <wps:spPr bwMode="auto">
                          <a:xfrm>
                            <a:off x="1491615"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8A5165" w:rsidRPr="00C33D9C" w:rsidRDefault="008A5165" w:rsidP="00920E0B">
                              <w:pPr>
                                <w:shd w:val="clear" w:color="auto" w:fill="C00000"/>
                                <w:rPr>
                                  <w:rStyle w:val="AERtextsize10"/>
                                </w:rPr>
                              </w:pPr>
                              <w:r w:rsidRPr="00C33D9C">
                                <w:rPr>
                                  <w:rStyle w:val="AERtextsize10"/>
                                </w:rPr>
                                <w:t>Return on capital (forecast RAB × cost of capital)</w:t>
                              </w:r>
                            </w:p>
                          </w:txbxContent>
                        </wps:txbx>
                        <wps:bodyPr rot="0" vert="horz" wrap="square" lIns="91440" tIns="45720" rIns="91440" bIns="45720" anchor="t" anchorCtr="0" upright="1">
                          <a:noAutofit/>
                        </wps:bodyPr>
                      </wps:wsp>
                      <wps:wsp>
                        <wps:cNvPr id="18" name="Text Box 35"/>
                        <wps:cNvSpPr txBox="1">
                          <a:spLocks noChangeArrowheads="1"/>
                        </wps:cNvSpPr>
                        <wps:spPr bwMode="auto">
                          <a:xfrm>
                            <a:off x="1491615" y="688975"/>
                            <a:ext cx="2470150" cy="633730"/>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8A5165" w:rsidRPr="00521A22" w:rsidRDefault="008A5165" w:rsidP="00920E0B">
                              <w:pPr>
                                <w:rPr>
                                  <w:rStyle w:val="AERtextsize10"/>
                                  <w:color w:val="FFFFFF" w:themeColor="background1"/>
                                </w:rPr>
                              </w:pPr>
                              <w:r w:rsidRPr="00521A22">
                                <w:rPr>
                                  <w:rStyle w:val="AERtextsize10"/>
                                  <w:color w:val="FFFFFF" w:themeColor="background1"/>
                                </w:rPr>
                                <w:t>Regulatory depreciation (depreciation net of indexation applied to RAB)</w:t>
                              </w:r>
                            </w:p>
                          </w:txbxContent>
                        </wps:txbx>
                        <wps:bodyPr rot="0" vert="horz" wrap="square" lIns="91440" tIns="45720" rIns="91440" bIns="45720" anchor="t" anchorCtr="0" upright="1">
                          <a:noAutofit/>
                        </wps:bodyPr>
                      </wps:wsp>
                      <wps:wsp>
                        <wps:cNvPr id="24" name="Text Box 36"/>
                        <wps:cNvSpPr txBox="1">
                          <a:spLocks noChangeArrowheads="1"/>
                        </wps:cNvSpPr>
                        <wps:spPr bwMode="auto">
                          <a:xfrm>
                            <a:off x="1491615" y="275780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8A5165" w:rsidRPr="00521A22" w:rsidRDefault="008A5165" w:rsidP="00920E0B">
                              <w:pPr>
                                <w:spacing w:after="200"/>
                                <w:rPr>
                                  <w:rStyle w:val="AERtextsize10"/>
                                  <w:color w:val="FFFFFF" w:themeColor="background1"/>
                                </w:rPr>
                              </w:pPr>
                              <w:r w:rsidRPr="00521A22">
                                <w:rPr>
                                  <w:rStyle w:val="AERtextsize10"/>
                                  <w:color w:val="FFFFFF" w:themeColor="background1"/>
                                </w:rPr>
                                <w:t>Corporate income tax (net of value of imputation credits)</w:t>
                              </w:r>
                            </w:p>
                            <w:p w:rsidR="008A5165" w:rsidRPr="007F7192" w:rsidRDefault="008A5165" w:rsidP="00920E0B">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25" name="Line 37"/>
                        <wps:cNvCnPr/>
                        <wps:spPr bwMode="auto">
                          <a:xfrm>
                            <a:off x="405193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8"/>
                        <wps:cNvCnPr/>
                        <wps:spPr bwMode="auto">
                          <a:xfrm>
                            <a:off x="4051935"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9"/>
                        <wps:cNvCnPr/>
                        <wps:spPr bwMode="auto">
                          <a:xfrm>
                            <a:off x="4396740"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0"/>
                        <wps:cNvCnPr/>
                        <wps:spPr bwMode="auto">
                          <a:xfrm flipH="1">
                            <a:off x="106362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1"/>
                        <wps:cNvCnPr/>
                        <wps:spPr bwMode="auto">
                          <a:xfrm flipH="1">
                            <a:off x="1063625"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2"/>
                        <wps:cNvCnPr/>
                        <wps:spPr bwMode="auto">
                          <a:xfrm>
                            <a:off x="1063625"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43"/>
                        <wps:cNvSpPr txBox="1">
                          <a:spLocks noChangeArrowheads="1"/>
                        </wps:cNvSpPr>
                        <wps:spPr bwMode="auto">
                          <a:xfrm>
                            <a:off x="0" y="407034"/>
                            <a:ext cx="1026795" cy="488315"/>
                          </a:xfrm>
                          <a:prstGeom prst="rect">
                            <a:avLst/>
                          </a:prstGeom>
                          <a:solidFill>
                            <a:srgbClr val="FFFFFF"/>
                          </a:solidFill>
                          <a:ln w="9525">
                            <a:solidFill>
                              <a:srgbClr val="FFFFFF"/>
                            </a:solidFill>
                            <a:miter lim="800000"/>
                            <a:headEnd/>
                            <a:tailEnd/>
                          </a:ln>
                        </wps:spPr>
                        <wps:txbx>
                          <w:txbxContent>
                            <w:p w:rsidR="008A5165" w:rsidRPr="002569F7" w:rsidRDefault="008A5165" w:rsidP="00920E0B">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33" name="Text Box 44"/>
                        <wps:cNvSpPr txBox="1">
                          <a:spLocks noChangeArrowheads="1"/>
                        </wps:cNvSpPr>
                        <wps:spPr bwMode="auto">
                          <a:xfrm>
                            <a:off x="1491615" y="1379855"/>
                            <a:ext cx="2470150" cy="633730"/>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8A5165" w:rsidRPr="00521A22" w:rsidRDefault="008A5165" w:rsidP="00920E0B">
                              <w:pPr>
                                <w:spacing w:after="200"/>
                                <w:rPr>
                                  <w:rStyle w:val="AERtextsize10"/>
                                  <w:color w:val="FFFFFF" w:themeColor="background1"/>
                                </w:rPr>
                              </w:pPr>
                              <w:r w:rsidRPr="00521A22">
                                <w:rPr>
                                  <w:rStyle w:val="AERtextsize10"/>
                                  <w:color w:val="FFFFFF" w:themeColor="background1"/>
                                </w:rPr>
                                <w:t xml:space="preserve">Operating expenditure (opex) </w:t>
                              </w:r>
                            </w:p>
                            <w:p w:rsidR="008A5165" w:rsidRPr="004414F4" w:rsidRDefault="008A5165" w:rsidP="00920E0B">
                              <w:pPr>
                                <w:rPr>
                                  <w:color w:val="FFFFFF"/>
                                </w:rPr>
                              </w:pPr>
                            </w:p>
                          </w:txbxContent>
                        </wps:txbx>
                        <wps:bodyPr rot="0" vert="horz" wrap="square" lIns="91440" tIns="45720" rIns="91440" bIns="45720" anchor="t" anchorCtr="0" upright="1">
                          <a:noAutofit/>
                        </wps:bodyPr>
                      </wps:wsp>
                      <wps:wsp>
                        <wps:cNvPr id="34" name="Text Box 45"/>
                        <wps:cNvSpPr txBox="1">
                          <a:spLocks noChangeArrowheads="1"/>
                        </wps:cNvSpPr>
                        <wps:spPr bwMode="auto">
                          <a:xfrm>
                            <a:off x="1491615" y="2075815"/>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8A5165" w:rsidRPr="00521A22" w:rsidRDefault="008A5165" w:rsidP="00920E0B">
                              <w:pPr>
                                <w:spacing w:after="200"/>
                                <w:rPr>
                                  <w:rStyle w:val="AERtextsize10"/>
                                  <w:color w:val="FFFFFF" w:themeColor="background1"/>
                                </w:rPr>
                              </w:pPr>
                              <w:r w:rsidRPr="00521A22">
                                <w:rPr>
                                  <w:rStyle w:val="AERtextsize10"/>
                                  <w:color w:val="FFFFFF" w:themeColor="background1"/>
                                </w:rPr>
                                <w:t xml:space="preserve">Revenue adjustments (increment or decrement) </w:t>
                              </w:r>
                            </w:p>
                            <w:p w:rsidR="008A5165" w:rsidRPr="00F51767" w:rsidRDefault="008A5165" w:rsidP="00920E0B"/>
                          </w:txbxContent>
                        </wps:txbx>
                        <wps:bodyPr rot="0" vert="horz" wrap="square" lIns="91440" tIns="45720" rIns="91440" bIns="45720" anchor="t" anchorCtr="0" upright="1">
                          <a:noAutofit/>
                        </wps:bodyPr>
                      </wps:wsp>
                      <wps:wsp>
                        <wps:cNvPr id="35" name="Text Box 46"/>
                        <wps:cNvSpPr txBox="1">
                          <a:spLocks noChangeArrowheads="1"/>
                        </wps:cNvSpPr>
                        <wps:spPr bwMode="auto">
                          <a:xfrm>
                            <a:off x="4514850"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8A5165" w:rsidRPr="00E91FF0" w:rsidRDefault="008A5165" w:rsidP="00920E0B">
                              <w:pPr>
                                <w:pStyle w:val="AERtabletextleft"/>
                              </w:pPr>
                              <w:r w:rsidRPr="00E91FF0">
                                <w:t xml:space="preserve">Total </w:t>
                              </w:r>
                              <w:r>
                                <w:t>r</w:t>
                              </w:r>
                              <w:r w:rsidRPr="00E91FF0">
                                <w:t>evenue</w:t>
                              </w:r>
                            </w:p>
                            <w:p w:rsidR="008A5165" w:rsidRDefault="008A5165" w:rsidP="00920E0B"/>
                          </w:txbxContent>
                        </wps:txbx>
                        <wps:bodyPr rot="0" vert="horz" wrap="square" lIns="91440" tIns="45720" rIns="91440" bIns="45720" anchor="t" anchorCtr="0" upright="1">
                          <a:noAutofit/>
                        </wps:bodyPr>
                      </wps:wsp>
                    </wpc:wpc>
                  </a:graphicData>
                </a:graphic>
              </wp:inline>
            </w:drawing>
          </mc:Choice>
          <mc:Fallback>
            <w:pict>
              <v:group id="Canvas 36" o:spid="_x0000_s1026" editas="canvas" alt="Image outlining the bulding block model. The table's contents were described in the previous paragraph." style="width:426pt;height:267.05pt;mso-position-horizontal-relative:char;mso-position-vertical-relative:line" coordsize="54102,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dXdAYAAKkrAAAOAAAAZHJzL2Uyb0RvYy54bWzsWltzm0YUfu9M/wPDuyNgl5vGciaVrLQz&#10;aZNp0unzCpBgCixdkKW00//ec3YXDJJdyXGtOIn8IMMCZ2/f+c5tL19ui9y4SUSd8XJi2i8s00jK&#10;iMdZuZqYv32YXwSmUTesjFnOy2Rifkxq8+XV999dbqpx4vCU53EiDBBS1uNNNTHTpqnGo1EdpUnB&#10;6he8Skp4uOSiYA3citUoFmwD0ot85FiWN9pwEVeCR0ldQ+tMPTSvpPzlMomat8tlnTRGPjFhbI38&#10;FfJ3gb+jq0s2XglWpVmkh8E+YRQFy0rotBM1Yw0z1iLbE1VkkeA1XzYvIl6M+HKZRYmcA8zGtnZm&#10;M2XlDavlZCJYnXaAcPU/yl2scNwln2d5DqsxAuljbMP/G9ifBBo3FexOXXX7VD+u//cpqxI5rXoc&#10;/XLzThhZDOAhplGyAkDyIdk2xg98axCKG4S9w2vvK3ix2UI7vCsXu67e8OiP2ij5NGXlKnklBN+k&#10;CYthfDZ+CZPpPlVyahSy2PzMY+iHrRsuBW2XosBVgP0wUDoNbc92TeNjBxEcUQSPHOpbtgtIiuCZ&#10;R4hPJIZGbNzKqETdvE54YeDFxBQAQdkHu3lTNzgmNm5f0YCJcekNwZvfsyaVa4Pdyoc1fKMujIrD&#10;rFRzLVaLaS6MGwaonlr4p7rIq5SpVlc2qu7067LrVd0XZ99+e5/MFSsKBnLYuMnKRgkPAoe4SnWy&#10;8ua1fgMmttsTNK3aKVSsSQ38mZi13n82XsLMP/BfYY1QQdWgUUn1FSiqvgJl7U8J5aj5CCaXDweY&#10;l8amWyKeZ92Du+aml6b/WpE1wEV5VkzMQC2MnDcC6rqM1RqwLFfXMLW8xF4TyTJ6n/gaRLxP440R&#10;Z7j7TkBCYMA4g5mQwPKs0DcNlq+AK6NGmHdu+mC0nuNQh0gsAzxb6XLqvY4lzhHaCuTNdrGF4SL4&#10;Fzz+CIgHcOHKIFPDRcrFX6axAdaDvfhzzURiGvlPJeArtClFmpQ31PUduBH9J4v+E1ZGIGpiNjAn&#10;eTlt4A4+WVciW6XQk9LTkr8CTVtmEv63o4JZ4A0Qixrr0zMMbMUuw0gc92ji9AzjBUHoa3V6zjTj&#10;WnSmgThkEaWYqAsD6E4t+QW230Uioe9R/xgSQQ5R7Hc/Xe2Mrc87eVYCOsEbcalSaqOOWJ7ErYmQ&#10;NrujCsUhtuNrSq37BDGY3iwM3VDaJyS+/mtfFY8o04z7dKu4ZzqRq+LQfTrx2pX6bA6L47t+YD17&#10;PvG90CHTO/nkPjXXnwwJBXyJOFFuydGMcgp6cGkwm31p9IBLyw47kQ/xQ5SmtFpxdkd6AY8DEYZy&#10;R95kZWIQaQ21KzIt3wnNuUeFLNRy7RCc8jtCFkIp8oGMWA4EK2ArMS4DENwdrHRRYutshy5MAj8Y&#10;GMCBnZRGt+138Jrga+1WH3Kxt432r9E/kmH136EVXgfXAb2gjnd9Qa3Z7OLVfEovvLntuzMym05n&#10;9j84NJuO0yyOk1JGWSrTAI3HRbA62aCC8y7I75ZhNJSu3PItRGzAMDBUOegd31xpAGztiX1fxxuC&#10;LWhVEgzVY8BGCHEAXyhNzllGyX3IeSpUhBW5J0I+g24nHfQVgQ6i3T7DhY8BHQk9H4PT/aQMNGI6&#10;BqBIbEjboHKd0fYNUlw4QBtgRVvQYynOWOZZ9WObtWiTgZZHPDTV+7jr01xr4c4k961ZVsgA90mO&#10;yszzQ9y4g7CziR86kIo729izYwcurcaWLpsQewg/56Gsh47bYa7TNrYHxbON/QbDCOK0aOuKdFSW&#10;JzQoT1ekU54gtXxLVQlvow/bcjw/1BEvDQJyyCc8VKMbRK2D4HYu/7THOXhNJZKPiI/vF/EpeeSd&#10;aBMrQTID0+3ROQPTy8CQ/ZIz/fwlZ+TYwH32GVziufNQldmxRINm5FChZu8TsCFdgfipCjWDTgc6&#10;+ikK9tQFXzIHulJl06fIxHboPvNAnwf2KzlU6t/JrVr/6Ilj+W6gbNetcXt+B1AGlY7jeGDvk1Pw&#10;wKDi9Ox5wLHcwPNVMv4JKjIdus880OcBcBp3DojQz1PRpa5NAzxnBlkn2wV/YDfFHoQuac+hEZsS&#10;yFD9Z97z5D4unuBMulNqi5Wyafm6gLN3ql6r67wyqwHtb+HwnTzR1qbS5CFQFCHzuY/W2Ptc426D&#10;vxRVgInI46ByWfTZVTxw2r+H6/4J26t/AQAA//8DAFBLAwQUAAYACAAAACEAHgBkv9sAAAAFAQAA&#10;DwAAAGRycy9kb3ducmV2LnhtbEyPwU7DMBBE70j8g7VIXBB1WghUIU6FEHDgRssBbq69TaLa68h2&#10;2vTvWbjAZaTRrGbe1qvJO3HAmPpACuazAgSSCbanVsHH5uV6CSJlTVa7QKjghAlWzflZrSsbjvSO&#10;h3VuBZdQqrSCLuehkjKZDr1OszAgcbYL0evMNrbSRn3kcu/koijupNc98UKnB3zq0OzXo1dw/3V6&#10;fft0Me9Lc7V7HkPaoDNKXV5Mjw8gMk757xh+8BkdGmbahpFsEk4BP5J/lbNluWC7VVDe3M5BNrX8&#10;T998AwAA//8DAFBLAQItABQABgAIAAAAIQC2gziS/gAAAOEBAAATAAAAAAAAAAAAAAAAAAAAAABb&#10;Q29udGVudF9UeXBlc10ueG1sUEsBAi0AFAAGAAgAAAAhADj9If/WAAAAlAEAAAsAAAAAAAAAAAAA&#10;AAAALwEAAF9yZWxzLy5yZWxzUEsBAi0AFAAGAAgAAAAhABwcF1d0BgAAqSsAAA4AAAAAAAAAAAAA&#10;AAAALgIAAGRycy9lMm9Eb2MueG1sUEsBAi0AFAAGAAgAAAAhAB4AZL/bAAAABQEAAA8AAAAAAAAA&#10;AAAAAAAAzggAAGRycy9kb3ducmV2LnhtbFBLBQYAAAAABAAEAPMAAADW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4102;height:33915;visibility:visible;mso-wrap-style:square">
                  <v:fill o:detectmouseclick="t"/>
                  <v:path o:connecttype="none"/>
                </v:shape>
                <v:shapetype id="_x0000_t202" coordsize="21600,21600" o:spt="202" path="m,l,21600r21600,l21600,xe">
                  <v:stroke joinstyle="miter"/>
                  <v:path gradientshapeok="t" o:connecttype="rect"/>
                </v:shapetype>
                <v:shape id="Text Box 34" o:spid="_x0000_s1028" type="#_x0000_t202" style="position:absolute;left:14916;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crsUA&#10;AADbAAAADwAAAGRycy9kb3ducmV2LnhtbESPQWsCMRCF74L/IYzQS6nZqpWyGkUEQZAWq6XgbdiM&#10;m9jNZNmk6/bfN0LB2wzvfW/ezJedq0RLTbCeFTwPMxDEhdeWSwWfx83TK4gQkTVWnknBLwVYLvq9&#10;OebaX/mD2kMsRQrhkKMCE2OdSxkKQw7D0NfESTv7xmFMa1NK3eA1hbtKjrJsKh1aThcM1rQ2VHwf&#10;flyq8bJftae1Cfj49jWevF8sxZ1V6mHQrWYgInXxbv6ntzpxY7j9kga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NyuxQAAANsAAAAPAAAAAAAAAAAAAAAAAJgCAABkcnMv&#10;ZG93bnJldi54bWxQSwUGAAAAAAQABAD1AAAAigMAAAAA&#10;" fillcolor="#c00000" strokecolor="#c00000" strokeweight="0">
                  <v:fill opacity=".5" color2="#c71e1e" focusposition=".5,.5" focussize="" focus="100%" type="gradientRadial"/>
                  <v:shadow on="t" color="#622423" offset="1pt"/>
                  <v:textbox>
                    <w:txbxContent>
                      <w:p w:rsidR="008A5165" w:rsidRPr="00C33D9C" w:rsidRDefault="008A5165" w:rsidP="00920E0B">
                        <w:pPr>
                          <w:shd w:val="clear" w:color="auto" w:fill="C00000"/>
                          <w:rPr>
                            <w:rStyle w:val="AERtextsize10"/>
                          </w:rPr>
                        </w:pPr>
                        <w:r w:rsidRPr="00C33D9C">
                          <w:rPr>
                            <w:rStyle w:val="AERtextsize10"/>
                          </w:rPr>
                          <w:t>Return on capital (forecast RAB × cost of capital)</w:t>
                        </w:r>
                      </w:p>
                    </w:txbxContent>
                  </v:textbox>
                </v:shape>
                <v:shape id="Text Box 35" o:spid="_x0000_s1029" type="#_x0000_t202" style="position:absolute;left:14916;top:6889;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sV8YA&#10;AADbAAAADwAAAGRycy9kb3ducmV2LnhtbESPQU/CQBCF7yb8h82YeIMtxiAWFoISgxdJqCRcJ92x&#10;W+3ONt2FVn+9cyDxNpP35r1vluvBN+pCXawDG5hOMlDEZbA1VwaOH6/jOaiYkC02gcnAD0VYr0Y3&#10;S8xt6PlAlyJVSkI45mjApdTmWsfSkcc4CS2xaJ+h85hk7SptO+wl3Df6Pstm2mPN0uCwpRdH5Xdx&#10;9gbOj8dsWn5t393Tabd/KHjY/vbPxtzdDpsFqERD+jdfr9+s4Aus/CID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DsV8YAAADbAAAADwAAAAAAAAAAAAAAAACYAgAAZHJz&#10;L2Rvd25yZXYueG1sUEsFBgAAAAAEAAQA9QAAAIsDAAAAAA==&#10;" fillcolor="#c0504d" strokecolor="#d99594" strokeweight="1pt">
                  <v:fill color2="#c15451" focus="50%" type="gradient"/>
                  <v:shadow on="t" color="#622423" offset="1pt"/>
                  <v:textbox>
                    <w:txbxContent>
                      <w:p w:rsidR="008A5165" w:rsidRPr="00521A22" w:rsidRDefault="008A5165" w:rsidP="00920E0B">
                        <w:pPr>
                          <w:rPr>
                            <w:rStyle w:val="AERtextsize10"/>
                            <w:color w:val="FFFFFF" w:themeColor="background1"/>
                          </w:rPr>
                        </w:pPr>
                        <w:r w:rsidRPr="00521A22">
                          <w:rPr>
                            <w:rStyle w:val="AERtextsize10"/>
                            <w:color w:val="FFFFFF" w:themeColor="background1"/>
                          </w:rPr>
                          <w:t>Regulatory depreciation (depreciation net of indexation applied to RAB)</w:t>
                        </w:r>
                      </w:p>
                    </w:txbxContent>
                  </v:textbox>
                </v:shape>
                <v:shape id="Text Box 36" o:spid="_x0000_s1030" type="#_x0000_t202" style="position:absolute;left:14916;top:2757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PUMYA&#10;AADbAAAADwAAAGRycy9kb3ducmV2LnhtbESPQWsCMRSE74L/IbyCF6nZWmnL1ihFEBbrRdtSj8/N&#10;cze6eVk2Ubf++kYQPA4z8w0znra2EidqvHGs4GmQgCDOnTZcKPj+mj++gfABWWPlmBT8kYfppNsZ&#10;Y6rdmVd0WodCRAj7FBWUIdSplD4vyaIfuJo4ejvXWAxRNoXUDZ4j3FZymCQv0qLhuFBiTbOS8sP6&#10;aBVc+tnrp8kW21Et5+b3ebff/Cz3SvUe2o93EIHacA/f2plWMBzB9Uv8AX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2PUMYAAADbAAAADwAAAAAAAAAAAAAAAACYAgAAZHJz&#10;L2Rvd25yZXYueG1sUEsFBgAAAAAEAAQA9QAAAIsDAAAAAA==&#10;" fillcolor="#76923c" strokecolor="#548dd4" strokeweight="1pt">
                  <v:fill color2="#738f3b" focus="100%" type="gradient"/>
                  <v:shadow on="t" color="#622423" opacity=".5" offset="1pt"/>
                  <v:textbox>
                    <w:txbxContent>
                      <w:p w:rsidR="008A5165" w:rsidRPr="00521A22" w:rsidRDefault="008A5165" w:rsidP="00920E0B">
                        <w:pPr>
                          <w:spacing w:after="200"/>
                          <w:rPr>
                            <w:rStyle w:val="AERtextsize10"/>
                            <w:color w:val="FFFFFF" w:themeColor="background1"/>
                          </w:rPr>
                        </w:pPr>
                        <w:r w:rsidRPr="00521A22">
                          <w:rPr>
                            <w:rStyle w:val="AERtextsize10"/>
                            <w:color w:val="FFFFFF" w:themeColor="background1"/>
                          </w:rPr>
                          <w:t>Corporate income tax (net of value of imputation credits)</w:t>
                        </w:r>
                      </w:p>
                      <w:p w:rsidR="008A5165" w:rsidRPr="007F7192" w:rsidRDefault="008A5165" w:rsidP="00920E0B">
                        <w:pPr>
                          <w:spacing w:after="200"/>
                          <w:rPr>
                            <w:rStyle w:val="AERbody"/>
                            <w:color w:val="FFFFFF"/>
                          </w:rPr>
                        </w:pPr>
                        <w:r w:rsidRPr="007F7192">
                          <w:rPr>
                            <w:rStyle w:val="AERbody"/>
                            <w:color w:val="FFFFFF"/>
                          </w:rPr>
                          <w:br/>
                        </w:r>
                      </w:p>
                    </w:txbxContent>
                  </v:textbox>
                </v:shape>
                <v:line id="Line 37" o:spid="_x0000_s1031" style="position:absolute;visibility:visible;mso-wrap-style:square" from="40519,0" to="43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8" o:spid="_x0000_s1032" style="position:absolute;visibility:visible;mso-wrap-style:square" from="40519,33324"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9" o:spid="_x0000_s1033" style="position:absolute;visibility:visible;mso-wrap-style:square" from="43967,0"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0" o:spid="_x0000_s1034" style="position:absolute;flip:x;visibility:visible;mso-wrap-style:square" from="10636,0" to="14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41" o:spid="_x0000_s1035" style="position:absolute;flip:x;visibility:visible;mso-wrap-style:square" from="10636,13792" to="14084,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42" o:spid="_x0000_s1036" style="position:absolute;visibility:visible;mso-wrap-style:square" from="10636,0" to="10636,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43" o:spid="_x0000_s1037" type="#_x0000_t202" style="position:absolute;top:4070;width:10267;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8A5165" w:rsidRPr="002569F7" w:rsidRDefault="008A5165" w:rsidP="00920E0B">
                        <w:pPr>
                          <w:rPr>
                            <w:rFonts w:ascii="Calibri" w:hAnsi="Calibri"/>
                          </w:rPr>
                        </w:pPr>
                        <w:r w:rsidRPr="002569F7">
                          <w:rPr>
                            <w:rFonts w:ascii="Calibri" w:hAnsi="Calibri"/>
                          </w:rPr>
                          <w:t>Capital costs</w:t>
                        </w:r>
                      </w:p>
                    </w:txbxContent>
                  </v:textbox>
                </v:shape>
                <v:shape id="Text Box 44" o:spid="_x0000_s1038" type="#_x0000_t202" style="position:absolute;left:14916;top:1379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Gp8YA&#10;AADbAAAADwAAAGRycy9kb3ducmV2LnhtbESPQWvCQBSE74L/YXmCF9FNK62SukoqFNqL2CjY3h7Z&#10;1yQ0+zbsrib9925B8DjMzDfMatObRlzI+dqygodZAoK4sLrmUsHx8DZdgvABWWNjmRT8kYfNejhY&#10;Yaptx590yUMpIoR9igqqENpUSl9UZNDPbEscvR/rDIYoXSm1wy7CTSMfk+RZGqw5LlTY0rai4jc/&#10;GwXLxfZwanevet+5p4/i22f91yRTajzqsxcQgfpwD9/a71rBfA7/X+IP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3Gp8YAAADbAAAADwAAAAAAAAAAAAAAAACYAgAAZHJz&#10;L2Rvd25yZXYueG1sUEsFBgAAAAAEAAQA9QAAAIsDAAAAAA==&#10;" fillcolor="#365f91" strokecolor="#365f91" strokeweight="1pt">
                  <v:fill color2="#365f91" focus="100%" type="gradient"/>
                  <v:shadow on="t" color="#3f3151" opacity=".5" offset="1pt"/>
                  <v:textbox>
                    <w:txbxContent>
                      <w:p w:rsidR="008A5165" w:rsidRPr="00521A22" w:rsidRDefault="008A5165" w:rsidP="00920E0B">
                        <w:pPr>
                          <w:spacing w:after="200"/>
                          <w:rPr>
                            <w:rStyle w:val="AERtextsize10"/>
                            <w:color w:val="FFFFFF" w:themeColor="background1"/>
                          </w:rPr>
                        </w:pPr>
                        <w:r w:rsidRPr="00521A22">
                          <w:rPr>
                            <w:rStyle w:val="AERtextsize10"/>
                            <w:color w:val="FFFFFF" w:themeColor="background1"/>
                          </w:rPr>
                          <w:t xml:space="preserve">Operating expenditure (opex) </w:t>
                        </w:r>
                      </w:p>
                      <w:p w:rsidR="008A5165" w:rsidRPr="004414F4" w:rsidRDefault="008A5165" w:rsidP="00920E0B">
                        <w:pPr>
                          <w:rPr>
                            <w:color w:val="FFFFFF"/>
                          </w:rPr>
                        </w:pPr>
                      </w:p>
                    </w:txbxContent>
                  </v:textbox>
                </v:shape>
                <v:shape id="Text Box 45" o:spid="_x0000_s1039" type="#_x0000_t202" style="position:absolute;left:14916;top:2075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6hMYA&#10;AADbAAAADwAAAGRycy9kb3ducmV2LnhtbESPT2vCQBTE74LfYXmCN7OxWltSVyn+QZFempbi8ZF9&#10;zQazb0N21dhP3xUKPQ4z8xtmvuxsLS7U+sqxgnGSgiAunK64VPD5sR09g/ABWWPtmBTcyMNy0e/N&#10;MdPuyu90yUMpIoR9hgpMCE0mpS8MWfSJa4ij9+1aiyHKtpS6xWuE21o+pOlMWqw4LhhsaGWoOOVn&#10;q+C4u329ufO62eSPe/PkDrPy53hQajjoXl9ABOrCf/ivvdcKJlO4f4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F6hMYAAADbAAAADwAAAAAAAAAAAAAAAACYAgAAZHJz&#10;L2Rvd25yZXYueG1sUEsFBgAAAAAEAAQA9QAAAIsDAAAAAA==&#10;" fillcolor="#548dd4" strokecolor="#76923c" strokeweight="1pt">
                  <v:fill color2="#548dd4" focus="100%" type="gradient"/>
                  <v:shadow on="t" color="#205867" opacity=".5" offset="1pt"/>
                  <v:textbox>
                    <w:txbxContent>
                      <w:p w:rsidR="008A5165" w:rsidRPr="00521A22" w:rsidRDefault="008A5165" w:rsidP="00920E0B">
                        <w:pPr>
                          <w:spacing w:after="200"/>
                          <w:rPr>
                            <w:rStyle w:val="AERtextsize10"/>
                            <w:color w:val="FFFFFF" w:themeColor="background1"/>
                          </w:rPr>
                        </w:pPr>
                        <w:r w:rsidRPr="00521A22">
                          <w:rPr>
                            <w:rStyle w:val="AERtextsize10"/>
                            <w:color w:val="FFFFFF" w:themeColor="background1"/>
                          </w:rPr>
                          <w:t xml:space="preserve">Revenue adjustments (increment or decrement) </w:t>
                        </w:r>
                      </w:p>
                      <w:p w:rsidR="008A5165" w:rsidRPr="00F51767" w:rsidRDefault="008A5165" w:rsidP="00920E0B"/>
                    </w:txbxContent>
                  </v:textbox>
                </v:shape>
                <v:shape id="Text Box 46" o:spid="_x0000_s1040" type="#_x0000_t202" style="position:absolute;left:45148;top:15798;width:8954;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9Tb8QA&#10;AADbAAAADwAAAGRycy9kb3ducmV2LnhtbESPT4vCMBTE7wt+h/CEva2p+0e0GmVRVrwsYhX1+Gye&#10;bbF5KU1Wq59+Iwgeh5n5DTOaNKYUZ6pdYVlBtxOBIE6tLjhTsFn/vPVBOI+ssbRMCq7kYDJuvYww&#10;1vbCKzonPhMBwi5GBbn3VSylS3My6Dq2Ig7e0dYGfZB1JnWNlwA3pXyPop40WHBYyLGiaU7pKfkz&#10;Clwa9bbLz2S7O8g53QZaz/bzX6Ve2833EISnxj/Dj/ZCK/j4gvu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U2/EAAAA2wAAAA8AAAAAAAAAAAAAAAAAmAIAAGRycy9k&#10;b3ducmV2LnhtbFBLBQYAAAAABAAEAPUAAACJAwAAAAA=&#10;" strokecolor="white [3212]">
                  <v:textbox>
                    <w:txbxContent>
                      <w:p w:rsidR="008A5165" w:rsidRPr="00E91FF0" w:rsidRDefault="008A5165" w:rsidP="00920E0B">
                        <w:pPr>
                          <w:pStyle w:val="AERtabletextleft"/>
                        </w:pPr>
                        <w:r w:rsidRPr="00E91FF0">
                          <w:t xml:space="preserve">Total </w:t>
                        </w:r>
                        <w:r>
                          <w:t>r</w:t>
                        </w:r>
                        <w:r w:rsidRPr="00E91FF0">
                          <w:t>evenue</w:t>
                        </w:r>
                      </w:p>
                      <w:p w:rsidR="008A5165" w:rsidRDefault="008A5165" w:rsidP="00920E0B"/>
                    </w:txbxContent>
                  </v:textbox>
                </v:shape>
                <w10:anchorlock/>
              </v:group>
            </w:pict>
          </mc:Fallback>
        </mc:AlternateContent>
      </w:r>
    </w:p>
    <w:p w:rsidR="00920E0B" w:rsidRDefault="00920E0B" w:rsidP="007B3355"/>
    <w:p w:rsidR="007B3355" w:rsidRPr="003E3873" w:rsidRDefault="007B3355" w:rsidP="007B3355">
      <w:r>
        <w:t>I</w:t>
      </w:r>
      <w:r w:rsidRPr="003E3873">
        <w:t xml:space="preserve">n setting </w:t>
      </w:r>
      <w:r w:rsidR="00454940">
        <w:t xml:space="preserve">the allowed </w:t>
      </w:r>
      <w:r w:rsidRPr="003E3873">
        <w:t xml:space="preserve">revenue for Energex of </w:t>
      </w:r>
      <w:r w:rsidRPr="007B3355">
        <w:rPr>
          <w:rStyle w:val="AERbodytextChar"/>
          <w:rFonts w:eastAsiaTheme="minorHAnsi"/>
        </w:rPr>
        <w:t>$</w:t>
      </w:r>
      <w:r w:rsidR="007B1B37">
        <w:rPr>
          <w:rStyle w:val="AERbodytextChar"/>
          <w:rFonts w:eastAsiaTheme="minorHAnsi"/>
        </w:rPr>
        <w:t>6</w:t>
      </w:r>
      <w:r w:rsidR="00CE3FA2">
        <w:rPr>
          <w:rStyle w:val="AERbodytextChar"/>
          <w:rFonts w:eastAsiaTheme="minorHAnsi"/>
        </w:rPr>
        <w:t>599.9</w:t>
      </w:r>
      <w:r w:rsidRPr="007B3355">
        <w:rPr>
          <w:rStyle w:val="AERbodytextChar"/>
          <w:rFonts w:eastAsiaTheme="minorHAnsi"/>
        </w:rPr>
        <w:t> </w:t>
      </w:r>
      <w:r w:rsidRPr="003E3873">
        <w:t>million ($ nominal) for the 2015–20 regulatory control period we:</w:t>
      </w:r>
    </w:p>
    <w:p w:rsidR="007B3355" w:rsidRPr="003E3873" w:rsidRDefault="007B3355" w:rsidP="007B3355">
      <w:pPr>
        <w:pStyle w:val="AERbulletlistfirststyle"/>
        <w:rPr>
          <w:rStyle w:val="AERbody"/>
        </w:rPr>
      </w:pPr>
      <w:r w:rsidRPr="003E3873">
        <w:rPr>
          <w:rStyle w:val="AERbody"/>
        </w:rPr>
        <w:t>apply relevant tests under the NER, the assessment methods and tools developed as part of our Better Regulation Guidelines</w:t>
      </w:r>
      <w:r>
        <w:rPr>
          <w:rStyle w:val="AERbody"/>
        </w:rPr>
        <w:t>.</w:t>
      </w:r>
      <w:r>
        <w:rPr>
          <w:rStyle w:val="FootnoteReference"/>
        </w:rPr>
        <w:footnoteReference w:id="26"/>
      </w:r>
      <w:r w:rsidRPr="003E3873">
        <w:rPr>
          <w:rStyle w:val="AERbody"/>
        </w:rPr>
        <w:t xml:space="preserve"> </w:t>
      </w:r>
      <w:r>
        <w:rPr>
          <w:rStyle w:val="AERbody"/>
        </w:rPr>
        <w:t xml:space="preserve">We also </w:t>
      </w:r>
      <w:r w:rsidRPr="003E3873">
        <w:rPr>
          <w:rStyle w:val="AERbody"/>
        </w:rPr>
        <w:t>consider information provided by Energex, the C</w:t>
      </w:r>
      <w:r>
        <w:rPr>
          <w:rStyle w:val="AERbody"/>
        </w:rPr>
        <w:t>onsumer Challenge Panel (CCP)</w:t>
      </w:r>
      <w:r w:rsidRPr="003E3873">
        <w:rPr>
          <w:rStyle w:val="AERbody"/>
        </w:rPr>
        <w:t>, consultants and stakeholder submissions</w:t>
      </w:r>
      <w:r w:rsidR="008F1BE2">
        <w:rPr>
          <w:rStyle w:val="AERbody"/>
        </w:rPr>
        <w:t>.</w:t>
      </w:r>
    </w:p>
    <w:p w:rsidR="007B3355" w:rsidRDefault="007B3355" w:rsidP="007B3355">
      <w:pPr>
        <w:pStyle w:val="AERbulletlistfirststyle"/>
        <w:rPr>
          <w:rStyle w:val="AERbody"/>
        </w:rPr>
      </w:pPr>
      <w:r w:rsidRPr="003E3873">
        <w:rPr>
          <w:rStyle w:val="AERbody"/>
        </w:rPr>
        <w:t xml:space="preserve">consider our </w:t>
      </w:r>
      <w:r w:rsidR="001D72DD">
        <w:rPr>
          <w:rStyle w:val="AERbody"/>
        </w:rPr>
        <w:t xml:space="preserve">total </w:t>
      </w:r>
      <w:r w:rsidRPr="003E3873">
        <w:rPr>
          <w:rStyle w:val="AERbody"/>
        </w:rPr>
        <w:t xml:space="preserve">revenue allowance against section 16 of the NEL, including the constituent </w:t>
      </w:r>
      <w:r>
        <w:rPr>
          <w:rStyle w:val="AERbody"/>
        </w:rPr>
        <w:t>component</w:t>
      </w:r>
      <w:r w:rsidR="00915ABF">
        <w:rPr>
          <w:rStyle w:val="AERbody"/>
        </w:rPr>
        <w:t xml:space="preserve">s set out in the NER, how they interrelate </w:t>
      </w:r>
      <w:r w:rsidR="007C4F6D">
        <w:rPr>
          <w:rStyle w:val="AERbody"/>
        </w:rPr>
        <w:t xml:space="preserve">with </w:t>
      </w:r>
      <w:r w:rsidR="00915ABF">
        <w:rPr>
          <w:rStyle w:val="AERbody"/>
        </w:rPr>
        <w:t>each other and how those interrelationships have been taken into account</w:t>
      </w:r>
      <w:r>
        <w:rPr>
          <w:rStyle w:val="AERbody"/>
        </w:rPr>
        <w:t>.</w:t>
      </w:r>
    </w:p>
    <w:p w:rsidR="007B3355" w:rsidRPr="007B3355" w:rsidRDefault="007B3355" w:rsidP="00A607F9">
      <w:pPr>
        <w:rPr>
          <w:rStyle w:val="AERbody"/>
        </w:rPr>
      </w:pPr>
      <w:r>
        <w:rPr>
          <w:rStyle w:val="AERbody"/>
        </w:rPr>
        <w:t xml:space="preserve">Figure </w:t>
      </w:r>
      <w:r w:rsidR="00915ABF">
        <w:rPr>
          <w:rStyle w:val="AERbody"/>
        </w:rPr>
        <w:t>6</w:t>
      </w:r>
      <w:r w:rsidRPr="007B3355">
        <w:rPr>
          <w:rStyle w:val="AERbody"/>
        </w:rPr>
        <w:t xml:space="preserve"> and table 2 show our </w:t>
      </w:r>
      <w:r w:rsidR="00E25C88">
        <w:rPr>
          <w:rStyle w:val="AERbody"/>
        </w:rPr>
        <w:t>final</w:t>
      </w:r>
      <w:r w:rsidRPr="007B3355">
        <w:rPr>
          <w:rStyle w:val="AERbody"/>
        </w:rPr>
        <w:t xml:space="preserve"> decision on Energex's revenue</w:t>
      </w:r>
      <w:r w:rsidR="001D72DD">
        <w:rPr>
          <w:rStyle w:val="AERbody"/>
        </w:rPr>
        <w:t xml:space="preserve"> and the contribution of each building block</w:t>
      </w:r>
      <w:r w:rsidRPr="007B3355">
        <w:rPr>
          <w:rStyle w:val="AERbody"/>
        </w:rPr>
        <w:t>.</w:t>
      </w:r>
    </w:p>
    <w:p w:rsidR="007B3355" w:rsidRPr="00E25C88" w:rsidRDefault="007B3355" w:rsidP="00E25C88">
      <w:pPr>
        <w:pStyle w:val="Caption"/>
      </w:pPr>
      <w:r w:rsidRPr="00E25C88">
        <w:t>Figure</w:t>
      </w:r>
      <w:r w:rsidR="005B3663">
        <w:t xml:space="preserve"> </w:t>
      </w:r>
      <w:r w:rsidR="00915ABF">
        <w:t>6</w:t>
      </w:r>
      <w:r w:rsidRPr="00E25C88">
        <w:tab/>
        <w:t xml:space="preserve">AER's </w:t>
      </w:r>
      <w:r w:rsidR="00E25C88">
        <w:t>final</w:t>
      </w:r>
      <w:r w:rsidRPr="00E25C88">
        <w:t xml:space="preserve"> decision on constituent components of total revenue ($ million 2014−15)</w:t>
      </w:r>
    </w:p>
    <w:p w:rsidR="007B3355" w:rsidRDefault="00CE3FA2" w:rsidP="007B3355">
      <w:pPr>
        <w:pStyle w:val="AERtablesource"/>
        <w:rPr>
          <w:rStyle w:val="AERbody"/>
        </w:rPr>
      </w:pPr>
      <w:r w:rsidRPr="00CE3FA2">
        <w:rPr>
          <w:noProof/>
          <w:lang w:eastAsia="en-AU"/>
        </w:rPr>
        <w:drawing>
          <wp:inline distT="0" distB="0" distL="0" distR="0" wp14:anchorId="468A03AF" wp14:editId="37BC26AB">
            <wp:extent cx="5382895" cy="3346939"/>
            <wp:effectExtent l="0" t="0" r="825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346939"/>
                    </a:xfrm>
                    <a:prstGeom prst="rect">
                      <a:avLst/>
                    </a:prstGeom>
                    <a:noFill/>
                    <a:ln>
                      <a:noFill/>
                    </a:ln>
                  </pic:spPr>
                </pic:pic>
              </a:graphicData>
            </a:graphic>
          </wp:inline>
        </w:drawing>
      </w:r>
    </w:p>
    <w:p w:rsidR="007B3355" w:rsidRPr="00E25C88" w:rsidRDefault="007B3355" w:rsidP="00E25C88">
      <w:pPr>
        <w:pStyle w:val="AERtablesource"/>
        <w:rPr>
          <w:rStyle w:val="AERbody"/>
          <w:sz w:val="16"/>
        </w:rPr>
      </w:pPr>
      <w:r w:rsidRPr="00E25C88">
        <w:rPr>
          <w:rStyle w:val="AERbody"/>
          <w:sz w:val="16"/>
        </w:rPr>
        <w:t xml:space="preserve">Source: </w:t>
      </w:r>
      <w:r w:rsidRPr="00E25C88">
        <w:rPr>
          <w:rStyle w:val="AERbody"/>
          <w:sz w:val="16"/>
        </w:rPr>
        <w:tab/>
        <w:t>AER analysis.</w:t>
      </w:r>
    </w:p>
    <w:p w:rsidR="007B3355" w:rsidRDefault="007B3355" w:rsidP="00E25C88">
      <w:pPr>
        <w:pStyle w:val="AERtablesource"/>
      </w:pPr>
      <w:r w:rsidRPr="00E25C88">
        <w:rPr>
          <w:rStyle w:val="AERbody"/>
          <w:sz w:val="16"/>
        </w:rPr>
        <w:t xml:space="preserve">Note: </w:t>
      </w:r>
      <w:r w:rsidRPr="00E25C88">
        <w:rPr>
          <w:rStyle w:val="AERbody"/>
          <w:sz w:val="16"/>
        </w:rPr>
        <w:tab/>
      </w:r>
      <w:r w:rsidRPr="00BB317C">
        <w:t>The 'Other' category in the 'Allowed average' for 2010–15 is a revenue adjustment related largely to customer contributions. Because customer contributions were included in the RAB during those years, an offsetting revenue adjustment was made to prevent Energex earning a return on these contributions.</w:t>
      </w:r>
      <w:r>
        <w:t xml:space="preserve"> The 'Revenue adjustments' i</w:t>
      </w:r>
      <w:r w:rsidR="006D1478">
        <w:t>nclude</w:t>
      </w:r>
      <w:r>
        <w:t xml:space="preserve">s the closing balance of the DUoS unders/overs account as at 30 June 2015 plus the </w:t>
      </w:r>
      <w:r w:rsidR="006D1478">
        <w:t>demand management innovation allowance</w:t>
      </w:r>
      <w:r>
        <w:t>.</w:t>
      </w:r>
    </w:p>
    <w:p w:rsidR="007B3355" w:rsidRPr="000D667E" w:rsidRDefault="007B3355" w:rsidP="007B3355">
      <w:pPr>
        <w:pStyle w:val="Caption"/>
      </w:pPr>
      <w:r>
        <w:t>Table 2</w:t>
      </w:r>
      <w:r>
        <w:tab/>
        <w:t xml:space="preserve">AER's </w:t>
      </w:r>
      <w:r w:rsidR="00E25C88">
        <w:t>final</w:t>
      </w:r>
      <w:r>
        <w:t xml:space="preserve"> decision on Energex's revenues ($ million, nominal)</w:t>
      </w:r>
    </w:p>
    <w:tbl>
      <w:tblPr>
        <w:tblStyle w:val="AERtable-numbers"/>
        <w:tblW w:w="0" w:type="auto"/>
        <w:tblLook w:val="04A0" w:firstRow="1" w:lastRow="0" w:firstColumn="1" w:lastColumn="0" w:noHBand="0" w:noVBand="1"/>
      </w:tblPr>
      <w:tblGrid>
        <w:gridCol w:w="2518"/>
        <w:gridCol w:w="1029"/>
        <w:gridCol w:w="1029"/>
        <w:gridCol w:w="1029"/>
        <w:gridCol w:w="1029"/>
        <w:gridCol w:w="1029"/>
        <w:gridCol w:w="1030"/>
      </w:tblGrid>
      <w:tr w:rsidR="007B3355" w:rsidTr="00D27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B3355" w:rsidRPr="00012781" w:rsidRDefault="007B3355" w:rsidP="007B3355"/>
        </w:tc>
        <w:tc>
          <w:tcPr>
            <w:tcW w:w="1029" w:type="dxa"/>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012781">
              <w:t>201</w:t>
            </w:r>
            <w:r w:rsidRPr="007B3355">
              <w:t>5–16</w:t>
            </w:r>
          </w:p>
        </w:tc>
        <w:tc>
          <w:tcPr>
            <w:tcW w:w="1029" w:type="dxa"/>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012781">
              <w:t>201</w:t>
            </w:r>
            <w:r w:rsidRPr="007B3355">
              <w:t>6–17</w:t>
            </w:r>
          </w:p>
        </w:tc>
        <w:tc>
          <w:tcPr>
            <w:tcW w:w="1029" w:type="dxa"/>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012781">
              <w:t>201</w:t>
            </w:r>
            <w:r w:rsidRPr="007B3355">
              <w:t>7–18</w:t>
            </w:r>
          </w:p>
        </w:tc>
        <w:tc>
          <w:tcPr>
            <w:tcW w:w="1029" w:type="dxa"/>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012781">
              <w:t>201</w:t>
            </w:r>
            <w:r w:rsidRPr="007B3355">
              <w:t>8–19</w:t>
            </w:r>
          </w:p>
        </w:tc>
        <w:tc>
          <w:tcPr>
            <w:tcW w:w="1029" w:type="dxa"/>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012781">
              <w:t>201</w:t>
            </w:r>
            <w:r w:rsidRPr="007B3355">
              <w:t>9–20</w:t>
            </w:r>
          </w:p>
        </w:tc>
        <w:tc>
          <w:tcPr>
            <w:tcW w:w="1030" w:type="dxa"/>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012781">
              <w:t>Total</w:t>
            </w:r>
          </w:p>
        </w:tc>
      </w:tr>
      <w:tr w:rsidR="008150B7" w:rsidTr="007B1B37">
        <w:trPr>
          <w:trHeight w:val="373"/>
        </w:trPr>
        <w:tc>
          <w:tcPr>
            <w:cnfStyle w:val="001000000000" w:firstRow="0" w:lastRow="0" w:firstColumn="1" w:lastColumn="0" w:oddVBand="0" w:evenVBand="0" w:oddHBand="0" w:evenHBand="0" w:firstRowFirstColumn="0" w:firstRowLastColumn="0" w:lastRowFirstColumn="0" w:lastRowLastColumn="0"/>
            <w:tcW w:w="2518" w:type="dxa"/>
          </w:tcPr>
          <w:p w:rsidR="008150B7" w:rsidRPr="008150B7" w:rsidRDefault="008150B7" w:rsidP="008150B7">
            <w:r w:rsidRPr="007B1B37">
              <w:t>Return on capital</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BB1D89">
              <w:t>671.2</w:t>
            </w:r>
          </w:p>
        </w:tc>
        <w:tc>
          <w:tcPr>
            <w:tcW w:w="1029" w:type="dxa"/>
            <w:vAlign w:val="bottom"/>
          </w:tcPr>
          <w:p w:rsidR="008150B7" w:rsidRPr="008150B7" w:rsidRDefault="008150B7" w:rsidP="00CE3FA2">
            <w:pPr>
              <w:cnfStyle w:val="000000000000" w:firstRow="0" w:lastRow="0" w:firstColumn="0" w:lastColumn="0" w:oddVBand="0" w:evenVBand="0" w:oddHBand="0" w:evenHBand="0" w:firstRowFirstColumn="0" w:firstRowLastColumn="0" w:lastRowFirstColumn="0" w:lastRowLastColumn="0"/>
            </w:pPr>
            <w:r w:rsidRPr="00BB1D89">
              <w:t>701.</w:t>
            </w:r>
            <w:r w:rsidR="00CE3FA2">
              <w:t>6</w:t>
            </w:r>
          </w:p>
        </w:tc>
        <w:tc>
          <w:tcPr>
            <w:tcW w:w="1029" w:type="dxa"/>
            <w:vAlign w:val="bottom"/>
          </w:tcPr>
          <w:p w:rsidR="008150B7" w:rsidRPr="008150B7" w:rsidRDefault="008150B7" w:rsidP="00CE3FA2">
            <w:pPr>
              <w:cnfStyle w:val="000000000000" w:firstRow="0" w:lastRow="0" w:firstColumn="0" w:lastColumn="0" w:oddVBand="0" w:evenVBand="0" w:oddHBand="0" w:evenHBand="0" w:firstRowFirstColumn="0" w:firstRowLastColumn="0" w:lastRowFirstColumn="0" w:lastRowLastColumn="0"/>
            </w:pPr>
            <w:r w:rsidRPr="00BB1D89">
              <w:t>73</w:t>
            </w:r>
            <w:r w:rsidR="00CE3FA2">
              <w:t>2</w:t>
            </w:r>
            <w:r w:rsidRPr="00BB1D89">
              <w:t>.3</w:t>
            </w:r>
          </w:p>
        </w:tc>
        <w:tc>
          <w:tcPr>
            <w:tcW w:w="1029" w:type="dxa"/>
            <w:vAlign w:val="bottom"/>
          </w:tcPr>
          <w:p w:rsidR="008150B7" w:rsidRPr="008150B7" w:rsidRDefault="008150B7" w:rsidP="00CE3FA2">
            <w:pPr>
              <w:cnfStyle w:val="000000000000" w:firstRow="0" w:lastRow="0" w:firstColumn="0" w:lastColumn="0" w:oddVBand="0" w:evenVBand="0" w:oddHBand="0" w:evenHBand="0" w:firstRowFirstColumn="0" w:firstRowLastColumn="0" w:lastRowFirstColumn="0" w:lastRowLastColumn="0"/>
            </w:pPr>
            <w:r w:rsidRPr="00BB1D89">
              <w:t>760.</w:t>
            </w:r>
            <w:r w:rsidR="00CE3FA2">
              <w:t>0</w:t>
            </w:r>
          </w:p>
        </w:tc>
        <w:tc>
          <w:tcPr>
            <w:tcW w:w="1029" w:type="dxa"/>
            <w:vAlign w:val="bottom"/>
          </w:tcPr>
          <w:p w:rsidR="008150B7" w:rsidRPr="008150B7" w:rsidRDefault="008150B7" w:rsidP="00CE3FA2">
            <w:pPr>
              <w:cnfStyle w:val="000000000000" w:firstRow="0" w:lastRow="0" w:firstColumn="0" w:lastColumn="0" w:oddVBand="0" w:evenVBand="0" w:oddHBand="0" w:evenHBand="0" w:firstRowFirstColumn="0" w:firstRowLastColumn="0" w:lastRowFirstColumn="0" w:lastRowLastColumn="0"/>
            </w:pPr>
            <w:r w:rsidRPr="00BB1D89">
              <w:t>788.</w:t>
            </w:r>
            <w:r w:rsidR="00CE3FA2">
              <w:t>2</w:t>
            </w:r>
          </w:p>
        </w:tc>
        <w:tc>
          <w:tcPr>
            <w:tcW w:w="1030" w:type="dxa"/>
            <w:vAlign w:val="bottom"/>
          </w:tcPr>
          <w:p w:rsidR="008150B7" w:rsidRPr="008150B7" w:rsidRDefault="008150B7" w:rsidP="00CE3FA2">
            <w:pPr>
              <w:cnfStyle w:val="000000000000" w:firstRow="0" w:lastRow="0" w:firstColumn="0" w:lastColumn="0" w:oddVBand="0" w:evenVBand="0" w:oddHBand="0" w:evenHBand="0" w:firstRowFirstColumn="0" w:firstRowLastColumn="0" w:lastRowFirstColumn="0" w:lastRowLastColumn="0"/>
            </w:pPr>
            <w:r w:rsidRPr="00BB1D89">
              <w:t>365</w:t>
            </w:r>
            <w:r w:rsidR="00CE3FA2">
              <w:t>3</w:t>
            </w:r>
            <w:r w:rsidRPr="00BB1D89">
              <w:t>.</w:t>
            </w:r>
            <w:r w:rsidR="00CE3FA2">
              <w:t>4</w:t>
            </w:r>
          </w:p>
        </w:tc>
      </w:tr>
      <w:tr w:rsidR="008150B7" w:rsidTr="007B1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150B7" w:rsidRPr="008150B7" w:rsidRDefault="008150B7" w:rsidP="008150B7">
            <w:r w:rsidRPr="007B1B37">
              <w:t>Regulatory depreciation</w:t>
            </w:r>
            <w:r w:rsidRPr="008150B7">
              <w:rPr>
                <w:rStyle w:val="AERsuperscript"/>
              </w:rPr>
              <w:t>a</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BB1D89">
              <w:t>71.9</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BB1D89">
              <w:t>84.6</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BB1D89">
              <w:t>97.3</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BB1D89">
              <w:t>104.1</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BB1D89">
              <w:t>118.2</w:t>
            </w:r>
          </w:p>
        </w:tc>
        <w:tc>
          <w:tcPr>
            <w:tcW w:w="1030"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BB1D89">
              <w:t>476.1</w:t>
            </w:r>
          </w:p>
        </w:tc>
      </w:tr>
      <w:tr w:rsidR="008150B7" w:rsidTr="007B1B37">
        <w:tc>
          <w:tcPr>
            <w:cnfStyle w:val="001000000000" w:firstRow="0" w:lastRow="0" w:firstColumn="1" w:lastColumn="0" w:oddVBand="0" w:evenVBand="0" w:oddHBand="0" w:evenHBand="0" w:firstRowFirstColumn="0" w:firstRowLastColumn="0" w:lastRowFirstColumn="0" w:lastRowLastColumn="0"/>
            <w:tcW w:w="2518" w:type="dxa"/>
          </w:tcPr>
          <w:p w:rsidR="008150B7" w:rsidRPr="008150B7" w:rsidRDefault="008150B7" w:rsidP="008150B7">
            <w:r w:rsidRPr="007B1B37">
              <w:t>Operating expenditure</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BB1D89">
              <w:t>351.1</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BB1D89">
              <w:t>356.5</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BB1D89">
              <w:t>370.6</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BB1D89">
              <w:t>391.9</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BB1D89">
              <w:t>404.1</w:t>
            </w:r>
          </w:p>
        </w:tc>
        <w:tc>
          <w:tcPr>
            <w:tcW w:w="1030"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BB1D89">
              <w:t>1874.1</w:t>
            </w:r>
          </w:p>
        </w:tc>
      </w:tr>
      <w:tr w:rsidR="008150B7" w:rsidTr="007B1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150B7" w:rsidRPr="008150B7" w:rsidRDefault="008150B7" w:rsidP="008150B7">
            <w:r w:rsidRPr="007B1B37">
              <w:t>Revenue adjustments</w:t>
            </w:r>
            <w:r w:rsidRPr="008150B7">
              <w:rPr>
                <w:rStyle w:val="AERsuperscript"/>
              </w:rPr>
              <w:t>b</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BB1D89">
              <w:t>273.6</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BB1D89">
              <w:t>1.1</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BB1D89">
              <w:t>1.1</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BB1D89">
              <w:t>1.1</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BB1D89">
              <w:t>1.1</w:t>
            </w:r>
          </w:p>
        </w:tc>
        <w:tc>
          <w:tcPr>
            <w:tcW w:w="1030"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BB1D89">
              <w:t>278.0</w:t>
            </w:r>
          </w:p>
        </w:tc>
      </w:tr>
      <w:tr w:rsidR="008150B7" w:rsidTr="007B1B37">
        <w:tc>
          <w:tcPr>
            <w:cnfStyle w:val="001000000000" w:firstRow="0" w:lastRow="0" w:firstColumn="1" w:lastColumn="0" w:oddVBand="0" w:evenVBand="0" w:oddHBand="0" w:evenHBand="0" w:firstRowFirstColumn="0" w:firstRowLastColumn="0" w:lastRowFirstColumn="0" w:lastRowLastColumn="0"/>
            <w:tcW w:w="2518" w:type="dxa"/>
          </w:tcPr>
          <w:p w:rsidR="008150B7" w:rsidRPr="008150B7" w:rsidRDefault="008150B7" w:rsidP="008150B7">
            <w:r w:rsidRPr="007B1B37">
              <w:t>Corporate tax allowance</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BB1D89">
              <w:t>48.0</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BB1D89">
              <w:t>52.2</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BB1D89">
              <w:t>55.5</w:t>
            </w:r>
          </w:p>
        </w:tc>
        <w:tc>
          <w:tcPr>
            <w:tcW w:w="1029" w:type="dxa"/>
            <w:vAlign w:val="bottom"/>
          </w:tcPr>
          <w:p w:rsidR="008150B7" w:rsidRPr="008150B7" w:rsidRDefault="008150B7" w:rsidP="00CE3FA2">
            <w:pPr>
              <w:cnfStyle w:val="000000000000" w:firstRow="0" w:lastRow="0" w:firstColumn="0" w:lastColumn="0" w:oddVBand="0" w:evenVBand="0" w:oddHBand="0" w:evenHBand="0" w:firstRowFirstColumn="0" w:firstRowLastColumn="0" w:lastRowFirstColumn="0" w:lastRowLastColumn="0"/>
            </w:pPr>
            <w:r w:rsidRPr="00BB1D89">
              <w:t>57.</w:t>
            </w:r>
            <w:r w:rsidR="00CE3FA2">
              <w:t>8</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BB1D89">
              <w:t>61.8</w:t>
            </w:r>
          </w:p>
        </w:tc>
        <w:tc>
          <w:tcPr>
            <w:tcW w:w="1030" w:type="dxa"/>
            <w:vAlign w:val="bottom"/>
          </w:tcPr>
          <w:p w:rsidR="008150B7" w:rsidRPr="008150B7" w:rsidRDefault="008150B7" w:rsidP="00CE3FA2">
            <w:pPr>
              <w:cnfStyle w:val="000000000000" w:firstRow="0" w:lastRow="0" w:firstColumn="0" w:lastColumn="0" w:oddVBand="0" w:evenVBand="0" w:oddHBand="0" w:evenHBand="0" w:firstRowFirstColumn="0" w:firstRowLastColumn="0" w:lastRowFirstColumn="0" w:lastRowLastColumn="0"/>
            </w:pPr>
            <w:r w:rsidRPr="00BB1D89">
              <w:t>275.</w:t>
            </w:r>
            <w:r w:rsidR="00CE3FA2">
              <w:t>3</w:t>
            </w:r>
          </w:p>
        </w:tc>
      </w:tr>
      <w:tr w:rsidR="008150B7" w:rsidTr="007B1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150B7" w:rsidRPr="008150B7" w:rsidRDefault="008150B7" w:rsidP="008150B7">
            <w:r w:rsidRPr="007B1B37">
              <w:t>Annual revenue requirement (unsmoothed)</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BB1D89">
              <w:t>1415.8</w:t>
            </w:r>
          </w:p>
        </w:tc>
        <w:tc>
          <w:tcPr>
            <w:tcW w:w="1029" w:type="dxa"/>
            <w:vAlign w:val="bottom"/>
          </w:tcPr>
          <w:p w:rsidR="008150B7" w:rsidRPr="008150B7" w:rsidRDefault="008150B7" w:rsidP="00CE3FA2">
            <w:pPr>
              <w:cnfStyle w:val="000000010000" w:firstRow="0" w:lastRow="0" w:firstColumn="0" w:lastColumn="0" w:oddVBand="0" w:evenVBand="0" w:oddHBand="0" w:evenHBand="1" w:firstRowFirstColumn="0" w:firstRowLastColumn="0" w:lastRowFirstColumn="0" w:lastRowLastColumn="0"/>
            </w:pPr>
            <w:r w:rsidRPr="00BB1D89">
              <w:t>119</w:t>
            </w:r>
            <w:r w:rsidR="00CE3FA2">
              <w:t>6</w:t>
            </w:r>
            <w:r w:rsidRPr="00BB1D89">
              <w:t>.</w:t>
            </w:r>
            <w:r w:rsidR="00CE3FA2">
              <w:t>1</w:t>
            </w:r>
          </w:p>
        </w:tc>
        <w:tc>
          <w:tcPr>
            <w:tcW w:w="1029" w:type="dxa"/>
            <w:vAlign w:val="bottom"/>
          </w:tcPr>
          <w:p w:rsidR="008150B7" w:rsidRPr="008150B7" w:rsidRDefault="008150B7" w:rsidP="00CE3FA2">
            <w:pPr>
              <w:cnfStyle w:val="000000010000" w:firstRow="0" w:lastRow="0" w:firstColumn="0" w:lastColumn="0" w:oddVBand="0" w:evenVBand="0" w:oddHBand="0" w:evenHBand="1" w:firstRowFirstColumn="0" w:firstRowLastColumn="0" w:lastRowFirstColumn="0" w:lastRowLastColumn="0"/>
            </w:pPr>
            <w:r w:rsidRPr="00BB1D89">
              <w:t>125</w:t>
            </w:r>
            <w:r w:rsidR="00CE3FA2">
              <w:t>6</w:t>
            </w:r>
            <w:r w:rsidRPr="00BB1D89">
              <w:t>.7</w:t>
            </w:r>
          </w:p>
        </w:tc>
        <w:tc>
          <w:tcPr>
            <w:tcW w:w="1029" w:type="dxa"/>
            <w:vAlign w:val="bottom"/>
          </w:tcPr>
          <w:p w:rsidR="008150B7" w:rsidRPr="008150B7" w:rsidRDefault="008150B7" w:rsidP="00CE3FA2">
            <w:pPr>
              <w:cnfStyle w:val="000000010000" w:firstRow="0" w:lastRow="0" w:firstColumn="0" w:lastColumn="0" w:oddVBand="0" w:evenVBand="0" w:oddHBand="0" w:evenHBand="1" w:firstRowFirstColumn="0" w:firstRowLastColumn="0" w:lastRowFirstColumn="0" w:lastRowLastColumn="0"/>
            </w:pPr>
            <w:r w:rsidRPr="00BB1D89">
              <w:t>1315.</w:t>
            </w:r>
            <w:r w:rsidR="00CE3FA2">
              <w:t>0</w:t>
            </w:r>
          </w:p>
        </w:tc>
        <w:tc>
          <w:tcPr>
            <w:tcW w:w="1029" w:type="dxa"/>
            <w:vAlign w:val="bottom"/>
          </w:tcPr>
          <w:p w:rsidR="008150B7" w:rsidRPr="008150B7" w:rsidRDefault="008150B7" w:rsidP="00CE3FA2">
            <w:pPr>
              <w:cnfStyle w:val="000000010000" w:firstRow="0" w:lastRow="0" w:firstColumn="0" w:lastColumn="0" w:oddVBand="0" w:evenVBand="0" w:oddHBand="0" w:evenHBand="1" w:firstRowFirstColumn="0" w:firstRowLastColumn="0" w:lastRowFirstColumn="0" w:lastRowLastColumn="0"/>
            </w:pPr>
            <w:r w:rsidRPr="00BB1D89">
              <w:t>1373.</w:t>
            </w:r>
            <w:r w:rsidR="00CE3FA2">
              <w:t>4</w:t>
            </w:r>
          </w:p>
        </w:tc>
        <w:tc>
          <w:tcPr>
            <w:tcW w:w="1030" w:type="dxa"/>
            <w:vAlign w:val="bottom"/>
          </w:tcPr>
          <w:p w:rsidR="008150B7" w:rsidRPr="008150B7" w:rsidRDefault="008150B7" w:rsidP="00CE3FA2">
            <w:pPr>
              <w:cnfStyle w:val="000000010000" w:firstRow="0" w:lastRow="0" w:firstColumn="0" w:lastColumn="0" w:oddVBand="0" w:evenVBand="0" w:oddHBand="0" w:evenHBand="1" w:firstRowFirstColumn="0" w:firstRowLastColumn="0" w:lastRowFirstColumn="0" w:lastRowLastColumn="0"/>
            </w:pPr>
            <w:r w:rsidRPr="00BB1D89">
              <w:t>655</w:t>
            </w:r>
            <w:r w:rsidR="00CE3FA2">
              <w:t>7</w:t>
            </w:r>
            <w:r w:rsidRPr="00BB1D89">
              <w:t>.</w:t>
            </w:r>
            <w:r w:rsidR="00CE3FA2">
              <w:t>0</w:t>
            </w:r>
          </w:p>
        </w:tc>
      </w:tr>
      <w:tr w:rsidR="008150B7" w:rsidRPr="00BC07C3" w:rsidTr="007B1B37">
        <w:tc>
          <w:tcPr>
            <w:cnfStyle w:val="001000000000" w:firstRow="0" w:lastRow="0" w:firstColumn="1" w:lastColumn="0" w:oddVBand="0" w:evenVBand="0" w:oddHBand="0" w:evenHBand="0" w:firstRowFirstColumn="0" w:firstRowLastColumn="0" w:lastRowFirstColumn="0" w:lastRowLastColumn="0"/>
            <w:tcW w:w="2518" w:type="dxa"/>
          </w:tcPr>
          <w:p w:rsidR="008150B7" w:rsidRPr="008150B7" w:rsidRDefault="008150B7" w:rsidP="008150B7">
            <w:pPr>
              <w:rPr>
                <w:rStyle w:val="Strong"/>
              </w:rPr>
            </w:pPr>
            <w:r w:rsidRPr="007B1B37">
              <w:rPr>
                <w:rStyle w:val="Strong"/>
              </w:rPr>
              <w:t>Annual expected revenue (exc. additionals)</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rPr>
                <w:rStyle w:val="Strong"/>
              </w:rPr>
            </w:pPr>
            <w:r w:rsidRPr="000324FE">
              <w:rPr>
                <w:rStyle w:val="Strong"/>
              </w:rPr>
              <w:t>1139.8</w:t>
            </w:r>
          </w:p>
        </w:tc>
        <w:tc>
          <w:tcPr>
            <w:tcW w:w="1029" w:type="dxa"/>
            <w:vAlign w:val="bottom"/>
          </w:tcPr>
          <w:p w:rsidR="008150B7" w:rsidRPr="008150B7" w:rsidRDefault="008150B7" w:rsidP="00CE3FA2">
            <w:pPr>
              <w:cnfStyle w:val="000000000000" w:firstRow="0" w:lastRow="0" w:firstColumn="0" w:lastColumn="0" w:oddVBand="0" w:evenVBand="0" w:oddHBand="0" w:evenHBand="0" w:firstRowFirstColumn="0" w:firstRowLastColumn="0" w:lastRowFirstColumn="0" w:lastRowLastColumn="0"/>
              <w:rPr>
                <w:rStyle w:val="Strong"/>
              </w:rPr>
            </w:pPr>
            <w:r w:rsidRPr="000324FE">
              <w:rPr>
                <w:rStyle w:val="Strong"/>
              </w:rPr>
              <w:t>1189.</w:t>
            </w:r>
            <w:r w:rsidR="00CE3FA2">
              <w:rPr>
                <w:rStyle w:val="Strong"/>
              </w:rPr>
              <w:t>2</w:t>
            </w:r>
          </w:p>
        </w:tc>
        <w:tc>
          <w:tcPr>
            <w:tcW w:w="1029" w:type="dxa"/>
            <w:vAlign w:val="bottom"/>
          </w:tcPr>
          <w:p w:rsidR="008150B7" w:rsidRPr="008150B7" w:rsidRDefault="008150B7" w:rsidP="00CE3FA2">
            <w:pPr>
              <w:cnfStyle w:val="000000000000" w:firstRow="0" w:lastRow="0" w:firstColumn="0" w:lastColumn="0" w:oddVBand="0" w:evenVBand="0" w:oddHBand="0" w:evenHBand="0" w:firstRowFirstColumn="0" w:firstRowLastColumn="0" w:lastRowFirstColumn="0" w:lastRowLastColumn="0"/>
              <w:rPr>
                <w:rStyle w:val="Strong"/>
              </w:rPr>
            </w:pPr>
            <w:r w:rsidRPr="000324FE">
              <w:rPr>
                <w:rStyle w:val="Strong"/>
              </w:rPr>
              <w:t>145</w:t>
            </w:r>
            <w:r w:rsidR="00CE3FA2">
              <w:rPr>
                <w:rStyle w:val="Strong"/>
              </w:rPr>
              <w:t>6</w:t>
            </w:r>
            <w:r w:rsidRPr="000324FE">
              <w:rPr>
                <w:rStyle w:val="Strong"/>
              </w:rPr>
              <w:t>.</w:t>
            </w:r>
            <w:r w:rsidR="00CE3FA2">
              <w:rPr>
                <w:rStyle w:val="Strong"/>
              </w:rPr>
              <w:t>7</w:t>
            </w:r>
          </w:p>
        </w:tc>
        <w:tc>
          <w:tcPr>
            <w:tcW w:w="1029" w:type="dxa"/>
            <w:vAlign w:val="bottom"/>
          </w:tcPr>
          <w:p w:rsidR="008150B7" w:rsidRPr="008150B7" w:rsidRDefault="008150B7" w:rsidP="00CE3FA2">
            <w:pPr>
              <w:cnfStyle w:val="000000000000" w:firstRow="0" w:lastRow="0" w:firstColumn="0" w:lastColumn="0" w:oddVBand="0" w:evenVBand="0" w:oddHBand="0" w:evenHBand="0" w:firstRowFirstColumn="0" w:firstRowLastColumn="0" w:lastRowFirstColumn="0" w:lastRowLastColumn="0"/>
              <w:rPr>
                <w:rStyle w:val="Strong"/>
              </w:rPr>
            </w:pPr>
            <w:r w:rsidRPr="000324FE">
              <w:rPr>
                <w:rStyle w:val="Strong"/>
              </w:rPr>
              <w:t>1418.</w:t>
            </w:r>
            <w:r w:rsidR="00CE3FA2">
              <w:rPr>
                <w:rStyle w:val="Strong"/>
              </w:rPr>
              <w:t>4</w:t>
            </w:r>
          </w:p>
        </w:tc>
        <w:tc>
          <w:tcPr>
            <w:tcW w:w="1029" w:type="dxa"/>
            <w:vAlign w:val="bottom"/>
          </w:tcPr>
          <w:p w:rsidR="008150B7" w:rsidRPr="008150B7" w:rsidRDefault="008150B7" w:rsidP="00CE3FA2">
            <w:pPr>
              <w:cnfStyle w:val="000000000000" w:firstRow="0" w:lastRow="0" w:firstColumn="0" w:lastColumn="0" w:oddVBand="0" w:evenVBand="0" w:oddHBand="0" w:evenHBand="0" w:firstRowFirstColumn="0" w:firstRowLastColumn="0" w:lastRowFirstColumn="0" w:lastRowLastColumn="0"/>
              <w:rPr>
                <w:rStyle w:val="Strong"/>
              </w:rPr>
            </w:pPr>
            <w:r w:rsidRPr="000324FE">
              <w:rPr>
                <w:rStyle w:val="Strong"/>
              </w:rPr>
              <w:t>139</w:t>
            </w:r>
            <w:r w:rsidR="00CE3FA2">
              <w:rPr>
                <w:rStyle w:val="Strong"/>
              </w:rPr>
              <w:t>5</w:t>
            </w:r>
            <w:r w:rsidRPr="000324FE">
              <w:rPr>
                <w:rStyle w:val="Strong"/>
              </w:rPr>
              <w:t>.</w:t>
            </w:r>
            <w:r w:rsidR="00CE3FA2">
              <w:rPr>
                <w:rStyle w:val="Strong"/>
              </w:rPr>
              <w:t>7</w:t>
            </w:r>
          </w:p>
        </w:tc>
        <w:tc>
          <w:tcPr>
            <w:tcW w:w="1030" w:type="dxa"/>
            <w:vAlign w:val="bottom"/>
          </w:tcPr>
          <w:p w:rsidR="008150B7" w:rsidRPr="008150B7" w:rsidRDefault="008150B7" w:rsidP="00CE3FA2">
            <w:pPr>
              <w:cnfStyle w:val="000000000000" w:firstRow="0" w:lastRow="0" w:firstColumn="0" w:lastColumn="0" w:oddVBand="0" w:evenVBand="0" w:oddHBand="0" w:evenHBand="0" w:firstRowFirstColumn="0" w:firstRowLastColumn="0" w:lastRowFirstColumn="0" w:lastRowLastColumn="0"/>
              <w:rPr>
                <w:rStyle w:val="Strong"/>
              </w:rPr>
            </w:pPr>
            <w:r w:rsidRPr="000324FE">
              <w:rPr>
                <w:rStyle w:val="Strong"/>
              </w:rPr>
              <w:t>6</w:t>
            </w:r>
            <w:r w:rsidR="00CE3FA2">
              <w:rPr>
                <w:rStyle w:val="Strong"/>
              </w:rPr>
              <w:t>599</w:t>
            </w:r>
            <w:r w:rsidRPr="000324FE">
              <w:rPr>
                <w:rStyle w:val="Strong"/>
              </w:rPr>
              <w:t>.</w:t>
            </w:r>
            <w:r w:rsidR="00CE3FA2">
              <w:rPr>
                <w:rStyle w:val="Strong"/>
              </w:rPr>
              <w:t>9</w:t>
            </w:r>
          </w:p>
        </w:tc>
      </w:tr>
      <w:tr w:rsidR="008150B7" w:rsidTr="007B1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150B7" w:rsidRPr="008150B7" w:rsidRDefault="008150B7" w:rsidP="008150B7">
            <w:r w:rsidRPr="007B1B37">
              <w:t>X factor</w:t>
            </w:r>
            <w:r w:rsidRPr="008150B7">
              <w:rPr>
                <w:rStyle w:val="AERsuperscript"/>
              </w:rPr>
              <w:t xml:space="preserve">c </w:t>
            </w:r>
          </w:p>
        </w:tc>
        <w:tc>
          <w:tcPr>
            <w:tcW w:w="1029" w:type="dxa"/>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rPr>
                <w:rStyle w:val="AERsuperscript"/>
              </w:rPr>
            </w:pPr>
            <w:r>
              <w:t>n/a</w:t>
            </w:r>
            <w:r w:rsidRPr="008150B7">
              <w:rPr>
                <w:rStyle w:val="AERsuperscript"/>
              </w:rPr>
              <w:t>e</w:t>
            </w:r>
          </w:p>
        </w:tc>
        <w:tc>
          <w:tcPr>
            <w:tcW w:w="1029" w:type="dxa"/>
            <w:vAlign w:val="bottom"/>
          </w:tcPr>
          <w:p w:rsidR="008150B7" w:rsidRPr="008150B7" w:rsidRDefault="008150B7" w:rsidP="00CE3FA2">
            <w:pPr>
              <w:cnfStyle w:val="000000010000" w:firstRow="0" w:lastRow="0" w:firstColumn="0" w:lastColumn="0" w:oddVBand="0" w:evenVBand="0" w:oddHBand="0" w:evenHBand="1" w:firstRowFirstColumn="0" w:firstRowLastColumn="0" w:lastRowFirstColumn="0" w:lastRowLastColumn="0"/>
            </w:pPr>
            <w:r>
              <w:t>–</w:t>
            </w:r>
            <w:r w:rsidRPr="008150B7">
              <w:t>1.</w:t>
            </w:r>
            <w:r w:rsidR="00CE3FA2">
              <w:t>79</w:t>
            </w:r>
            <w:r w:rsidRPr="008150B7">
              <w:t>%</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t>–</w:t>
            </w:r>
            <w:r w:rsidRPr="008150B7">
              <w:t>19.50%</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7B1B37">
              <w:t>5.00%</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7B1B37">
              <w:t>4.00%</w:t>
            </w:r>
          </w:p>
        </w:tc>
        <w:tc>
          <w:tcPr>
            <w:tcW w:w="1030"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pPr>
            <w:r w:rsidRPr="007B1B37">
              <w:t>n/a</w:t>
            </w:r>
          </w:p>
        </w:tc>
      </w:tr>
      <w:tr w:rsidR="008150B7" w:rsidTr="007B1B37">
        <w:tc>
          <w:tcPr>
            <w:cnfStyle w:val="001000000000" w:firstRow="0" w:lastRow="0" w:firstColumn="1" w:lastColumn="0" w:oddVBand="0" w:evenVBand="0" w:oddHBand="0" w:evenHBand="0" w:firstRowFirstColumn="0" w:firstRowLastColumn="0" w:lastRowFirstColumn="0" w:lastRowLastColumn="0"/>
            <w:tcW w:w="2518" w:type="dxa"/>
          </w:tcPr>
          <w:p w:rsidR="008150B7" w:rsidRPr="008150B7" w:rsidRDefault="008150B7" w:rsidP="008150B7">
            <w:r w:rsidRPr="007B1B37">
              <w:t>Additional amounts in DUoS</w:t>
            </w:r>
            <w:r w:rsidRPr="008150B7">
              <w:rPr>
                <w:rStyle w:val="AERsuperscript"/>
              </w:rPr>
              <w:t>d</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7B1B37">
              <w:t>628.6</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7B1B37">
              <w:t>51</w:t>
            </w:r>
            <w:r>
              <w:t>2</w:t>
            </w:r>
            <w:r w:rsidRPr="007B1B37">
              <w:t>.4</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7B1B37">
              <w:t>182.1</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7B1B37">
              <w:t>172.0</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7B1B37">
              <w:t>162.0</w:t>
            </w:r>
          </w:p>
        </w:tc>
        <w:tc>
          <w:tcPr>
            <w:tcW w:w="1030"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7B1B37">
              <w:t>16</w:t>
            </w:r>
            <w:r>
              <w:t>57</w:t>
            </w:r>
            <w:r w:rsidRPr="007B1B37">
              <w:t>.1</w:t>
            </w:r>
          </w:p>
        </w:tc>
      </w:tr>
      <w:tr w:rsidR="008150B7" w:rsidRPr="00BC07C3" w:rsidTr="007B1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150B7" w:rsidRPr="008150B7" w:rsidRDefault="008150B7" w:rsidP="008150B7">
            <w:pPr>
              <w:rPr>
                <w:rStyle w:val="Strong"/>
              </w:rPr>
            </w:pPr>
            <w:r w:rsidRPr="007B1B37">
              <w:rPr>
                <w:rStyle w:val="Strong"/>
              </w:rPr>
              <w:t>Annual expected revenue (smoothed – inc. additionals)</w:t>
            </w:r>
          </w:p>
        </w:tc>
        <w:tc>
          <w:tcPr>
            <w:tcW w:w="1029" w:type="dxa"/>
            <w:vAlign w:val="bottom"/>
          </w:tcPr>
          <w:p w:rsidR="008150B7" w:rsidRPr="008150B7" w:rsidRDefault="008150B7" w:rsidP="008150B7">
            <w:pPr>
              <w:cnfStyle w:val="000000010000" w:firstRow="0" w:lastRow="0" w:firstColumn="0" w:lastColumn="0" w:oddVBand="0" w:evenVBand="0" w:oddHBand="0" w:evenHBand="1" w:firstRowFirstColumn="0" w:firstRowLastColumn="0" w:lastRowFirstColumn="0" w:lastRowLastColumn="0"/>
              <w:rPr>
                <w:rStyle w:val="Strong"/>
              </w:rPr>
            </w:pPr>
            <w:r w:rsidRPr="000324FE">
              <w:rPr>
                <w:rStyle w:val="Strong"/>
              </w:rPr>
              <w:t>1768.4</w:t>
            </w:r>
          </w:p>
        </w:tc>
        <w:tc>
          <w:tcPr>
            <w:tcW w:w="1029" w:type="dxa"/>
            <w:vAlign w:val="bottom"/>
          </w:tcPr>
          <w:p w:rsidR="008150B7" w:rsidRPr="008150B7" w:rsidRDefault="008150B7" w:rsidP="00CE3FA2">
            <w:pPr>
              <w:cnfStyle w:val="000000010000" w:firstRow="0" w:lastRow="0" w:firstColumn="0" w:lastColumn="0" w:oddVBand="0" w:evenVBand="0" w:oddHBand="0" w:evenHBand="1" w:firstRowFirstColumn="0" w:firstRowLastColumn="0" w:lastRowFirstColumn="0" w:lastRowLastColumn="0"/>
              <w:rPr>
                <w:rStyle w:val="Strong"/>
              </w:rPr>
            </w:pPr>
            <w:r w:rsidRPr="000324FE">
              <w:rPr>
                <w:rStyle w:val="Strong"/>
              </w:rPr>
              <w:t>170</w:t>
            </w:r>
            <w:r w:rsidR="00CE3FA2">
              <w:rPr>
                <w:rStyle w:val="Strong"/>
              </w:rPr>
              <w:t>1</w:t>
            </w:r>
            <w:r w:rsidRPr="000324FE">
              <w:rPr>
                <w:rStyle w:val="Strong"/>
              </w:rPr>
              <w:t>.</w:t>
            </w:r>
            <w:r w:rsidR="00CE3FA2">
              <w:rPr>
                <w:rStyle w:val="Strong"/>
              </w:rPr>
              <w:t>6</w:t>
            </w:r>
          </w:p>
        </w:tc>
        <w:tc>
          <w:tcPr>
            <w:tcW w:w="1029" w:type="dxa"/>
            <w:vAlign w:val="bottom"/>
          </w:tcPr>
          <w:p w:rsidR="008150B7" w:rsidRPr="008150B7" w:rsidRDefault="008150B7" w:rsidP="00CE3FA2">
            <w:pPr>
              <w:cnfStyle w:val="000000010000" w:firstRow="0" w:lastRow="0" w:firstColumn="0" w:lastColumn="0" w:oddVBand="0" w:evenVBand="0" w:oddHBand="0" w:evenHBand="1" w:firstRowFirstColumn="0" w:firstRowLastColumn="0" w:lastRowFirstColumn="0" w:lastRowLastColumn="0"/>
              <w:rPr>
                <w:rStyle w:val="Strong"/>
              </w:rPr>
            </w:pPr>
            <w:r w:rsidRPr="000324FE">
              <w:rPr>
                <w:rStyle w:val="Strong"/>
              </w:rPr>
              <w:t>163</w:t>
            </w:r>
            <w:r w:rsidR="00CE3FA2">
              <w:rPr>
                <w:rStyle w:val="Strong"/>
              </w:rPr>
              <w:t>8</w:t>
            </w:r>
            <w:r w:rsidRPr="000324FE">
              <w:rPr>
                <w:rStyle w:val="Strong"/>
              </w:rPr>
              <w:t>.</w:t>
            </w:r>
            <w:r w:rsidR="00CE3FA2">
              <w:rPr>
                <w:rStyle w:val="Strong"/>
              </w:rPr>
              <w:t>8</w:t>
            </w:r>
          </w:p>
        </w:tc>
        <w:tc>
          <w:tcPr>
            <w:tcW w:w="1029" w:type="dxa"/>
            <w:vAlign w:val="bottom"/>
          </w:tcPr>
          <w:p w:rsidR="008150B7" w:rsidRPr="008150B7" w:rsidRDefault="008150B7" w:rsidP="00CE3FA2">
            <w:pPr>
              <w:cnfStyle w:val="000000010000" w:firstRow="0" w:lastRow="0" w:firstColumn="0" w:lastColumn="0" w:oddVBand="0" w:evenVBand="0" w:oddHBand="0" w:evenHBand="1" w:firstRowFirstColumn="0" w:firstRowLastColumn="0" w:lastRowFirstColumn="0" w:lastRowLastColumn="0"/>
              <w:rPr>
                <w:rStyle w:val="Strong"/>
              </w:rPr>
            </w:pPr>
            <w:r w:rsidRPr="000324FE">
              <w:rPr>
                <w:rStyle w:val="Strong"/>
              </w:rPr>
              <w:t>1590.</w:t>
            </w:r>
            <w:r w:rsidR="00CE3FA2">
              <w:rPr>
                <w:rStyle w:val="Strong"/>
              </w:rPr>
              <w:t>4</w:t>
            </w:r>
          </w:p>
        </w:tc>
        <w:tc>
          <w:tcPr>
            <w:tcW w:w="1029" w:type="dxa"/>
            <w:vAlign w:val="bottom"/>
          </w:tcPr>
          <w:p w:rsidR="008150B7" w:rsidRPr="008150B7" w:rsidRDefault="008150B7" w:rsidP="00CE3FA2">
            <w:pPr>
              <w:cnfStyle w:val="000000010000" w:firstRow="0" w:lastRow="0" w:firstColumn="0" w:lastColumn="0" w:oddVBand="0" w:evenVBand="0" w:oddHBand="0" w:evenHBand="1" w:firstRowFirstColumn="0" w:firstRowLastColumn="0" w:lastRowFirstColumn="0" w:lastRowLastColumn="0"/>
              <w:rPr>
                <w:rStyle w:val="Strong"/>
              </w:rPr>
            </w:pPr>
            <w:r w:rsidRPr="000324FE">
              <w:rPr>
                <w:rStyle w:val="Strong"/>
              </w:rPr>
              <w:t>155</w:t>
            </w:r>
            <w:r w:rsidR="00CE3FA2">
              <w:rPr>
                <w:rStyle w:val="Strong"/>
              </w:rPr>
              <w:t>7</w:t>
            </w:r>
            <w:r w:rsidRPr="000324FE">
              <w:rPr>
                <w:rStyle w:val="Strong"/>
              </w:rPr>
              <w:t>.</w:t>
            </w:r>
            <w:r w:rsidR="00CE3FA2">
              <w:rPr>
                <w:rStyle w:val="Strong"/>
              </w:rPr>
              <w:t>7</w:t>
            </w:r>
          </w:p>
        </w:tc>
        <w:tc>
          <w:tcPr>
            <w:tcW w:w="1030" w:type="dxa"/>
            <w:vAlign w:val="bottom"/>
          </w:tcPr>
          <w:p w:rsidR="008150B7" w:rsidRPr="008150B7" w:rsidRDefault="008150B7" w:rsidP="00CE3FA2">
            <w:pPr>
              <w:cnfStyle w:val="000000010000" w:firstRow="0" w:lastRow="0" w:firstColumn="0" w:lastColumn="0" w:oddVBand="0" w:evenVBand="0" w:oddHBand="0" w:evenHBand="1" w:firstRowFirstColumn="0" w:firstRowLastColumn="0" w:lastRowFirstColumn="0" w:lastRowLastColumn="0"/>
              <w:rPr>
                <w:rStyle w:val="Strong"/>
              </w:rPr>
            </w:pPr>
            <w:r w:rsidRPr="000324FE">
              <w:rPr>
                <w:rStyle w:val="Strong"/>
              </w:rPr>
              <w:t>82</w:t>
            </w:r>
            <w:r>
              <w:rPr>
                <w:rStyle w:val="Strong"/>
              </w:rPr>
              <w:t>5</w:t>
            </w:r>
            <w:r w:rsidR="00CE3FA2">
              <w:rPr>
                <w:rStyle w:val="Strong"/>
              </w:rPr>
              <w:t>7</w:t>
            </w:r>
            <w:r w:rsidRPr="000324FE">
              <w:rPr>
                <w:rStyle w:val="Strong"/>
              </w:rPr>
              <w:t>.</w:t>
            </w:r>
            <w:r w:rsidR="00CE3FA2">
              <w:rPr>
                <w:rStyle w:val="Strong"/>
              </w:rPr>
              <w:t>0</w:t>
            </w:r>
          </w:p>
        </w:tc>
      </w:tr>
      <w:tr w:rsidR="008150B7" w:rsidTr="007B1B37">
        <w:tc>
          <w:tcPr>
            <w:cnfStyle w:val="001000000000" w:firstRow="0" w:lastRow="0" w:firstColumn="1" w:lastColumn="0" w:oddVBand="0" w:evenVBand="0" w:oddHBand="0" w:evenHBand="0" w:firstRowFirstColumn="0" w:firstRowLastColumn="0" w:lastRowFirstColumn="0" w:lastRowLastColumn="0"/>
            <w:tcW w:w="2518" w:type="dxa"/>
          </w:tcPr>
          <w:p w:rsidR="008150B7" w:rsidRPr="008150B7" w:rsidRDefault="008150B7" w:rsidP="008150B7">
            <w:r w:rsidRPr="007B1B37">
              <w:t>Annual change in</w:t>
            </w:r>
            <w:r w:rsidRPr="008150B7">
              <w:t xml:space="preserve"> revenue (inc. additionals)</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t>n/a</w:t>
            </w:r>
            <w:r w:rsidRPr="008150B7">
              <w:t>%</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t>–</w:t>
            </w:r>
            <w:r w:rsidRPr="008150B7">
              <w:t>3.</w:t>
            </w:r>
            <w:r>
              <w:t>8</w:t>
            </w:r>
            <w:r w:rsidRPr="008150B7">
              <w:t>%</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t>–</w:t>
            </w:r>
            <w:r w:rsidRPr="008150B7">
              <w:t>3.</w:t>
            </w:r>
            <w:r>
              <w:t>7</w:t>
            </w:r>
            <w:r w:rsidRPr="008150B7">
              <w:t>%</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t>–</w:t>
            </w:r>
            <w:r w:rsidRPr="008150B7">
              <w:t>2.9%</w:t>
            </w:r>
          </w:p>
        </w:tc>
        <w:tc>
          <w:tcPr>
            <w:tcW w:w="1029"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t>–</w:t>
            </w:r>
            <w:r w:rsidRPr="008150B7">
              <w:t>2.1%</w:t>
            </w:r>
          </w:p>
        </w:tc>
        <w:tc>
          <w:tcPr>
            <w:tcW w:w="1030" w:type="dxa"/>
            <w:vAlign w:val="bottom"/>
          </w:tcPr>
          <w:p w:rsidR="008150B7" w:rsidRPr="008150B7" w:rsidRDefault="008150B7" w:rsidP="008150B7">
            <w:pPr>
              <w:cnfStyle w:val="000000000000" w:firstRow="0" w:lastRow="0" w:firstColumn="0" w:lastColumn="0" w:oddVBand="0" w:evenVBand="0" w:oddHBand="0" w:evenHBand="0" w:firstRowFirstColumn="0" w:firstRowLastColumn="0" w:lastRowFirstColumn="0" w:lastRowLastColumn="0"/>
            </w:pPr>
            <w:r w:rsidRPr="007B1B37">
              <w:t>n/a</w:t>
            </w:r>
          </w:p>
        </w:tc>
      </w:tr>
    </w:tbl>
    <w:p w:rsidR="007B3355" w:rsidRPr="00012781" w:rsidRDefault="007B3355" w:rsidP="007B3355">
      <w:pPr>
        <w:pStyle w:val="AERtablesource"/>
      </w:pPr>
      <w:r w:rsidRPr="00012781">
        <w:t xml:space="preserve">Source: </w:t>
      </w:r>
      <w:r w:rsidRPr="00012781">
        <w:tab/>
        <w:t>AER analysis.</w:t>
      </w:r>
    </w:p>
    <w:p w:rsidR="007B3355" w:rsidRPr="00012781" w:rsidRDefault="007B3355" w:rsidP="007B3355">
      <w:pPr>
        <w:pStyle w:val="AERtablesource"/>
      </w:pPr>
      <w:r w:rsidRPr="00012781">
        <w:t xml:space="preserve">(a) </w:t>
      </w:r>
      <w:r w:rsidRPr="00012781">
        <w:tab/>
        <w:t xml:space="preserve">Regulatory depreciation is straight-line depreciation net of the inflation indexation on the opening RAB. </w:t>
      </w:r>
    </w:p>
    <w:p w:rsidR="007B3355" w:rsidRDefault="007B3355" w:rsidP="007B3355">
      <w:pPr>
        <w:pStyle w:val="AERtablesource"/>
      </w:pPr>
      <w:r w:rsidRPr="00012781">
        <w:t>(b)</w:t>
      </w:r>
      <w:r w:rsidRPr="00012781">
        <w:tab/>
      </w:r>
      <w:r>
        <w:t>Revenue adjustments include forecast DMIA and DUoS under</w:t>
      </w:r>
      <w:r w:rsidR="00402401">
        <w:t>-</w:t>
      </w:r>
      <w:r>
        <w:t>recoveries.</w:t>
      </w:r>
      <w:r w:rsidRPr="00012781">
        <w:t xml:space="preserve"> </w:t>
      </w:r>
    </w:p>
    <w:p w:rsidR="007B3355" w:rsidRDefault="007B3355" w:rsidP="007B3355">
      <w:pPr>
        <w:pStyle w:val="AERtablesource"/>
      </w:pPr>
      <w:r>
        <w:t xml:space="preserve">(c) </w:t>
      </w:r>
      <w:r>
        <w:tab/>
      </w:r>
      <w:r w:rsidRPr="00266E3C">
        <w:t>The X factor</w:t>
      </w:r>
      <w:r>
        <w:t>s</w:t>
      </w:r>
      <w:r w:rsidRPr="00266E3C">
        <w:t xml:space="preserve"> </w:t>
      </w:r>
      <w:r>
        <w:t xml:space="preserve">from 2016–17 to 2019–20 </w:t>
      </w:r>
      <w:r w:rsidRPr="00266E3C">
        <w:t xml:space="preserve">will be revised </w:t>
      </w:r>
      <w:r>
        <w:t>t</w:t>
      </w:r>
      <w:r w:rsidRPr="00266E3C">
        <w:t>o reflect the annual return on debt update.</w:t>
      </w:r>
      <w:r>
        <w:t xml:space="preserve"> </w:t>
      </w:r>
    </w:p>
    <w:p w:rsidR="007B3355" w:rsidRDefault="007B3355" w:rsidP="007B3355">
      <w:pPr>
        <w:pStyle w:val="AERtablesource"/>
      </w:pPr>
      <w:r>
        <w:t xml:space="preserve">(d) </w:t>
      </w:r>
      <w:r>
        <w:tab/>
        <w:t xml:space="preserve">Additional amounts in DUoS include </w:t>
      </w:r>
      <w:r w:rsidR="00AD4710">
        <w:t>S</w:t>
      </w:r>
      <w:r w:rsidRPr="00355EBC">
        <w:t xml:space="preserve">olar </w:t>
      </w:r>
      <w:r w:rsidR="00AD4710">
        <w:t>B</w:t>
      </w:r>
      <w:r w:rsidRPr="00355EBC">
        <w:t xml:space="preserve">onus </w:t>
      </w:r>
      <w:r w:rsidR="00AD4710">
        <w:t>S</w:t>
      </w:r>
      <w:r w:rsidRPr="00355EBC">
        <w:t>cheme forecasts (jurisdictional scheme</w:t>
      </w:r>
      <w:r>
        <w:t xml:space="preserve"> obligation for FiT) for 2015–20, e</w:t>
      </w:r>
      <w:r w:rsidRPr="00355EBC">
        <w:t xml:space="preserve">stimated </w:t>
      </w:r>
      <w:r w:rsidR="00AD4710">
        <w:t>S</w:t>
      </w:r>
      <w:r w:rsidRPr="00355EBC">
        <w:t xml:space="preserve">olar </w:t>
      </w:r>
      <w:r w:rsidR="00AD4710">
        <w:t>B</w:t>
      </w:r>
      <w:r w:rsidRPr="00355EBC">
        <w:t xml:space="preserve">onus </w:t>
      </w:r>
      <w:r w:rsidR="00AD4710">
        <w:t>S</w:t>
      </w:r>
      <w:r w:rsidRPr="00355EBC">
        <w:t>cheme pass throughs for 2015–16 and 2016–7 relating to under-recoveries in 2013–14 and 2014–15</w:t>
      </w:r>
      <w:r>
        <w:t>, expected DUoS under</w:t>
      </w:r>
      <w:r w:rsidR="00402401">
        <w:t>-</w:t>
      </w:r>
      <w:r>
        <w:t>recovery in 2013–14 to be recovered in 2015–16, expected transitional capital contributions pass throughs</w:t>
      </w:r>
      <w:r w:rsidRPr="00933E00">
        <w:t xml:space="preserve"> for 2015–16 and 2016–7 relating to under-recoveries in 2013–14 and 2014–15</w:t>
      </w:r>
      <w:r w:rsidR="00ED59B2">
        <w:t xml:space="preserve">, </w:t>
      </w:r>
      <w:r w:rsidRPr="00355EBC">
        <w:t xml:space="preserve">STPIS </w:t>
      </w:r>
      <w:r w:rsidR="00ED59B2">
        <w:t>rewards for 2</w:t>
      </w:r>
      <w:r w:rsidRPr="00355EBC">
        <w:t>01</w:t>
      </w:r>
      <w:r w:rsidR="00ED59B2">
        <w:t>5</w:t>
      </w:r>
      <w:r w:rsidRPr="00355EBC">
        <w:t>–1</w:t>
      </w:r>
      <w:r w:rsidR="00ED59B2">
        <w:t>6 and 2016–17, and DMIS allowance to be returned in 2016–17</w:t>
      </w:r>
      <w:r>
        <w:t>.</w:t>
      </w:r>
    </w:p>
    <w:p w:rsidR="00402401" w:rsidRPr="00402401" w:rsidRDefault="00402401" w:rsidP="00402401">
      <w:pPr>
        <w:pStyle w:val="AERtablesource"/>
      </w:pPr>
      <w:r>
        <w:t>(e)</w:t>
      </w:r>
      <w:r>
        <w:tab/>
        <w:t xml:space="preserve">In our preliminary decision, we determined the expected revenue </w:t>
      </w:r>
      <w:r w:rsidR="00122724">
        <w:t xml:space="preserve">and associated X factor </w:t>
      </w:r>
      <w:r>
        <w:t xml:space="preserve">for 2015–16. In this final decision to update the 2015–16 revenue for our assessment of efficient costs, we </w:t>
      </w:r>
      <w:r w:rsidR="00122724">
        <w:t xml:space="preserve">maintained the preliminary decision expected revenue for 2015–16 and </w:t>
      </w:r>
      <w:r>
        <w:t>determined X factors for the final four years of the 2015–20 regulatory control period. This is to adjust Energex's total expected revenue requirement for the remaining four years in the 2015–20 regulatory control period for the difference between the preliminary decision revenue and our final decision on Energex's efficient costs for 2015–16.</w:t>
      </w:r>
    </w:p>
    <w:p w:rsidR="007B3355" w:rsidRDefault="007B3355" w:rsidP="007B3355">
      <w:pPr>
        <w:pStyle w:val="Heading2"/>
      </w:pPr>
      <w:bookmarkStart w:id="21" w:name="_Toc417973137"/>
      <w:bookmarkStart w:id="22" w:name="_Toc433723297"/>
      <w:r>
        <w:t>Regulatory asset base</w:t>
      </w:r>
      <w:bookmarkEnd w:id="21"/>
      <w:bookmarkEnd w:id="22"/>
    </w:p>
    <w:p w:rsidR="007B3355" w:rsidRPr="009F4C42" w:rsidRDefault="007B3355" w:rsidP="007B3355">
      <w:pPr>
        <w:numPr>
          <w:ilvl w:val="0"/>
          <w:numId w:val="25"/>
        </w:numPr>
      </w:pPr>
      <w:r w:rsidRPr="009F4C42">
        <w:t xml:space="preserve">The RAB is the value of </w:t>
      </w:r>
      <w:r>
        <w:t>Energex's</w:t>
      </w:r>
      <w:r w:rsidRPr="009F4C42">
        <w:t xml:space="preserve"> assets used to provide </w:t>
      </w:r>
      <w:r>
        <w:t xml:space="preserve">distribution </w:t>
      </w:r>
      <w:r w:rsidRPr="009F4C42">
        <w:t xml:space="preserve">network services. </w:t>
      </w:r>
      <w:r>
        <w:t xml:space="preserve">It </w:t>
      </w:r>
      <w:r w:rsidRPr="009F4C42">
        <w:t xml:space="preserve">is the value on which </w:t>
      </w:r>
      <w:r>
        <w:t>Energex</w:t>
      </w:r>
      <w:r w:rsidRPr="009F4C42">
        <w:t xml:space="preserve"> earns a return on capital</w:t>
      </w:r>
      <w:r>
        <w:t xml:space="preserve">, and </w:t>
      </w:r>
      <w:r w:rsidRPr="009F4C42">
        <w:t>a depreciation allowance (return of capital)</w:t>
      </w:r>
      <w:r>
        <w:t xml:space="preserve"> on assets in its RAB</w:t>
      </w:r>
      <w:r w:rsidRPr="009F4C42">
        <w:t>.</w:t>
      </w:r>
      <w:r>
        <w:t xml:space="preserve"> W</w:t>
      </w:r>
      <w:r w:rsidRPr="009F4C42">
        <w:t xml:space="preserve">e assess </w:t>
      </w:r>
      <w:r>
        <w:t>Energex's</w:t>
      </w:r>
      <w:r w:rsidRPr="009F4C42">
        <w:t xml:space="preserve"> proposed opening value for the RAB for each year of the 201</w:t>
      </w:r>
      <w:r>
        <w:t>5</w:t>
      </w:r>
      <w:r w:rsidRPr="009F4C42">
        <w:t>–</w:t>
      </w:r>
      <w:r>
        <w:t>20</w:t>
      </w:r>
      <w:r w:rsidRPr="009F4C42">
        <w:t xml:space="preserve"> regulatory control period.</w:t>
      </w:r>
      <w:r w:rsidRPr="00112BF8">
        <w:rPr>
          <w:rStyle w:val="FootnoteReference"/>
        </w:rPr>
        <w:footnoteReference w:id="27"/>
      </w:r>
      <w:r w:rsidRPr="009F4C42">
        <w:t xml:space="preserve"> </w:t>
      </w:r>
    </w:p>
    <w:p w:rsidR="009F0BCD" w:rsidRDefault="007B3355" w:rsidP="001E147F">
      <w:r w:rsidRPr="00112BF8">
        <w:rPr>
          <w:rStyle w:val="AERbody"/>
        </w:rPr>
        <w:t xml:space="preserve">Our </w:t>
      </w:r>
      <w:r w:rsidR="003F1CB6">
        <w:rPr>
          <w:rStyle w:val="AERbody"/>
        </w:rPr>
        <w:t>final</w:t>
      </w:r>
      <w:r>
        <w:rPr>
          <w:rStyle w:val="AERbody"/>
        </w:rPr>
        <w:t xml:space="preserve"> </w:t>
      </w:r>
      <w:r w:rsidRPr="00112BF8">
        <w:rPr>
          <w:rStyle w:val="AERbody"/>
        </w:rPr>
        <w:t>decision is to set Energex's opening RAB at $</w:t>
      </w:r>
      <w:r w:rsidR="009F0BCD">
        <w:t>11 172.5 </w:t>
      </w:r>
      <w:r w:rsidRPr="00112BF8">
        <w:rPr>
          <w:rStyle w:val="AERbody"/>
        </w:rPr>
        <w:t>million ($</w:t>
      </w:r>
      <w:r>
        <w:rPr>
          <w:rStyle w:val="AERbody"/>
        </w:rPr>
        <w:t> </w:t>
      </w:r>
      <w:r w:rsidRPr="00112BF8">
        <w:rPr>
          <w:rStyle w:val="AERbody"/>
        </w:rPr>
        <w:t xml:space="preserve">nominal) as at </w:t>
      </w:r>
      <w:r w:rsidRPr="001E147F">
        <w:t>1 July 2015</w:t>
      </w:r>
      <w:r w:rsidRPr="00112BF8">
        <w:rPr>
          <w:rStyle w:val="AERbody"/>
        </w:rPr>
        <w:t xml:space="preserve">. </w:t>
      </w:r>
      <w:r w:rsidR="009F0BCD">
        <w:t>Energex adopted our preliminary decision amendments in its revised proposal.</w:t>
      </w:r>
      <w:r w:rsidR="009F0BCD">
        <w:rPr>
          <w:rStyle w:val="FootnoteReference"/>
        </w:rPr>
        <w:footnoteReference w:id="28"/>
      </w:r>
      <w:r w:rsidR="009F0BCD">
        <w:t xml:space="preserve"> We made two changes </w:t>
      </w:r>
      <w:r w:rsidR="00454940">
        <w:t>to the manner in which we calculated Energex's RAB in our preliminary decision</w:t>
      </w:r>
      <w:r w:rsidR="009F0BCD">
        <w:t>:</w:t>
      </w:r>
    </w:p>
    <w:p w:rsidR="009F0BCD" w:rsidRDefault="009F0BCD" w:rsidP="00F6603A">
      <w:pPr>
        <w:pStyle w:val="ListNumber"/>
        <w:numPr>
          <w:ilvl w:val="0"/>
          <w:numId w:val="48"/>
        </w:numPr>
      </w:pPr>
      <w:r>
        <w:t>updating 2014–15 capex with more recent estimates</w:t>
      </w:r>
    </w:p>
    <w:p w:rsidR="009F0BCD" w:rsidRDefault="009F0BCD" w:rsidP="009F0BCD">
      <w:pPr>
        <w:pStyle w:val="ListNumber"/>
      </w:pPr>
      <w:r>
        <w:t>updating the RAB roll forward with the actual inflation input for 2014–15.</w:t>
      </w:r>
    </w:p>
    <w:p w:rsidR="007B3355" w:rsidRPr="007B3355" w:rsidRDefault="009F0BCD" w:rsidP="009F0BCD">
      <w:pPr>
        <w:rPr>
          <w:rStyle w:val="AERbodytextChar"/>
          <w:rFonts w:eastAsiaTheme="minorHAnsi"/>
        </w:rPr>
      </w:pPr>
      <w:r>
        <w:t xml:space="preserve">For this final decision, we maintain our preliminary decision position on the use of forecast depreciation for establishing the RAB at the commencement of the regulatory control period from 1 July 2020. We note Energex's revised proposal did not </w:t>
      </w:r>
      <w:r w:rsidR="00C62A8E">
        <w:t xml:space="preserve">dispute </w:t>
      </w:r>
      <w:r>
        <w:t xml:space="preserve">this issue. </w:t>
      </w:r>
    </w:p>
    <w:p w:rsidR="007B3355" w:rsidRDefault="007B3355" w:rsidP="007B3355">
      <w:pPr>
        <w:numPr>
          <w:ilvl w:val="0"/>
          <w:numId w:val="25"/>
        </w:numPr>
      </w:pPr>
      <w:r>
        <w:t>Tables 3</w:t>
      </w:r>
      <w:r w:rsidRPr="00112BF8">
        <w:t xml:space="preserve"> </w:t>
      </w:r>
      <w:r>
        <w:t xml:space="preserve">and 4 </w:t>
      </w:r>
      <w:r w:rsidRPr="00112BF8">
        <w:t xml:space="preserve">set out our </w:t>
      </w:r>
      <w:r w:rsidR="003F1CB6">
        <w:t>final</w:t>
      </w:r>
      <w:r w:rsidRPr="00112BF8">
        <w:t xml:space="preserve"> decision on the roll forward of Energex's RAB for </w:t>
      </w:r>
      <w:r>
        <w:t>the 2010–15 regulatory control period</w:t>
      </w:r>
      <w:r w:rsidRPr="00112BF8">
        <w:t xml:space="preserve"> </w:t>
      </w:r>
      <w:r>
        <w:t xml:space="preserve">and the forecast RAB for Energex </w:t>
      </w:r>
      <w:r w:rsidRPr="00112BF8">
        <w:t xml:space="preserve">during the </w:t>
      </w:r>
      <w:r w:rsidR="000324FE">
        <w:br/>
      </w:r>
      <w:r w:rsidRPr="00112BF8">
        <w:t>201</w:t>
      </w:r>
      <w:r>
        <w:t>5</w:t>
      </w:r>
      <w:r w:rsidRPr="00112BF8">
        <w:t>–</w:t>
      </w:r>
      <w:r>
        <w:t>20</w:t>
      </w:r>
      <w:r w:rsidRPr="00112BF8">
        <w:t xml:space="preserve"> regulatory control period</w:t>
      </w:r>
      <w:r>
        <w:t xml:space="preserve"> respectively</w:t>
      </w:r>
      <w:r w:rsidRPr="00112BF8">
        <w:t>.</w:t>
      </w:r>
    </w:p>
    <w:p w:rsidR="007B3355" w:rsidRDefault="007B3355" w:rsidP="007B3355">
      <w:pPr>
        <w:pStyle w:val="Caption"/>
      </w:pPr>
      <w:r w:rsidRPr="00112BF8">
        <w:t xml:space="preserve">Table </w:t>
      </w:r>
      <w:r>
        <w:t>3</w:t>
      </w:r>
      <w:r w:rsidRPr="00112BF8">
        <w:t xml:space="preserve"> </w:t>
      </w:r>
      <w:r w:rsidRPr="00112BF8">
        <w:tab/>
        <w:t xml:space="preserve">AER's </w:t>
      </w:r>
      <w:r w:rsidR="003F1CB6">
        <w:t xml:space="preserve">final </w:t>
      </w:r>
      <w:r w:rsidRPr="00112BF8">
        <w:t>decision on Energex's RAB for the 2010–15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7B3355" w:rsidRPr="00237902" w:rsidTr="00D2765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7B3355" w:rsidRPr="007B3355" w:rsidRDefault="007B3355" w:rsidP="007B3355">
            <w:r w:rsidRPr="00237902">
              <w:t> </w:t>
            </w:r>
          </w:p>
        </w:tc>
        <w:tc>
          <w:tcPr>
            <w:tcW w:w="566"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237902">
              <w:t>2010–11</w:t>
            </w:r>
          </w:p>
        </w:tc>
        <w:tc>
          <w:tcPr>
            <w:tcW w:w="566"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237902">
              <w:t>2011–12</w:t>
            </w:r>
          </w:p>
        </w:tc>
        <w:tc>
          <w:tcPr>
            <w:tcW w:w="567"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237902">
              <w:t>2012–13</w:t>
            </w:r>
          </w:p>
        </w:tc>
        <w:tc>
          <w:tcPr>
            <w:tcW w:w="566"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237902">
              <w:t>2013–14</w:t>
            </w:r>
          </w:p>
        </w:tc>
        <w:tc>
          <w:tcPr>
            <w:tcW w:w="567"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237902">
              <w:t>2014–15</w:t>
            </w:r>
            <w:r w:rsidRPr="007B3355">
              <w:rPr>
                <w:rStyle w:val="AERsuperscript"/>
              </w:rPr>
              <w:t>a</w:t>
            </w:r>
          </w:p>
        </w:tc>
      </w:tr>
      <w:tr w:rsidR="000324FE" w:rsidRPr="00237902" w:rsidTr="000324FE">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0324FE" w:rsidRPr="000324FE" w:rsidRDefault="000324FE" w:rsidP="000324FE">
            <w:r w:rsidRPr="000324FE">
              <w:t>Opening RAB</w:t>
            </w:r>
          </w:p>
        </w:tc>
        <w:tc>
          <w:tcPr>
            <w:tcW w:w="566"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7867.3</w:t>
            </w:r>
          </w:p>
        </w:tc>
        <w:tc>
          <w:tcPr>
            <w:tcW w:w="566"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8856.5</w:t>
            </w:r>
          </w:p>
        </w:tc>
        <w:tc>
          <w:tcPr>
            <w:tcW w:w="567"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9645.6</w:t>
            </w:r>
          </w:p>
        </w:tc>
        <w:tc>
          <w:tcPr>
            <w:tcW w:w="566"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10462.1</w:t>
            </w:r>
          </w:p>
        </w:tc>
        <w:tc>
          <w:tcPr>
            <w:tcW w:w="567"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11178.3</w:t>
            </w:r>
          </w:p>
        </w:tc>
      </w:tr>
      <w:tr w:rsidR="000324FE" w:rsidRPr="00237902" w:rsidTr="000324F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0324FE" w:rsidRPr="000324FE" w:rsidRDefault="000324FE" w:rsidP="000324FE">
            <w:r w:rsidRPr="000324FE">
              <w:t>Capital expenditure</w:t>
            </w:r>
            <w:r w:rsidRPr="000324FE">
              <w:rPr>
                <w:rStyle w:val="AERsuperscript"/>
              </w:rPr>
              <w:t>b</w:t>
            </w:r>
          </w:p>
        </w:tc>
        <w:tc>
          <w:tcPr>
            <w:tcW w:w="566" w:type="pct"/>
            <w:noWrap/>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rsidRPr="000324FE">
              <w:t>1004.9</w:t>
            </w:r>
          </w:p>
        </w:tc>
        <w:tc>
          <w:tcPr>
            <w:tcW w:w="566" w:type="pct"/>
            <w:noWrap/>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rsidRPr="000324FE">
              <w:t>965.7</w:t>
            </w:r>
          </w:p>
        </w:tc>
        <w:tc>
          <w:tcPr>
            <w:tcW w:w="567" w:type="pct"/>
            <w:noWrap/>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rsidRPr="000324FE">
              <w:t>921.9</w:t>
            </w:r>
          </w:p>
        </w:tc>
        <w:tc>
          <w:tcPr>
            <w:tcW w:w="566" w:type="pct"/>
            <w:noWrap/>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rsidRPr="000324FE">
              <w:t>789.0</w:t>
            </w:r>
          </w:p>
        </w:tc>
        <w:tc>
          <w:tcPr>
            <w:tcW w:w="567" w:type="pct"/>
            <w:noWrap/>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rsidRPr="000324FE">
              <w:t>758.1</w:t>
            </w:r>
          </w:p>
        </w:tc>
      </w:tr>
      <w:tr w:rsidR="000324FE" w:rsidRPr="00237902" w:rsidTr="000324FE">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0324FE" w:rsidRPr="000324FE" w:rsidRDefault="000324FE" w:rsidP="000324FE">
            <w:r w:rsidRPr="000324FE">
              <w:t>Inflation indexation on opening RAB</w:t>
            </w:r>
          </w:p>
        </w:tc>
        <w:tc>
          <w:tcPr>
            <w:tcW w:w="566"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262.0</w:t>
            </w:r>
          </w:p>
        </w:tc>
        <w:tc>
          <w:tcPr>
            <w:tcW w:w="566"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139.9</w:t>
            </w:r>
          </w:p>
        </w:tc>
        <w:tc>
          <w:tcPr>
            <w:tcW w:w="567"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241.1</w:t>
            </w:r>
          </w:p>
        </w:tc>
        <w:tc>
          <w:tcPr>
            <w:tcW w:w="566"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306.5</w:t>
            </w:r>
          </w:p>
        </w:tc>
        <w:tc>
          <w:tcPr>
            <w:tcW w:w="567"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148.7</w:t>
            </w:r>
          </w:p>
        </w:tc>
      </w:tr>
      <w:tr w:rsidR="000324FE" w:rsidRPr="00237902" w:rsidTr="000324F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0324FE" w:rsidRPr="000324FE" w:rsidRDefault="000324FE" w:rsidP="000324FE">
            <w:r w:rsidRPr="000324FE">
              <w:rPr>
                <w:rStyle w:val="AERtextitalic"/>
              </w:rPr>
              <w:t>Less</w:t>
            </w:r>
            <w:r w:rsidRPr="000324FE">
              <w:t>: straight-line depreciation</w:t>
            </w:r>
          </w:p>
        </w:tc>
        <w:tc>
          <w:tcPr>
            <w:tcW w:w="566" w:type="pct"/>
            <w:noWrap/>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rsidRPr="000324FE">
              <w:t>277.7</w:t>
            </w:r>
          </w:p>
        </w:tc>
        <w:tc>
          <w:tcPr>
            <w:tcW w:w="566" w:type="pct"/>
            <w:noWrap/>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rsidRPr="000324FE">
              <w:t>316.5</w:t>
            </w:r>
          </w:p>
        </w:tc>
        <w:tc>
          <w:tcPr>
            <w:tcW w:w="567" w:type="pct"/>
            <w:noWrap/>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rsidRPr="000324FE">
              <w:t>346.6</w:t>
            </w:r>
          </w:p>
        </w:tc>
        <w:tc>
          <w:tcPr>
            <w:tcW w:w="566" w:type="pct"/>
            <w:noWrap/>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rsidRPr="000324FE">
              <w:t>379.3</w:t>
            </w:r>
          </w:p>
        </w:tc>
        <w:tc>
          <w:tcPr>
            <w:tcW w:w="567" w:type="pct"/>
            <w:noWrap/>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rsidRPr="000324FE">
              <w:t>403.7</w:t>
            </w:r>
          </w:p>
        </w:tc>
      </w:tr>
      <w:tr w:rsidR="000324FE" w:rsidRPr="00237902" w:rsidTr="000324FE">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0324FE" w:rsidRPr="000324FE" w:rsidRDefault="000324FE" w:rsidP="000324FE">
            <w:r w:rsidRPr="000324FE">
              <w:t>Closing RAB</w:t>
            </w:r>
          </w:p>
        </w:tc>
        <w:tc>
          <w:tcPr>
            <w:tcW w:w="566"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8856.5</w:t>
            </w:r>
          </w:p>
        </w:tc>
        <w:tc>
          <w:tcPr>
            <w:tcW w:w="566"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9645.6</w:t>
            </w:r>
          </w:p>
        </w:tc>
        <w:tc>
          <w:tcPr>
            <w:tcW w:w="567"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10462.1</w:t>
            </w:r>
          </w:p>
        </w:tc>
        <w:tc>
          <w:tcPr>
            <w:tcW w:w="566"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11178.3</w:t>
            </w:r>
          </w:p>
        </w:tc>
        <w:tc>
          <w:tcPr>
            <w:tcW w:w="567"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11681.4</w:t>
            </w:r>
          </w:p>
        </w:tc>
      </w:tr>
      <w:tr w:rsidR="000324FE" w:rsidRPr="00237902" w:rsidTr="000324F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0324FE" w:rsidRPr="000324FE" w:rsidRDefault="000324FE" w:rsidP="000324FE">
            <w:r w:rsidRPr="000324FE">
              <w:t>Difference between estimated and actual 2009–10 capex (1 July 2009 to 30 June 2010)</w:t>
            </w:r>
          </w:p>
        </w:tc>
        <w:tc>
          <w:tcPr>
            <w:tcW w:w="566" w:type="pct"/>
            <w:noWrap/>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p>
        </w:tc>
        <w:tc>
          <w:tcPr>
            <w:tcW w:w="566" w:type="pct"/>
            <w:noWrap/>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p>
        </w:tc>
        <w:tc>
          <w:tcPr>
            <w:tcW w:w="567" w:type="pct"/>
            <w:noWrap/>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p>
        </w:tc>
        <w:tc>
          <w:tcPr>
            <w:tcW w:w="566" w:type="pct"/>
            <w:noWrap/>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t>–</w:t>
            </w:r>
            <w:r w:rsidRPr="000324FE">
              <w:t>32.7</w:t>
            </w:r>
          </w:p>
        </w:tc>
      </w:tr>
      <w:tr w:rsidR="000324FE" w:rsidRPr="00237902" w:rsidTr="000324FE">
        <w:trPr>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0324FE" w:rsidRPr="000324FE" w:rsidRDefault="000324FE" w:rsidP="000324FE">
            <w:r w:rsidRPr="000324FE">
              <w:t>Return on difference for 2009–10 capex</w:t>
            </w:r>
          </w:p>
        </w:tc>
        <w:tc>
          <w:tcPr>
            <w:tcW w:w="566" w:type="pct"/>
            <w:noWrap/>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p>
        </w:tc>
        <w:tc>
          <w:tcPr>
            <w:tcW w:w="566" w:type="pct"/>
            <w:noWrap/>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p>
        </w:tc>
        <w:tc>
          <w:tcPr>
            <w:tcW w:w="567" w:type="pct"/>
            <w:noWrap/>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p>
        </w:tc>
        <w:tc>
          <w:tcPr>
            <w:tcW w:w="566" w:type="pct"/>
            <w:noWrap/>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p>
        </w:tc>
        <w:tc>
          <w:tcPr>
            <w:tcW w:w="567"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t>–</w:t>
            </w:r>
            <w:r w:rsidRPr="000324FE">
              <w:t>18.8</w:t>
            </w:r>
          </w:p>
        </w:tc>
      </w:tr>
      <w:tr w:rsidR="000324FE" w:rsidRPr="00237902" w:rsidTr="000324F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0324FE" w:rsidRPr="000324FE" w:rsidRDefault="000324FE" w:rsidP="000324FE">
            <w:r w:rsidRPr="000324FE">
              <w:t>Closing RAB as at 30 June 2015</w:t>
            </w:r>
          </w:p>
        </w:tc>
        <w:tc>
          <w:tcPr>
            <w:tcW w:w="566" w:type="pct"/>
            <w:noWrap/>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p>
        </w:tc>
        <w:tc>
          <w:tcPr>
            <w:tcW w:w="566" w:type="pct"/>
            <w:noWrap/>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p>
        </w:tc>
        <w:tc>
          <w:tcPr>
            <w:tcW w:w="567" w:type="pct"/>
            <w:noWrap/>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p>
        </w:tc>
        <w:tc>
          <w:tcPr>
            <w:tcW w:w="566" w:type="pct"/>
            <w:noWrap/>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p>
        </w:tc>
        <w:tc>
          <w:tcPr>
            <w:tcW w:w="567" w:type="pct"/>
            <w:noWrap/>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rsidRPr="000324FE">
              <w:t>11629.8</w:t>
            </w:r>
          </w:p>
        </w:tc>
      </w:tr>
      <w:tr w:rsidR="000324FE" w:rsidRPr="00237902" w:rsidTr="000324FE">
        <w:trPr>
          <w:trHeight w:val="340"/>
        </w:trPr>
        <w:tc>
          <w:tcPr>
            <w:cnfStyle w:val="001000000000" w:firstRow="0" w:lastRow="0" w:firstColumn="1" w:lastColumn="0" w:oddVBand="0" w:evenVBand="0" w:oddHBand="0" w:evenHBand="0" w:firstRowFirstColumn="0" w:firstRowLastColumn="0" w:lastRowFirstColumn="0" w:lastRowLastColumn="0"/>
            <w:tcW w:w="2168" w:type="pct"/>
            <w:noWrap/>
          </w:tcPr>
          <w:p w:rsidR="000324FE" w:rsidRPr="000324FE" w:rsidRDefault="000324FE" w:rsidP="000324FE">
            <w:r w:rsidRPr="000324FE">
              <w:t>Assets moved to ACS and unregulated assets removed</w:t>
            </w:r>
          </w:p>
        </w:tc>
        <w:tc>
          <w:tcPr>
            <w:tcW w:w="566" w:type="pct"/>
            <w:noWrap/>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p>
        </w:tc>
        <w:tc>
          <w:tcPr>
            <w:tcW w:w="566" w:type="pct"/>
            <w:noWrap/>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p>
        </w:tc>
        <w:tc>
          <w:tcPr>
            <w:tcW w:w="567" w:type="pct"/>
            <w:noWrap/>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p>
        </w:tc>
        <w:tc>
          <w:tcPr>
            <w:tcW w:w="566" w:type="pct"/>
            <w:noWrap/>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p>
        </w:tc>
        <w:tc>
          <w:tcPr>
            <w:tcW w:w="567" w:type="pct"/>
            <w:noWrap/>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t>–</w:t>
            </w:r>
            <w:r w:rsidRPr="000324FE">
              <w:t>457.3</w:t>
            </w:r>
          </w:p>
        </w:tc>
      </w:tr>
      <w:tr w:rsidR="000324FE" w:rsidRPr="009E38C2" w:rsidTr="000324F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tcPr>
          <w:p w:rsidR="000324FE" w:rsidRPr="000324FE" w:rsidRDefault="000324FE" w:rsidP="000324FE">
            <w:pPr>
              <w:rPr>
                <w:rStyle w:val="Strong"/>
              </w:rPr>
            </w:pPr>
            <w:r w:rsidRPr="000324FE">
              <w:rPr>
                <w:rStyle w:val="Strong"/>
              </w:rPr>
              <w:t>Opening RAB as at 1 July 2015</w:t>
            </w:r>
          </w:p>
        </w:tc>
        <w:tc>
          <w:tcPr>
            <w:tcW w:w="566" w:type="pct"/>
            <w:noWrap/>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rPr>
                <w:rStyle w:val="Strong"/>
              </w:rPr>
            </w:pPr>
          </w:p>
        </w:tc>
        <w:tc>
          <w:tcPr>
            <w:tcW w:w="566" w:type="pct"/>
            <w:noWrap/>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rPr>
                <w:rStyle w:val="Strong"/>
              </w:rPr>
            </w:pPr>
          </w:p>
        </w:tc>
        <w:tc>
          <w:tcPr>
            <w:tcW w:w="567" w:type="pct"/>
            <w:noWrap/>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rPr>
                <w:rStyle w:val="Strong"/>
              </w:rPr>
            </w:pPr>
          </w:p>
        </w:tc>
        <w:tc>
          <w:tcPr>
            <w:tcW w:w="566" w:type="pct"/>
            <w:noWrap/>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rPr>
                <w:rStyle w:val="Strong"/>
              </w:rPr>
            </w:pPr>
          </w:p>
        </w:tc>
        <w:tc>
          <w:tcPr>
            <w:tcW w:w="567" w:type="pct"/>
            <w:noWrap/>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rPr>
                <w:rStyle w:val="Strong"/>
              </w:rPr>
            </w:pPr>
            <w:r w:rsidRPr="000324FE">
              <w:rPr>
                <w:rStyle w:val="Strong"/>
              </w:rPr>
              <w:t>11172.5</w:t>
            </w:r>
          </w:p>
        </w:tc>
      </w:tr>
    </w:tbl>
    <w:p w:rsidR="007B3355" w:rsidRPr="004B1187" w:rsidRDefault="007B3355" w:rsidP="007B3355">
      <w:pPr>
        <w:pStyle w:val="AERtablesource"/>
      </w:pPr>
      <w:r w:rsidRPr="004B1187">
        <w:t>Source:</w:t>
      </w:r>
      <w:r w:rsidRPr="004B1187">
        <w:tab/>
        <w:t>AER analysis.</w:t>
      </w:r>
    </w:p>
    <w:p w:rsidR="007B3355" w:rsidRPr="004B1187" w:rsidRDefault="007B3355" w:rsidP="007B3355">
      <w:pPr>
        <w:pStyle w:val="AERtablesource"/>
      </w:pPr>
      <w:r w:rsidRPr="004B1187">
        <w:t>(a)</w:t>
      </w:r>
      <w:r w:rsidRPr="004B1187">
        <w:tab/>
        <w:t>Based on estimated capex. We will update the RAB roll forward in the substitute decision.</w:t>
      </w:r>
    </w:p>
    <w:p w:rsidR="007B3355" w:rsidRDefault="007B3355" w:rsidP="007B3355">
      <w:pPr>
        <w:pStyle w:val="AERtablesource"/>
      </w:pPr>
      <w:r w:rsidRPr="004B1187">
        <w:t>(b)</w:t>
      </w:r>
      <w:r w:rsidRPr="004B1187">
        <w:tab/>
        <w:t>Net of disposals and adjusted for CPI.</w:t>
      </w:r>
    </w:p>
    <w:p w:rsidR="007B3355" w:rsidRPr="00112BF8" w:rsidRDefault="007B3355" w:rsidP="007B3355">
      <w:pPr>
        <w:pStyle w:val="Caption"/>
      </w:pPr>
      <w:r w:rsidRPr="00112BF8">
        <w:t xml:space="preserve">Table </w:t>
      </w:r>
      <w:r>
        <w:t>4</w:t>
      </w:r>
      <w:r w:rsidRPr="00112BF8">
        <w:tab/>
        <w:t xml:space="preserve">AER's </w:t>
      </w:r>
      <w:r w:rsidR="003F1CB6">
        <w:t>final</w:t>
      </w:r>
      <w:r w:rsidRPr="00112BF8">
        <w:t xml:space="preserve"> decision on Energex's RAB for the 2015–20 period ($</w:t>
      </w:r>
      <w:r w:rsidR="008150B7">
        <w:t> </w:t>
      </w:r>
      <w:r w:rsidRPr="00112BF8">
        <w:t>million, nominal)</w:t>
      </w:r>
    </w:p>
    <w:tbl>
      <w:tblPr>
        <w:tblStyle w:val="AERtable-numbers"/>
        <w:tblW w:w="5000" w:type="pct"/>
        <w:tblLayout w:type="fixed"/>
        <w:tblLook w:val="01E0" w:firstRow="1" w:lastRow="1" w:firstColumn="1" w:lastColumn="1" w:noHBand="0" w:noVBand="0"/>
      </w:tblPr>
      <w:tblGrid>
        <w:gridCol w:w="2804"/>
        <w:gridCol w:w="1177"/>
        <w:gridCol w:w="1179"/>
        <w:gridCol w:w="1179"/>
        <w:gridCol w:w="1179"/>
        <w:gridCol w:w="1175"/>
      </w:tblGrid>
      <w:tr w:rsidR="007B3355" w:rsidRPr="00E404D2" w:rsidTr="007B5B7D">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3" w:type="pct"/>
          </w:tcPr>
          <w:p w:rsidR="007B3355" w:rsidRPr="00112BF8" w:rsidRDefault="007B3355" w:rsidP="007B3355"/>
        </w:tc>
        <w:tc>
          <w:tcPr>
            <w:tcW w:w="677" w:type="pct"/>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5–16</w:t>
            </w:r>
          </w:p>
        </w:tc>
        <w:tc>
          <w:tcPr>
            <w:tcW w:w="678" w:type="pct"/>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6–17</w:t>
            </w:r>
          </w:p>
        </w:tc>
        <w:tc>
          <w:tcPr>
            <w:tcW w:w="678" w:type="pct"/>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7–18</w:t>
            </w:r>
          </w:p>
        </w:tc>
        <w:tc>
          <w:tcPr>
            <w:tcW w:w="678" w:type="pct"/>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8–19</w:t>
            </w:r>
          </w:p>
        </w:tc>
        <w:tc>
          <w:tcPr>
            <w:tcW w:w="678" w:type="pct"/>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9–20</w:t>
            </w:r>
          </w:p>
        </w:tc>
      </w:tr>
      <w:tr w:rsidR="000324FE" w:rsidRPr="000B73AB" w:rsidTr="007B5B7D">
        <w:trPr>
          <w:trHeight w:val="529"/>
        </w:trPr>
        <w:tc>
          <w:tcPr>
            <w:cnfStyle w:val="001000000000" w:firstRow="0" w:lastRow="0" w:firstColumn="1" w:lastColumn="0" w:oddVBand="0" w:evenVBand="0" w:oddHBand="0" w:evenHBand="0" w:firstRowFirstColumn="0" w:firstRowLastColumn="0" w:lastRowFirstColumn="0" w:lastRowLastColumn="0"/>
            <w:tcW w:w="1613" w:type="pct"/>
          </w:tcPr>
          <w:p w:rsidR="000324FE" w:rsidRPr="000324FE" w:rsidRDefault="000324FE" w:rsidP="000324FE">
            <w:r w:rsidRPr="000324FE">
              <w:t>Opening RAB</w:t>
            </w:r>
          </w:p>
        </w:tc>
        <w:tc>
          <w:tcPr>
            <w:tcW w:w="677" w:type="pct"/>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11172.5</w:t>
            </w:r>
          </w:p>
        </w:tc>
        <w:tc>
          <w:tcPr>
            <w:tcW w:w="678" w:type="pct"/>
            <w:vAlign w:val="bottom"/>
          </w:tcPr>
          <w:p w:rsidR="000324FE" w:rsidRPr="000324FE" w:rsidRDefault="000324FE" w:rsidP="00CE3FA2">
            <w:pPr>
              <w:cnfStyle w:val="000000000000" w:firstRow="0" w:lastRow="0" w:firstColumn="0" w:lastColumn="0" w:oddVBand="0" w:evenVBand="0" w:oddHBand="0" w:evenHBand="0" w:firstRowFirstColumn="0" w:firstRowLastColumn="0" w:lastRowFirstColumn="0" w:lastRowLastColumn="0"/>
            </w:pPr>
            <w:r w:rsidRPr="000324FE">
              <w:t>1167</w:t>
            </w:r>
            <w:r w:rsidR="00CE3FA2">
              <w:t>8</w:t>
            </w:r>
            <w:r w:rsidRPr="000324FE">
              <w:t>.</w:t>
            </w:r>
            <w:r w:rsidR="00CE3FA2">
              <w:t>7</w:t>
            </w:r>
          </w:p>
        </w:tc>
        <w:tc>
          <w:tcPr>
            <w:tcW w:w="678" w:type="pct"/>
            <w:vAlign w:val="bottom"/>
          </w:tcPr>
          <w:p w:rsidR="000324FE" w:rsidRPr="000324FE" w:rsidRDefault="000324FE" w:rsidP="00CE3FA2">
            <w:pPr>
              <w:cnfStyle w:val="000000000000" w:firstRow="0" w:lastRow="0" w:firstColumn="0" w:lastColumn="0" w:oddVBand="0" w:evenVBand="0" w:oddHBand="0" w:evenHBand="0" w:firstRowFirstColumn="0" w:firstRowLastColumn="0" w:lastRowFirstColumn="0" w:lastRowLastColumn="0"/>
            </w:pPr>
            <w:r w:rsidRPr="000324FE">
              <w:t>12</w:t>
            </w:r>
            <w:r w:rsidR="00CE3FA2">
              <w:t>189</w:t>
            </w:r>
            <w:r w:rsidRPr="000324FE">
              <w:t>.</w:t>
            </w:r>
            <w:r w:rsidR="00CE3FA2">
              <w:t>4</w:t>
            </w:r>
          </w:p>
        </w:tc>
        <w:tc>
          <w:tcPr>
            <w:tcW w:w="678" w:type="pct"/>
            <w:vAlign w:val="bottom"/>
          </w:tcPr>
          <w:p w:rsidR="000324FE" w:rsidRPr="000324FE" w:rsidRDefault="000324FE" w:rsidP="00CE3FA2">
            <w:pPr>
              <w:cnfStyle w:val="000000000000" w:firstRow="0" w:lastRow="0" w:firstColumn="0" w:lastColumn="0" w:oddVBand="0" w:evenVBand="0" w:oddHBand="0" w:evenHBand="0" w:firstRowFirstColumn="0" w:firstRowLastColumn="0" w:lastRowFirstColumn="0" w:lastRowLastColumn="0"/>
            </w:pPr>
            <w:r w:rsidRPr="000324FE">
              <w:t>126</w:t>
            </w:r>
            <w:r w:rsidR="00CE3FA2">
              <w:t>50</w:t>
            </w:r>
            <w:r w:rsidRPr="000324FE">
              <w:t>.</w:t>
            </w:r>
            <w:r w:rsidR="00CE3FA2">
              <w:t>7</w:t>
            </w:r>
          </w:p>
        </w:tc>
        <w:tc>
          <w:tcPr>
            <w:tcW w:w="678" w:type="pct"/>
            <w:vAlign w:val="bottom"/>
          </w:tcPr>
          <w:p w:rsidR="000324FE" w:rsidRPr="000324FE" w:rsidRDefault="000324FE" w:rsidP="007A3171">
            <w:pPr>
              <w:cnfStyle w:val="000000000000" w:firstRow="0" w:lastRow="0" w:firstColumn="0" w:lastColumn="0" w:oddVBand="0" w:evenVBand="0" w:oddHBand="0" w:evenHBand="0" w:firstRowFirstColumn="0" w:firstRowLastColumn="0" w:lastRowFirstColumn="0" w:lastRowLastColumn="0"/>
            </w:pPr>
            <w:r w:rsidRPr="000324FE">
              <w:t>131</w:t>
            </w:r>
            <w:r w:rsidR="00CE3FA2">
              <w:t>19</w:t>
            </w:r>
            <w:r w:rsidRPr="000324FE">
              <w:t>.</w:t>
            </w:r>
            <w:r w:rsidR="007A3171">
              <w:t>0</w:t>
            </w:r>
          </w:p>
        </w:tc>
      </w:tr>
      <w:tr w:rsidR="000324FE" w:rsidRPr="000B73AB" w:rsidTr="007B5B7D">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3" w:type="pct"/>
          </w:tcPr>
          <w:p w:rsidR="000324FE" w:rsidRPr="000324FE" w:rsidRDefault="000324FE" w:rsidP="000324FE">
            <w:r w:rsidRPr="000324FE">
              <w:t>Capital expenditure</w:t>
            </w:r>
            <w:r w:rsidRPr="000324FE">
              <w:rPr>
                <w:rStyle w:val="AERsuperscript"/>
              </w:rPr>
              <w:t>a</w:t>
            </w:r>
          </w:p>
        </w:tc>
        <w:tc>
          <w:tcPr>
            <w:tcW w:w="677" w:type="pct"/>
            <w:vAlign w:val="bottom"/>
          </w:tcPr>
          <w:p w:rsidR="000324FE" w:rsidRPr="000324FE" w:rsidRDefault="000324FE" w:rsidP="007A3171">
            <w:pPr>
              <w:cnfStyle w:val="000000010000" w:firstRow="0" w:lastRow="0" w:firstColumn="0" w:lastColumn="0" w:oddVBand="0" w:evenVBand="0" w:oddHBand="0" w:evenHBand="1" w:firstRowFirstColumn="0" w:firstRowLastColumn="0" w:lastRowFirstColumn="0" w:lastRowLastColumn="0"/>
            </w:pPr>
            <w:r w:rsidRPr="000324FE">
              <w:t>57</w:t>
            </w:r>
            <w:r w:rsidR="007A3171">
              <w:t>8</w:t>
            </w:r>
            <w:r w:rsidRPr="000324FE">
              <w:t>.</w:t>
            </w:r>
            <w:r w:rsidR="007A3171">
              <w:t>1</w:t>
            </w:r>
          </w:p>
        </w:tc>
        <w:tc>
          <w:tcPr>
            <w:tcW w:w="678" w:type="pct"/>
            <w:vAlign w:val="bottom"/>
          </w:tcPr>
          <w:p w:rsidR="000324FE" w:rsidRPr="000324FE" w:rsidRDefault="000324FE" w:rsidP="007A3171">
            <w:pPr>
              <w:cnfStyle w:val="000000010000" w:firstRow="0" w:lastRow="0" w:firstColumn="0" w:lastColumn="0" w:oddVBand="0" w:evenVBand="0" w:oddHBand="0" w:evenHBand="1" w:firstRowFirstColumn="0" w:firstRowLastColumn="0" w:lastRowFirstColumn="0" w:lastRowLastColumn="0"/>
            </w:pPr>
            <w:r w:rsidRPr="000324FE">
              <w:t>5</w:t>
            </w:r>
            <w:r w:rsidR="007A3171">
              <w:t>95</w:t>
            </w:r>
            <w:r w:rsidRPr="000324FE">
              <w:t>.</w:t>
            </w:r>
            <w:r w:rsidR="007A3171">
              <w:t>3</w:t>
            </w:r>
          </w:p>
        </w:tc>
        <w:tc>
          <w:tcPr>
            <w:tcW w:w="678" w:type="pct"/>
            <w:vAlign w:val="bottom"/>
          </w:tcPr>
          <w:p w:rsidR="000324FE" w:rsidRPr="000324FE" w:rsidRDefault="000324FE" w:rsidP="007A3171">
            <w:pPr>
              <w:cnfStyle w:val="000000010000" w:firstRow="0" w:lastRow="0" w:firstColumn="0" w:lastColumn="0" w:oddVBand="0" w:evenVBand="0" w:oddHBand="0" w:evenHBand="1" w:firstRowFirstColumn="0" w:firstRowLastColumn="0" w:lastRowFirstColumn="0" w:lastRowLastColumn="0"/>
            </w:pPr>
            <w:r w:rsidRPr="000324FE">
              <w:t>55</w:t>
            </w:r>
            <w:r w:rsidR="007A3171">
              <w:t>8</w:t>
            </w:r>
            <w:r w:rsidRPr="000324FE">
              <w:t>.</w:t>
            </w:r>
            <w:r w:rsidR="007A3171">
              <w:t>6</w:t>
            </w:r>
          </w:p>
        </w:tc>
        <w:tc>
          <w:tcPr>
            <w:tcW w:w="678" w:type="pct"/>
            <w:vAlign w:val="bottom"/>
          </w:tcPr>
          <w:p w:rsidR="000324FE" w:rsidRPr="000324FE" w:rsidRDefault="000324FE" w:rsidP="007A3171">
            <w:pPr>
              <w:cnfStyle w:val="000000010000" w:firstRow="0" w:lastRow="0" w:firstColumn="0" w:lastColumn="0" w:oddVBand="0" w:evenVBand="0" w:oddHBand="0" w:evenHBand="1" w:firstRowFirstColumn="0" w:firstRowLastColumn="0" w:lastRowFirstColumn="0" w:lastRowLastColumn="0"/>
            </w:pPr>
            <w:r w:rsidRPr="000324FE">
              <w:t>5</w:t>
            </w:r>
            <w:r w:rsidR="007A3171">
              <w:t>7</w:t>
            </w:r>
            <w:r w:rsidR="008150B7">
              <w:t>2</w:t>
            </w:r>
            <w:r w:rsidRPr="000324FE">
              <w:t>.</w:t>
            </w:r>
            <w:r w:rsidR="007A3171">
              <w:t>5</w:t>
            </w:r>
          </w:p>
        </w:tc>
        <w:tc>
          <w:tcPr>
            <w:tcW w:w="678" w:type="pct"/>
            <w:vAlign w:val="bottom"/>
          </w:tcPr>
          <w:p w:rsidR="000324FE" w:rsidRPr="000324FE" w:rsidRDefault="000324FE" w:rsidP="007A3171">
            <w:pPr>
              <w:cnfStyle w:val="000000010000" w:firstRow="0" w:lastRow="0" w:firstColumn="0" w:lastColumn="0" w:oddVBand="0" w:evenVBand="0" w:oddHBand="0" w:evenHBand="1" w:firstRowFirstColumn="0" w:firstRowLastColumn="0" w:lastRowFirstColumn="0" w:lastRowLastColumn="0"/>
            </w:pPr>
            <w:r w:rsidRPr="000324FE">
              <w:t>5</w:t>
            </w:r>
            <w:r w:rsidR="007A3171">
              <w:t>90</w:t>
            </w:r>
            <w:r w:rsidRPr="000324FE">
              <w:t>.</w:t>
            </w:r>
            <w:r w:rsidR="007A3171">
              <w:t>7</w:t>
            </w:r>
          </w:p>
        </w:tc>
      </w:tr>
      <w:tr w:rsidR="000324FE" w:rsidRPr="000B73AB" w:rsidTr="007B5B7D">
        <w:trPr>
          <w:trHeight w:val="529"/>
        </w:trPr>
        <w:tc>
          <w:tcPr>
            <w:cnfStyle w:val="001000000000" w:firstRow="0" w:lastRow="0" w:firstColumn="1" w:lastColumn="0" w:oddVBand="0" w:evenVBand="0" w:oddHBand="0" w:evenHBand="0" w:firstRowFirstColumn="0" w:firstRowLastColumn="0" w:lastRowFirstColumn="0" w:lastRowLastColumn="0"/>
            <w:tcW w:w="1613" w:type="pct"/>
          </w:tcPr>
          <w:p w:rsidR="000324FE" w:rsidRPr="000324FE" w:rsidRDefault="000324FE" w:rsidP="000324FE">
            <w:r w:rsidRPr="000324FE">
              <w:t>Inflation indexation on opening RAB</w:t>
            </w:r>
          </w:p>
        </w:tc>
        <w:tc>
          <w:tcPr>
            <w:tcW w:w="677" w:type="pct"/>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279.3</w:t>
            </w:r>
          </w:p>
        </w:tc>
        <w:tc>
          <w:tcPr>
            <w:tcW w:w="678" w:type="pct"/>
            <w:vAlign w:val="bottom"/>
          </w:tcPr>
          <w:p w:rsidR="000324FE" w:rsidRPr="000324FE" w:rsidRDefault="000324FE" w:rsidP="007A3171">
            <w:pPr>
              <w:cnfStyle w:val="000000000000" w:firstRow="0" w:lastRow="0" w:firstColumn="0" w:lastColumn="0" w:oddVBand="0" w:evenVBand="0" w:oddHBand="0" w:evenHBand="0" w:firstRowFirstColumn="0" w:firstRowLastColumn="0" w:lastRowFirstColumn="0" w:lastRowLastColumn="0"/>
            </w:pPr>
            <w:r w:rsidRPr="000324FE">
              <w:t>29</w:t>
            </w:r>
            <w:r w:rsidR="007A3171">
              <w:t>2</w:t>
            </w:r>
            <w:r w:rsidRPr="000324FE">
              <w:t>.</w:t>
            </w:r>
            <w:r w:rsidR="007A3171">
              <w:t>0</w:t>
            </w:r>
          </w:p>
        </w:tc>
        <w:tc>
          <w:tcPr>
            <w:tcW w:w="678" w:type="pct"/>
            <w:vAlign w:val="bottom"/>
          </w:tcPr>
          <w:p w:rsidR="000324FE" w:rsidRPr="000324FE" w:rsidRDefault="000324FE" w:rsidP="007A3171">
            <w:pPr>
              <w:cnfStyle w:val="000000000000" w:firstRow="0" w:lastRow="0" w:firstColumn="0" w:lastColumn="0" w:oddVBand="0" w:evenVBand="0" w:oddHBand="0" w:evenHBand="0" w:firstRowFirstColumn="0" w:firstRowLastColumn="0" w:lastRowFirstColumn="0" w:lastRowLastColumn="0"/>
            </w:pPr>
            <w:r w:rsidRPr="000324FE">
              <w:t>30</w:t>
            </w:r>
            <w:r w:rsidR="007A3171">
              <w:t>4</w:t>
            </w:r>
            <w:r w:rsidRPr="000324FE">
              <w:t>.</w:t>
            </w:r>
            <w:r w:rsidR="007A3171">
              <w:t>7</w:t>
            </w:r>
          </w:p>
        </w:tc>
        <w:tc>
          <w:tcPr>
            <w:tcW w:w="678" w:type="pct"/>
            <w:vAlign w:val="bottom"/>
          </w:tcPr>
          <w:p w:rsidR="000324FE" w:rsidRPr="000324FE" w:rsidRDefault="000324FE" w:rsidP="007A3171">
            <w:pPr>
              <w:cnfStyle w:val="000000000000" w:firstRow="0" w:lastRow="0" w:firstColumn="0" w:lastColumn="0" w:oddVBand="0" w:evenVBand="0" w:oddHBand="0" w:evenHBand="0" w:firstRowFirstColumn="0" w:firstRowLastColumn="0" w:lastRowFirstColumn="0" w:lastRowLastColumn="0"/>
            </w:pPr>
            <w:r w:rsidRPr="000324FE">
              <w:t>316.</w:t>
            </w:r>
            <w:r w:rsidR="007A3171">
              <w:t>3</w:t>
            </w:r>
          </w:p>
        </w:tc>
        <w:tc>
          <w:tcPr>
            <w:tcW w:w="678" w:type="pct"/>
            <w:vAlign w:val="bottom"/>
          </w:tcPr>
          <w:p w:rsidR="000324FE" w:rsidRPr="000324FE" w:rsidRDefault="000324FE" w:rsidP="000324FE">
            <w:pPr>
              <w:cnfStyle w:val="000000000000" w:firstRow="0" w:lastRow="0" w:firstColumn="0" w:lastColumn="0" w:oddVBand="0" w:evenVBand="0" w:oddHBand="0" w:evenHBand="0" w:firstRowFirstColumn="0" w:firstRowLastColumn="0" w:lastRowFirstColumn="0" w:lastRowLastColumn="0"/>
            </w:pPr>
            <w:r w:rsidRPr="000324FE">
              <w:t>328.0</w:t>
            </w:r>
          </w:p>
        </w:tc>
      </w:tr>
      <w:tr w:rsidR="000324FE" w:rsidRPr="000B73AB" w:rsidTr="007B5B7D">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13" w:type="pct"/>
          </w:tcPr>
          <w:p w:rsidR="000324FE" w:rsidRPr="000324FE" w:rsidRDefault="000324FE" w:rsidP="000324FE">
            <w:r w:rsidRPr="000324FE">
              <w:rPr>
                <w:rStyle w:val="AERtextitalic"/>
              </w:rPr>
              <w:t>Less</w:t>
            </w:r>
            <w:r w:rsidRPr="000324FE">
              <w:t>: Straight-line depreciation</w:t>
            </w:r>
          </w:p>
        </w:tc>
        <w:tc>
          <w:tcPr>
            <w:tcW w:w="677" w:type="pct"/>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rsidRPr="000324FE">
              <w:t>351.2</w:t>
            </w:r>
          </w:p>
        </w:tc>
        <w:tc>
          <w:tcPr>
            <w:tcW w:w="678" w:type="pct"/>
            <w:vAlign w:val="bottom"/>
          </w:tcPr>
          <w:p w:rsidR="000324FE" w:rsidRPr="000324FE" w:rsidRDefault="000324FE" w:rsidP="007A3171">
            <w:pPr>
              <w:cnfStyle w:val="000000010000" w:firstRow="0" w:lastRow="0" w:firstColumn="0" w:lastColumn="0" w:oddVBand="0" w:evenVBand="0" w:oddHBand="0" w:evenHBand="1" w:firstRowFirstColumn="0" w:firstRowLastColumn="0" w:lastRowFirstColumn="0" w:lastRowLastColumn="0"/>
            </w:pPr>
            <w:r w:rsidRPr="000324FE">
              <w:t>376.</w:t>
            </w:r>
            <w:r w:rsidR="007A3171">
              <w:t>6</w:t>
            </w:r>
          </w:p>
        </w:tc>
        <w:tc>
          <w:tcPr>
            <w:tcW w:w="678" w:type="pct"/>
            <w:vAlign w:val="bottom"/>
          </w:tcPr>
          <w:p w:rsidR="000324FE" w:rsidRPr="000324FE" w:rsidRDefault="000324FE" w:rsidP="007A3171">
            <w:pPr>
              <w:cnfStyle w:val="000000010000" w:firstRow="0" w:lastRow="0" w:firstColumn="0" w:lastColumn="0" w:oddVBand="0" w:evenVBand="0" w:oddHBand="0" w:evenHBand="1" w:firstRowFirstColumn="0" w:firstRowLastColumn="0" w:lastRowFirstColumn="0" w:lastRowLastColumn="0"/>
            </w:pPr>
            <w:r w:rsidRPr="000324FE">
              <w:t>402.</w:t>
            </w:r>
            <w:r w:rsidR="007A3171">
              <w:t>0</w:t>
            </w:r>
          </w:p>
        </w:tc>
        <w:tc>
          <w:tcPr>
            <w:tcW w:w="678" w:type="pct"/>
            <w:vAlign w:val="bottom"/>
          </w:tcPr>
          <w:p w:rsidR="000324FE" w:rsidRPr="000324FE" w:rsidRDefault="000324FE" w:rsidP="007A3171">
            <w:pPr>
              <w:cnfStyle w:val="000000010000" w:firstRow="0" w:lastRow="0" w:firstColumn="0" w:lastColumn="0" w:oddVBand="0" w:evenVBand="0" w:oddHBand="0" w:evenHBand="1" w:firstRowFirstColumn="0" w:firstRowLastColumn="0" w:lastRowFirstColumn="0" w:lastRowLastColumn="0"/>
            </w:pPr>
            <w:r w:rsidRPr="000324FE">
              <w:t>420.</w:t>
            </w:r>
            <w:r w:rsidR="007A3171">
              <w:t>4</w:t>
            </w:r>
          </w:p>
        </w:tc>
        <w:tc>
          <w:tcPr>
            <w:tcW w:w="678" w:type="pct"/>
            <w:vAlign w:val="bottom"/>
          </w:tcPr>
          <w:p w:rsidR="000324FE" w:rsidRPr="000324FE" w:rsidRDefault="000324FE" w:rsidP="000324FE">
            <w:pPr>
              <w:cnfStyle w:val="000000010000" w:firstRow="0" w:lastRow="0" w:firstColumn="0" w:lastColumn="0" w:oddVBand="0" w:evenVBand="0" w:oddHBand="0" w:evenHBand="1" w:firstRowFirstColumn="0" w:firstRowLastColumn="0" w:lastRowFirstColumn="0" w:lastRowLastColumn="0"/>
            </w:pPr>
            <w:r w:rsidRPr="000324FE">
              <w:t>446.2</w:t>
            </w:r>
          </w:p>
        </w:tc>
      </w:tr>
      <w:tr w:rsidR="000324FE" w:rsidRPr="00516708" w:rsidTr="007B5B7D">
        <w:trPr>
          <w:trHeight w:val="529"/>
        </w:trPr>
        <w:tc>
          <w:tcPr>
            <w:cnfStyle w:val="001000000000" w:firstRow="0" w:lastRow="0" w:firstColumn="1" w:lastColumn="0" w:oddVBand="0" w:evenVBand="0" w:oddHBand="0" w:evenHBand="0" w:firstRowFirstColumn="0" w:firstRowLastColumn="0" w:lastRowFirstColumn="0" w:lastRowLastColumn="0"/>
            <w:tcW w:w="1613" w:type="pct"/>
          </w:tcPr>
          <w:p w:rsidR="000324FE" w:rsidRPr="00516708" w:rsidRDefault="000324FE" w:rsidP="00516708">
            <w:r w:rsidRPr="00516708">
              <w:t>Closing RAB</w:t>
            </w:r>
          </w:p>
        </w:tc>
        <w:tc>
          <w:tcPr>
            <w:tcW w:w="677" w:type="pct"/>
            <w:vAlign w:val="bottom"/>
          </w:tcPr>
          <w:p w:rsidR="000324FE" w:rsidRPr="00516708" w:rsidRDefault="000324FE" w:rsidP="007A3171">
            <w:pPr>
              <w:cnfStyle w:val="000000000000" w:firstRow="0" w:lastRow="0" w:firstColumn="0" w:lastColumn="0" w:oddVBand="0" w:evenVBand="0" w:oddHBand="0" w:evenHBand="0" w:firstRowFirstColumn="0" w:firstRowLastColumn="0" w:lastRowFirstColumn="0" w:lastRowLastColumn="0"/>
            </w:pPr>
            <w:r w:rsidRPr="00516708">
              <w:t>1167</w:t>
            </w:r>
            <w:r w:rsidR="007A3171">
              <w:t>8</w:t>
            </w:r>
            <w:r w:rsidRPr="00516708">
              <w:t>.</w:t>
            </w:r>
            <w:r w:rsidR="007A3171">
              <w:t>7</w:t>
            </w:r>
          </w:p>
        </w:tc>
        <w:tc>
          <w:tcPr>
            <w:tcW w:w="678" w:type="pct"/>
            <w:vAlign w:val="bottom"/>
          </w:tcPr>
          <w:p w:rsidR="000324FE" w:rsidRPr="00516708" w:rsidRDefault="000324FE" w:rsidP="007A3171">
            <w:pPr>
              <w:cnfStyle w:val="000000000000" w:firstRow="0" w:lastRow="0" w:firstColumn="0" w:lastColumn="0" w:oddVBand="0" w:evenVBand="0" w:oddHBand="0" w:evenHBand="0" w:firstRowFirstColumn="0" w:firstRowLastColumn="0" w:lastRowFirstColumn="0" w:lastRowLastColumn="0"/>
            </w:pPr>
            <w:r w:rsidRPr="00516708">
              <w:t>12</w:t>
            </w:r>
            <w:r w:rsidR="007A3171">
              <w:t>189</w:t>
            </w:r>
            <w:r w:rsidRPr="00516708">
              <w:t>.</w:t>
            </w:r>
            <w:r w:rsidR="007A3171">
              <w:t>4</w:t>
            </w:r>
          </w:p>
        </w:tc>
        <w:tc>
          <w:tcPr>
            <w:tcW w:w="678" w:type="pct"/>
            <w:vAlign w:val="bottom"/>
          </w:tcPr>
          <w:p w:rsidR="000324FE" w:rsidRPr="00516708" w:rsidRDefault="000324FE" w:rsidP="007A3171">
            <w:pPr>
              <w:cnfStyle w:val="000000000000" w:firstRow="0" w:lastRow="0" w:firstColumn="0" w:lastColumn="0" w:oddVBand="0" w:evenVBand="0" w:oddHBand="0" w:evenHBand="0" w:firstRowFirstColumn="0" w:firstRowLastColumn="0" w:lastRowFirstColumn="0" w:lastRowLastColumn="0"/>
            </w:pPr>
            <w:r w:rsidRPr="00516708">
              <w:t>126</w:t>
            </w:r>
            <w:r w:rsidR="007A3171">
              <w:t>50</w:t>
            </w:r>
            <w:r w:rsidRPr="00516708">
              <w:t>.</w:t>
            </w:r>
            <w:r w:rsidR="007A3171">
              <w:t>7</w:t>
            </w:r>
          </w:p>
        </w:tc>
        <w:tc>
          <w:tcPr>
            <w:tcW w:w="678" w:type="pct"/>
            <w:vAlign w:val="bottom"/>
          </w:tcPr>
          <w:p w:rsidR="000324FE" w:rsidRPr="00516708" w:rsidRDefault="000324FE" w:rsidP="007A3171">
            <w:pPr>
              <w:cnfStyle w:val="000000000000" w:firstRow="0" w:lastRow="0" w:firstColumn="0" w:lastColumn="0" w:oddVBand="0" w:evenVBand="0" w:oddHBand="0" w:evenHBand="0" w:firstRowFirstColumn="0" w:firstRowLastColumn="0" w:lastRowFirstColumn="0" w:lastRowLastColumn="0"/>
            </w:pPr>
            <w:r w:rsidRPr="00516708">
              <w:t>131</w:t>
            </w:r>
            <w:r w:rsidR="007A3171">
              <w:t>19</w:t>
            </w:r>
            <w:r w:rsidRPr="00516708">
              <w:t>.0</w:t>
            </w:r>
          </w:p>
        </w:tc>
        <w:tc>
          <w:tcPr>
            <w:tcW w:w="678" w:type="pct"/>
            <w:vAlign w:val="bottom"/>
          </w:tcPr>
          <w:p w:rsidR="000324FE" w:rsidRPr="00516708" w:rsidRDefault="000324FE" w:rsidP="007A3171">
            <w:pPr>
              <w:cnfStyle w:val="000000000000" w:firstRow="0" w:lastRow="0" w:firstColumn="0" w:lastColumn="0" w:oddVBand="0" w:evenVBand="0" w:oddHBand="0" w:evenHBand="0" w:firstRowFirstColumn="0" w:firstRowLastColumn="0" w:lastRowFirstColumn="0" w:lastRowLastColumn="0"/>
            </w:pPr>
            <w:r w:rsidRPr="00516708">
              <w:t>135</w:t>
            </w:r>
            <w:r w:rsidR="007A3171">
              <w:t>91</w:t>
            </w:r>
            <w:r w:rsidRPr="00516708">
              <w:t>.</w:t>
            </w:r>
            <w:r w:rsidR="007A3171">
              <w:t>5</w:t>
            </w:r>
          </w:p>
        </w:tc>
      </w:tr>
    </w:tbl>
    <w:p w:rsidR="007B3355" w:rsidRPr="00112BF8" w:rsidRDefault="007B3355" w:rsidP="007B3355">
      <w:pPr>
        <w:pStyle w:val="AERtablesource"/>
      </w:pPr>
      <w:r w:rsidRPr="00112BF8">
        <w:t>Source:</w:t>
      </w:r>
      <w:r w:rsidRPr="00112BF8">
        <w:tab/>
        <w:t>AER analysis.</w:t>
      </w:r>
    </w:p>
    <w:p w:rsidR="007B3355" w:rsidRPr="00112BF8" w:rsidRDefault="007B3355" w:rsidP="007B3355">
      <w:pPr>
        <w:pStyle w:val="AERtablesource"/>
      </w:pPr>
      <w:r w:rsidRPr="00112BF8">
        <w:t xml:space="preserve">(a) </w:t>
      </w:r>
      <w:r w:rsidRPr="00112BF8">
        <w:tab/>
        <w:t>Net of forecast disposals and capital contributions.</w:t>
      </w:r>
    </w:p>
    <w:p w:rsidR="009F0BCD" w:rsidRDefault="009F0BCD" w:rsidP="00915ABF">
      <w:r w:rsidRPr="003805CA">
        <w:t>We determine a forecast closing RAB value at 30 June 20</w:t>
      </w:r>
      <w:r>
        <w:t>20</w:t>
      </w:r>
      <w:r w:rsidRPr="003805CA">
        <w:t xml:space="preserve"> of </w:t>
      </w:r>
      <w:r w:rsidRPr="00915ABF">
        <w:t>$</w:t>
      </w:r>
      <w:r w:rsidR="000324FE" w:rsidRPr="00915ABF">
        <w:t>13 5</w:t>
      </w:r>
      <w:r w:rsidR="007A3171">
        <w:t>91</w:t>
      </w:r>
      <w:r w:rsidR="000324FE" w:rsidRPr="00915ABF">
        <w:t>.</w:t>
      </w:r>
      <w:r w:rsidR="007A3171">
        <w:t>5</w:t>
      </w:r>
      <w:r w:rsidRPr="00915ABF">
        <w:t> million ($ nominal). This is $</w:t>
      </w:r>
      <w:r w:rsidR="000324FE" w:rsidRPr="00915ABF">
        <w:t>1</w:t>
      </w:r>
      <w:r w:rsidR="008150B7">
        <w:t>2</w:t>
      </w:r>
      <w:r w:rsidR="007A3171">
        <w:t>0.5</w:t>
      </w:r>
      <w:r w:rsidRPr="00915ABF">
        <w:t xml:space="preserve"> million (or </w:t>
      </w:r>
      <w:r w:rsidR="000324FE" w:rsidRPr="00915ABF">
        <w:t>0</w:t>
      </w:r>
      <w:r w:rsidR="008150B7">
        <w:t>.9</w:t>
      </w:r>
      <w:r w:rsidRPr="00915ABF">
        <w:t> per cent)</w:t>
      </w:r>
      <w:r w:rsidRPr="003805CA">
        <w:t xml:space="preserve"> lower than the amount of $</w:t>
      </w:r>
      <w:r>
        <w:t>13</w:t>
      </w:r>
      <w:r w:rsidR="000324FE">
        <w:t> </w:t>
      </w:r>
      <w:r>
        <w:t>712.0</w:t>
      </w:r>
      <w:r w:rsidRPr="003805CA">
        <w:t xml:space="preserve"> million ($</w:t>
      </w:r>
      <w:r>
        <w:t> </w:t>
      </w:r>
      <w:r w:rsidRPr="003805CA">
        <w:t xml:space="preserve">nominal) </w:t>
      </w:r>
      <w:r>
        <w:t xml:space="preserve">in </w:t>
      </w:r>
      <w:r w:rsidRPr="003805CA">
        <w:t>En</w:t>
      </w:r>
      <w:r>
        <w:t>ergex's revised proposal</w:t>
      </w:r>
      <w:r w:rsidRPr="003805CA">
        <w:t xml:space="preserve">. Our </w:t>
      </w:r>
      <w:r>
        <w:t xml:space="preserve">final </w:t>
      </w:r>
      <w:r w:rsidRPr="003805CA">
        <w:t xml:space="preserve">decision on the forecast closing RAB reflects our </w:t>
      </w:r>
      <w:r>
        <w:t>adjustments to</w:t>
      </w:r>
      <w:r w:rsidRPr="003805CA">
        <w:t xml:space="preserve"> </w:t>
      </w:r>
      <w:r>
        <w:t xml:space="preserve">Energex's opening RAB as at 1 July 2015, forecast capex (attachment 6) </w:t>
      </w:r>
      <w:r w:rsidR="000324FE">
        <w:t xml:space="preserve">and </w:t>
      </w:r>
      <w:r w:rsidRPr="003805CA">
        <w:t>forecast</w:t>
      </w:r>
      <w:r>
        <w:t xml:space="preserve"> regulatory </w:t>
      </w:r>
      <w:r w:rsidRPr="003805CA">
        <w:t>depreciation (attachment</w:t>
      </w:r>
      <w:r w:rsidR="008150B7">
        <w:t> </w:t>
      </w:r>
      <w:r w:rsidRPr="003805CA">
        <w:t>5)</w:t>
      </w:r>
      <w:r>
        <w:t>.</w:t>
      </w:r>
    </w:p>
    <w:p w:rsidR="007B3355" w:rsidRDefault="007B3355" w:rsidP="007B3355">
      <w:r w:rsidRPr="009F4C42">
        <w:t xml:space="preserve">Details of our </w:t>
      </w:r>
      <w:r w:rsidR="003F1CB6">
        <w:t>final</w:t>
      </w:r>
      <w:r>
        <w:t xml:space="preserve"> decision on the value of the RAB are set out in</w:t>
      </w:r>
      <w:r w:rsidRPr="009F4C42">
        <w:t xml:space="preserve"> attachment</w:t>
      </w:r>
      <w:r>
        <w:t xml:space="preserve"> 2</w:t>
      </w:r>
      <w:r w:rsidRPr="009F4C42">
        <w:t>.</w:t>
      </w:r>
    </w:p>
    <w:p w:rsidR="007B3355" w:rsidRDefault="007B3355" w:rsidP="007B3355">
      <w:pPr>
        <w:pStyle w:val="Heading2"/>
      </w:pPr>
      <w:bookmarkStart w:id="23" w:name="_Toc417973138"/>
      <w:bookmarkStart w:id="24" w:name="_Toc433723298"/>
      <w:r>
        <w:t>Rate of return (return on capital)</w:t>
      </w:r>
      <w:bookmarkEnd w:id="23"/>
      <w:bookmarkEnd w:id="24"/>
    </w:p>
    <w:p w:rsidR="007B3355" w:rsidRDefault="007B3355" w:rsidP="007B3355">
      <w:pPr>
        <w:numPr>
          <w:ilvl w:val="0"/>
          <w:numId w:val="25"/>
        </w:numPr>
      </w:pPr>
      <w:r>
        <w:t>The return on capital provides a distributor with revenue to service the interest on its loans and to give a return on equity to shareholders. This building block is calculated as a product of the rate of return and the value of the RAB.</w:t>
      </w:r>
      <w:r w:rsidRPr="00112BF8">
        <w:rPr>
          <w:rStyle w:val="FootnoteReference"/>
        </w:rPr>
        <w:footnoteReference w:id="29"/>
      </w:r>
      <w:r>
        <w:t xml:space="preserve"> </w:t>
      </w:r>
    </w:p>
    <w:p w:rsidR="007B3355" w:rsidRDefault="007B3355" w:rsidP="007B3355">
      <w:pPr>
        <w:numPr>
          <w:ilvl w:val="0"/>
          <w:numId w:val="25"/>
        </w:numPr>
      </w:pPr>
      <w:r>
        <w:t>The NER sets out that the allowed rate of return must be commensurate with the efficient financing costs of a benchmark efficient entity with a similar degree of risk as that which applies to the distributor in respect of the provision of distribution services.</w:t>
      </w:r>
      <w:r>
        <w:rPr>
          <w:rStyle w:val="FootnoteReference"/>
        </w:rPr>
        <w:footnoteReference w:id="30"/>
      </w:r>
      <w:r>
        <w:t xml:space="preserve"> The NER refers to this requirement as the </w:t>
      </w:r>
      <w:r w:rsidR="00C62A8E">
        <w:t>'</w:t>
      </w:r>
      <w:r>
        <w:t>allowed rate of return objective</w:t>
      </w:r>
      <w:r w:rsidR="00C62A8E">
        <w:t>'</w:t>
      </w:r>
      <w:r>
        <w:t>.</w:t>
      </w:r>
    </w:p>
    <w:p w:rsidR="007B3355" w:rsidRPr="00112BF8" w:rsidRDefault="007B3355" w:rsidP="001E147F">
      <w:r w:rsidRPr="00112BF8">
        <w:t xml:space="preserve">We </w:t>
      </w:r>
      <w:r>
        <w:t>have determined</w:t>
      </w:r>
      <w:r w:rsidRPr="00112BF8">
        <w:t xml:space="preserve"> </w:t>
      </w:r>
      <w:r>
        <w:t>an</w:t>
      </w:r>
      <w:r w:rsidRPr="00112BF8">
        <w:t xml:space="preserve"> allowed rate of return </w:t>
      </w:r>
      <w:r w:rsidRPr="007B3355">
        <w:rPr>
          <w:rStyle w:val="AERbodytextChar"/>
          <w:rFonts w:eastAsiaTheme="minorHAnsi"/>
        </w:rPr>
        <w:t xml:space="preserve">of </w:t>
      </w:r>
      <w:r w:rsidR="00915ABF">
        <w:rPr>
          <w:rStyle w:val="AERbodytextChar"/>
          <w:rFonts w:eastAsiaTheme="minorHAnsi"/>
        </w:rPr>
        <w:t xml:space="preserve">6.01 </w:t>
      </w:r>
      <w:r w:rsidRPr="007B3355">
        <w:rPr>
          <w:rStyle w:val="AERbodytextChar"/>
          <w:rFonts w:eastAsiaTheme="minorHAnsi"/>
        </w:rPr>
        <w:t>per</w:t>
      </w:r>
      <w:r w:rsidRPr="00112BF8">
        <w:t xml:space="preserve"> cent (nominal vanilla</w:t>
      </w:r>
      <w:r w:rsidRPr="00112BF8">
        <w:rPr>
          <w:rStyle w:val="FootnoteReference"/>
        </w:rPr>
        <w:footnoteReference w:id="31"/>
      </w:r>
      <w:r w:rsidRPr="00112BF8">
        <w:t>), subject to updating</w:t>
      </w:r>
      <w:r>
        <w:t xml:space="preserve">. </w:t>
      </w:r>
      <w:r w:rsidRPr="00112BF8">
        <w:t xml:space="preserve">We </w:t>
      </w:r>
      <w:r>
        <w:t>have not accepted</w:t>
      </w:r>
      <w:r w:rsidRPr="00112BF8">
        <w:t xml:space="preserve"> Energex's proposed </w:t>
      </w:r>
      <w:r w:rsidR="001E147F" w:rsidRPr="001E147F">
        <w:t>7.42</w:t>
      </w:r>
      <w:r w:rsidR="001E147F" w:rsidRPr="00112BF8">
        <w:t xml:space="preserve"> </w:t>
      </w:r>
      <w:r w:rsidRPr="00112BF8">
        <w:t>per cent return</w:t>
      </w:r>
      <w:r>
        <w:t xml:space="preserve">. In accordance with the </w:t>
      </w:r>
      <w:r w:rsidR="00454940">
        <w:t xml:space="preserve">Rate of Return </w:t>
      </w:r>
      <w:r>
        <w:t>Guideline, we</w:t>
      </w:r>
      <w:r w:rsidRPr="00112BF8">
        <w:t xml:space="preserve"> will update</w:t>
      </w:r>
      <w:r>
        <w:t xml:space="preserve"> the rate of return </w:t>
      </w:r>
      <w:r w:rsidRPr="00112BF8">
        <w:t>annually</w:t>
      </w:r>
      <w:r>
        <w:t xml:space="preserve">, consistent with Energex's </w:t>
      </w:r>
      <w:r w:rsidR="001E147F">
        <w:t xml:space="preserve">revised </w:t>
      </w:r>
      <w:r>
        <w:t>proposal and our approach to return on debt</w:t>
      </w:r>
      <w:r w:rsidRPr="00112BF8">
        <w:t>.</w:t>
      </w:r>
      <w:r>
        <w:rPr>
          <w:rStyle w:val="FootnoteReference"/>
        </w:rPr>
        <w:footnoteReference w:id="32"/>
      </w:r>
      <w:r w:rsidRPr="00112BF8">
        <w:t xml:space="preserve"> </w:t>
      </w:r>
      <w:r>
        <w:t>Table 5 sets out the parameters we have used to determine the rate of return</w:t>
      </w:r>
      <w:r w:rsidRPr="00112BF8">
        <w:t>.</w:t>
      </w:r>
    </w:p>
    <w:p w:rsidR="00280EA6" w:rsidRDefault="007B3355" w:rsidP="00280EA6">
      <w:pPr>
        <w:pStyle w:val="Caption"/>
        <w:numPr>
          <w:ilvl w:val="0"/>
          <w:numId w:val="25"/>
        </w:numPr>
      </w:pPr>
      <w:r w:rsidRPr="00112BF8">
        <w:t xml:space="preserve">Table </w:t>
      </w:r>
      <w:r>
        <w:t>5</w:t>
      </w:r>
      <w:r w:rsidRPr="00112BF8">
        <w:tab/>
      </w:r>
      <w:bookmarkStart w:id="25" w:name="_Toc414891204"/>
      <w:bookmarkStart w:id="26" w:name="_Toc414977539"/>
      <w:bookmarkStart w:id="27" w:name="_Toc415837327"/>
      <w:bookmarkStart w:id="28" w:name="_Toc416178159"/>
      <w:bookmarkStart w:id="29" w:name="_Toc416340892"/>
      <w:bookmarkStart w:id="30" w:name="_Toc417973139"/>
      <w:r w:rsidR="00280EA6">
        <w:t>AER's final decision on Energex's rate of return (nominal)</w:t>
      </w:r>
    </w:p>
    <w:tbl>
      <w:tblPr>
        <w:tblStyle w:val="AERtable-numbers"/>
        <w:tblW w:w="5000" w:type="pct"/>
        <w:tblLook w:val="04A0" w:firstRow="1" w:lastRow="0" w:firstColumn="1" w:lastColumn="0" w:noHBand="0" w:noVBand="1"/>
      </w:tblPr>
      <w:tblGrid>
        <w:gridCol w:w="2471"/>
        <w:gridCol w:w="1556"/>
        <w:gridCol w:w="1556"/>
        <w:gridCol w:w="1556"/>
        <w:gridCol w:w="1554"/>
      </w:tblGrid>
      <w:tr w:rsidR="00280EA6" w:rsidRPr="0036067E" w:rsidTr="003F1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280EA6" w:rsidRPr="00796C00" w:rsidRDefault="00280EA6" w:rsidP="009976CF"/>
        </w:tc>
        <w:tc>
          <w:tcPr>
            <w:tcW w:w="895" w:type="pct"/>
          </w:tcPr>
          <w:p w:rsidR="00280EA6" w:rsidRPr="00280EA6" w:rsidRDefault="00280EA6" w:rsidP="009976CF">
            <w:pPr>
              <w:cnfStyle w:val="100000000000" w:firstRow="1" w:lastRow="0" w:firstColumn="0" w:lastColumn="0" w:oddVBand="0" w:evenVBand="0" w:oddHBand="0" w:evenHBand="0" w:firstRowFirstColumn="0" w:firstRowLastColumn="0" w:lastRowFirstColumn="0" w:lastRowLastColumn="0"/>
            </w:pPr>
            <w:r w:rsidRPr="000954D7">
              <w:t xml:space="preserve">AER </w:t>
            </w:r>
            <w:r w:rsidRPr="00280EA6">
              <w:t>previous decision</w:t>
            </w:r>
          </w:p>
          <w:p w:rsidR="00280EA6" w:rsidRPr="00280EA6" w:rsidRDefault="00280EA6" w:rsidP="009976CF">
            <w:pPr>
              <w:cnfStyle w:val="100000000000" w:firstRow="1" w:lastRow="0" w:firstColumn="0" w:lastColumn="0" w:oddVBand="0" w:evenVBand="0" w:oddHBand="0" w:evenHBand="0" w:firstRowFirstColumn="0" w:firstRowLastColumn="0" w:lastRowFirstColumn="0" w:lastRowLastColumn="0"/>
            </w:pPr>
            <w:r>
              <w:t>(</w:t>
            </w:r>
            <w:r w:rsidRPr="00280EA6">
              <w:t>2010</w:t>
            </w:r>
            <w:r w:rsidRPr="00280EA6">
              <w:br w:type="column"/>
              <w:t>–15)</w:t>
            </w:r>
          </w:p>
        </w:tc>
        <w:tc>
          <w:tcPr>
            <w:tcW w:w="895" w:type="pct"/>
          </w:tcPr>
          <w:p w:rsidR="00280EA6" w:rsidRDefault="00280EA6" w:rsidP="009976CF">
            <w:pPr>
              <w:cnfStyle w:val="100000000000" w:firstRow="1" w:lastRow="0" w:firstColumn="0" w:lastColumn="0" w:oddVBand="0" w:evenVBand="0" w:oddHBand="0" w:evenHBand="0" w:firstRowFirstColumn="0" w:firstRowLastColumn="0" w:lastRowFirstColumn="0" w:lastRowLastColumn="0"/>
            </w:pPr>
          </w:p>
          <w:p w:rsidR="00280EA6" w:rsidRPr="00280EA6" w:rsidRDefault="00280EA6" w:rsidP="009976CF">
            <w:pPr>
              <w:cnfStyle w:val="100000000000" w:firstRow="1" w:lastRow="0" w:firstColumn="0" w:lastColumn="0" w:oddVBand="0" w:evenVBand="0" w:oddHBand="0" w:evenHBand="0" w:firstRowFirstColumn="0" w:firstRowLastColumn="0" w:lastRowFirstColumn="0" w:lastRowLastColumn="0"/>
            </w:pPr>
            <w:r>
              <w:t>Energex</w:t>
            </w:r>
            <w:r w:rsidRPr="00280EA6">
              <w:t xml:space="preserve"> revised proposal</w:t>
            </w:r>
          </w:p>
          <w:p w:rsidR="00280EA6" w:rsidRPr="00280EA6" w:rsidRDefault="00280EA6" w:rsidP="009976CF">
            <w:pPr>
              <w:cnfStyle w:val="100000000000" w:firstRow="1" w:lastRow="0" w:firstColumn="0" w:lastColumn="0" w:oddVBand="0" w:evenVBand="0" w:oddHBand="0" w:evenHBand="0" w:firstRowFirstColumn="0" w:firstRowLastColumn="0" w:lastRowFirstColumn="0" w:lastRowLastColumn="0"/>
            </w:pPr>
            <w:r>
              <w:t>(2015–</w:t>
            </w:r>
            <w:r w:rsidR="00A156A2">
              <w:t>16</w:t>
            </w:r>
            <w:r w:rsidRPr="00280EA6">
              <w:t>)</w:t>
            </w:r>
            <w:r w:rsidRPr="00280EA6">
              <w:rPr>
                <w:rStyle w:val="AERsuperscript"/>
              </w:rPr>
              <w:t>(a)</w:t>
            </w:r>
          </w:p>
          <w:p w:rsidR="00280EA6" w:rsidRPr="0019488C" w:rsidRDefault="00280EA6" w:rsidP="009976CF">
            <w:pPr>
              <w:cnfStyle w:val="100000000000" w:firstRow="1" w:lastRow="0" w:firstColumn="0" w:lastColumn="0" w:oddVBand="0" w:evenVBand="0" w:oddHBand="0" w:evenHBand="0" w:firstRowFirstColumn="0" w:firstRowLastColumn="0" w:lastRowFirstColumn="0" w:lastRowLastColumn="0"/>
            </w:pPr>
          </w:p>
        </w:tc>
        <w:tc>
          <w:tcPr>
            <w:tcW w:w="895" w:type="pct"/>
          </w:tcPr>
          <w:p w:rsidR="00280EA6" w:rsidRPr="00280EA6" w:rsidRDefault="00280EA6" w:rsidP="009976CF">
            <w:pPr>
              <w:cnfStyle w:val="100000000000" w:firstRow="1" w:lastRow="0" w:firstColumn="0" w:lastColumn="0" w:oddVBand="0" w:evenVBand="0" w:oddHBand="0" w:evenHBand="0" w:firstRowFirstColumn="0" w:firstRowLastColumn="0" w:lastRowFirstColumn="0" w:lastRowLastColumn="0"/>
            </w:pPr>
            <w:r w:rsidRPr="00381B0E">
              <w:t>AER final decision</w:t>
            </w:r>
          </w:p>
          <w:p w:rsidR="00280EA6" w:rsidRPr="00280EA6" w:rsidRDefault="00280EA6" w:rsidP="009976CF">
            <w:pPr>
              <w:cnfStyle w:val="100000000000" w:firstRow="1" w:lastRow="0" w:firstColumn="0" w:lastColumn="0" w:oddVBand="0" w:evenVBand="0" w:oddHBand="0" w:evenHBand="0" w:firstRowFirstColumn="0" w:firstRowLastColumn="0" w:lastRowFirstColumn="0" w:lastRowLastColumn="0"/>
            </w:pPr>
            <w:r>
              <w:t>(</w:t>
            </w:r>
            <w:r w:rsidRPr="00280EA6">
              <w:t>2015–</w:t>
            </w:r>
            <w:r w:rsidR="00A156A2">
              <w:t>16</w:t>
            </w:r>
            <w:r w:rsidRPr="00280EA6">
              <w:t>)</w:t>
            </w:r>
          </w:p>
        </w:tc>
        <w:tc>
          <w:tcPr>
            <w:tcW w:w="894" w:type="pct"/>
          </w:tcPr>
          <w:p w:rsidR="00280EA6" w:rsidRPr="00280EA6" w:rsidRDefault="00280EA6" w:rsidP="009976CF">
            <w:pPr>
              <w:cnfStyle w:val="100000000000" w:firstRow="1" w:lastRow="0" w:firstColumn="0" w:lastColumn="0" w:oddVBand="0" w:evenVBand="0" w:oddHBand="0" w:evenHBand="0" w:firstRowFirstColumn="0" w:firstRowLastColumn="0" w:lastRowFirstColumn="0" w:lastRowLastColumn="0"/>
            </w:pPr>
            <w:r>
              <w:t>R</w:t>
            </w:r>
            <w:r w:rsidRPr="00280EA6">
              <w:t>eturn over</w:t>
            </w:r>
          </w:p>
          <w:p w:rsidR="00280EA6" w:rsidRPr="00280EA6" w:rsidRDefault="00280EA6" w:rsidP="009976CF">
            <w:pPr>
              <w:cnfStyle w:val="100000000000" w:firstRow="1" w:lastRow="0" w:firstColumn="0" w:lastColumn="0" w:oddVBand="0" w:evenVBand="0" w:oddHBand="0" w:evenHBand="0" w:firstRowFirstColumn="0" w:firstRowLastColumn="0" w:lastRowFirstColumn="0" w:lastRowLastColumn="0"/>
            </w:pPr>
            <w:r>
              <w:t>201</w:t>
            </w:r>
            <w:r w:rsidRPr="00280EA6">
              <w:t xml:space="preserve">5–20 regulatory </w:t>
            </w:r>
            <w:r w:rsidR="00A156A2">
              <w:t>contro</w:t>
            </w:r>
            <w:r w:rsidR="00A156A2" w:rsidRPr="00280EA6">
              <w:t xml:space="preserve">l </w:t>
            </w:r>
            <w:r w:rsidRPr="00280EA6">
              <w:t>period</w:t>
            </w:r>
          </w:p>
        </w:tc>
      </w:tr>
      <w:tr w:rsidR="00280EA6" w:rsidRPr="00BD56F3" w:rsidTr="003F100A">
        <w:tc>
          <w:tcPr>
            <w:cnfStyle w:val="001000000000" w:firstRow="0" w:lastRow="0" w:firstColumn="1" w:lastColumn="0" w:oddVBand="0" w:evenVBand="0" w:oddHBand="0" w:evenHBand="0" w:firstRowFirstColumn="0" w:firstRowLastColumn="0" w:lastRowFirstColumn="0" w:lastRowLastColumn="0"/>
            <w:tcW w:w="1421" w:type="pct"/>
          </w:tcPr>
          <w:p w:rsidR="00280EA6" w:rsidRPr="00280EA6" w:rsidRDefault="00280EA6" w:rsidP="009976CF">
            <w:r>
              <w:t>R</w:t>
            </w:r>
            <w:r w:rsidRPr="00280EA6">
              <w:t xml:space="preserve">eturn on equity    (nominal post–tax) </w:t>
            </w:r>
          </w:p>
        </w:tc>
        <w:tc>
          <w:tcPr>
            <w:tcW w:w="895" w:type="pct"/>
          </w:tcPr>
          <w:p w:rsidR="00280EA6" w:rsidRPr="00280EA6" w:rsidRDefault="008F1BE2" w:rsidP="009976CF">
            <w:pPr>
              <w:cnfStyle w:val="000000000000" w:firstRow="0" w:lastRow="0" w:firstColumn="0" w:lastColumn="0" w:oddVBand="0" w:evenVBand="0" w:oddHBand="0" w:evenHBand="0" w:firstRowFirstColumn="0" w:firstRowLastColumn="0" w:lastRowFirstColumn="0" w:lastRowLastColumn="0"/>
            </w:pPr>
            <w:r>
              <w:t>10.84</w:t>
            </w:r>
            <w:r w:rsidR="00280EA6" w:rsidRPr="00280EA6">
              <w:t>%</w:t>
            </w:r>
          </w:p>
        </w:tc>
        <w:tc>
          <w:tcPr>
            <w:tcW w:w="895" w:type="pct"/>
          </w:tcPr>
          <w:p w:rsidR="00280EA6" w:rsidRPr="00280EA6" w:rsidRDefault="0087039D" w:rsidP="009976CF">
            <w:pPr>
              <w:cnfStyle w:val="000000000000" w:firstRow="0" w:lastRow="0" w:firstColumn="0" w:lastColumn="0" w:oddVBand="0" w:evenVBand="0" w:oddHBand="0" w:evenHBand="0" w:firstRowFirstColumn="0" w:firstRowLastColumn="0" w:lastRowFirstColumn="0" w:lastRowLastColumn="0"/>
            </w:pPr>
            <w:r>
              <w:t>10.0</w:t>
            </w:r>
            <w:r w:rsidR="00280EA6" w:rsidRPr="00280EA6">
              <w:t>%</w:t>
            </w:r>
            <w:r w:rsidR="00280EA6" w:rsidRPr="00280EA6">
              <w:rPr>
                <w:rStyle w:val="AERsuperscript"/>
              </w:rPr>
              <w:t xml:space="preserve"> </w:t>
            </w:r>
          </w:p>
        </w:tc>
        <w:tc>
          <w:tcPr>
            <w:tcW w:w="895" w:type="pct"/>
          </w:tcPr>
          <w:p w:rsidR="00280EA6" w:rsidRPr="00280EA6" w:rsidRDefault="0087039D" w:rsidP="009976CF">
            <w:pPr>
              <w:cnfStyle w:val="000000000000" w:firstRow="0" w:lastRow="0" w:firstColumn="0" w:lastColumn="0" w:oddVBand="0" w:evenVBand="0" w:oddHBand="0" w:evenHBand="0" w:firstRowFirstColumn="0" w:firstRowLastColumn="0" w:lastRowFirstColumn="0" w:lastRowLastColumn="0"/>
            </w:pPr>
            <w:r>
              <w:t>7.5</w:t>
            </w:r>
            <w:r w:rsidR="00280EA6" w:rsidRPr="00280EA6">
              <w:t>%</w:t>
            </w:r>
          </w:p>
        </w:tc>
        <w:tc>
          <w:tcPr>
            <w:tcW w:w="894" w:type="pct"/>
          </w:tcPr>
          <w:p w:rsidR="00280EA6" w:rsidRPr="00280EA6" w:rsidRDefault="00280EA6" w:rsidP="009976CF">
            <w:pPr>
              <w:cnfStyle w:val="000000000000" w:firstRow="0" w:lastRow="0" w:firstColumn="0" w:lastColumn="0" w:oddVBand="0" w:evenVBand="0" w:oddHBand="0" w:evenHBand="0" w:firstRowFirstColumn="0" w:firstRowLastColumn="0" w:lastRowFirstColumn="0" w:lastRowLastColumn="0"/>
            </w:pPr>
            <w:r>
              <w:t>R</w:t>
            </w:r>
            <w:r w:rsidRPr="00280EA6">
              <w:t>emains constant (</w:t>
            </w:r>
            <w:r w:rsidR="0087039D">
              <w:t>7.5</w:t>
            </w:r>
            <w:r w:rsidRPr="00280EA6">
              <w:t>%)</w:t>
            </w:r>
          </w:p>
        </w:tc>
      </w:tr>
      <w:tr w:rsidR="00280EA6" w:rsidRPr="00BD56F3" w:rsidTr="003F10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280EA6" w:rsidRPr="00280EA6" w:rsidRDefault="00280EA6" w:rsidP="009976CF">
            <w:r>
              <w:t>Return on debt</w:t>
            </w:r>
            <w:r w:rsidRPr="00280EA6">
              <w:t xml:space="preserve">      (nominal pre–tax)</w:t>
            </w:r>
          </w:p>
        </w:tc>
        <w:tc>
          <w:tcPr>
            <w:tcW w:w="895" w:type="pct"/>
          </w:tcPr>
          <w:p w:rsidR="00280EA6" w:rsidRPr="00280EA6" w:rsidRDefault="008F1BE2" w:rsidP="009976CF">
            <w:pPr>
              <w:cnfStyle w:val="000000010000" w:firstRow="0" w:lastRow="0" w:firstColumn="0" w:lastColumn="0" w:oddVBand="0" w:evenVBand="0" w:oddHBand="0" w:evenHBand="1" w:firstRowFirstColumn="0" w:firstRowLastColumn="0" w:lastRowFirstColumn="0" w:lastRowLastColumn="0"/>
            </w:pPr>
            <w:r>
              <w:t>8.98</w:t>
            </w:r>
            <w:r w:rsidR="00280EA6" w:rsidRPr="00280EA6">
              <w:t>%</w:t>
            </w:r>
          </w:p>
        </w:tc>
        <w:tc>
          <w:tcPr>
            <w:tcW w:w="895" w:type="pct"/>
          </w:tcPr>
          <w:p w:rsidR="00280EA6" w:rsidRPr="00280EA6" w:rsidRDefault="00280EA6" w:rsidP="009976CF">
            <w:pPr>
              <w:cnfStyle w:val="000000010000" w:firstRow="0" w:lastRow="0" w:firstColumn="0" w:lastColumn="0" w:oddVBand="0" w:evenVBand="0" w:oddHBand="0" w:evenHBand="1" w:firstRowFirstColumn="0" w:firstRowLastColumn="0" w:lastRowFirstColumn="0" w:lastRowLastColumn="0"/>
            </w:pPr>
            <w:r>
              <w:t>5.</w:t>
            </w:r>
            <w:r w:rsidR="0087039D">
              <w:t>70</w:t>
            </w:r>
            <w:r w:rsidRPr="00280EA6">
              <w:t>%</w:t>
            </w:r>
          </w:p>
        </w:tc>
        <w:tc>
          <w:tcPr>
            <w:tcW w:w="895" w:type="pct"/>
          </w:tcPr>
          <w:p w:rsidR="00280EA6" w:rsidRPr="00280EA6" w:rsidRDefault="0087039D" w:rsidP="009976CF">
            <w:pPr>
              <w:cnfStyle w:val="000000010000" w:firstRow="0" w:lastRow="0" w:firstColumn="0" w:lastColumn="0" w:oddVBand="0" w:evenVBand="0" w:oddHBand="0" w:evenHBand="1" w:firstRowFirstColumn="0" w:firstRowLastColumn="0" w:lastRowFirstColumn="0" w:lastRowLastColumn="0"/>
            </w:pPr>
            <w:r>
              <w:t>5.01</w:t>
            </w:r>
            <w:r w:rsidR="00280EA6" w:rsidRPr="00280EA6">
              <w:t>%</w:t>
            </w:r>
          </w:p>
        </w:tc>
        <w:tc>
          <w:tcPr>
            <w:tcW w:w="894" w:type="pct"/>
          </w:tcPr>
          <w:p w:rsidR="00280EA6" w:rsidRPr="00280EA6" w:rsidRDefault="00280EA6" w:rsidP="009976CF">
            <w:pPr>
              <w:cnfStyle w:val="000000010000" w:firstRow="0" w:lastRow="0" w:firstColumn="0" w:lastColumn="0" w:oddVBand="0" w:evenVBand="0" w:oddHBand="0" w:evenHBand="1" w:firstRowFirstColumn="0" w:firstRowLastColumn="0" w:lastRowFirstColumn="0" w:lastRowLastColumn="0"/>
            </w:pPr>
            <w:r>
              <w:t>Updated annually</w:t>
            </w:r>
          </w:p>
        </w:tc>
      </w:tr>
      <w:tr w:rsidR="00280EA6" w:rsidRPr="00BD56F3" w:rsidTr="003F100A">
        <w:tc>
          <w:tcPr>
            <w:cnfStyle w:val="001000000000" w:firstRow="0" w:lastRow="0" w:firstColumn="1" w:lastColumn="0" w:oddVBand="0" w:evenVBand="0" w:oddHBand="0" w:evenHBand="0" w:firstRowFirstColumn="0" w:firstRowLastColumn="0" w:lastRowFirstColumn="0" w:lastRowLastColumn="0"/>
            <w:tcW w:w="1421" w:type="pct"/>
          </w:tcPr>
          <w:p w:rsidR="00280EA6" w:rsidRPr="00280EA6" w:rsidRDefault="00280EA6" w:rsidP="009976CF">
            <w:r>
              <w:t>Gearing</w:t>
            </w:r>
          </w:p>
        </w:tc>
        <w:tc>
          <w:tcPr>
            <w:tcW w:w="895" w:type="pct"/>
          </w:tcPr>
          <w:p w:rsidR="00280EA6" w:rsidRPr="00280EA6" w:rsidRDefault="00280EA6" w:rsidP="009976CF">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280EA6" w:rsidRPr="00280EA6" w:rsidRDefault="00280EA6" w:rsidP="009976CF">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280EA6" w:rsidRPr="00280EA6" w:rsidRDefault="00280EA6" w:rsidP="009976CF">
            <w:pPr>
              <w:cnfStyle w:val="000000000000" w:firstRow="0" w:lastRow="0" w:firstColumn="0" w:lastColumn="0" w:oddVBand="0" w:evenVBand="0" w:oddHBand="0" w:evenHBand="0" w:firstRowFirstColumn="0" w:firstRowLastColumn="0" w:lastRowFirstColumn="0" w:lastRowLastColumn="0"/>
            </w:pPr>
            <w:r>
              <w:t>60%</w:t>
            </w:r>
          </w:p>
        </w:tc>
        <w:tc>
          <w:tcPr>
            <w:tcW w:w="894" w:type="pct"/>
          </w:tcPr>
          <w:p w:rsidR="00280EA6" w:rsidRPr="00280EA6" w:rsidRDefault="00280EA6" w:rsidP="009976CF">
            <w:pPr>
              <w:cnfStyle w:val="000000000000" w:firstRow="0" w:lastRow="0" w:firstColumn="0" w:lastColumn="0" w:oddVBand="0" w:evenVBand="0" w:oddHBand="0" w:evenHBand="0" w:firstRowFirstColumn="0" w:firstRowLastColumn="0" w:lastRowFirstColumn="0" w:lastRowLastColumn="0"/>
            </w:pPr>
            <w:r>
              <w:t>Remains constant</w:t>
            </w:r>
            <w:r w:rsidRPr="00280EA6">
              <w:t xml:space="preserve">   (60%)</w:t>
            </w:r>
          </w:p>
        </w:tc>
      </w:tr>
      <w:tr w:rsidR="00280EA6" w:rsidRPr="00BD56F3" w:rsidTr="003F10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280EA6" w:rsidRPr="00280EA6" w:rsidRDefault="00280EA6" w:rsidP="009976CF">
            <w:r w:rsidRPr="00796C00">
              <w:t>Nominal vanilla WACC</w:t>
            </w:r>
          </w:p>
        </w:tc>
        <w:tc>
          <w:tcPr>
            <w:tcW w:w="895" w:type="pct"/>
          </w:tcPr>
          <w:p w:rsidR="00280EA6" w:rsidRPr="00280EA6" w:rsidRDefault="00280EA6" w:rsidP="009976CF">
            <w:pPr>
              <w:cnfStyle w:val="000000010000" w:firstRow="0" w:lastRow="0" w:firstColumn="0" w:lastColumn="0" w:oddVBand="0" w:evenVBand="0" w:oddHBand="0" w:evenHBand="1" w:firstRowFirstColumn="0" w:firstRowLastColumn="0" w:lastRowFirstColumn="0" w:lastRowLastColumn="0"/>
            </w:pPr>
            <w:r>
              <w:t>9.72</w:t>
            </w:r>
            <w:r w:rsidRPr="00280EA6">
              <w:t>%</w:t>
            </w:r>
          </w:p>
        </w:tc>
        <w:tc>
          <w:tcPr>
            <w:tcW w:w="895" w:type="pct"/>
          </w:tcPr>
          <w:p w:rsidR="00280EA6" w:rsidRPr="00280EA6" w:rsidRDefault="00280EA6" w:rsidP="009976CF">
            <w:pPr>
              <w:cnfStyle w:val="000000010000" w:firstRow="0" w:lastRow="0" w:firstColumn="0" w:lastColumn="0" w:oddVBand="0" w:evenVBand="0" w:oddHBand="0" w:evenHBand="1" w:firstRowFirstColumn="0" w:firstRowLastColumn="0" w:lastRowFirstColumn="0" w:lastRowLastColumn="0"/>
            </w:pPr>
            <w:r>
              <w:t>7.</w:t>
            </w:r>
            <w:r w:rsidR="00AE5345">
              <w:t>4</w:t>
            </w:r>
            <w:r w:rsidR="003F100A">
              <w:t>2</w:t>
            </w:r>
            <w:r w:rsidRPr="00280EA6">
              <w:t>%</w:t>
            </w:r>
          </w:p>
        </w:tc>
        <w:tc>
          <w:tcPr>
            <w:tcW w:w="895" w:type="pct"/>
          </w:tcPr>
          <w:p w:rsidR="00280EA6" w:rsidRPr="00280EA6" w:rsidRDefault="00AE5345" w:rsidP="009976CF">
            <w:pPr>
              <w:cnfStyle w:val="000000010000" w:firstRow="0" w:lastRow="0" w:firstColumn="0" w:lastColumn="0" w:oddVBand="0" w:evenVBand="0" w:oddHBand="0" w:evenHBand="1" w:firstRowFirstColumn="0" w:firstRowLastColumn="0" w:lastRowFirstColumn="0" w:lastRowLastColumn="0"/>
            </w:pPr>
            <w:r>
              <w:t>6.01</w:t>
            </w:r>
            <w:r w:rsidR="00280EA6" w:rsidRPr="00280EA6">
              <w:t>%</w:t>
            </w:r>
          </w:p>
        </w:tc>
        <w:tc>
          <w:tcPr>
            <w:tcW w:w="894" w:type="pct"/>
          </w:tcPr>
          <w:p w:rsidR="00280EA6" w:rsidRPr="00280EA6" w:rsidRDefault="00280EA6" w:rsidP="009976CF">
            <w:pPr>
              <w:cnfStyle w:val="000000010000" w:firstRow="0" w:lastRow="0" w:firstColumn="0" w:lastColumn="0" w:oddVBand="0" w:evenVBand="0" w:oddHBand="0" w:evenHBand="1" w:firstRowFirstColumn="0" w:firstRowLastColumn="0" w:lastRowFirstColumn="0" w:lastRowLastColumn="0"/>
            </w:pPr>
            <w:r>
              <w:t xml:space="preserve">Updated </w:t>
            </w:r>
            <w:r w:rsidRPr="00280EA6">
              <w:t>annually as return on debt is updated</w:t>
            </w:r>
          </w:p>
        </w:tc>
      </w:tr>
      <w:tr w:rsidR="00280EA6" w:rsidRPr="00BD56F3" w:rsidTr="003F100A">
        <w:tc>
          <w:tcPr>
            <w:cnfStyle w:val="001000000000" w:firstRow="0" w:lastRow="0" w:firstColumn="1" w:lastColumn="0" w:oddVBand="0" w:evenVBand="0" w:oddHBand="0" w:evenHBand="0" w:firstRowFirstColumn="0" w:firstRowLastColumn="0" w:lastRowFirstColumn="0" w:lastRowLastColumn="0"/>
            <w:tcW w:w="1421" w:type="pct"/>
          </w:tcPr>
          <w:p w:rsidR="00280EA6" w:rsidRPr="00280EA6" w:rsidRDefault="00280EA6" w:rsidP="009976CF">
            <w:r>
              <w:t xml:space="preserve">Forecast </w:t>
            </w:r>
            <w:r w:rsidRPr="00280EA6">
              <w:t>inflation</w:t>
            </w:r>
          </w:p>
        </w:tc>
        <w:tc>
          <w:tcPr>
            <w:tcW w:w="895" w:type="pct"/>
          </w:tcPr>
          <w:p w:rsidR="00280EA6" w:rsidRPr="00280EA6" w:rsidRDefault="00280EA6" w:rsidP="009976CF">
            <w:pPr>
              <w:cnfStyle w:val="000000000000" w:firstRow="0" w:lastRow="0" w:firstColumn="0" w:lastColumn="0" w:oddVBand="0" w:evenVBand="0" w:oddHBand="0" w:evenHBand="0" w:firstRowFirstColumn="0" w:firstRowLastColumn="0" w:lastRowFirstColumn="0" w:lastRowLastColumn="0"/>
            </w:pPr>
            <w:r>
              <w:t>2.52</w:t>
            </w:r>
            <w:r w:rsidRPr="00280EA6">
              <w:t>%</w:t>
            </w:r>
          </w:p>
        </w:tc>
        <w:tc>
          <w:tcPr>
            <w:tcW w:w="895" w:type="pct"/>
          </w:tcPr>
          <w:p w:rsidR="00280EA6" w:rsidRPr="00280EA6" w:rsidRDefault="00280EA6" w:rsidP="009976CF">
            <w:pPr>
              <w:cnfStyle w:val="000000000000" w:firstRow="0" w:lastRow="0" w:firstColumn="0" w:lastColumn="0" w:oddVBand="0" w:evenVBand="0" w:oddHBand="0" w:evenHBand="0" w:firstRowFirstColumn="0" w:firstRowLastColumn="0" w:lastRowFirstColumn="0" w:lastRowLastColumn="0"/>
            </w:pPr>
            <w:r>
              <w:t>2.</w:t>
            </w:r>
            <w:r w:rsidR="00AE5345">
              <w:t>5</w:t>
            </w:r>
            <w:r w:rsidR="007A6630">
              <w:t>0</w:t>
            </w:r>
            <w:r w:rsidRPr="00280EA6">
              <w:t>%</w:t>
            </w:r>
          </w:p>
        </w:tc>
        <w:tc>
          <w:tcPr>
            <w:tcW w:w="895" w:type="pct"/>
          </w:tcPr>
          <w:p w:rsidR="00280EA6" w:rsidRPr="00280EA6" w:rsidRDefault="00280EA6" w:rsidP="009976CF">
            <w:pPr>
              <w:cnfStyle w:val="000000000000" w:firstRow="0" w:lastRow="0" w:firstColumn="0" w:lastColumn="0" w:oddVBand="0" w:evenVBand="0" w:oddHBand="0" w:evenHBand="0" w:firstRowFirstColumn="0" w:firstRowLastColumn="0" w:lastRowFirstColumn="0" w:lastRowLastColumn="0"/>
            </w:pPr>
            <w:r>
              <w:t>2.5</w:t>
            </w:r>
            <w:r w:rsidRPr="00280EA6">
              <w:t>0%</w:t>
            </w:r>
          </w:p>
        </w:tc>
        <w:tc>
          <w:tcPr>
            <w:tcW w:w="894" w:type="pct"/>
          </w:tcPr>
          <w:p w:rsidR="00280EA6" w:rsidRPr="00280EA6" w:rsidRDefault="00280EA6" w:rsidP="009976CF">
            <w:pPr>
              <w:cnfStyle w:val="000000000000" w:firstRow="0" w:lastRow="0" w:firstColumn="0" w:lastColumn="0" w:oddVBand="0" w:evenVBand="0" w:oddHBand="0" w:evenHBand="0" w:firstRowFirstColumn="0" w:firstRowLastColumn="0" w:lastRowFirstColumn="0" w:lastRowLastColumn="0"/>
            </w:pPr>
            <w:r>
              <w:t>R</w:t>
            </w:r>
            <w:r w:rsidRPr="00280EA6">
              <w:t>emains constant (2.50%)</w:t>
            </w:r>
          </w:p>
        </w:tc>
      </w:tr>
    </w:tbl>
    <w:p w:rsidR="003F100A" w:rsidRDefault="003F100A" w:rsidP="003F100A">
      <w:pPr>
        <w:pStyle w:val="AERtablesource"/>
      </w:pPr>
      <w:r>
        <w:t>Source:</w:t>
      </w:r>
      <w:r>
        <w:tab/>
        <w:t xml:space="preserve">AER analysis; Energex, </w:t>
      </w:r>
      <w:r w:rsidRPr="00217FD9">
        <w:rPr>
          <w:rStyle w:val="AERtextitalic"/>
        </w:rPr>
        <w:t>Revised regulatory proposal 2015-20</w:t>
      </w:r>
      <w:r>
        <w:t xml:space="preserve">, July 2015; AER, </w:t>
      </w:r>
      <w:r w:rsidRPr="00740B5F">
        <w:rPr>
          <w:rStyle w:val="AERtextitalic"/>
        </w:rPr>
        <w:t xml:space="preserve">Final decision: </w:t>
      </w:r>
      <w:r>
        <w:rPr>
          <w:rStyle w:val="AERtextitalic"/>
        </w:rPr>
        <w:t xml:space="preserve">Queensland </w:t>
      </w:r>
      <w:r w:rsidRPr="00740B5F">
        <w:rPr>
          <w:rStyle w:val="AERtextitalic"/>
        </w:rPr>
        <w:t>distribution determination 20</w:t>
      </w:r>
      <w:r>
        <w:rPr>
          <w:rStyle w:val="AERtextitalic"/>
        </w:rPr>
        <w:t>1</w:t>
      </w:r>
      <w:r w:rsidRPr="00740B5F">
        <w:rPr>
          <w:rStyle w:val="AERtextitalic"/>
        </w:rPr>
        <w:t>0–1</w:t>
      </w:r>
      <w:r>
        <w:rPr>
          <w:rStyle w:val="AERtextitalic"/>
        </w:rPr>
        <w:t>1</w:t>
      </w:r>
      <w:r w:rsidRPr="00740B5F">
        <w:rPr>
          <w:rStyle w:val="AERtextitalic"/>
        </w:rPr>
        <w:t xml:space="preserve"> to 201</w:t>
      </w:r>
      <w:r>
        <w:rPr>
          <w:rStyle w:val="AERtextitalic"/>
        </w:rPr>
        <w:t>4</w:t>
      </w:r>
      <w:r w:rsidRPr="00740B5F">
        <w:rPr>
          <w:rStyle w:val="AERtextitalic"/>
        </w:rPr>
        <w:t>–1</w:t>
      </w:r>
      <w:r>
        <w:rPr>
          <w:rStyle w:val="AERtextitalic"/>
        </w:rPr>
        <w:t>5</w:t>
      </w:r>
      <w:r>
        <w:t>, May 2010.</w:t>
      </w:r>
    </w:p>
    <w:p w:rsidR="003F100A" w:rsidRPr="00C32DEC" w:rsidRDefault="003F100A" w:rsidP="003F100A">
      <w:pPr>
        <w:pStyle w:val="AERtablesource"/>
      </w:pPr>
      <w:r w:rsidRPr="00C32DEC" w:rsidDel="00527773">
        <w:t xml:space="preserve"> </w:t>
      </w:r>
      <w:r w:rsidRPr="00C32DEC">
        <w:t>(a)</w:t>
      </w:r>
      <w:r w:rsidRPr="00C32DEC">
        <w:tab/>
      </w:r>
      <w:r>
        <w:t>Energex's</w:t>
      </w:r>
      <w:r w:rsidRPr="00C32DEC">
        <w:t xml:space="preserve"> revised proposal uses values derived from </w:t>
      </w:r>
      <w:r>
        <w:t xml:space="preserve">the placeholder </w:t>
      </w:r>
      <w:r w:rsidRPr="00C32DEC">
        <w:t>averaging periods for risk free rate and rate on debt</w:t>
      </w:r>
      <w:r>
        <w:t xml:space="preserve"> in its revised proposal</w:t>
      </w:r>
      <w:r w:rsidRPr="00C32DEC">
        <w:t xml:space="preserve">.   </w:t>
      </w:r>
    </w:p>
    <w:p w:rsidR="007B3355" w:rsidRPr="00112BF8" w:rsidRDefault="007B3355" w:rsidP="007B3355">
      <w:pPr>
        <w:pStyle w:val="HeadingBoldBlue"/>
        <w:numPr>
          <w:ilvl w:val="0"/>
          <w:numId w:val="25"/>
        </w:numPr>
      </w:pPr>
      <w:bookmarkStart w:id="31" w:name="_Toc433723299"/>
      <w:r w:rsidRPr="00112BF8">
        <w:t>Our approach</w:t>
      </w:r>
      <w:bookmarkEnd w:id="25"/>
      <w:bookmarkEnd w:id="26"/>
      <w:bookmarkEnd w:id="27"/>
      <w:bookmarkEnd w:id="28"/>
      <w:bookmarkEnd w:id="29"/>
      <w:bookmarkEnd w:id="30"/>
      <w:bookmarkEnd w:id="31"/>
    </w:p>
    <w:p w:rsidR="007B3355" w:rsidRDefault="007B3355" w:rsidP="007B3355">
      <w:pPr>
        <w:numPr>
          <w:ilvl w:val="0"/>
          <w:numId w:val="25"/>
        </w:numPr>
      </w:pPr>
      <w:r>
        <w:t>All NER requirements relating to the rate of return are subject to the overall rate of return achieving the allowed rate of return objective.</w:t>
      </w:r>
      <w:r>
        <w:rPr>
          <w:rStyle w:val="FootnoteReference"/>
        </w:rPr>
        <w:footnoteReference w:id="33"/>
      </w:r>
      <w:r>
        <w:t xml:space="preserve">  The NER recognises that there </w:t>
      </w:r>
      <w:r w:rsidR="00454940">
        <w:t xml:space="preserve">may be </w:t>
      </w:r>
      <w:r>
        <w:t>several plausible answers that could achieve the allowed rate of return objective.</w:t>
      </w:r>
      <w:r w:rsidRPr="00D16140">
        <w:rPr>
          <w:rStyle w:val="FootnoteReference"/>
        </w:rPr>
        <w:footnoteReference w:id="34"/>
      </w:r>
      <w:r>
        <w:t xml:space="preserve"> We agree with stakeholders that predictability </w:t>
      </w:r>
      <w:r w:rsidR="00C62A8E">
        <w:t xml:space="preserve">in our approach to </w:t>
      </w:r>
      <w:r>
        <w:t>rate of return issues</w:t>
      </w:r>
      <w:r w:rsidR="00D77A66">
        <w:t>,</w:t>
      </w:r>
      <w:r w:rsidR="00C62A8E">
        <w:t xml:space="preserve"> consistent with prevailing market conditions</w:t>
      </w:r>
      <w:r>
        <w:t xml:space="preserve"> materially benefit</w:t>
      </w:r>
      <w:r w:rsidR="006D10A0">
        <w:t>s</w:t>
      </w:r>
      <w:r>
        <w:t xml:space="preserve"> the long term interests of consumers</w:t>
      </w:r>
      <w:r w:rsidR="00F6603A">
        <w:t xml:space="preserve"> </w:t>
      </w:r>
      <w:r w:rsidR="00F6603A" w:rsidRPr="00F6603A">
        <w:t>and also benefits investors</w:t>
      </w:r>
      <w:r>
        <w:t>.</w:t>
      </w:r>
      <w:r w:rsidRPr="00D16140">
        <w:rPr>
          <w:rStyle w:val="FootnoteReference"/>
        </w:rPr>
        <w:footnoteReference w:id="35"/>
      </w:r>
      <w:r>
        <w:t xml:space="preserve"> </w:t>
      </w:r>
    </w:p>
    <w:p w:rsidR="007B3355" w:rsidRPr="00D16140" w:rsidRDefault="007B3355" w:rsidP="007B3355">
      <w:pPr>
        <w:numPr>
          <w:ilvl w:val="0"/>
          <w:numId w:val="25"/>
        </w:numPr>
      </w:pPr>
      <w:r>
        <w:t xml:space="preserve">We developed our approach prior to the submission of </w:t>
      </w:r>
      <w:r w:rsidR="008F1BE2">
        <w:t xml:space="preserve">Energex's initial </w:t>
      </w:r>
      <w:r>
        <w:t>regulatory proposal, as required by the rate of return framework. In December 2013, we published the Guideline,</w:t>
      </w:r>
      <w:r w:rsidRPr="00D16140">
        <w:rPr>
          <w:rStyle w:val="FootnoteReference"/>
        </w:rPr>
        <w:footnoteReference w:id="36"/>
      </w:r>
      <w:r>
        <w:t xml:space="preserve"> as contemplated by the NER. </w:t>
      </w:r>
      <w:r w:rsidRPr="00D16140">
        <w:t>The Guideline was de</w:t>
      </w:r>
      <w:r w:rsidR="006D43BB">
        <w:t>veloped</w:t>
      </w:r>
      <w:r w:rsidRPr="00D16140">
        <w:t xml:space="preserve"> through extensive consultation and in</w:t>
      </w:r>
      <w:r>
        <w:t>volved</w:t>
      </w:r>
      <w:r w:rsidRPr="00D16140">
        <w:t xml:space="preserve"> effective and inclusive </w:t>
      </w:r>
      <w:r w:rsidR="006D10A0">
        <w:t xml:space="preserve">stakeholder </w:t>
      </w:r>
      <w:r w:rsidRPr="00D16140">
        <w:t>participation.</w:t>
      </w:r>
      <w:r>
        <w:t xml:space="preserve"> </w:t>
      </w:r>
    </w:p>
    <w:p w:rsidR="007B3355" w:rsidRPr="00D16140" w:rsidRDefault="007B3355" w:rsidP="007B3355">
      <w:pPr>
        <w:pStyle w:val="HeadingBoldBlue"/>
        <w:numPr>
          <w:ilvl w:val="0"/>
          <w:numId w:val="25"/>
        </w:numPr>
      </w:pPr>
      <w:bookmarkStart w:id="32" w:name="_Toc417973140"/>
      <w:bookmarkStart w:id="33" w:name="_Toc433723300"/>
      <w:r w:rsidRPr="00D16140">
        <w:t>Return on debt</w:t>
      </w:r>
      <w:bookmarkEnd w:id="32"/>
      <w:bookmarkEnd w:id="33"/>
    </w:p>
    <w:p w:rsidR="007B3355" w:rsidRDefault="007B3355" w:rsidP="007B3355">
      <w:r>
        <w:t>Previously,</w:t>
      </w:r>
      <w:r w:rsidRPr="00D16140">
        <w:t xml:space="preserve"> </w:t>
      </w:r>
      <w:r>
        <w:t xml:space="preserve">we used </w:t>
      </w:r>
      <w:r w:rsidRPr="00D16140">
        <w:t>an on-the-day approach</w:t>
      </w:r>
      <w:r>
        <w:t xml:space="preserve"> to determine the return on debt</w:t>
      </w:r>
      <w:r w:rsidRPr="00D16140">
        <w:t>.</w:t>
      </w:r>
      <w:r>
        <w:rPr>
          <w:rStyle w:val="FootnoteReference"/>
        </w:rPr>
        <w:footnoteReference w:id="37"/>
      </w:r>
      <w:r>
        <w:t xml:space="preserve"> This is the approach that many Australian regulators continue to use.</w:t>
      </w:r>
      <w:r w:rsidRPr="00D16140">
        <w:t xml:space="preserve"> </w:t>
      </w:r>
      <w:r w:rsidR="00C62A8E">
        <w:t>W</w:t>
      </w:r>
      <w:r>
        <w:t>e have determined a return on debt estimate that gradually transitions from an on-the-day approach to a trailing average approach</w:t>
      </w:r>
      <w:r w:rsidRPr="00D16140">
        <w:t>.</w:t>
      </w:r>
      <w:r>
        <w:rPr>
          <w:rStyle w:val="FootnoteReference"/>
        </w:rPr>
        <w:footnoteReference w:id="38"/>
      </w:r>
      <w:r w:rsidRPr="00D16140">
        <w:t xml:space="preserve"> </w:t>
      </w:r>
      <w:r>
        <w:t xml:space="preserve"> This is consistent with the approach most stakeholders supported during the Guideline development process. </w:t>
      </w:r>
      <w:r w:rsidR="001E147F">
        <w:t xml:space="preserve">In its initial regulatory proposal, </w:t>
      </w:r>
      <w:r>
        <w:t xml:space="preserve">Energex </w:t>
      </w:r>
      <w:r w:rsidR="00EE09BA">
        <w:t>proposed a gradual</w:t>
      </w:r>
      <w:r>
        <w:t xml:space="preserve"> transition to the trailing average approach</w:t>
      </w:r>
      <w:r w:rsidR="008F1BE2">
        <w:t>.</w:t>
      </w:r>
      <w:r w:rsidR="001E147F">
        <w:rPr>
          <w:rStyle w:val="FootnoteReference"/>
        </w:rPr>
        <w:footnoteReference w:id="39"/>
      </w:r>
      <w:r w:rsidR="00EE09BA">
        <w:t xml:space="preserve"> </w:t>
      </w:r>
      <w:r w:rsidR="008F1BE2">
        <w:t>W</w:t>
      </w:r>
      <w:r w:rsidR="00EE09BA">
        <w:t>e accepted Energex's proposed approach on this issue in our preliminary decision.</w:t>
      </w:r>
      <w:r>
        <w:t xml:space="preserve"> </w:t>
      </w:r>
      <w:r w:rsidR="001E147F">
        <w:t>However, in its revised regulatory proposal, Energex proposed a hybrid transition to the trailing average approach.</w:t>
      </w:r>
      <w:r w:rsidR="001E147F">
        <w:rPr>
          <w:rStyle w:val="FootnoteReference"/>
        </w:rPr>
        <w:footnoteReference w:id="40"/>
      </w:r>
    </w:p>
    <w:p w:rsidR="008C1410" w:rsidRDefault="00B662EF" w:rsidP="007B3355">
      <w:r>
        <w:t>W</w:t>
      </w:r>
      <w:r w:rsidR="008C1410">
        <w:t xml:space="preserve">e have not accepted Energex's revised approach on this issue. We consider that Energex's proposed approach is backward looking and produces a biased estimate of the return on debt. </w:t>
      </w:r>
      <w:r w:rsidR="00C62A8E">
        <w:t xml:space="preserve">This is discussed in attachment 3 </w:t>
      </w:r>
      <w:r w:rsidR="00C62A8E">
        <w:rPr>
          <w:rFonts w:cs="Arial"/>
        </w:rPr>
        <w:t>─</w:t>
      </w:r>
      <w:r w:rsidR="00C62A8E">
        <w:t xml:space="preserve"> rate of return. </w:t>
      </w:r>
    </w:p>
    <w:p w:rsidR="007B3355" w:rsidRPr="00D16140" w:rsidRDefault="007B3355" w:rsidP="007B3355">
      <w:pPr>
        <w:pStyle w:val="HeadingBoldBlue"/>
        <w:numPr>
          <w:ilvl w:val="0"/>
          <w:numId w:val="25"/>
        </w:numPr>
      </w:pPr>
      <w:bookmarkStart w:id="34" w:name="_Toc417973141"/>
      <w:bookmarkStart w:id="35" w:name="_Toc433723301"/>
      <w:r w:rsidRPr="00D16140">
        <w:t>Return on equity</w:t>
      </w:r>
      <w:bookmarkEnd w:id="34"/>
      <w:bookmarkEnd w:id="35"/>
    </w:p>
    <w:p w:rsidR="007B3355" w:rsidRPr="00D16140" w:rsidRDefault="007B3355" w:rsidP="007B3355">
      <w:pPr>
        <w:pStyle w:val="ListParagraph"/>
        <w:numPr>
          <w:ilvl w:val="0"/>
          <w:numId w:val="25"/>
        </w:numPr>
      </w:pPr>
      <w:r>
        <w:t xml:space="preserve">Energex </w:t>
      </w:r>
      <w:r w:rsidR="00A92C50">
        <w:t xml:space="preserve">did not </w:t>
      </w:r>
      <w:r w:rsidR="00256833">
        <w:t xml:space="preserve">adopt </w:t>
      </w:r>
      <w:r>
        <w:t xml:space="preserve">our approach to determining the return on equity. </w:t>
      </w:r>
      <w:r w:rsidR="00A92C50">
        <w:t>Our approach</w:t>
      </w:r>
      <w:r>
        <w:t xml:space="preserve"> involves considering all the information before us, through a six step process as set out in the Guideline (foundation model approach).</w:t>
      </w:r>
      <w:r>
        <w:rPr>
          <w:rStyle w:val="FootnoteReference"/>
        </w:rPr>
        <w:footnoteReference w:id="41"/>
      </w:r>
      <w:r w:rsidRPr="00D16140">
        <w:t xml:space="preserve"> </w:t>
      </w:r>
      <w:r>
        <w:t>This includes detailed consideration of a number of financial models for determining the return on equity.</w:t>
      </w:r>
      <w:r>
        <w:rPr>
          <w:rStyle w:val="FootnoteReference"/>
        </w:rPr>
        <w:footnoteReference w:id="42"/>
      </w:r>
      <w:r>
        <w:t xml:space="preserve"> Considering all of this material helps inform a return on equity estimate that contributes to the achievement of the allowed rate of return objective.</w:t>
      </w:r>
    </w:p>
    <w:p w:rsidR="007B3355" w:rsidRPr="00D16140" w:rsidRDefault="007B3355" w:rsidP="007B3355">
      <w:pPr>
        <w:numPr>
          <w:ilvl w:val="0"/>
          <w:numId w:val="25"/>
        </w:numPr>
      </w:pPr>
      <w:r>
        <w:t xml:space="preserve">We consider </w:t>
      </w:r>
      <w:r w:rsidRPr="00D16140">
        <w:t xml:space="preserve">that the </w:t>
      </w:r>
      <w:r>
        <w:t>Sharpe–Lintner capital asset pricing model (</w:t>
      </w:r>
      <w:r w:rsidRPr="00D16140">
        <w:t>SLCAPM</w:t>
      </w:r>
      <w:r>
        <w:t>)</w:t>
      </w:r>
      <w:r w:rsidRPr="00D16140">
        <w:t xml:space="preserve"> is the superior </w:t>
      </w:r>
      <w:r>
        <w:t xml:space="preserve">financial </w:t>
      </w:r>
      <w:r w:rsidRPr="00D16140">
        <w:t>model in terms of estimating expected equity returns. We have therefore adopted this model as our foundatio</w:t>
      </w:r>
      <w:r>
        <w:t xml:space="preserve">n model. </w:t>
      </w:r>
      <w:r w:rsidR="00954A98">
        <w:t>We are persuaded by t</w:t>
      </w:r>
      <w:r>
        <w:t>he expert evidence before us</w:t>
      </w:r>
      <w:r w:rsidRPr="00D16140">
        <w:t xml:space="preserve"> </w:t>
      </w:r>
      <w:r w:rsidR="00954A98">
        <w:t xml:space="preserve">that </w:t>
      </w:r>
      <w:r>
        <w:t>indicates</w:t>
      </w:r>
      <w:r w:rsidRPr="00D16140">
        <w:t xml:space="preserve"> that </w:t>
      </w:r>
      <w:r>
        <w:t xml:space="preserve">on balance </w:t>
      </w:r>
      <w:r w:rsidRPr="00D16140">
        <w:t xml:space="preserve">employing our foundation model approach and using the SLCAPM as the foundation model is expected to lead to a rate of return that </w:t>
      </w:r>
      <w:r>
        <w:t>achieves</w:t>
      </w:r>
      <w:r w:rsidRPr="00D16140">
        <w:t xml:space="preserve"> the </w:t>
      </w:r>
      <w:r>
        <w:t>allowed rate of return objective</w:t>
      </w:r>
      <w:r w:rsidRPr="00D16140">
        <w:t>.</w:t>
      </w:r>
      <w:r w:rsidRPr="00D16140">
        <w:rPr>
          <w:rStyle w:val="FootnoteReference"/>
        </w:rPr>
        <w:footnoteReference w:id="43"/>
      </w:r>
    </w:p>
    <w:p w:rsidR="007B3355" w:rsidRDefault="007B3355" w:rsidP="00BB5142">
      <w:r w:rsidRPr="00D16140">
        <w:t xml:space="preserve">We </w:t>
      </w:r>
      <w:r>
        <w:t xml:space="preserve">also </w:t>
      </w:r>
      <w:r w:rsidRPr="00D16140">
        <w:t xml:space="preserve">evaluated our point estimate </w:t>
      </w:r>
      <w:r>
        <w:t xml:space="preserve">from the SLCAPM </w:t>
      </w:r>
      <w:r w:rsidRPr="00D16140">
        <w:t>against other information. The critical allowance for an equity investor in a benchmark efficient entity is the allowed equity risk premium (ERP) over and above the estimated risk free rate at a</w:t>
      </w:r>
      <w:r>
        <w:t>ny</w:t>
      </w:r>
      <w:r w:rsidRPr="00D16140">
        <w:t xml:space="preserve"> given time.</w:t>
      </w:r>
      <w:r w:rsidRPr="00D16140">
        <w:rPr>
          <w:rStyle w:val="FootnoteReference"/>
        </w:rPr>
        <w:footnoteReference w:id="44"/>
      </w:r>
      <w:r w:rsidRPr="00D16140">
        <w:t xml:space="preserve"> Our estimate of the ERP for the benchmark efficient entity is </w:t>
      </w:r>
      <w:r w:rsidRPr="00BB5142">
        <w:t>4.55</w:t>
      </w:r>
      <w:r w:rsidRPr="00D16140">
        <w:t xml:space="preserve"> per cent</w:t>
      </w:r>
      <w:r>
        <w:t xml:space="preserve"> which is within range</w:t>
      </w:r>
      <w:r w:rsidRPr="00D16140">
        <w:t xml:space="preserve"> of other information available to inform the return on equity</w:t>
      </w:r>
      <w:r>
        <w:t xml:space="preserve"> (see figure </w:t>
      </w:r>
      <w:r w:rsidR="00915ABF">
        <w:t>7</w:t>
      </w:r>
      <w:r>
        <w:t>)</w:t>
      </w:r>
      <w:r w:rsidRPr="00D16140">
        <w:t xml:space="preserve">. </w:t>
      </w:r>
      <w:bookmarkStart w:id="36" w:name="_Ref402448694"/>
      <w:r w:rsidRPr="00205830">
        <w:t xml:space="preserve">A detailed explanation of </w:t>
      </w:r>
      <w:r>
        <w:t xml:space="preserve">our findings on return on equity and </w:t>
      </w:r>
      <w:r w:rsidRPr="00205830">
        <w:t>this figure can be found in the attachment 3: Rate of return</w:t>
      </w:r>
      <w:r>
        <w:t>.</w:t>
      </w:r>
    </w:p>
    <w:p w:rsidR="007B3355" w:rsidRPr="00D16140" w:rsidRDefault="007B3355" w:rsidP="007B3355">
      <w:pPr>
        <w:pStyle w:val="Caption"/>
      </w:pPr>
      <w:r>
        <w:t xml:space="preserve">Figure </w:t>
      </w:r>
      <w:r w:rsidR="00915ABF">
        <w:t>7</w:t>
      </w:r>
      <w:bookmarkEnd w:id="36"/>
      <w:r>
        <w:tab/>
      </w:r>
      <w:r w:rsidRPr="00D16140">
        <w:t>Other information comparisons with the AER allowed ERP</w:t>
      </w:r>
      <w:r w:rsidRPr="00D16140">
        <w:tab/>
      </w:r>
    </w:p>
    <w:p w:rsidR="007B3355" w:rsidRDefault="00383762" w:rsidP="007B3355">
      <w:pPr>
        <w:pStyle w:val="AERtablesource"/>
      </w:pPr>
      <w:r w:rsidRPr="00D5430F">
        <w:rPr>
          <w:noProof/>
          <w:lang w:eastAsia="en-AU"/>
        </w:rPr>
        <w:drawing>
          <wp:inline distT="0" distB="0" distL="0" distR="0" wp14:anchorId="48243CA5" wp14:editId="31376D92">
            <wp:extent cx="5382260" cy="3738256"/>
            <wp:effectExtent l="0" t="0" r="889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B3355" w:rsidRDefault="007B3355" w:rsidP="007B3355">
      <w:pPr>
        <w:pStyle w:val="AERtablesource"/>
      </w:pPr>
    </w:p>
    <w:p w:rsidR="00383762" w:rsidRPr="00E33AD2" w:rsidRDefault="00383762" w:rsidP="00383762">
      <w:pPr>
        <w:pStyle w:val="AERtablesource"/>
      </w:pPr>
      <w:r w:rsidRPr="00E33AD2">
        <w:t>Source:</w:t>
      </w:r>
      <w:r w:rsidRPr="00E33AD2">
        <w:tab/>
        <w:t>AER analysis and various submissions and reports.</w:t>
      </w:r>
    </w:p>
    <w:p w:rsidR="00383762" w:rsidRPr="00E33AD2" w:rsidRDefault="00383762" w:rsidP="00383762">
      <w:pPr>
        <w:pStyle w:val="AERtablesource"/>
      </w:pPr>
      <w:r w:rsidRPr="00E33AD2">
        <w:t xml:space="preserve">Notes: </w:t>
      </w:r>
      <w:r w:rsidRPr="00E33AD2">
        <w:tab/>
        <w:t>The AER foundation model equity risk premium (ERP) range uses the range and point estimate for MRP and equity beta as set out in step three. The calculation of the Wright approach, debt premium, brokers, and other regulators ranges is outlined in Appendices E.1, E.2, E.4, and E.5 respectively.</w:t>
      </w:r>
    </w:p>
    <w:p w:rsidR="00383762" w:rsidRPr="00E33AD2" w:rsidRDefault="00383762" w:rsidP="00383762">
      <w:pPr>
        <w:pStyle w:val="AERtablesource"/>
      </w:pPr>
      <w:r w:rsidRPr="00E33AD2">
        <w:tab/>
        <w:t xml:space="preserve">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  </w:t>
      </w:r>
    </w:p>
    <w:p w:rsidR="00383762" w:rsidRPr="00A26D56" w:rsidRDefault="00383762" w:rsidP="00383762">
      <w:pPr>
        <w:pStyle w:val="AERtablesource"/>
      </w:pPr>
      <w:r>
        <w:tab/>
        <w:t>The shaded portion of the other regulators range represents the impact of rail decisions on the range. We consider rail networks are unlikely to be comparable to the benchmark efficient entity.</w:t>
      </w:r>
    </w:p>
    <w:p w:rsidR="00383762" w:rsidRPr="00E33AD2" w:rsidRDefault="00383762" w:rsidP="00383762">
      <w:pPr>
        <w:pStyle w:val="AERtablesource"/>
      </w:pPr>
      <w:r w:rsidRPr="00E33AD2">
        <w:tab/>
        <w:t>The service provider proposals range is based on the proposals from businesses for which we are making final or pr</w:t>
      </w:r>
      <w:r>
        <w:t xml:space="preserve">eliminary decisions in </w:t>
      </w:r>
      <w:r w:rsidRPr="00E33AD2">
        <w:t xml:space="preserve">October-December 2015.  Equity risk premiums were calculated as the proposed return on equity less the risk free rate utilised in the service provider's proposed estimation approach. </w:t>
      </w:r>
    </w:p>
    <w:p w:rsidR="00383762" w:rsidRDefault="00383762" w:rsidP="00383762">
      <w:pPr>
        <w:pStyle w:val="AERtablesource"/>
      </w:pPr>
      <w:r w:rsidRPr="00E33AD2">
        <w:tab/>
        <w:t xml:space="preserve">The CCP/stakeholder range is based on submissions made (not including service providers) in relation to our final or </w:t>
      </w:r>
      <w:r>
        <w:t xml:space="preserve">preliminary decisions in </w:t>
      </w:r>
      <w:r w:rsidRPr="00E33AD2">
        <w:t>October-December 2015. The low</w:t>
      </w:r>
      <w:r>
        <w:t xml:space="preserve">er bound is based on the </w:t>
      </w:r>
      <w:r w:rsidRPr="00E33AD2">
        <w:t>Alliance of Elect</w:t>
      </w:r>
      <w:r>
        <w:t xml:space="preserve">ricity Consumers submission on </w:t>
      </w:r>
      <w:r w:rsidRPr="00E33AD2">
        <w:t>Energex and Ergon Energy revised proposals. The upper bound is based on Origin Energy’s submission on the preliminary decision for SA Power Networks.</w:t>
      </w:r>
    </w:p>
    <w:p w:rsidR="007B3355" w:rsidRPr="00112BF8" w:rsidRDefault="007B3355" w:rsidP="007B3355">
      <w:pPr>
        <w:pStyle w:val="Heading2"/>
      </w:pPr>
      <w:bookmarkStart w:id="37" w:name="_Toc417973142"/>
      <w:bookmarkStart w:id="38" w:name="_Toc433723302"/>
      <w:r w:rsidRPr="00112BF8">
        <w:t>Value of imputation credits (gamma)</w:t>
      </w:r>
      <w:bookmarkEnd w:id="37"/>
      <w:bookmarkEnd w:id="38"/>
    </w:p>
    <w:p w:rsidR="007B3355" w:rsidRDefault="007B3355" w:rsidP="007B3355">
      <w:pPr>
        <w:numPr>
          <w:ilvl w:val="0"/>
          <w:numId w:val="25"/>
        </w:numPr>
      </w:pPr>
      <w:bookmarkStart w:id="39" w:name="_Toc404437135"/>
      <w:bookmarkStart w:id="40" w:name="_Toc411428038"/>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45"/>
      </w:r>
      <w:r w:rsidRPr="00A3318E">
        <w:t xml:space="preserve"> </w:t>
      </w:r>
      <w:r>
        <w:t xml:space="preserve">These are received after company income tax is paid, but before personal income tax is paid.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7B3355" w:rsidRDefault="007B3355" w:rsidP="007B3355">
      <w:pPr>
        <w:numPr>
          <w:ilvl w:val="0"/>
          <w:numId w:val="25"/>
        </w:numPr>
      </w:pPr>
      <w:r>
        <w:t>In determining a service provider's revenue allowance, the NER requires that the estimated cost of corporate income tax be estimated in accordance with a formula that reduces the estimated cost by the 'value of imputation credits'.</w:t>
      </w:r>
      <w:r>
        <w:rPr>
          <w:rStyle w:val="FootnoteReference"/>
        </w:rPr>
        <w:footnoteReference w:id="46"/>
      </w:r>
      <w:r>
        <w:t xml:space="preserve"> That is, the revenue granted to a service provider to cover its expected tax liability must be reduced in a manner consistent with the value of imputation credits.</w:t>
      </w:r>
    </w:p>
    <w:p w:rsidR="007B3355" w:rsidRPr="00C00A11" w:rsidRDefault="007B3355" w:rsidP="004C3879">
      <w:r w:rsidRPr="00C00A11">
        <w:t xml:space="preserve">Our </w:t>
      </w:r>
      <w:r w:rsidR="00931EEC">
        <w:t>final</w:t>
      </w:r>
      <w:r w:rsidRPr="00C00A11">
        <w:t xml:space="preserve"> decision is to adopt a value of imputation credits </w:t>
      </w:r>
      <w:r w:rsidRPr="004C3879">
        <w:t>of 0.4.</w:t>
      </w:r>
      <w:r w:rsidRPr="00C00A11">
        <w:t xml:space="preserve"> This differs from </w:t>
      </w:r>
      <w:r>
        <w:t>Energex's</w:t>
      </w:r>
      <w:r w:rsidRPr="00C00A11">
        <w:t xml:space="preserve"> proposed value of imputation credits of </w:t>
      </w:r>
      <w:r w:rsidRPr="004C3879">
        <w:t>0.25.</w:t>
      </w:r>
    </w:p>
    <w:p w:rsidR="007B3355" w:rsidRPr="003C2542" w:rsidRDefault="007B3355" w:rsidP="007B3355">
      <w:pPr>
        <w:numPr>
          <w:ilvl w:val="0"/>
          <w:numId w:val="25"/>
        </w:numPr>
      </w:pPr>
      <w:r>
        <w:t>Although we have broadly maintained the approach to determining the value of imputation credits set out in the Rate of Return Guideline, we have re-examined the relevant evidence and estimates</w:t>
      </w:r>
      <w:r w:rsidR="00515970">
        <w:t xml:space="preserve"> since our preliminary decision</w:t>
      </w:r>
      <w:r>
        <w:t xml:space="preserve">. This re-examination, and new evidence and advice considered for the first time since the Guideline, led us to depart from the value of 0.5 in the Guideline. Most notably, our updated consideration of the relevant advice and evidence led us to generally lower estimates of the 'utilisation rate' from the 0.7 estimate of the Guideline. Estimating the value of imputation credits is a complex and somewhat imprecise task. There is no consensus among experts on the appropriate value or estimation techniques to use. </w:t>
      </w:r>
    </w:p>
    <w:p w:rsidR="007B3355" w:rsidRDefault="007B3355" w:rsidP="007B3355">
      <w:pPr>
        <w:numPr>
          <w:ilvl w:val="0"/>
          <w:numId w:val="25"/>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7B3355" w:rsidRPr="00B10087" w:rsidRDefault="007B3355" w:rsidP="007B3355">
      <w:pPr>
        <w:pStyle w:val="AERbulletlistfirststyle"/>
      </w:pPr>
      <w:r>
        <w:t>t</w:t>
      </w:r>
      <w:r w:rsidRPr="00222B8F">
        <w:t>he proportion of Australian equity held by domestic investors (the 'equity ownership approach')</w:t>
      </w:r>
      <w:r w:rsidRPr="00B10087">
        <w:t>.</w:t>
      </w:r>
    </w:p>
    <w:p w:rsidR="007B3355" w:rsidRPr="00B10087" w:rsidRDefault="007B3355" w:rsidP="007B3355">
      <w:pPr>
        <w:pStyle w:val="AERbulletlistfirststyle"/>
      </w:pPr>
      <w:r>
        <w:t>t</w:t>
      </w:r>
      <w:r w:rsidRPr="00222B8F">
        <w:t xml:space="preserve">he reported value of credits utilised by investors in </w:t>
      </w:r>
      <w:r w:rsidRPr="00B10087">
        <w:t>Australian Taxation Office (ATO) statistics ('tax statistics').</w:t>
      </w:r>
    </w:p>
    <w:p w:rsidR="007B3355" w:rsidRPr="00B10087" w:rsidRDefault="007B3355" w:rsidP="007B3355">
      <w:pPr>
        <w:pStyle w:val="AERbulletlistfirststyle"/>
      </w:pPr>
      <w:r>
        <w:t>implied market value studies—there is no separate market in which imputation credits are traded, and therefore there is no observable market price for imputation credits.</w:t>
      </w:r>
    </w:p>
    <w:p w:rsidR="007B3355" w:rsidRPr="009229E7" w:rsidRDefault="007B3355" w:rsidP="007B3355">
      <w:pPr>
        <w:numPr>
          <w:ilvl w:val="0"/>
          <w:numId w:val="25"/>
        </w:numPr>
      </w:pPr>
      <w:r>
        <w:t>In estimating the utilisation rate, we place:</w:t>
      </w:r>
    </w:p>
    <w:p w:rsidR="007B3355" w:rsidRPr="00B10087" w:rsidRDefault="007B3355" w:rsidP="007B3355">
      <w:pPr>
        <w:pStyle w:val="AERbulletlistfirststyle"/>
      </w:pPr>
      <w:r>
        <w:t>significant reliance upon the equity ownership approach</w:t>
      </w:r>
    </w:p>
    <w:p w:rsidR="007B3355" w:rsidRPr="00B10087" w:rsidRDefault="007B3355" w:rsidP="007B3355">
      <w:pPr>
        <w:pStyle w:val="AERbulletlistfirststyle"/>
      </w:pPr>
      <w:r>
        <w:t>some reliance upon tax statistics</w:t>
      </w:r>
    </w:p>
    <w:p w:rsidR="007B3355" w:rsidRPr="00B10087" w:rsidRDefault="007B3355" w:rsidP="007B3355">
      <w:pPr>
        <w:pStyle w:val="AERbulletlistfirststyle"/>
      </w:pPr>
      <w:r>
        <w:t>less reliance upon implied market value studies.</w:t>
      </w:r>
    </w:p>
    <w:p w:rsidR="007B3355" w:rsidRDefault="007B3355" w:rsidP="007B3355">
      <w:pPr>
        <w:numPr>
          <w:ilvl w:val="0"/>
          <w:numId w:val="25"/>
        </w:numPr>
      </w:pPr>
      <w:r>
        <w:t>Overall, the evidence on the distribution rate and the utilisation rate suggests that a reasonable estimate of the value of imputation credits is within the range 0.3 to 0.5. From within this range, we choose a value of 0.4. This is because:</w:t>
      </w:r>
    </w:p>
    <w:p w:rsidR="007B3355" w:rsidRDefault="007B3355" w:rsidP="007B3355">
      <w:pPr>
        <w:pStyle w:val="AERbulletlistfirststyle"/>
      </w:pPr>
      <w:r>
        <w:t>the equity ownership approach, on which we have placed the most reliance, suggests a value between 0.40 and 0.47 when applie</w:t>
      </w:r>
      <w:r w:rsidR="00A372BD">
        <w:t>d to all equity and between 0.29 and 0.42</w:t>
      </w:r>
      <w:r>
        <w:t xml:space="preserve"> when applied to only listed equity. Therefore, the overlap of the evidence from the equity ownership approach suggests a value between 0.40 a</w:t>
      </w:r>
      <w:r w:rsidR="00A372BD">
        <w:t>nd 0.42</w:t>
      </w:r>
      <w:r>
        <w:t>.</w:t>
      </w:r>
    </w:p>
    <w:p w:rsidR="007B3355" w:rsidRDefault="007B3355" w:rsidP="007B3355">
      <w:pPr>
        <w:pStyle w:val="AERbulletlistfirststyle"/>
      </w:pPr>
      <w:r>
        <w:t>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7B3355" w:rsidRDefault="007B3355" w:rsidP="007B3355">
      <w:pPr>
        <w:pStyle w:val="AERbulletlistfirststyle"/>
      </w:pPr>
      <w:r>
        <w:t>an estimate of 0.4 is reasonable in light of both higher and lower estimates from implied market value studies and the lesser degree of reliance we place on these studies. The service providers submitted evidence to support placing more reliance on SFG's dividend drop off study relative to other implied market value studies. However, we consider that neither the difference from 0.4 of th</w:t>
      </w:r>
      <w:r w:rsidR="00A372BD">
        <w:t>e estimate from this study (0.31</w:t>
      </w:r>
      <w:r>
        <w:t>) nor any increased reliance we might place on it relative to other implied market value studies are sufficient to warrant an estimate lower than 0.4.</w:t>
      </w:r>
    </w:p>
    <w:p w:rsidR="00FD138B" w:rsidRDefault="00FD138B" w:rsidP="00FD138B">
      <w:pPr>
        <w:pStyle w:val="AERbulletlistfirststyle"/>
        <w:numPr>
          <w:ilvl w:val="0"/>
          <w:numId w:val="0"/>
        </w:numPr>
        <w:ind w:left="357" w:hanging="357"/>
      </w:pPr>
    </w:p>
    <w:p w:rsidR="00FD138B" w:rsidRDefault="00FD138B" w:rsidP="00FD138B">
      <w:pPr>
        <w:pStyle w:val="AERbulletlistfirststyle"/>
        <w:numPr>
          <w:ilvl w:val="0"/>
          <w:numId w:val="0"/>
        </w:numPr>
        <w:ind w:left="357" w:hanging="357"/>
      </w:pPr>
    </w:p>
    <w:p w:rsidR="00FD138B" w:rsidRDefault="00FD138B" w:rsidP="00FD138B">
      <w:pPr>
        <w:pStyle w:val="AERbulletlistfirststyle"/>
        <w:numPr>
          <w:ilvl w:val="0"/>
          <w:numId w:val="0"/>
        </w:numPr>
        <w:ind w:left="357" w:hanging="357"/>
      </w:pPr>
    </w:p>
    <w:p w:rsidR="00FD138B" w:rsidRDefault="00FD138B" w:rsidP="00FD138B">
      <w:pPr>
        <w:pStyle w:val="AERbulletlistfirststyle"/>
        <w:numPr>
          <w:ilvl w:val="0"/>
          <w:numId w:val="0"/>
        </w:numPr>
        <w:ind w:left="357" w:hanging="357"/>
      </w:pPr>
    </w:p>
    <w:p w:rsidR="007B3355" w:rsidRPr="00112BF8" w:rsidRDefault="007B3355" w:rsidP="007B3355">
      <w:pPr>
        <w:pStyle w:val="Heading2"/>
      </w:pPr>
      <w:bookmarkStart w:id="41" w:name="_Toc417973143"/>
      <w:bookmarkStart w:id="42" w:name="_Toc433723303"/>
      <w:bookmarkEnd w:id="39"/>
      <w:bookmarkEnd w:id="40"/>
      <w:r w:rsidRPr="00112BF8">
        <w:t>Regulatory depreciation (return of capital)</w:t>
      </w:r>
      <w:bookmarkEnd w:id="41"/>
      <w:bookmarkEnd w:id="42"/>
    </w:p>
    <w:p w:rsidR="007B3355" w:rsidRDefault="007B3355" w:rsidP="007B3355">
      <w:r>
        <w:t>Depreciation is the allowance provided so that capital investors recover their investment over the economic life of the asset (return of capital). We are required to decide on whether to approve the depreciation schedules submitted by Energex.</w:t>
      </w:r>
      <w:r>
        <w:rPr>
          <w:rStyle w:val="FootnoteReference"/>
        </w:rPr>
        <w:footnoteReference w:id="47"/>
      </w:r>
      <w:r>
        <w:t xml:space="preserve"> In doing so, we make a determination on the indexation of the RAB and depreciation building blocks for Energex's 2015</w:t>
      </w:r>
      <w:r w:rsidRPr="007B3355">
        <w:t>−</w:t>
      </w:r>
      <w:r>
        <w:t>20 regulatory control period.</w:t>
      </w:r>
      <w:r w:rsidR="00515970">
        <w:t xml:space="preserve"> The regulatory depreciation allowance is the net total of straight-line depreciation less the indexation of the RAB. </w:t>
      </w:r>
      <w:r w:rsidRPr="00112BF8">
        <w:t xml:space="preserve">  </w:t>
      </w:r>
      <w:r w:rsidR="00515970" w:rsidRPr="00112BF8">
        <w:t xml:space="preserve"> </w:t>
      </w:r>
    </w:p>
    <w:p w:rsidR="00EF22EF" w:rsidRPr="00EF22EF" w:rsidRDefault="00EF22EF" w:rsidP="00915ABF">
      <w:r w:rsidRPr="00EF22EF">
        <w:t xml:space="preserve">Our final decision is to determine a regulatory depreciation allowance of </w:t>
      </w:r>
      <w:r w:rsidRPr="00915ABF">
        <w:t>$</w:t>
      </w:r>
      <w:r w:rsidR="00326AD3" w:rsidRPr="00915ABF">
        <w:t>476.1</w:t>
      </w:r>
      <w:r w:rsidRPr="00915ABF">
        <w:t xml:space="preserve"> million ($ nominal) for Energex. This amount represents a decrease of $</w:t>
      </w:r>
      <w:r w:rsidR="00326AD3" w:rsidRPr="00915ABF">
        <w:t>3.8</w:t>
      </w:r>
      <w:r w:rsidRPr="00915ABF">
        <w:t xml:space="preserve"> million ($ nominal) (or </w:t>
      </w:r>
      <w:r w:rsidR="00326AD3" w:rsidRPr="00915ABF">
        <w:t>0.8</w:t>
      </w:r>
      <w:r w:rsidRPr="00915ABF">
        <w:t xml:space="preserve"> per cent)</w:t>
      </w:r>
      <w:r w:rsidRPr="00EF22EF">
        <w:t xml:space="preserve"> of the $</w:t>
      </w:r>
      <w:r>
        <w:t>479.9</w:t>
      </w:r>
      <w:r w:rsidRPr="00EF22EF">
        <w:t xml:space="preserve"> million ($ nominal) </w:t>
      </w:r>
      <w:r>
        <w:t>Energex</w:t>
      </w:r>
      <w:r w:rsidRPr="00EF22EF">
        <w:t xml:space="preserve"> proposed for the 2015─20 regulatory control period.</w:t>
      </w:r>
      <w:r w:rsidRPr="00D75329">
        <w:rPr>
          <w:rStyle w:val="FootnoteReference"/>
        </w:rPr>
        <w:footnoteReference w:id="48"/>
      </w:r>
    </w:p>
    <w:p w:rsidR="007B3355" w:rsidRPr="00112BF8" w:rsidRDefault="007B3355" w:rsidP="007B3355">
      <w:pPr>
        <w:numPr>
          <w:ilvl w:val="0"/>
          <w:numId w:val="25"/>
        </w:numPr>
      </w:pPr>
      <w:r>
        <w:t>Table 6</w:t>
      </w:r>
      <w:r w:rsidRPr="00112BF8">
        <w:t xml:space="preserve"> sets out our </w:t>
      </w:r>
      <w:r w:rsidR="00931EEC">
        <w:t xml:space="preserve">final </w:t>
      </w:r>
      <w:r w:rsidRPr="00112BF8">
        <w:t xml:space="preserve">decision on </w:t>
      </w:r>
      <w:r>
        <w:t>Energex's</w:t>
      </w:r>
      <w:r w:rsidRPr="00112BF8">
        <w:t xml:space="preserve"> depreciation allowance for the </w:t>
      </w:r>
      <w:r w:rsidR="00326AD3">
        <w:br/>
      </w:r>
      <w:r w:rsidRPr="00112BF8">
        <w:t>201</w:t>
      </w:r>
      <w:r>
        <w:t>5</w:t>
      </w:r>
      <w:r w:rsidRPr="00112BF8">
        <w:t>–</w:t>
      </w:r>
      <w:r>
        <w:t>20 regulatory control</w:t>
      </w:r>
      <w:r w:rsidRPr="00112BF8">
        <w:t xml:space="preserve"> period</w:t>
      </w:r>
      <w:r>
        <w:t>.</w:t>
      </w:r>
    </w:p>
    <w:p w:rsidR="007B3355" w:rsidRPr="00112BF8" w:rsidRDefault="007B3355" w:rsidP="007B3355">
      <w:pPr>
        <w:pStyle w:val="Caption"/>
      </w:pPr>
      <w:r w:rsidRPr="00112BF8">
        <w:t xml:space="preserve">Table </w:t>
      </w:r>
      <w:r>
        <w:t>6</w:t>
      </w:r>
      <w:r w:rsidRPr="00112BF8">
        <w:tab/>
        <w:t xml:space="preserve">AER's </w:t>
      </w:r>
      <w:r w:rsidR="00931EEC">
        <w:t>final</w:t>
      </w:r>
      <w:r w:rsidRPr="00112BF8">
        <w:t xml:space="preserve"> decision on Energex's depreciation allowance for the 2015−20 </w:t>
      </w:r>
      <w:r>
        <w:t xml:space="preserve">regulatory control </w:t>
      </w:r>
      <w:r w:rsidRPr="00112BF8">
        <w:t>period ($ million, nominal)</w:t>
      </w:r>
    </w:p>
    <w:tbl>
      <w:tblPr>
        <w:tblStyle w:val="AERtable-numbers"/>
        <w:tblW w:w="5000" w:type="pct"/>
        <w:tblLook w:val="04A0" w:firstRow="1" w:lastRow="0" w:firstColumn="1" w:lastColumn="0" w:noHBand="0" w:noVBand="1"/>
      </w:tblPr>
      <w:tblGrid>
        <w:gridCol w:w="3370"/>
        <w:gridCol w:w="889"/>
        <w:gridCol w:w="889"/>
        <w:gridCol w:w="888"/>
        <w:gridCol w:w="888"/>
        <w:gridCol w:w="888"/>
        <w:gridCol w:w="881"/>
      </w:tblGrid>
      <w:tr w:rsidR="007B3355" w:rsidRPr="004D699F" w:rsidTr="00D276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7B3355" w:rsidRPr="007B3355" w:rsidRDefault="007B3355" w:rsidP="007B3355">
            <w:r w:rsidRPr="00112BF8">
              <w:t> </w:t>
            </w:r>
          </w:p>
        </w:tc>
        <w:tc>
          <w:tcPr>
            <w:tcW w:w="511"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5–16</w:t>
            </w:r>
          </w:p>
        </w:tc>
        <w:tc>
          <w:tcPr>
            <w:tcW w:w="511"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6–17</w:t>
            </w:r>
          </w:p>
        </w:tc>
        <w:tc>
          <w:tcPr>
            <w:tcW w:w="511"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7–18</w:t>
            </w:r>
          </w:p>
        </w:tc>
        <w:tc>
          <w:tcPr>
            <w:tcW w:w="511"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8–19</w:t>
            </w:r>
          </w:p>
        </w:tc>
        <w:tc>
          <w:tcPr>
            <w:tcW w:w="511"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9–20</w:t>
            </w:r>
          </w:p>
        </w:tc>
        <w:tc>
          <w:tcPr>
            <w:tcW w:w="507"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Total</w:t>
            </w:r>
          </w:p>
        </w:tc>
      </w:tr>
      <w:tr w:rsidR="00326AD3" w:rsidRPr="004D699F" w:rsidTr="00D27650">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326AD3" w:rsidRPr="00326AD3" w:rsidRDefault="00326AD3" w:rsidP="00326AD3">
            <w:r w:rsidRPr="00326AD3">
              <w:t>Straight-line depreciation</w:t>
            </w:r>
          </w:p>
        </w:tc>
        <w:tc>
          <w:tcPr>
            <w:tcW w:w="511"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pPr>
            <w:r w:rsidRPr="00326AD3">
              <w:t>351.2</w:t>
            </w:r>
          </w:p>
        </w:tc>
        <w:tc>
          <w:tcPr>
            <w:tcW w:w="511"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pPr>
            <w:r w:rsidRPr="00326AD3">
              <w:t>376.5</w:t>
            </w:r>
          </w:p>
        </w:tc>
        <w:tc>
          <w:tcPr>
            <w:tcW w:w="511" w:type="pct"/>
            <w:noWrap/>
            <w:vAlign w:val="bottom"/>
          </w:tcPr>
          <w:p w:rsidR="00326AD3" w:rsidRPr="00326AD3" w:rsidRDefault="00326AD3" w:rsidP="007A3171">
            <w:pPr>
              <w:cnfStyle w:val="000000000000" w:firstRow="0" w:lastRow="0" w:firstColumn="0" w:lastColumn="0" w:oddVBand="0" w:evenVBand="0" w:oddHBand="0" w:evenHBand="0" w:firstRowFirstColumn="0" w:firstRowLastColumn="0" w:lastRowFirstColumn="0" w:lastRowLastColumn="0"/>
            </w:pPr>
            <w:r w:rsidRPr="00326AD3">
              <w:t>402.</w:t>
            </w:r>
            <w:r w:rsidR="007A3171">
              <w:t>0</w:t>
            </w:r>
          </w:p>
        </w:tc>
        <w:tc>
          <w:tcPr>
            <w:tcW w:w="511" w:type="pct"/>
            <w:noWrap/>
            <w:vAlign w:val="bottom"/>
          </w:tcPr>
          <w:p w:rsidR="00326AD3" w:rsidRPr="00326AD3" w:rsidRDefault="00326AD3" w:rsidP="007A3171">
            <w:pPr>
              <w:cnfStyle w:val="000000000000" w:firstRow="0" w:lastRow="0" w:firstColumn="0" w:lastColumn="0" w:oddVBand="0" w:evenVBand="0" w:oddHBand="0" w:evenHBand="0" w:firstRowFirstColumn="0" w:firstRowLastColumn="0" w:lastRowFirstColumn="0" w:lastRowLastColumn="0"/>
            </w:pPr>
            <w:r w:rsidRPr="00326AD3">
              <w:t>420.</w:t>
            </w:r>
            <w:r w:rsidR="007A3171">
              <w:t>4</w:t>
            </w:r>
          </w:p>
        </w:tc>
        <w:tc>
          <w:tcPr>
            <w:tcW w:w="511"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pPr>
            <w:r w:rsidRPr="00326AD3">
              <w:t>446.2</w:t>
            </w:r>
          </w:p>
        </w:tc>
        <w:tc>
          <w:tcPr>
            <w:tcW w:w="507" w:type="pct"/>
            <w:noWrap/>
            <w:vAlign w:val="bottom"/>
          </w:tcPr>
          <w:p w:rsidR="00326AD3" w:rsidRPr="00326AD3" w:rsidRDefault="00326AD3" w:rsidP="007A3171">
            <w:pPr>
              <w:cnfStyle w:val="000000000000" w:firstRow="0" w:lastRow="0" w:firstColumn="0" w:lastColumn="0" w:oddVBand="0" w:evenVBand="0" w:oddHBand="0" w:evenHBand="0" w:firstRowFirstColumn="0" w:firstRowLastColumn="0" w:lastRowFirstColumn="0" w:lastRowLastColumn="0"/>
            </w:pPr>
            <w:r w:rsidRPr="00326AD3">
              <w:t>199</w:t>
            </w:r>
            <w:r w:rsidR="007A3171">
              <w:t>6</w:t>
            </w:r>
            <w:r w:rsidRPr="00326AD3">
              <w:t>.</w:t>
            </w:r>
            <w:r w:rsidR="007A3171">
              <w:t>4</w:t>
            </w:r>
          </w:p>
        </w:tc>
      </w:tr>
      <w:tr w:rsidR="00326AD3" w:rsidRPr="004D699F" w:rsidTr="00D276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326AD3" w:rsidRPr="00326AD3" w:rsidRDefault="00326AD3" w:rsidP="00326AD3">
            <w:r w:rsidRPr="00326AD3">
              <w:rPr>
                <w:rStyle w:val="AERtextitalic"/>
              </w:rPr>
              <w:t>Less</w:t>
            </w:r>
            <w:r w:rsidRPr="00326AD3">
              <w:t>: inflation indexation on opening RAB</w:t>
            </w:r>
          </w:p>
        </w:tc>
        <w:tc>
          <w:tcPr>
            <w:tcW w:w="511" w:type="pct"/>
            <w:noWrap/>
            <w:vAlign w:val="bottom"/>
          </w:tcPr>
          <w:p w:rsidR="00326AD3" w:rsidRPr="00326AD3" w:rsidRDefault="00326AD3" w:rsidP="00326AD3">
            <w:pPr>
              <w:cnfStyle w:val="000000010000" w:firstRow="0" w:lastRow="0" w:firstColumn="0" w:lastColumn="0" w:oddVBand="0" w:evenVBand="0" w:oddHBand="0" w:evenHBand="1" w:firstRowFirstColumn="0" w:firstRowLastColumn="0" w:lastRowFirstColumn="0" w:lastRowLastColumn="0"/>
            </w:pPr>
            <w:r w:rsidRPr="00326AD3">
              <w:t>279.3</w:t>
            </w:r>
          </w:p>
        </w:tc>
        <w:tc>
          <w:tcPr>
            <w:tcW w:w="511" w:type="pct"/>
            <w:noWrap/>
            <w:vAlign w:val="bottom"/>
          </w:tcPr>
          <w:p w:rsidR="00326AD3" w:rsidRPr="00326AD3" w:rsidRDefault="00326AD3" w:rsidP="007A3171">
            <w:pPr>
              <w:cnfStyle w:val="000000010000" w:firstRow="0" w:lastRow="0" w:firstColumn="0" w:lastColumn="0" w:oddVBand="0" w:evenVBand="0" w:oddHBand="0" w:evenHBand="1" w:firstRowFirstColumn="0" w:firstRowLastColumn="0" w:lastRowFirstColumn="0" w:lastRowLastColumn="0"/>
            </w:pPr>
            <w:r w:rsidRPr="00326AD3">
              <w:t>29</w:t>
            </w:r>
            <w:r w:rsidR="007A3171">
              <w:t>2</w:t>
            </w:r>
            <w:r w:rsidRPr="00326AD3">
              <w:t>.</w:t>
            </w:r>
            <w:r w:rsidR="007A3171">
              <w:t>0</w:t>
            </w:r>
          </w:p>
        </w:tc>
        <w:tc>
          <w:tcPr>
            <w:tcW w:w="511" w:type="pct"/>
            <w:noWrap/>
            <w:vAlign w:val="bottom"/>
          </w:tcPr>
          <w:p w:rsidR="00326AD3" w:rsidRPr="00326AD3" w:rsidRDefault="00326AD3" w:rsidP="007A3171">
            <w:pPr>
              <w:cnfStyle w:val="000000010000" w:firstRow="0" w:lastRow="0" w:firstColumn="0" w:lastColumn="0" w:oddVBand="0" w:evenVBand="0" w:oddHBand="0" w:evenHBand="1" w:firstRowFirstColumn="0" w:firstRowLastColumn="0" w:lastRowFirstColumn="0" w:lastRowLastColumn="0"/>
            </w:pPr>
            <w:r w:rsidRPr="00326AD3">
              <w:t>30</w:t>
            </w:r>
            <w:r w:rsidR="007A3171">
              <w:t>4</w:t>
            </w:r>
            <w:r w:rsidRPr="00326AD3">
              <w:t>.</w:t>
            </w:r>
            <w:r w:rsidR="007A3171">
              <w:t>7</w:t>
            </w:r>
          </w:p>
        </w:tc>
        <w:tc>
          <w:tcPr>
            <w:tcW w:w="511" w:type="pct"/>
            <w:noWrap/>
            <w:vAlign w:val="bottom"/>
          </w:tcPr>
          <w:p w:rsidR="00326AD3" w:rsidRPr="00326AD3" w:rsidRDefault="00326AD3" w:rsidP="007A3171">
            <w:pPr>
              <w:cnfStyle w:val="000000010000" w:firstRow="0" w:lastRow="0" w:firstColumn="0" w:lastColumn="0" w:oddVBand="0" w:evenVBand="0" w:oddHBand="0" w:evenHBand="1" w:firstRowFirstColumn="0" w:firstRowLastColumn="0" w:lastRowFirstColumn="0" w:lastRowLastColumn="0"/>
            </w:pPr>
            <w:r w:rsidRPr="00326AD3">
              <w:t>316.</w:t>
            </w:r>
            <w:r w:rsidR="007A3171">
              <w:t>3</w:t>
            </w:r>
          </w:p>
        </w:tc>
        <w:tc>
          <w:tcPr>
            <w:tcW w:w="511" w:type="pct"/>
            <w:noWrap/>
            <w:vAlign w:val="bottom"/>
          </w:tcPr>
          <w:p w:rsidR="00326AD3" w:rsidRPr="00326AD3" w:rsidRDefault="00326AD3" w:rsidP="00326AD3">
            <w:pPr>
              <w:cnfStyle w:val="000000010000" w:firstRow="0" w:lastRow="0" w:firstColumn="0" w:lastColumn="0" w:oddVBand="0" w:evenVBand="0" w:oddHBand="0" w:evenHBand="1" w:firstRowFirstColumn="0" w:firstRowLastColumn="0" w:lastRowFirstColumn="0" w:lastRowLastColumn="0"/>
            </w:pPr>
            <w:r w:rsidRPr="00326AD3">
              <w:t>328.0</w:t>
            </w:r>
          </w:p>
        </w:tc>
        <w:tc>
          <w:tcPr>
            <w:tcW w:w="507" w:type="pct"/>
            <w:noWrap/>
            <w:vAlign w:val="bottom"/>
          </w:tcPr>
          <w:p w:rsidR="00326AD3" w:rsidRPr="00326AD3" w:rsidRDefault="00326AD3" w:rsidP="007A3171">
            <w:pPr>
              <w:cnfStyle w:val="000000010000" w:firstRow="0" w:lastRow="0" w:firstColumn="0" w:lastColumn="0" w:oddVBand="0" w:evenVBand="0" w:oddHBand="0" w:evenHBand="1" w:firstRowFirstColumn="0" w:firstRowLastColumn="0" w:lastRowFirstColumn="0" w:lastRowLastColumn="0"/>
            </w:pPr>
            <w:r w:rsidRPr="00326AD3">
              <w:t>1520.</w:t>
            </w:r>
            <w:r w:rsidR="007A3171">
              <w:t>3</w:t>
            </w:r>
          </w:p>
        </w:tc>
      </w:tr>
      <w:tr w:rsidR="00326AD3" w:rsidRPr="00186632" w:rsidTr="00D27650">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326AD3" w:rsidRPr="00326AD3" w:rsidRDefault="00326AD3" w:rsidP="00326AD3">
            <w:pPr>
              <w:rPr>
                <w:rStyle w:val="Strong"/>
              </w:rPr>
            </w:pPr>
            <w:r w:rsidRPr="00326AD3">
              <w:rPr>
                <w:rStyle w:val="Strong"/>
              </w:rPr>
              <w:t>Regulatory depreciation</w:t>
            </w:r>
          </w:p>
        </w:tc>
        <w:tc>
          <w:tcPr>
            <w:tcW w:w="511"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71.9</w:t>
            </w:r>
          </w:p>
        </w:tc>
        <w:tc>
          <w:tcPr>
            <w:tcW w:w="511"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84.6</w:t>
            </w:r>
          </w:p>
        </w:tc>
        <w:tc>
          <w:tcPr>
            <w:tcW w:w="511"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97.3</w:t>
            </w:r>
          </w:p>
        </w:tc>
        <w:tc>
          <w:tcPr>
            <w:tcW w:w="511"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104.1</w:t>
            </w:r>
          </w:p>
        </w:tc>
        <w:tc>
          <w:tcPr>
            <w:tcW w:w="511"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118.2</w:t>
            </w:r>
          </w:p>
        </w:tc>
        <w:tc>
          <w:tcPr>
            <w:tcW w:w="507"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476.1</w:t>
            </w:r>
          </w:p>
        </w:tc>
      </w:tr>
    </w:tbl>
    <w:p w:rsidR="007B3355" w:rsidRDefault="007B3355" w:rsidP="007B3355">
      <w:pPr>
        <w:pStyle w:val="AERtablesource"/>
      </w:pPr>
      <w:r w:rsidRPr="00112BF8">
        <w:t>Source:</w:t>
      </w:r>
      <w:r w:rsidRPr="00112BF8">
        <w:tab/>
        <w:t>AER analysis.</w:t>
      </w:r>
    </w:p>
    <w:p w:rsidR="00D75329" w:rsidRDefault="00D75329" w:rsidP="00915ABF">
      <w:r w:rsidRPr="00E029D1">
        <w:t>In determining this allowance we accept Energ</w:t>
      </w:r>
      <w:r>
        <w:t>ex</w:t>
      </w:r>
      <w:r w:rsidRPr="00E029D1">
        <w:t>'s revised proposed standard asset lives. However, our</w:t>
      </w:r>
      <w:r w:rsidR="00412B65">
        <w:t xml:space="preserve"> reduction to Energex's proposed depreciation allowance reflects our</w:t>
      </w:r>
      <w:r>
        <w:t>:</w:t>
      </w:r>
    </w:p>
    <w:p w:rsidR="00D75329" w:rsidRDefault="00D75329" w:rsidP="00D75329">
      <w:pPr>
        <w:pStyle w:val="AERbulletlistfirststyle"/>
      </w:pPr>
      <w:r>
        <w:t xml:space="preserve">updates to the remaining asset lives </w:t>
      </w:r>
    </w:p>
    <w:p w:rsidR="00D75329" w:rsidRDefault="00D75329" w:rsidP="00D75329">
      <w:pPr>
        <w:pStyle w:val="AERbulletlistfirststyle"/>
      </w:pPr>
      <w:r w:rsidRPr="00E029D1">
        <w:t xml:space="preserve">determinations on other components of </w:t>
      </w:r>
      <w:r>
        <w:t xml:space="preserve">Energex’s </w:t>
      </w:r>
      <w:r w:rsidRPr="00E029D1">
        <w:t xml:space="preserve">revised proposal—for example, the </w:t>
      </w:r>
      <w:r>
        <w:t>opening RAB at 1 July 2015</w:t>
      </w:r>
      <w:r w:rsidRPr="00E029D1">
        <w:t xml:space="preserve"> (attachment </w:t>
      </w:r>
      <w:r>
        <w:t>2</w:t>
      </w:r>
      <w:r w:rsidRPr="0006712C">
        <w:t>)</w:t>
      </w:r>
      <w:r w:rsidRPr="00E029D1">
        <w:t xml:space="preserve"> and forecast capex (attachment 6)—affecting the forecast regulatory depreciation allowance.</w:t>
      </w:r>
      <w:r>
        <w:t xml:space="preserve"> </w:t>
      </w:r>
    </w:p>
    <w:p w:rsidR="007B3355" w:rsidRDefault="007B3355" w:rsidP="007B3355">
      <w:r>
        <w:t>D</w:t>
      </w:r>
      <w:r w:rsidRPr="004F77EF">
        <w:t>etail</w:t>
      </w:r>
      <w:r>
        <w:t>s of</w:t>
      </w:r>
      <w:r w:rsidRPr="004F77EF">
        <w:t xml:space="preserve"> our </w:t>
      </w:r>
      <w:r w:rsidR="00931EEC">
        <w:t>final</w:t>
      </w:r>
      <w:r w:rsidRPr="004F77EF">
        <w:t xml:space="preserve"> decision on </w:t>
      </w:r>
      <w:r>
        <w:t>the</w:t>
      </w:r>
      <w:r w:rsidRPr="004F77EF">
        <w:t xml:space="preserve"> regulatory depreciation allowance</w:t>
      </w:r>
      <w:r>
        <w:t xml:space="preserve"> are set out in attachment 5</w:t>
      </w:r>
      <w:r w:rsidRPr="004F77EF">
        <w:t>.</w:t>
      </w:r>
    </w:p>
    <w:p w:rsidR="00515970" w:rsidRDefault="00515970" w:rsidP="007B3355"/>
    <w:p w:rsidR="00FD138B" w:rsidRDefault="00FD138B" w:rsidP="007B3355"/>
    <w:p w:rsidR="007B3355" w:rsidRPr="00112BF8" w:rsidRDefault="007B3355" w:rsidP="007B3355">
      <w:pPr>
        <w:pStyle w:val="Heading2"/>
      </w:pPr>
      <w:bookmarkStart w:id="43" w:name="_Toc417973144"/>
      <w:bookmarkStart w:id="44" w:name="_Toc433723304"/>
      <w:r w:rsidRPr="00112BF8">
        <w:t>Capital expenditure</w:t>
      </w:r>
      <w:bookmarkEnd w:id="43"/>
      <w:bookmarkEnd w:id="44"/>
    </w:p>
    <w:p w:rsidR="007B3355" w:rsidRPr="00112BF8" w:rsidRDefault="007B3355" w:rsidP="007B3355">
      <w:pPr>
        <w:rPr>
          <w:rStyle w:val="AERbody"/>
        </w:rPr>
      </w:pPr>
      <w:r w:rsidRPr="00112BF8">
        <w:rPr>
          <w:rStyle w:val="AERbody"/>
        </w:rPr>
        <w:t xml:space="preserve">Capex refers to the capital expenses incurred in the provision of network services. The return on and </w:t>
      </w:r>
      <w:r w:rsidR="002D6523">
        <w:rPr>
          <w:rStyle w:val="AERbody"/>
        </w:rPr>
        <w:t xml:space="preserve">return </w:t>
      </w:r>
      <w:r w:rsidRPr="00112BF8">
        <w:rPr>
          <w:rStyle w:val="AERbody"/>
        </w:rPr>
        <w:t xml:space="preserve">of forecast capex for standard control services are two of the building blocks we use to determine a service provider's total revenue requirement.  </w:t>
      </w:r>
    </w:p>
    <w:p w:rsidR="007B3355" w:rsidRDefault="007B3355" w:rsidP="00931EEC">
      <w:r>
        <w:t xml:space="preserve">We estimate total forecast capex </w:t>
      </w:r>
      <w:r w:rsidRPr="007B3355">
        <w:rPr>
          <w:rStyle w:val="AERbodytextChar"/>
          <w:rFonts w:eastAsiaTheme="minorHAnsi"/>
        </w:rPr>
        <w:t>of $</w:t>
      </w:r>
      <w:r w:rsidR="00201E14">
        <w:rPr>
          <w:rStyle w:val="AERbodytextChar"/>
          <w:rFonts w:eastAsiaTheme="minorHAnsi"/>
        </w:rPr>
        <w:t>2</w:t>
      </w:r>
      <w:r w:rsidR="00076893">
        <w:rPr>
          <w:rStyle w:val="AERbodytextChar"/>
          <w:rFonts w:eastAsiaTheme="minorHAnsi"/>
        </w:rPr>
        <w:t>755.4</w:t>
      </w:r>
      <w:r w:rsidRPr="007B3355">
        <w:rPr>
          <w:rStyle w:val="AERbodytextChar"/>
          <w:rFonts w:eastAsiaTheme="minorHAnsi"/>
        </w:rPr>
        <w:t>million ($2014−15) for Energex's 20</w:t>
      </w:r>
      <w:r w:rsidR="008F2EB9">
        <w:rPr>
          <w:rStyle w:val="AERbodytextChar"/>
          <w:rFonts w:eastAsiaTheme="minorHAnsi"/>
        </w:rPr>
        <w:t>15−20 regulatory control period. This is</w:t>
      </w:r>
      <w:r w:rsidR="00201E14">
        <w:rPr>
          <w:rStyle w:val="AERbodytextChar"/>
          <w:rFonts w:eastAsiaTheme="minorHAnsi"/>
        </w:rPr>
        <w:t xml:space="preserve"> a 4.</w:t>
      </w:r>
      <w:r w:rsidR="00076893">
        <w:rPr>
          <w:rStyle w:val="AERbodytextChar"/>
          <w:rFonts w:eastAsiaTheme="minorHAnsi"/>
        </w:rPr>
        <w:t>6</w:t>
      </w:r>
      <w:r w:rsidRPr="00931EEC">
        <w:t xml:space="preserve"> </w:t>
      </w:r>
      <w:r w:rsidRPr="007B3355">
        <w:rPr>
          <w:rStyle w:val="AERbodytextChar"/>
          <w:rFonts w:eastAsiaTheme="minorHAnsi"/>
        </w:rPr>
        <w:t>per</w:t>
      </w:r>
      <w:r>
        <w:t xml:space="preserve"> cent </w:t>
      </w:r>
      <w:r w:rsidR="00201E14">
        <w:t>reduction on</w:t>
      </w:r>
      <w:r>
        <w:t xml:space="preserve"> Energex's </w:t>
      </w:r>
      <w:r w:rsidR="00412B65">
        <w:t xml:space="preserve">revised </w:t>
      </w:r>
      <w:r>
        <w:t xml:space="preserve">proposed capex. We are satisfied that our substitute estimate of Energex's total forecast capex reasonably reflects the capex criteria. Table 7 shows our </w:t>
      </w:r>
      <w:r w:rsidR="00931EEC">
        <w:t>final</w:t>
      </w:r>
      <w:r>
        <w:t xml:space="preserve"> decision compared to Energex's </w:t>
      </w:r>
      <w:r w:rsidR="0087323D">
        <w:t xml:space="preserve">revised </w:t>
      </w:r>
      <w:r>
        <w:t>proposal.</w:t>
      </w:r>
    </w:p>
    <w:p w:rsidR="007B3355" w:rsidRPr="00112BF8" w:rsidRDefault="007B3355" w:rsidP="007B3355">
      <w:pPr>
        <w:pStyle w:val="Caption"/>
      </w:pPr>
      <w:r w:rsidRPr="00112BF8">
        <w:t xml:space="preserve">Table </w:t>
      </w:r>
      <w:r>
        <w:t>7</w:t>
      </w:r>
      <w:r w:rsidRPr="00112BF8">
        <w:tab/>
        <w:t xml:space="preserve"> </w:t>
      </w:r>
      <w:r>
        <w:t>AER</w:t>
      </w:r>
      <w:r w:rsidRPr="00112BF8">
        <w:t xml:space="preserve"> </w:t>
      </w:r>
      <w:r w:rsidR="00931EEC">
        <w:t>final</w:t>
      </w:r>
      <w:r w:rsidRPr="00112BF8">
        <w:t xml:space="preserve"> decision on total net capex ($</w:t>
      </w:r>
      <w:r w:rsidR="00D77A66">
        <w:t xml:space="preserve"> </w:t>
      </w:r>
      <w:r w:rsidRPr="00112BF8">
        <w:t xml:space="preserve">million </w:t>
      </w:r>
      <w:r w:rsidRPr="009B0EDD">
        <w:t>2014–15)</w:t>
      </w:r>
    </w:p>
    <w:tbl>
      <w:tblPr>
        <w:tblStyle w:val="AERtable-numbers"/>
        <w:tblW w:w="0" w:type="auto"/>
        <w:tblLook w:val="04A0" w:firstRow="1" w:lastRow="0" w:firstColumn="1" w:lastColumn="0" w:noHBand="0" w:noVBand="1"/>
      </w:tblPr>
      <w:tblGrid>
        <w:gridCol w:w="2454"/>
        <w:gridCol w:w="1042"/>
        <w:gridCol w:w="1041"/>
        <w:gridCol w:w="1041"/>
        <w:gridCol w:w="1041"/>
        <w:gridCol w:w="1041"/>
        <w:gridCol w:w="1033"/>
      </w:tblGrid>
      <w:tr w:rsidR="007B3355" w:rsidRPr="00767B5A" w:rsidTr="00D27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7B3355" w:rsidRPr="000201AB" w:rsidRDefault="007B3355" w:rsidP="007B3355">
            <w:pPr>
              <w:pStyle w:val="ListParagraph"/>
              <w:numPr>
                <w:ilvl w:val="0"/>
                <w:numId w:val="25"/>
              </w:numPr>
            </w:pPr>
          </w:p>
        </w:tc>
        <w:tc>
          <w:tcPr>
            <w:tcW w:w="1042" w:type="dxa"/>
            <w:vAlign w:val="top"/>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411AD3">
              <w:t>2015–16</w:t>
            </w:r>
          </w:p>
        </w:tc>
        <w:tc>
          <w:tcPr>
            <w:tcW w:w="1041" w:type="dxa"/>
            <w:vAlign w:val="top"/>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411AD3">
              <w:t>2016–17</w:t>
            </w:r>
          </w:p>
        </w:tc>
        <w:tc>
          <w:tcPr>
            <w:tcW w:w="1041" w:type="dxa"/>
            <w:vAlign w:val="top"/>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411AD3">
              <w:t>2017–18</w:t>
            </w:r>
          </w:p>
        </w:tc>
        <w:tc>
          <w:tcPr>
            <w:tcW w:w="1041" w:type="dxa"/>
            <w:vAlign w:val="top"/>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411AD3">
              <w:t>2018–19</w:t>
            </w:r>
          </w:p>
        </w:tc>
        <w:tc>
          <w:tcPr>
            <w:tcW w:w="1041" w:type="dxa"/>
            <w:vAlign w:val="top"/>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411AD3">
              <w:t>2019–20</w:t>
            </w:r>
          </w:p>
        </w:tc>
        <w:tc>
          <w:tcPr>
            <w:tcW w:w="1033" w:type="dxa"/>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411AD3">
              <w:t>Total</w:t>
            </w:r>
          </w:p>
        </w:tc>
      </w:tr>
      <w:tr w:rsidR="007B3355" w:rsidRPr="00767B5A" w:rsidTr="00D27650">
        <w:tc>
          <w:tcPr>
            <w:cnfStyle w:val="001000000000" w:firstRow="0" w:lastRow="0" w:firstColumn="1" w:lastColumn="0" w:oddVBand="0" w:evenVBand="0" w:oddHBand="0" w:evenHBand="0" w:firstRowFirstColumn="0" w:firstRowLastColumn="0" w:lastRowFirstColumn="0" w:lastRowLastColumn="0"/>
            <w:tcW w:w="2454" w:type="dxa"/>
          </w:tcPr>
          <w:p w:rsidR="007B3355" w:rsidRPr="007B3355" w:rsidRDefault="007B3355" w:rsidP="007B3355">
            <w:r w:rsidRPr="00442D75">
              <w:t xml:space="preserve">Energex's </w:t>
            </w:r>
            <w:r w:rsidR="00931EEC">
              <w:t xml:space="preserve">revised </w:t>
            </w:r>
            <w:r w:rsidRPr="00442D75">
              <w:t>proposal</w:t>
            </w:r>
          </w:p>
        </w:tc>
        <w:tc>
          <w:tcPr>
            <w:tcW w:w="1042" w:type="dxa"/>
          </w:tcPr>
          <w:p w:rsidR="007B3355" w:rsidRPr="007B3355" w:rsidRDefault="00201E14" w:rsidP="007B3355">
            <w:pPr>
              <w:cnfStyle w:val="000000000000" w:firstRow="0" w:lastRow="0" w:firstColumn="0" w:lastColumn="0" w:oddVBand="0" w:evenVBand="0" w:oddHBand="0" w:evenHBand="0" w:firstRowFirstColumn="0" w:firstRowLastColumn="0" w:lastRowFirstColumn="0" w:lastRowLastColumn="0"/>
            </w:pPr>
            <w:r>
              <w:t>604.8</w:t>
            </w:r>
          </w:p>
        </w:tc>
        <w:tc>
          <w:tcPr>
            <w:tcW w:w="1041" w:type="dxa"/>
          </w:tcPr>
          <w:p w:rsidR="007B3355" w:rsidRPr="007B3355" w:rsidRDefault="00201E14" w:rsidP="007B3355">
            <w:pPr>
              <w:cnfStyle w:val="000000000000" w:firstRow="0" w:lastRow="0" w:firstColumn="0" w:lastColumn="0" w:oddVBand="0" w:evenVBand="0" w:oddHBand="0" w:evenHBand="0" w:firstRowFirstColumn="0" w:firstRowLastColumn="0" w:lastRowFirstColumn="0" w:lastRowLastColumn="0"/>
            </w:pPr>
            <w:r>
              <w:t>624.8</w:t>
            </w:r>
          </w:p>
        </w:tc>
        <w:tc>
          <w:tcPr>
            <w:tcW w:w="1041" w:type="dxa"/>
          </w:tcPr>
          <w:p w:rsidR="007B3355" w:rsidRPr="007B3355" w:rsidRDefault="00201E14" w:rsidP="007B3355">
            <w:pPr>
              <w:cnfStyle w:val="000000000000" w:firstRow="0" w:lastRow="0" w:firstColumn="0" w:lastColumn="0" w:oddVBand="0" w:evenVBand="0" w:oddHBand="0" w:evenHBand="0" w:firstRowFirstColumn="0" w:firstRowLastColumn="0" w:lastRowFirstColumn="0" w:lastRowLastColumn="0"/>
            </w:pPr>
            <w:r>
              <w:t>575</w:t>
            </w:r>
          </w:p>
        </w:tc>
        <w:tc>
          <w:tcPr>
            <w:tcW w:w="1041" w:type="dxa"/>
          </w:tcPr>
          <w:p w:rsidR="007B3355" w:rsidRPr="007B3355" w:rsidRDefault="00201E14" w:rsidP="007B3355">
            <w:pPr>
              <w:cnfStyle w:val="000000000000" w:firstRow="0" w:lastRow="0" w:firstColumn="0" w:lastColumn="0" w:oddVBand="0" w:evenVBand="0" w:oddHBand="0" w:evenHBand="0" w:firstRowFirstColumn="0" w:firstRowLastColumn="0" w:lastRowFirstColumn="0" w:lastRowLastColumn="0"/>
            </w:pPr>
            <w:r>
              <w:t>546.6</w:t>
            </w:r>
          </w:p>
        </w:tc>
        <w:tc>
          <w:tcPr>
            <w:tcW w:w="1041" w:type="dxa"/>
          </w:tcPr>
          <w:p w:rsidR="007B3355" w:rsidRPr="007B3355" w:rsidRDefault="00201E14" w:rsidP="007B3355">
            <w:pPr>
              <w:cnfStyle w:val="000000000000" w:firstRow="0" w:lastRow="0" w:firstColumn="0" w:lastColumn="0" w:oddVBand="0" w:evenVBand="0" w:oddHBand="0" w:evenHBand="0" w:firstRowFirstColumn="0" w:firstRowLastColumn="0" w:lastRowFirstColumn="0" w:lastRowLastColumn="0"/>
            </w:pPr>
            <w:r>
              <w:t>538.5</w:t>
            </w:r>
          </w:p>
        </w:tc>
        <w:tc>
          <w:tcPr>
            <w:tcW w:w="1033" w:type="dxa"/>
          </w:tcPr>
          <w:p w:rsidR="007B3355" w:rsidRPr="007B3355" w:rsidRDefault="00201E14" w:rsidP="007B3355">
            <w:pPr>
              <w:cnfStyle w:val="000000000000" w:firstRow="0" w:lastRow="0" w:firstColumn="0" w:lastColumn="0" w:oddVBand="0" w:evenVBand="0" w:oddHBand="0" w:evenHBand="0" w:firstRowFirstColumn="0" w:firstRowLastColumn="0" w:lastRowFirstColumn="0" w:lastRowLastColumn="0"/>
            </w:pPr>
            <w:r>
              <w:t>2,889.7</w:t>
            </w:r>
          </w:p>
        </w:tc>
      </w:tr>
      <w:tr w:rsidR="007B3355" w:rsidRPr="00767B5A" w:rsidTr="00D276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7B3355" w:rsidRPr="007B3355" w:rsidRDefault="007B3355" w:rsidP="00931EEC">
            <w:r w:rsidRPr="00442D75">
              <w:t xml:space="preserve">AER </w:t>
            </w:r>
            <w:r w:rsidR="00931EEC">
              <w:t>final</w:t>
            </w:r>
            <w:r w:rsidRPr="00442D75">
              <w:t xml:space="preserve"> decision</w:t>
            </w:r>
          </w:p>
        </w:tc>
        <w:tc>
          <w:tcPr>
            <w:tcW w:w="1042" w:type="dxa"/>
          </w:tcPr>
          <w:p w:rsidR="007B3355" w:rsidRPr="007B3355" w:rsidRDefault="00201E14" w:rsidP="00076893">
            <w:pPr>
              <w:cnfStyle w:val="000000010000" w:firstRow="0" w:lastRow="0" w:firstColumn="0" w:lastColumn="0" w:oddVBand="0" w:evenVBand="0" w:oddHBand="0" w:evenHBand="1" w:firstRowFirstColumn="0" w:firstRowLastColumn="0" w:lastRowFirstColumn="0" w:lastRowLastColumn="0"/>
            </w:pPr>
            <w:r>
              <w:t>57</w:t>
            </w:r>
            <w:r w:rsidR="00076893">
              <w:t>1.7</w:t>
            </w:r>
          </w:p>
        </w:tc>
        <w:tc>
          <w:tcPr>
            <w:tcW w:w="1041" w:type="dxa"/>
          </w:tcPr>
          <w:p w:rsidR="007B3355" w:rsidRPr="007B3355" w:rsidRDefault="00076893" w:rsidP="007B3355">
            <w:pPr>
              <w:cnfStyle w:val="000000010000" w:firstRow="0" w:lastRow="0" w:firstColumn="0" w:lastColumn="0" w:oddVBand="0" w:evenVBand="0" w:oddHBand="0" w:evenHBand="1" w:firstRowFirstColumn="0" w:firstRowLastColumn="0" w:lastRowFirstColumn="0" w:lastRowLastColumn="0"/>
            </w:pPr>
            <w:r>
              <w:t>588.8</w:t>
            </w:r>
          </w:p>
        </w:tc>
        <w:tc>
          <w:tcPr>
            <w:tcW w:w="1041" w:type="dxa"/>
          </w:tcPr>
          <w:p w:rsidR="007B3355" w:rsidRPr="007B3355" w:rsidRDefault="00201E14" w:rsidP="007B3355">
            <w:pPr>
              <w:cnfStyle w:val="000000010000" w:firstRow="0" w:lastRow="0" w:firstColumn="0" w:lastColumn="0" w:oddVBand="0" w:evenVBand="0" w:oddHBand="0" w:evenHBand="1" w:firstRowFirstColumn="0" w:firstRowLastColumn="0" w:lastRowFirstColumn="0" w:lastRowLastColumn="0"/>
            </w:pPr>
            <w:r>
              <w:t>535.</w:t>
            </w:r>
            <w:r w:rsidR="00076893">
              <w:t>9</w:t>
            </w:r>
          </w:p>
        </w:tc>
        <w:tc>
          <w:tcPr>
            <w:tcW w:w="1041" w:type="dxa"/>
          </w:tcPr>
          <w:p w:rsidR="007B3355" w:rsidRPr="007B3355" w:rsidRDefault="00076893" w:rsidP="007B3355">
            <w:pPr>
              <w:cnfStyle w:val="000000010000" w:firstRow="0" w:lastRow="0" w:firstColumn="0" w:lastColumn="0" w:oddVBand="0" w:evenVBand="0" w:oddHBand="0" w:evenHBand="1" w:firstRowFirstColumn="0" w:firstRowLastColumn="0" w:lastRowFirstColumn="0" w:lastRowLastColumn="0"/>
            </w:pPr>
            <w:r>
              <w:t>531.9</w:t>
            </w:r>
          </w:p>
        </w:tc>
        <w:tc>
          <w:tcPr>
            <w:tcW w:w="1041" w:type="dxa"/>
          </w:tcPr>
          <w:p w:rsidR="007B3355" w:rsidRPr="007B3355" w:rsidRDefault="00201E14" w:rsidP="007B3355">
            <w:pPr>
              <w:cnfStyle w:val="000000010000" w:firstRow="0" w:lastRow="0" w:firstColumn="0" w:lastColumn="0" w:oddVBand="0" w:evenVBand="0" w:oddHBand="0" w:evenHBand="1" w:firstRowFirstColumn="0" w:firstRowLastColumn="0" w:lastRowFirstColumn="0" w:lastRowLastColumn="0"/>
            </w:pPr>
            <w:r>
              <w:t>5</w:t>
            </w:r>
            <w:r w:rsidR="00076893">
              <w:t>24.1</w:t>
            </w:r>
          </w:p>
        </w:tc>
        <w:tc>
          <w:tcPr>
            <w:tcW w:w="1033" w:type="dxa"/>
          </w:tcPr>
          <w:p w:rsidR="007B3355" w:rsidRPr="007B3355" w:rsidRDefault="00201E14" w:rsidP="00076893">
            <w:pPr>
              <w:cnfStyle w:val="000000010000" w:firstRow="0" w:lastRow="0" w:firstColumn="0" w:lastColumn="0" w:oddVBand="0" w:evenVBand="0" w:oddHBand="0" w:evenHBand="1" w:firstRowFirstColumn="0" w:firstRowLastColumn="0" w:lastRowFirstColumn="0" w:lastRowLastColumn="0"/>
            </w:pPr>
            <w:r>
              <w:t>2,</w:t>
            </w:r>
            <w:r w:rsidR="00076893">
              <w:t>755.4</w:t>
            </w:r>
          </w:p>
        </w:tc>
      </w:tr>
      <w:tr w:rsidR="007B3355" w:rsidRPr="00767B5A" w:rsidTr="00D27650">
        <w:trPr>
          <w:trHeight w:val="80"/>
        </w:trPr>
        <w:tc>
          <w:tcPr>
            <w:cnfStyle w:val="001000000000" w:firstRow="0" w:lastRow="0" w:firstColumn="1" w:lastColumn="0" w:oddVBand="0" w:evenVBand="0" w:oddHBand="0" w:evenHBand="0" w:firstRowFirstColumn="0" w:firstRowLastColumn="0" w:lastRowFirstColumn="0" w:lastRowLastColumn="0"/>
            <w:tcW w:w="2454" w:type="dxa"/>
          </w:tcPr>
          <w:p w:rsidR="007B3355" w:rsidRPr="007B3355" w:rsidRDefault="007B3355" w:rsidP="007B3355">
            <w:r w:rsidRPr="00442D75">
              <w:t>Difference</w:t>
            </w:r>
          </w:p>
        </w:tc>
        <w:tc>
          <w:tcPr>
            <w:tcW w:w="1042" w:type="dxa"/>
          </w:tcPr>
          <w:p w:rsidR="007B3355" w:rsidRPr="007B3355" w:rsidRDefault="004A2AF6" w:rsidP="007B3355">
            <w:pPr>
              <w:cnfStyle w:val="000000000000" w:firstRow="0" w:lastRow="0" w:firstColumn="0" w:lastColumn="0" w:oddVBand="0" w:evenVBand="0" w:oddHBand="0" w:evenHBand="0" w:firstRowFirstColumn="0" w:firstRowLastColumn="0" w:lastRowFirstColumn="0" w:lastRowLastColumn="0"/>
            </w:pPr>
            <w:r>
              <w:t>–</w:t>
            </w:r>
            <w:r w:rsidR="00201E14">
              <w:t>3</w:t>
            </w:r>
            <w:r w:rsidR="00076893">
              <w:t>3.1</w:t>
            </w:r>
          </w:p>
        </w:tc>
        <w:tc>
          <w:tcPr>
            <w:tcW w:w="1041" w:type="dxa"/>
          </w:tcPr>
          <w:p w:rsidR="007B3355" w:rsidRPr="007B3355" w:rsidRDefault="004A2AF6" w:rsidP="007B3355">
            <w:pPr>
              <w:cnfStyle w:val="000000000000" w:firstRow="0" w:lastRow="0" w:firstColumn="0" w:lastColumn="0" w:oddVBand="0" w:evenVBand="0" w:oddHBand="0" w:evenHBand="0" w:firstRowFirstColumn="0" w:firstRowLastColumn="0" w:lastRowFirstColumn="0" w:lastRowLastColumn="0"/>
            </w:pPr>
            <w:r>
              <w:t>–</w:t>
            </w:r>
            <w:r w:rsidR="00076893">
              <w:t>36.0</w:t>
            </w:r>
          </w:p>
        </w:tc>
        <w:tc>
          <w:tcPr>
            <w:tcW w:w="1041" w:type="dxa"/>
          </w:tcPr>
          <w:p w:rsidR="007B3355" w:rsidRPr="007B3355" w:rsidRDefault="004A2AF6" w:rsidP="007B3355">
            <w:pPr>
              <w:cnfStyle w:val="000000000000" w:firstRow="0" w:lastRow="0" w:firstColumn="0" w:lastColumn="0" w:oddVBand="0" w:evenVBand="0" w:oddHBand="0" w:evenHBand="0" w:firstRowFirstColumn="0" w:firstRowLastColumn="0" w:lastRowFirstColumn="0" w:lastRowLastColumn="0"/>
            </w:pPr>
            <w:r>
              <w:t>–</w:t>
            </w:r>
            <w:r w:rsidR="00201E14">
              <w:t>3</w:t>
            </w:r>
            <w:r w:rsidR="00076893">
              <w:t>6.1</w:t>
            </w:r>
          </w:p>
        </w:tc>
        <w:tc>
          <w:tcPr>
            <w:tcW w:w="1041" w:type="dxa"/>
          </w:tcPr>
          <w:p w:rsidR="007B3355" w:rsidRPr="007B3355" w:rsidRDefault="004A2AF6" w:rsidP="007B3355">
            <w:pPr>
              <w:cnfStyle w:val="000000000000" w:firstRow="0" w:lastRow="0" w:firstColumn="0" w:lastColumn="0" w:oddVBand="0" w:evenVBand="0" w:oddHBand="0" w:evenHBand="0" w:firstRowFirstColumn="0" w:firstRowLastColumn="0" w:lastRowFirstColumn="0" w:lastRowLastColumn="0"/>
            </w:pPr>
            <w:r>
              <w:t>–</w:t>
            </w:r>
            <w:r w:rsidR="00076893">
              <w:t>14.7</w:t>
            </w:r>
          </w:p>
        </w:tc>
        <w:tc>
          <w:tcPr>
            <w:tcW w:w="1041" w:type="dxa"/>
          </w:tcPr>
          <w:p w:rsidR="007B3355" w:rsidRPr="007B3355" w:rsidRDefault="004A2AF6" w:rsidP="007B3355">
            <w:pPr>
              <w:cnfStyle w:val="000000000000" w:firstRow="0" w:lastRow="0" w:firstColumn="0" w:lastColumn="0" w:oddVBand="0" w:evenVBand="0" w:oddHBand="0" w:evenHBand="0" w:firstRowFirstColumn="0" w:firstRowLastColumn="0" w:lastRowFirstColumn="0" w:lastRowLastColumn="0"/>
            </w:pPr>
            <w:r>
              <w:t>–</w:t>
            </w:r>
            <w:r w:rsidR="00076893">
              <w:t>14.4</w:t>
            </w:r>
          </w:p>
        </w:tc>
        <w:tc>
          <w:tcPr>
            <w:tcW w:w="1033" w:type="dxa"/>
          </w:tcPr>
          <w:p w:rsidR="007B3355" w:rsidRPr="007B3355" w:rsidRDefault="004A2AF6" w:rsidP="007B3355">
            <w:pPr>
              <w:cnfStyle w:val="000000000000" w:firstRow="0" w:lastRow="0" w:firstColumn="0" w:lastColumn="0" w:oddVBand="0" w:evenVBand="0" w:oddHBand="0" w:evenHBand="0" w:firstRowFirstColumn="0" w:firstRowLastColumn="0" w:lastRowFirstColumn="0" w:lastRowLastColumn="0"/>
            </w:pPr>
            <w:r>
              <w:t>–</w:t>
            </w:r>
            <w:r w:rsidR="00201E14">
              <w:t>1</w:t>
            </w:r>
            <w:r w:rsidR="00076893">
              <w:t>34.3</w:t>
            </w:r>
          </w:p>
        </w:tc>
      </w:tr>
      <w:tr w:rsidR="007B3355" w:rsidRPr="00767B5A" w:rsidTr="00D2765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54" w:type="dxa"/>
          </w:tcPr>
          <w:p w:rsidR="007B3355" w:rsidRPr="007B3355" w:rsidRDefault="007B3355" w:rsidP="007B3355">
            <w:r w:rsidRPr="00C05551">
              <w:t>Percentage difference (%)</w:t>
            </w:r>
          </w:p>
        </w:tc>
        <w:tc>
          <w:tcPr>
            <w:tcW w:w="1042" w:type="dxa"/>
          </w:tcPr>
          <w:p w:rsidR="007B3355" w:rsidRPr="007B3355" w:rsidRDefault="004A2AF6" w:rsidP="00201E14">
            <w:pPr>
              <w:cnfStyle w:val="000000010000" w:firstRow="0" w:lastRow="0" w:firstColumn="0" w:lastColumn="0" w:oddVBand="0" w:evenVBand="0" w:oddHBand="0" w:evenHBand="1" w:firstRowFirstColumn="0" w:firstRowLastColumn="0" w:lastRowFirstColumn="0" w:lastRowLastColumn="0"/>
            </w:pPr>
            <w:r>
              <w:t>–</w:t>
            </w:r>
            <w:r w:rsidR="00201E14">
              <w:t>5.</w:t>
            </w:r>
            <w:r w:rsidR="00076893">
              <w:t>5</w:t>
            </w:r>
          </w:p>
        </w:tc>
        <w:tc>
          <w:tcPr>
            <w:tcW w:w="1041" w:type="dxa"/>
          </w:tcPr>
          <w:p w:rsidR="007B3355" w:rsidRPr="007B3355" w:rsidRDefault="004A2AF6" w:rsidP="007B3355">
            <w:pPr>
              <w:cnfStyle w:val="000000010000" w:firstRow="0" w:lastRow="0" w:firstColumn="0" w:lastColumn="0" w:oddVBand="0" w:evenVBand="0" w:oddHBand="0" w:evenHBand="1" w:firstRowFirstColumn="0" w:firstRowLastColumn="0" w:lastRowFirstColumn="0" w:lastRowLastColumn="0"/>
            </w:pPr>
            <w:r>
              <w:t>–</w:t>
            </w:r>
            <w:r w:rsidR="00076893">
              <w:t>5.8</w:t>
            </w:r>
          </w:p>
        </w:tc>
        <w:tc>
          <w:tcPr>
            <w:tcW w:w="1041" w:type="dxa"/>
          </w:tcPr>
          <w:p w:rsidR="007B3355" w:rsidRPr="007B3355" w:rsidRDefault="004A2AF6" w:rsidP="007B3355">
            <w:pPr>
              <w:cnfStyle w:val="000000010000" w:firstRow="0" w:lastRow="0" w:firstColumn="0" w:lastColumn="0" w:oddVBand="0" w:evenVBand="0" w:oddHBand="0" w:evenHBand="1" w:firstRowFirstColumn="0" w:firstRowLastColumn="0" w:lastRowFirstColumn="0" w:lastRowLastColumn="0"/>
            </w:pPr>
            <w:r>
              <w:t>–</w:t>
            </w:r>
            <w:r w:rsidR="00201E14">
              <w:t>6.</w:t>
            </w:r>
            <w:r w:rsidR="00076893">
              <w:t>3</w:t>
            </w:r>
          </w:p>
        </w:tc>
        <w:tc>
          <w:tcPr>
            <w:tcW w:w="1041" w:type="dxa"/>
          </w:tcPr>
          <w:p w:rsidR="007B3355" w:rsidRPr="007B3355" w:rsidRDefault="004A2AF6" w:rsidP="007B3355">
            <w:pPr>
              <w:cnfStyle w:val="000000010000" w:firstRow="0" w:lastRow="0" w:firstColumn="0" w:lastColumn="0" w:oddVBand="0" w:evenVBand="0" w:oddHBand="0" w:evenHBand="1" w:firstRowFirstColumn="0" w:firstRowLastColumn="0" w:lastRowFirstColumn="0" w:lastRowLastColumn="0"/>
            </w:pPr>
            <w:r>
              <w:t>–</w:t>
            </w:r>
            <w:r w:rsidR="00076893">
              <w:t>2.7</w:t>
            </w:r>
          </w:p>
        </w:tc>
        <w:tc>
          <w:tcPr>
            <w:tcW w:w="1041" w:type="dxa"/>
          </w:tcPr>
          <w:p w:rsidR="007B3355" w:rsidRPr="007B3355" w:rsidRDefault="004A2AF6" w:rsidP="007B3355">
            <w:pPr>
              <w:cnfStyle w:val="000000010000" w:firstRow="0" w:lastRow="0" w:firstColumn="0" w:lastColumn="0" w:oddVBand="0" w:evenVBand="0" w:oddHBand="0" w:evenHBand="1" w:firstRowFirstColumn="0" w:firstRowLastColumn="0" w:lastRowFirstColumn="0" w:lastRowLastColumn="0"/>
            </w:pPr>
            <w:r>
              <w:t>–</w:t>
            </w:r>
            <w:r w:rsidR="00076893">
              <w:t>2.7</w:t>
            </w:r>
          </w:p>
        </w:tc>
        <w:tc>
          <w:tcPr>
            <w:tcW w:w="1033" w:type="dxa"/>
          </w:tcPr>
          <w:p w:rsidR="007B3355" w:rsidRPr="007B3355" w:rsidRDefault="004A2AF6" w:rsidP="007B3355">
            <w:pPr>
              <w:cnfStyle w:val="000000010000" w:firstRow="0" w:lastRow="0" w:firstColumn="0" w:lastColumn="0" w:oddVBand="0" w:evenVBand="0" w:oddHBand="0" w:evenHBand="1" w:firstRowFirstColumn="0" w:firstRowLastColumn="0" w:lastRowFirstColumn="0" w:lastRowLastColumn="0"/>
            </w:pPr>
            <w:r>
              <w:t>–</w:t>
            </w:r>
            <w:r w:rsidR="00201E14">
              <w:t>4.</w:t>
            </w:r>
            <w:r w:rsidR="00076893">
              <w:t>6</w:t>
            </w:r>
          </w:p>
        </w:tc>
      </w:tr>
    </w:tbl>
    <w:p w:rsidR="007B3355" w:rsidRPr="007B3355" w:rsidRDefault="007B3355" w:rsidP="007B3355">
      <w:pPr>
        <w:pStyle w:val="AERtablesource"/>
        <w:rPr>
          <w:rFonts w:eastAsia="Calibri"/>
        </w:rPr>
      </w:pPr>
      <w:r w:rsidRPr="00767B5A">
        <w:t>Source:</w:t>
      </w:r>
      <w:r w:rsidRPr="00767B5A">
        <w:tab/>
      </w:r>
      <w:r>
        <w:t>Energex,</w:t>
      </w:r>
      <w:r w:rsidRPr="00767B5A">
        <w:t xml:space="preserve"> </w:t>
      </w:r>
      <w:r w:rsidR="00931EEC" w:rsidRPr="00931EEC">
        <w:rPr>
          <w:rStyle w:val="AERtextitalic"/>
        </w:rPr>
        <w:t>Revised</w:t>
      </w:r>
      <w:r w:rsidR="00931EEC">
        <w:t xml:space="preserve"> </w:t>
      </w:r>
      <w:r w:rsidRPr="000201AB">
        <w:rPr>
          <w:rStyle w:val="AERtextitalic"/>
        </w:rPr>
        <w:t>Regulatory Proposal</w:t>
      </w:r>
      <w:r>
        <w:t xml:space="preserve">, </w:t>
      </w:r>
      <w:r w:rsidR="00931EEC">
        <w:t>July</w:t>
      </w:r>
      <w:r>
        <w:t xml:space="preserve"> 201</w:t>
      </w:r>
      <w:r w:rsidR="00931EEC">
        <w:t>5</w:t>
      </w:r>
      <w:r w:rsidRPr="00767B5A">
        <w:t>; AER analysis</w:t>
      </w:r>
      <w:r>
        <w:t>.</w:t>
      </w:r>
    </w:p>
    <w:p w:rsidR="007B3355" w:rsidRDefault="007B3355" w:rsidP="007B3355">
      <w:pPr>
        <w:pStyle w:val="AERtablesource"/>
      </w:pPr>
      <w:r w:rsidRPr="00767B5A">
        <w:t>Note:</w:t>
      </w:r>
      <w:r w:rsidRPr="00767B5A">
        <w:tab/>
        <w:t>Numbers may not add up due to rounding.</w:t>
      </w:r>
    </w:p>
    <w:p w:rsidR="005C797B" w:rsidRPr="005C797B" w:rsidRDefault="005C797B" w:rsidP="005C797B">
      <w:pPr>
        <w:pStyle w:val="AERtablesource"/>
        <w:rPr>
          <w:rFonts w:eastAsia="Calibri"/>
        </w:rPr>
      </w:pPr>
      <w:r>
        <w:t>Note:</w:t>
      </w:r>
      <w:r>
        <w:tab/>
        <w:t>Total capex excludes capital contributions</w:t>
      </w:r>
      <w:r w:rsidR="00782D6A">
        <w:t>.</w:t>
      </w:r>
    </w:p>
    <w:p w:rsidR="00DA695C" w:rsidRDefault="00DA695C" w:rsidP="007B3355">
      <w:pPr>
        <w:numPr>
          <w:ilvl w:val="0"/>
          <w:numId w:val="25"/>
        </w:numPr>
      </w:pPr>
      <w:r>
        <w:t>Figure 8 shows Energex's initial proposal, its revised proposal and our preliminary and final decisions for capex for the 2015</w:t>
      </w:r>
      <w:r w:rsidRPr="00DA695C">
        <w:t>−</w:t>
      </w:r>
      <w:r>
        <w:t>20 regulatory control period. It also shows the actual capex that Energex spent during the 2010</w:t>
      </w:r>
      <w:r w:rsidRPr="00DA695C">
        <w:t>−</w:t>
      </w:r>
      <w:r>
        <w:t xml:space="preserve">15 regulatory control period.  </w:t>
      </w:r>
    </w:p>
    <w:p w:rsidR="007B3355" w:rsidRDefault="007B3355" w:rsidP="007B3355">
      <w:pPr>
        <w:pStyle w:val="Caption"/>
      </w:pPr>
      <w:r>
        <w:t xml:space="preserve">Figure </w:t>
      </w:r>
      <w:r w:rsidR="00915ABF">
        <w:t xml:space="preserve">8 </w:t>
      </w:r>
      <w:r>
        <w:t xml:space="preserve">AER </w:t>
      </w:r>
      <w:r w:rsidR="00931EEC">
        <w:t>final</w:t>
      </w:r>
      <w:r>
        <w:t xml:space="preserve"> </w:t>
      </w:r>
      <w:r w:rsidR="00412B65">
        <w:t xml:space="preserve">and preliminary </w:t>
      </w:r>
      <w:r>
        <w:t>decision</w:t>
      </w:r>
      <w:r w:rsidR="00412B65">
        <w:t>s</w:t>
      </w:r>
      <w:r>
        <w:t xml:space="preserve"> compared to Energex's past and proposed capex ($million 2014</w:t>
      </w:r>
      <w:r w:rsidRPr="007B3355">
        <w:t>−</w:t>
      </w:r>
      <w:r>
        <w:t>15)</w:t>
      </w:r>
    </w:p>
    <w:p w:rsidR="00B854FC" w:rsidRPr="00B854FC" w:rsidRDefault="00B854FC" w:rsidP="009978DA">
      <w:r w:rsidRPr="00B854FC">
        <w:rPr>
          <w:noProof/>
          <w:lang w:eastAsia="en-AU"/>
        </w:rPr>
        <w:drawing>
          <wp:inline distT="0" distB="0" distL="0" distR="0" wp14:anchorId="36733588" wp14:editId="7CD984C9">
            <wp:extent cx="5362575" cy="35433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B3355" w:rsidRPr="00915ABF" w:rsidRDefault="00201E14" w:rsidP="009978DA">
      <w:pPr>
        <w:rPr>
          <w:rStyle w:val="AERsubscript"/>
          <w:vertAlign w:val="baseline"/>
        </w:rPr>
      </w:pPr>
      <w:r w:rsidRPr="00201E14">
        <w:t xml:space="preserve"> </w:t>
      </w:r>
      <w:r w:rsidR="007B3355" w:rsidRPr="00915ABF">
        <w:rPr>
          <w:rStyle w:val="AERsubscript"/>
          <w:vertAlign w:val="baseline"/>
        </w:rPr>
        <w:t>Source: AER analysis</w:t>
      </w:r>
    </w:p>
    <w:p w:rsidR="0093325D" w:rsidRDefault="008F2EB9" w:rsidP="008F2EB9">
      <w:pPr>
        <w:numPr>
          <w:ilvl w:val="0"/>
          <w:numId w:val="25"/>
        </w:numPr>
      </w:pPr>
      <w:r>
        <w:t>W</w:t>
      </w:r>
      <w:r w:rsidR="007B3355">
        <w:t xml:space="preserve">e examined Energex's </w:t>
      </w:r>
      <w:r>
        <w:t xml:space="preserve">capex </w:t>
      </w:r>
      <w:r w:rsidR="007B3355">
        <w:t>f</w:t>
      </w:r>
      <w:r w:rsidR="007B3355" w:rsidRPr="00B71392">
        <w:t>orecasting methodology, key assumptions and past capex performance</w:t>
      </w:r>
      <w:r w:rsidR="007B3355">
        <w:t>.</w:t>
      </w:r>
      <w:r w:rsidR="00201E14">
        <w:t xml:space="preserve"> </w:t>
      </w:r>
      <w:r w:rsidR="00201E14" w:rsidRPr="00E00029">
        <w:rPr>
          <w:rStyle w:val="AERbody"/>
        </w:rPr>
        <w:t>Our detailed reasons for our final decision on Energex</w:t>
      </w:r>
      <w:r w:rsidR="00201E14" w:rsidRPr="00201E14">
        <w:rPr>
          <w:rStyle w:val="AERbody"/>
        </w:rPr>
        <w:t>'s capex are set out in attachment 6 of</w:t>
      </w:r>
      <w:r w:rsidR="00201E14" w:rsidRPr="00E00029">
        <w:rPr>
          <w:rStyle w:val="AERbody"/>
        </w:rPr>
        <w:t xml:space="preserve"> this decision.</w:t>
      </w:r>
      <w:r w:rsidR="007B3355">
        <w:t xml:space="preserve"> </w:t>
      </w:r>
    </w:p>
    <w:p w:rsidR="00D431A9" w:rsidRDefault="008A12AA" w:rsidP="008F2EB9">
      <w:pPr>
        <w:numPr>
          <w:ilvl w:val="0"/>
          <w:numId w:val="25"/>
        </w:numPr>
      </w:pPr>
      <w:r>
        <w:t>The key points of our</w:t>
      </w:r>
      <w:r w:rsidR="008F2EB9">
        <w:t xml:space="preserve"> capex estimate for Energex</w:t>
      </w:r>
      <w:r>
        <w:t xml:space="preserve"> are</w:t>
      </w:r>
      <w:r w:rsidR="007722D0">
        <w:t>:</w:t>
      </w:r>
      <w:r w:rsidR="004D5835">
        <w:rPr>
          <w:rStyle w:val="FootnoteReference"/>
        </w:rPr>
        <w:footnoteReference w:id="49"/>
      </w:r>
      <w:r w:rsidR="008F2EB9">
        <w:t xml:space="preserve"> </w:t>
      </w:r>
    </w:p>
    <w:p w:rsidR="007B3355" w:rsidRDefault="00D431A9" w:rsidP="007722D0">
      <w:pPr>
        <w:pStyle w:val="AERbulletlistfirststyle"/>
      </w:pPr>
      <w:r>
        <w:t>In our preliminary decision we accepted Energex's initial non–network capex forecast</w:t>
      </w:r>
      <w:r w:rsidR="005A5983">
        <w:t xml:space="preserve"> of $24</w:t>
      </w:r>
      <w:r w:rsidR="00C645BD">
        <w:t>5.0</w:t>
      </w:r>
      <w:r w:rsidR="005A5983">
        <w:t xml:space="preserve"> million ($201</w:t>
      </w:r>
      <w:r w:rsidR="00606164">
        <w:t>4–1</w:t>
      </w:r>
      <w:r w:rsidR="005A5983">
        <w:t>5)</w:t>
      </w:r>
      <w:r>
        <w:t xml:space="preserve">. Energex's revised </w:t>
      </w:r>
      <w:r w:rsidR="00D406DD">
        <w:t xml:space="preserve">non–network capex </w:t>
      </w:r>
      <w:r>
        <w:t>proposal is consistent with its initial proposal and with our preliminary decision.</w:t>
      </w:r>
      <w:r w:rsidR="00D406DD">
        <w:t xml:space="preserve"> </w:t>
      </w:r>
      <w:r w:rsidR="00D406DD" w:rsidRPr="00D406DD">
        <w:t xml:space="preserve">Energex has forecast non–network capex at historically low levels with significant reductions in each category of non–network capex. </w:t>
      </w:r>
      <w:r w:rsidR="00D406DD">
        <w:t>W</w:t>
      </w:r>
      <w:r>
        <w:t xml:space="preserve">e have incorporated Energex's non–network capex forecast in our </w:t>
      </w:r>
      <w:r w:rsidR="00910E2D">
        <w:t>estimate of Energex's total capex</w:t>
      </w:r>
      <w:r w:rsidR="00C776D3">
        <w:t>.</w:t>
      </w:r>
    </w:p>
    <w:p w:rsidR="00E32BE8" w:rsidRPr="00E32BE8" w:rsidRDefault="00E32BE8" w:rsidP="007722D0">
      <w:pPr>
        <w:pStyle w:val="AERbulletlistfirststyle"/>
      </w:pPr>
      <w:r w:rsidRPr="00E32BE8">
        <w:t xml:space="preserve">We </w:t>
      </w:r>
      <w:r w:rsidR="00D406DD">
        <w:t xml:space="preserve">also </w:t>
      </w:r>
      <w:r w:rsidRPr="00E32BE8">
        <w:t xml:space="preserve">accept Energex's revised </w:t>
      </w:r>
      <w:r w:rsidR="00412B65">
        <w:t>replacement expenditure (</w:t>
      </w:r>
      <w:r w:rsidRPr="00E32BE8">
        <w:t>repex</w:t>
      </w:r>
      <w:r w:rsidR="00412B65">
        <w:t>)</w:t>
      </w:r>
      <w:r w:rsidRPr="00E32BE8">
        <w:t xml:space="preserve"> forecast of $987</w:t>
      </w:r>
      <w:r w:rsidR="00C645BD">
        <w:t>.</w:t>
      </w:r>
      <w:r w:rsidR="00E55C2A">
        <w:t>1</w:t>
      </w:r>
      <w:r w:rsidRPr="00E32BE8">
        <w:t xml:space="preserve"> million ($201</w:t>
      </w:r>
      <w:r w:rsidR="009D0B74">
        <w:t>4–15</w:t>
      </w:r>
      <w:r w:rsidRPr="00E32BE8">
        <w:t xml:space="preserve">), which is 21 per cent lower than its initial forecast. </w:t>
      </w:r>
      <w:r w:rsidR="00BB741E">
        <w:t xml:space="preserve">While we note Energex's revised repex forecast is higher than its actual repex in the 2011–15 period, we have assessed its forecast using a number of techniques. </w:t>
      </w:r>
      <w:r w:rsidR="004E671A">
        <w:t xml:space="preserve">On the basis of our predictive modelling, trend analysis and technical review we consider </w:t>
      </w:r>
      <w:r w:rsidR="007722D0">
        <w:t xml:space="preserve">Energex's revised </w:t>
      </w:r>
      <w:r w:rsidR="00BB741E">
        <w:t xml:space="preserve">repex </w:t>
      </w:r>
      <w:r w:rsidR="007722D0">
        <w:t>forecast is reasonable.</w:t>
      </w:r>
    </w:p>
    <w:p w:rsidR="0020501F" w:rsidRDefault="009353DA" w:rsidP="007722D0">
      <w:pPr>
        <w:pStyle w:val="AERbulletlistfirststyle"/>
        <w:rPr>
          <w:rStyle w:val="AERbody"/>
        </w:rPr>
      </w:pPr>
      <w:r w:rsidRPr="00F00F5D">
        <w:rPr>
          <w:rStyle w:val="AERbody"/>
        </w:rPr>
        <w:t xml:space="preserve">Our </w:t>
      </w:r>
      <w:r w:rsidR="00FC5502" w:rsidRPr="00F00F5D">
        <w:rPr>
          <w:rStyle w:val="AERbody"/>
        </w:rPr>
        <w:t>substitute</w:t>
      </w:r>
      <w:r w:rsidRPr="00F00F5D">
        <w:rPr>
          <w:rStyle w:val="AERbody"/>
        </w:rPr>
        <w:t xml:space="preserve"> estimate of total capex includes $40</w:t>
      </w:r>
      <w:r w:rsidR="00C645BD">
        <w:rPr>
          <w:rStyle w:val="AERbody"/>
        </w:rPr>
        <w:t>5.3</w:t>
      </w:r>
      <w:r w:rsidRPr="00F00F5D">
        <w:rPr>
          <w:rStyle w:val="AERbody"/>
        </w:rPr>
        <w:t xml:space="preserve"> million ($2014</w:t>
      </w:r>
      <w:r w:rsidR="003B1B6D">
        <w:rPr>
          <w:rStyle w:val="AERbody"/>
          <w:rFonts w:cs="Arial"/>
        </w:rPr>
        <w:t>─</w:t>
      </w:r>
      <w:r w:rsidRPr="00F00F5D">
        <w:rPr>
          <w:rStyle w:val="AERbody"/>
        </w:rPr>
        <w:t xml:space="preserve">15) for </w:t>
      </w:r>
      <w:r w:rsidR="00412B65">
        <w:rPr>
          <w:rStyle w:val="AERbody"/>
        </w:rPr>
        <w:t>augmentation expenditure (</w:t>
      </w:r>
      <w:r w:rsidRPr="00F00F5D">
        <w:rPr>
          <w:rStyle w:val="AERbody"/>
        </w:rPr>
        <w:t>augex</w:t>
      </w:r>
      <w:r w:rsidR="00412B65">
        <w:rPr>
          <w:rStyle w:val="AERbody"/>
        </w:rPr>
        <w:t>)</w:t>
      </w:r>
      <w:r w:rsidRPr="00F00F5D">
        <w:rPr>
          <w:rStyle w:val="AERbody"/>
        </w:rPr>
        <w:t xml:space="preserve">. This is </w:t>
      </w:r>
      <w:r w:rsidR="00C645BD">
        <w:rPr>
          <w:rStyle w:val="AERbody"/>
        </w:rPr>
        <w:t>14</w:t>
      </w:r>
      <w:r w:rsidR="00C645BD" w:rsidRPr="00F00F5D">
        <w:rPr>
          <w:rStyle w:val="AERbody"/>
        </w:rPr>
        <w:t xml:space="preserve"> </w:t>
      </w:r>
      <w:r w:rsidRPr="00F00F5D">
        <w:rPr>
          <w:rStyle w:val="AERbody"/>
        </w:rPr>
        <w:t xml:space="preserve">per cent lower than Energex's revised </w:t>
      </w:r>
      <w:r w:rsidR="00D431A9">
        <w:rPr>
          <w:rStyle w:val="AERbody"/>
        </w:rPr>
        <w:t>aug</w:t>
      </w:r>
      <w:r w:rsidRPr="00F00F5D">
        <w:rPr>
          <w:rStyle w:val="AERbody"/>
        </w:rPr>
        <w:t xml:space="preserve">ex </w:t>
      </w:r>
      <w:r w:rsidR="00C7027B">
        <w:rPr>
          <w:rStyle w:val="AERbody"/>
        </w:rPr>
        <w:t xml:space="preserve">revised </w:t>
      </w:r>
      <w:r w:rsidRPr="00F00F5D">
        <w:rPr>
          <w:rStyle w:val="AERbody"/>
        </w:rPr>
        <w:t>proposal of $47</w:t>
      </w:r>
      <w:r w:rsidR="00C645BD">
        <w:rPr>
          <w:rStyle w:val="AERbody"/>
        </w:rPr>
        <w:t>2.7</w:t>
      </w:r>
      <w:r w:rsidR="005E4919">
        <w:rPr>
          <w:rStyle w:val="AERbody"/>
        </w:rPr>
        <w:t xml:space="preserve"> million ($2014</w:t>
      </w:r>
      <w:r w:rsidR="005E4919">
        <w:rPr>
          <w:rStyle w:val="AERbody"/>
          <w:rFonts w:cs="Arial"/>
        </w:rPr>
        <w:t>─</w:t>
      </w:r>
      <w:r w:rsidRPr="00F00F5D">
        <w:rPr>
          <w:rStyle w:val="AERbody"/>
        </w:rPr>
        <w:t xml:space="preserve">15). </w:t>
      </w:r>
      <w:r w:rsidR="00C26B70">
        <w:rPr>
          <w:rStyle w:val="AERbody"/>
        </w:rPr>
        <w:t>W</w:t>
      </w:r>
      <w:r w:rsidR="00C26B70" w:rsidRPr="00F00F5D">
        <w:rPr>
          <w:rStyle w:val="AERbody"/>
        </w:rPr>
        <w:t xml:space="preserve">e accept a large proportion of Energex's revised augex forecast reasonably reflects the capex criteria. </w:t>
      </w:r>
      <w:r w:rsidR="00C26B70">
        <w:rPr>
          <w:rStyle w:val="AERbody"/>
        </w:rPr>
        <w:t>However, o</w:t>
      </w:r>
      <w:r w:rsidRPr="00F00F5D">
        <w:rPr>
          <w:rStyle w:val="AERbody"/>
        </w:rPr>
        <w:t xml:space="preserve">ur augex estimate is lower because we consider </w:t>
      </w:r>
      <w:r w:rsidR="00C7027B">
        <w:rPr>
          <w:rStyle w:val="AERbody"/>
        </w:rPr>
        <w:t xml:space="preserve">the cost of some of </w:t>
      </w:r>
      <w:r w:rsidRPr="00F00F5D">
        <w:rPr>
          <w:rStyle w:val="AERbody"/>
        </w:rPr>
        <w:t>Energex's proposed augmentation programs is likely overstated</w:t>
      </w:r>
      <w:r w:rsidR="003B1B6D">
        <w:rPr>
          <w:rStyle w:val="AERbody"/>
        </w:rPr>
        <w:t>.</w:t>
      </w:r>
      <w:r w:rsidR="00C26B70">
        <w:rPr>
          <w:rStyle w:val="AERbody"/>
        </w:rPr>
        <w:t xml:space="preserve"> </w:t>
      </w:r>
      <w:r w:rsidR="0007738D">
        <w:rPr>
          <w:rStyle w:val="AERbody"/>
        </w:rPr>
        <w:t>I</w:t>
      </w:r>
      <w:r w:rsidR="00C26B70">
        <w:rPr>
          <w:rStyle w:val="AERbody"/>
        </w:rPr>
        <w:t>n particular</w:t>
      </w:r>
      <w:r w:rsidR="00DA695C">
        <w:rPr>
          <w:rStyle w:val="AERbody"/>
        </w:rPr>
        <w:t>, we consider</w:t>
      </w:r>
      <w:r w:rsidR="00C26B70">
        <w:rPr>
          <w:rStyle w:val="AERbody"/>
        </w:rPr>
        <w:t xml:space="preserve"> </w:t>
      </w:r>
      <w:r w:rsidR="0007738D">
        <w:rPr>
          <w:rStyle w:val="AERbody"/>
        </w:rPr>
        <w:t>Energex's</w:t>
      </w:r>
      <w:r w:rsidR="00C26B70">
        <w:rPr>
          <w:rStyle w:val="AERbody"/>
        </w:rPr>
        <w:t xml:space="preserve"> </w:t>
      </w:r>
      <w:r w:rsidR="0007738D">
        <w:rPr>
          <w:rStyle w:val="AERbody"/>
        </w:rPr>
        <w:t>forecast</w:t>
      </w:r>
      <w:r w:rsidR="00C26B70">
        <w:rPr>
          <w:rStyle w:val="AERbody"/>
        </w:rPr>
        <w:t xml:space="preserve"> cost to manage network voltage levels, meet jurisdictional obligations relating to reliability, and to purchase land and easements.</w:t>
      </w:r>
    </w:p>
    <w:p w:rsidR="00C24F71" w:rsidRPr="00C24F71" w:rsidRDefault="00C24F71" w:rsidP="00C17E66">
      <w:pPr>
        <w:pStyle w:val="AERbulletlistfirststyle"/>
        <w:rPr>
          <w:rStyle w:val="AERbody"/>
        </w:rPr>
      </w:pPr>
      <w:r w:rsidRPr="00C24F71">
        <w:rPr>
          <w:rStyle w:val="AERbody"/>
        </w:rPr>
        <w:t>Our substitute estimate of total capex includes $284.</w:t>
      </w:r>
      <w:r w:rsidR="00C645BD">
        <w:rPr>
          <w:rStyle w:val="AERbody"/>
        </w:rPr>
        <w:t>8</w:t>
      </w:r>
      <w:r w:rsidRPr="00C24F71">
        <w:rPr>
          <w:rStyle w:val="AERbody"/>
        </w:rPr>
        <w:t xml:space="preserve"> million ($2014</w:t>
      </w:r>
      <w:r w:rsidR="003B1B6D">
        <w:rPr>
          <w:rStyle w:val="AERbody"/>
          <w:rFonts w:cs="Arial"/>
        </w:rPr>
        <w:t>─</w:t>
      </w:r>
      <w:r w:rsidRPr="00C24F71">
        <w:rPr>
          <w:rStyle w:val="AERbody"/>
        </w:rPr>
        <w:t>15) for connections capex.</w:t>
      </w:r>
      <w:r>
        <w:rPr>
          <w:rStyle w:val="FootnoteReference"/>
        </w:rPr>
        <w:footnoteReference w:id="50"/>
      </w:r>
      <w:r w:rsidRPr="00C24F71">
        <w:rPr>
          <w:rStyle w:val="AERbody"/>
        </w:rPr>
        <w:t xml:space="preserve"> This is </w:t>
      </w:r>
      <w:r w:rsidR="007364C8">
        <w:rPr>
          <w:rStyle w:val="AERbody"/>
        </w:rPr>
        <w:t xml:space="preserve">14 </w:t>
      </w:r>
      <w:r w:rsidRPr="00C24F71">
        <w:rPr>
          <w:rStyle w:val="AERbody"/>
        </w:rPr>
        <w:t xml:space="preserve">per cent </w:t>
      </w:r>
      <w:r w:rsidR="007364C8">
        <w:rPr>
          <w:rStyle w:val="AERbody"/>
        </w:rPr>
        <w:t>lower than</w:t>
      </w:r>
      <w:r w:rsidRPr="00C24F71">
        <w:rPr>
          <w:rStyle w:val="AERbody"/>
        </w:rPr>
        <w:t xml:space="preserve"> Energex’s revised connections capex forecast of $33</w:t>
      </w:r>
      <w:r w:rsidR="00C645BD">
        <w:rPr>
          <w:rStyle w:val="AERbody"/>
        </w:rPr>
        <w:t>2.2</w:t>
      </w:r>
      <w:r w:rsidRPr="00C24F71">
        <w:rPr>
          <w:rStyle w:val="AERbody"/>
        </w:rPr>
        <w:t xml:space="preserve"> million. Our connections capex estimate is lower because we consider Energex’s forecasting methodology overstates the </w:t>
      </w:r>
      <w:r w:rsidR="00B22ACB">
        <w:rPr>
          <w:rStyle w:val="AERbody"/>
        </w:rPr>
        <w:t xml:space="preserve">number </w:t>
      </w:r>
      <w:r w:rsidRPr="00C24F71">
        <w:rPr>
          <w:rStyle w:val="AERbody"/>
        </w:rPr>
        <w:t xml:space="preserve">of new service connections </w:t>
      </w:r>
      <w:r w:rsidR="00B22ACB">
        <w:rPr>
          <w:rStyle w:val="AERbody"/>
        </w:rPr>
        <w:t xml:space="preserve">it </w:t>
      </w:r>
      <w:r w:rsidRPr="00C24F71">
        <w:rPr>
          <w:rStyle w:val="AERbody"/>
        </w:rPr>
        <w:t>will be required to undertake in the 2015</w:t>
      </w:r>
      <w:r w:rsidR="003B1B6D">
        <w:rPr>
          <w:rStyle w:val="AERbody"/>
          <w:rFonts w:cs="Arial"/>
        </w:rPr>
        <w:t>─</w:t>
      </w:r>
      <w:r w:rsidRPr="00C24F71">
        <w:rPr>
          <w:rStyle w:val="AERbody"/>
        </w:rPr>
        <w:t>20 period.</w:t>
      </w:r>
    </w:p>
    <w:p w:rsidR="0007738D" w:rsidRDefault="00C24F71" w:rsidP="00C24F71">
      <w:pPr>
        <w:pStyle w:val="AERbulletlistfirststyle"/>
        <w:rPr>
          <w:rStyle w:val="AERbody"/>
        </w:rPr>
      </w:pPr>
      <w:r w:rsidRPr="00C24F71">
        <w:rPr>
          <w:rStyle w:val="AERbody"/>
        </w:rPr>
        <w:t xml:space="preserve">Our </w:t>
      </w:r>
      <w:r w:rsidR="0007738D">
        <w:rPr>
          <w:rStyle w:val="AERbody"/>
        </w:rPr>
        <w:t>total</w:t>
      </w:r>
      <w:r w:rsidRPr="00C24F71">
        <w:rPr>
          <w:rStyle w:val="AERbody"/>
        </w:rPr>
        <w:t xml:space="preserve"> capex substitute </w:t>
      </w:r>
      <w:r w:rsidR="0007738D">
        <w:rPr>
          <w:rStyle w:val="AERbody"/>
        </w:rPr>
        <w:t xml:space="preserve">estimate </w:t>
      </w:r>
      <w:r w:rsidRPr="00C24F71">
        <w:rPr>
          <w:rStyle w:val="AERbody"/>
        </w:rPr>
        <w:t>includes customer contributions of $172.3 million ($2014</w:t>
      </w:r>
      <w:r w:rsidR="003B1B6D">
        <w:rPr>
          <w:rStyle w:val="AERbody"/>
          <w:rFonts w:cs="Arial"/>
        </w:rPr>
        <w:t>─</w:t>
      </w:r>
      <w:r w:rsidRPr="00C24F71">
        <w:rPr>
          <w:rStyle w:val="AERbody"/>
        </w:rPr>
        <w:t>15) which is consistent with our preliminary decision.</w:t>
      </w:r>
    </w:p>
    <w:p w:rsidR="007B3355" w:rsidRPr="004D5835" w:rsidRDefault="002D6523" w:rsidP="009976CF">
      <w:pPr>
        <w:pStyle w:val="AERbulletlistfirststyle"/>
        <w:rPr>
          <w:rStyle w:val="AERbody"/>
          <w:rFonts w:cstheme="minorBidi"/>
        </w:rPr>
      </w:pPr>
      <w:r w:rsidRPr="00201E14">
        <w:t xml:space="preserve">We do not accept </w:t>
      </w:r>
      <w:r w:rsidRPr="00C645BD">
        <w:t>Energex's proposed capitalised overheads of $85</w:t>
      </w:r>
      <w:r w:rsidR="004A2AF6">
        <w:t>2</w:t>
      </w:r>
      <w:r w:rsidRPr="00C645BD">
        <w:t>.5 million ($2014–15). We have instead included in our substitute estimate of overall total capex an amount of $</w:t>
      </w:r>
      <w:r w:rsidR="005567A0">
        <w:t>833.3</w:t>
      </w:r>
      <w:r w:rsidRPr="00C645BD">
        <w:t xml:space="preserve"> million ($2014–15) for capitalised overheads. This reduction in forecast overheads reflects our direct capex forecast that is expected to attract overhead expenditure. </w:t>
      </w:r>
    </w:p>
    <w:p w:rsidR="007B3355" w:rsidRDefault="007B3355" w:rsidP="007B3355">
      <w:pPr>
        <w:pStyle w:val="Heading2"/>
      </w:pPr>
      <w:bookmarkStart w:id="45" w:name="_Toc417973145"/>
      <w:bookmarkStart w:id="46" w:name="_Toc433723305"/>
      <w:r w:rsidRPr="00112BF8">
        <w:t>Operating expenditure</w:t>
      </w:r>
      <w:bookmarkEnd w:id="45"/>
      <w:bookmarkEnd w:id="46"/>
    </w:p>
    <w:p w:rsidR="007048AC" w:rsidRPr="00D5634F" w:rsidRDefault="007048AC" w:rsidP="007048AC">
      <w:pPr>
        <w:numPr>
          <w:ilvl w:val="0"/>
          <w:numId w:val="25"/>
        </w:numPr>
      </w:pPr>
      <w:r w:rsidRPr="00D5634F">
        <w:t xml:space="preserve">Opex </w:t>
      </w:r>
      <w:r>
        <w:t>is</w:t>
      </w:r>
      <w:r w:rsidRPr="00D5634F">
        <w:t xml:space="preserve"> non-capital </w:t>
      </w:r>
      <w:r>
        <w:t xml:space="preserve">expenditure </w:t>
      </w:r>
      <w:r w:rsidRPr="00D5634F">
        <w:t xml:space="preserve">incurred in the provision of distribution network services. It includes labour and other non-capital costs that </w:t>
      </w:r>
      <w:r>
        <w:t>Energex</w:t>
      </w:r>
      <w:r w:rsidRPr="00B71392">
        <w:t xml:space="preserve"> </w:t>
      </w:r>
      <w:r w:rsidRPr="00D5634F">
        <w:t>is likely to require</w:t>
      </w:r>
      <w:r>
        <w:t xml:space="preserve"> to operate and maintain its network</w:t>
      </w:r>
      <w:r w:rsidRPr="00D5634F">
        <w:t xml:space="preserve"> during the 201</w:t>
      </w:r>
      <w:r>
        <w:t>5</w:t>
      </w:r>
      <w:r w:rsidRPr="00D5634F">
        <w:t xml:space="preserve">–20 regulatory control period. </w:t>
      </w:r>
    </w:p>
    <w:p w:rsidR="007048AC" w:rsidRPr="007048AC" w:rsidRDefault="007048AC" w:rsidP="007048AC">
      <w:pPr>
        <w:rPr>
          <w:rStyle w:val="AERbodytextChar"/>
          <w:rFonts w:eastAsiaTheme="minorHAnsi"/>
        </w:rPr>
      </w:pPr>
      <w:r>
        <w:t xml:space="preserve">In its </w:t>
      </w:r>
      <w:r w:rsidR="00412B65">
        <w:t xml:space="preserve">initial </w:t>
      </w:r>
      <w:r>
        <w:t>regulatory proposal, Energex</w:t>
      </w:r>
      <w:r w:rsidRPr="00B71392">
        <w:t xml:space="preserve"> </w:t>
      </w:r>
      <w:r w:rsidRPr="007048AC">
        <w:rPr>
          <w:rStyle w:val="AERbodytextChar"/>
          <w:rFonts w:eastAsiaTheme="minorHAnsi"/>
        </w:rPr>
        <w:t>forecast total opex of $1738.2 million ($2014–15) over the 201</w:t>
      </w:r>
      <w:r>
        <w:rPr>
          <w:rStyle w:val="AERbodytextChar"/>
          <w:rFonts w:eastAsiaTheme="minorHAnsi"/>
        </w:rPr>
        <w:t>5</w:t>
      </w:r>
      <w:r w:rsidRPr="007048AC">
        <w:rPr>
          <w:rStyle w:val="AERbodytextChar"/>
          <w:rFonts w:eastAsiaTheme="minorHAnsi"/>
        </w:rPr>
        <w:t xml:space="preserve">–20 regulatory control period. In our preliminary </w:t>
      </w:r>
      <w:r w:rsidR="00412B65">
        <w:rPr>
          <w:rStyle w:val="AERbodytextChar"/>
          <w:rFonts w:eastAsiaTheme="minorHAnsi"/>
        </w:rPr>
        <w:t>decision</w:t>
      </w:r>
      <w:r w:rsidRPr="007048AC">
        <w:rPr>
          <w:rStyle w:val="AERbodytextChar"/>
          <w:rFonts w:eastAsiaTheme="minorHAnsi"/>
        </w:rPr>
        <w:t>, we accepted this amount reasonably reflected the opex criteria. In its revised proposal, Energex accepted our preliminary decision. Our final decision</w:t>
      </w:r>
      <w:r w:rsidR="00DA695C">
        <w:rPr>
          <w:rStyle w:val="AERbodytextChar"/>
          <w:rFonts w:eastAsiaTheme="minorHAnsi"/>
        </w:rPr>
        <w:t xml:space="preserve"> </w:t>
      </w:r>
      <w:r w:rsidRPr="007048AC">
        <w:rPr>
          <w:rStyle w:val="AERbodytextChar"/>
          <w:rFonts w:eastAsiaTheme="minorHAnsi"/>
        </w:rPr>
        <w:t>remains the same as our preliminary decision.</w:t>
      </w:r>
    </w:p>
    <w:p w:rsidR="007048AC" w:rsidRDefault="007048AC" w:rsidP="007048AC">
      <w:pPr>
        <w:rPr>
          <w:rStyle w:val="AERbodytextChar"/>
          <w:rFonts w:eastAsiaTheme="minorHAnsi"/>
        </w:rPr>
      </w:pPr>
      <w:r w:rsidRPr="00677312">
        <w:t xml:space="preserve">Attachment 7 sets out our reasons for our </w:t>
      </w:r>
      <w:r>
        <w:t>final</w:t>
      </w:r>
      <w:r w:rsidRPr="00677312">
        <w:t xml:space="preserve"> decision on </w:t>
      </w:r>
      <w:r>
        <w:t>Energex’s</w:t>
      </w:r>
      <w:r w:rsidRPr="00677312">
        <w:t xml:space="preserve"> total forecast opex. </w:t>
      </w:r>
      <w:r w:rsidRPr="007048AC">
        <w:rPr>
          <w:rStyle w:val="AERbodytextChar"/>
          <w:rFonts w:eastAsiaTheme="minorHAnsi"/>
        </w:rPr>
        <w:t xml:space="preserve">We compare our final </w:t>
      </w:r>
      <w:r w:rsidR="00412B65">
        <w:rPr>
          <w:rStyle w:val="AERbodytextChar"/>
          <w:rFonts w:eastAsiaTheme="minorHAnsi"/>
        </w:rPr>
        <w:t>decision</w:t>
      </w:r>
      <w:r w:rsidR="00412B65" w:rsidRPr="007048AC">
        <w:rPr>
          <w:rStyle w:val="AERbodytextChar"/>
          <w:rFonts w:eastAsiaTheme="minorHAnsi"/>
        </w:rPr>
        <w:t xml:space="preserve"> </w:t>
      </w:r>
      <w:r w:rsidRPr="007048AC">
        <w:rPr>
          <w:rStyle w:val="AERbodytextChar"/>
          <w:rFonts w:eastAsiaTheme="minorHAnsi"/>
        </w:rPr>
        <w:t xml:space="preserve">with Energex’s proposal in </w:t>
      </w:r>
      <w:r>
        <w:rPr>
          <w:rStyle w:val="AERbodytextChar"/>
          <w:rFonts w:eastAsiaTheme="minorHAnsi"/>
        </w:rPr>
        <w:t>t</w:t>
      </w:r>
      <w:r w:rsidRPr="007048AC">
        <w:rPr>
          <w:rStyle w:val="AERbodytextChar"/>
          <w:rFonts w:eastAsiaTheme="minorHAnsi"/>
        </w:rPr>
        <w:t>able 8.</w:t>
      </w:r>
    </w:p>
    <w:p w:rsidR="00D77A66" w:rsidRDefault="00D77A66" w:rsidP="007048AC">
      <w:pPr>
        <w:rPr>
          <w:rStyle w:val="AERbodytextChar"/>
          <w:rFonts w:eastAsiaTheme="minorHAnsi"/>
        </w:rPr>
      </w:pPr>
    </w:p>
    <w:p w:rsidR="00D77A66" w:rsidRPr="007048AC" w:rsidRDefault="00D77A66" w:rsidP="007048AC">
      <w:pPr>
        <w:rPr>
          <w:rStyle w:val="AERbodytextChar"/>
          <w:rFonts w:eastAsiaTheme="minorHAnsi"/>
        </w:rPr>
      </w:pPr>
    </w:p>
    <w:p w:rsidR="007048AC" w:rsidRPr="007048AC" w:rsidRDefault="007048AC" w:rsidP="007048AC">
      <w:pPr>
        <w:pStyle w:val="Caption"/>
        <w:numPr>
          <w:ilvl w:val="0"/>
          <w:numId w:val="25"/>
        </w:numPr>
        <w:rPr>
          <w:rStyle w:val="AERbodytextChar"/>
          <w:rFonts w:eastAsiaTheme="minorHAnsi"/>
        </w:rPr>
      </w:pPr>
      <w:r w:rsidRPr="007048AC">
        <w:rPr>
          <w:rStyle w:val="AERbodytextChar"/>
          <w:rFonts w:eastAsiaTheme="minorHAnsi"/>
        </w:rPr>
        <w:t>Table 8</w:t>
      </w:r>
      <w:r w:rsidRPr="007048AC">
        <w:rPr>
          <w:rStyle w:val="AERbodytextChar"/>
          <w:rFonts w:eastAsiaTheme="minorHAnsi"/>
        </w:rPr>
        <w:tab/>
        <w:t>AER final decision on total opex ($ million, 2014–15)</w:t>
      </w:r>
    </w:p>
    <w:tbl>
      <w:tblPr>
        <w:tblStyle w:val="AERtable-numbers"/>
        <w:tblW w:w="0" w:type="auto"/>
        <w:tblLook w:val="04A0" w:firstRow="1" w:lastRow="0" w:firstColumn="1" w:lastColumn="0" w:noHBand="0" w:noVBand="1"/>
      </w:tblPr>
      <w:tblGrid>
        <w:gridCol w:w="2711"/>
        <w:gridCol w:w="973"/>
        <w:gridCol w:w="973"/>
        <w:gridCol w:w="972"/>
        <w:gridCol w:w="972"/>
        <w:gridCol w:w="972"/>
        <w:gridCol w:w="1120"/>
      </w:tblGrid>
      <w:tr w:rsidR="007048AC" w:rsidTr="008150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dxa"/>
          </w:tcPr>
          <w:p w:rsidR="007048AC" w:rsidRPr="007048AC" w:rsidRDefault="007048AC" w:rsidP="007048AC">
            <w:r w:rsidRPr="00D5634F">
              <w:t>Year ending 30 June</w:t>
            </w:r>
          </w:p>
        </w:tc>
        <w:tc>
          <w:tcPr>
            <w:tcW w:w="973" w:type="dxa"/>
          </w:tcPr>
          <w:p w:rsidR="007048AC" w:rsidRPr="007048AC" w:rsidRDefault="007048AC" w:rsidP="007048AC">
            <w:pPr>
              <w:cnfStyle w:val="100000000000" w:firstRow="1" w:lastRow="0" w:firstColumn="0" w:lastColumn="0" w:oddVBand="0" w:evenVBand="0" w:oddHBand="0" w:evenHBand="0" w:firstRowFirstColumn="0" w:firstRowLastColumn="0" w:lastRowFirstColumn="0" w:lastRowLastColumn="0"/>
            </w:pPr>
            <w:r w:rsidRPr="00D5634F">
              <w:t>2015–16</w:t>
            </w:r>
          </w:p>
        </w:tc>
        <w:tc>
          <w:tcPr>
            <w:tcW w:w="973" w:type="dxa"/>
          </w:tcPr>
          <w:p w:rsidR="007048AC" w:rsidRPr="007048AC" w:rsidRDefault="007048AC" w:rsidP="007048AC">
            <w:pPr>
              <w:cnfStyle w:val="100000000000" w:firstRow="1" w:lastRow="0" w:firstColumn="0" w:lastColumn="0" w:oddVBand="0" w:evenVBand="0" w:oddHBand="0" w:evenHBand="0" w:firstRowFirstColumn="0" w:firstRowLastColumn="0" w:lastRowFirstColumn="0" w:lastRowLastColumn="0"/>
            </w:pPr>
            <w:r w:rsidRPr="00D5634F">
              <w:t>2016–17</w:t>
            </w:r>
          </w:p>
        </w:tc>
        <w:tc>
          <w:tcPr>
            <w:tcW w:w="972" w:type="dxa"/>
          </w:tcPr>
          <w:p w:rsidR="007048AC" w:rsidRPr="007048AC" w:rsidRDefault="007048AC" w:rsidP="007048AC">
            <w:pPr>
              <w:cnfStyle w:val="100000000000" w:firstRow="1" w:lastRow="0" w:firstColumn="0" w:lastColumn="0" w:oddVBand="0" w:evenVBand="0" w:oddHBand="0" w:evenHBand="0" w:firstRowFirstColumn="0" w:firstRowLastColumn="0" w:lastRowFirstColumn="0" w:lastRowLastColumn="0"/>
            </w:pPr>
            <w:r w:rsidRPr="00D5634F">
              <w:t>2017–18</w:t>
            </w:r>
          </w:p>
        </w:tc>
        <w:tc>
          <w:tcPr>
            <w:tcW w:w="972" w:type="dxa"/>
          </w:tcPr>
          <w:p w:rsidR="007048AC" w:rsidRPr="007048AC" w:rsidRDefault="007048AC" w:rsidP="007048AC">
            <w:pPr>
              <w:cnfStyle w:val="100000000000" w:firstRow="1" w:lastRow="0" w:firstColumn="0" w:lastColumn="0" w:oddVBand="0" w:evenVBand="0" w:oddHBand="0" w:evenHBand="0" w:firstRowFirstColumn="0" w:firstRowLastColumn="0" w:lastRowFirstColumn="0" w:lastRowLastColumn="0"/>
            </w:pPr>
            <w:r w:rsidRPr="00D5634F">
              <w:t>2018–19</w:t>
            </w:r>
          </w:p>
        </w:tc>
        <w:tc>
          <w:tcPr>
            <w:tcW w:w="972" w:type="dxa"/>
          </w:tcPr>
          <w:p w:rsidR="007048AC" w:rsidRPr="007048AC" w:rsidRDefault="007048AC" w:rsidP="007048AC">
            <w:pPr>
              <w:cnfStyle w:val="100000000000" w:firstRow="1" w:lastRow="0" w:firstColumn="0" w:lastColumn="0" w:oddVBand="0" w:evenVBand="0" w:oddHBand="0" w:evenHBand="0" w:firstRowFirstColumn="0" w:firstRowLastColumn="0" w:lastRowFirstColumn="0" w:lastRowLastColumn="0"/>
            </w:pPr>
            <w:r w:rsidRPr="00D5634F">
              <w:t>2019–20</w:t>
            </w:r>
          </w:p>
        </w:tc>
        <w:tc>
          <w:tcPr>
            <w:tcW w:w="1120" w:type="dxa"/>
          </w:tcPr>
          <w:p w:rsidR="007048AC" w:rsidRPr="007048AC" w:rsidRDefault="007048AC" w:rsidP="007048AC">
            <w:pPr>
              <w:cnfStyle w:val="100000000000" w:firstRow="1" w:lastRow="0" w:firstColumn="0" w:lastColumn="0" w:oddVBand="0" w:evenVBand="0" w:oddHBand="0" w:evenHBand="0" w:firstRowFirstColumn="0" w:firstRowLastColumn="0" w:lastRowFirstColumn="0" w:lastRowLastColumn="0"/>
            </w:pPr>
            <w:r w:rsidRPr="00D5634F">
              <w:t>Total</w:t>
            </w:r>
          </w:p>
        </w:tc>
      </w:tr>
      <w:tr w:rsidR="007048AC" w:rsidTr="008150B7">
        <w:tc>
          <w:tcPr>
            <w:cnfStyle w:val="001000000000" w:firstRow="0" w:lastRow="0" w:firstColumn="1" w:lastColumn="0" w:oddVBand="0" w:evenVBand="0" w:oddHBand="0" w:evenHBand="0" w:firstRowFirstColumn="0" w:firstRowLastColumn="0" w:lastRowFirstColumn="0" w:lastRowLastColumn="0"/>
            <w:tcW w:w="2711" w:type="dxa"/>
            <w:vAlign w:val="top"/>
          </w:tcPr>
          <w:p w:rsidR="007048AC" w:rsidRPr="007048AC" w:rsidRDefault="007048AC" w:rsidP="007048AC">
            <w:r w:rsidRPr="00F0317A">
              <w:t xml:space="preserve">Energex's </w:t>
            </w:r>
            <w:r>
              <w:t xml:space="preserve">revised </w:t>
            </w:r>
            <w:r w:rsidRPr="00F0317A">
              <w:t>proposal</w:t>
            </w:r>
          </w:p>
        </w:tc>
        <w:tc>
          <w:tcPr>
            <w:tcW w:w="973" w:type="dxa"/>
            <w:vAlign w:val="top"/>
          </w:tcPr>
          <w:p w:rsidR="007048AC" w:rsidRPr="007048AC" w:rsidRDefault="007048AC" w:rsidP="007048AC">
            <w:pPr>
              <w:cnfStyle w:val="000000000000" w:firstRow="0" w:lastRow="0" w:firstColumn="0" w:lastColumn="0" w:oddVBand="0" w:evenVBand="0" w:oddHBand="0" w:evenHBand="0" w:firstRowFirstColumn="0" w:firstRowLastColumn="0" w:lastRowFirstColumn="0" w:lastRowLastColumn="0"/>
            </w:pPr>
            <w:r w:rsidRPr="00F0317A">
              <w:t>342.5</w:t>
            </w:r>
          </w:p>
        </w:tc>
        <w:tc>
          <w:tcPr>
            <w:tcW w:w="973" w:type="dxa"/>
            <w:vAlign w:val="top"/>
          </w:tcPr>
          <w:p w:rsidR="007048AC" w:rsidRPr="007048AC" w:rsidRDefault="007048AC" w:rsidP="007048AC">
            <w:pPr>
              <w:cnfStyle w:val="000000000000" w:firstRow="0" w:lastRow="0" w:firstColumn="0" w:lastColumn="0" w:oddVBand="0" w:evenVBand="0" w:oddHBand="0" w:evenHBand="0" w:firstRowFirstColumn="0" w:firstRowLastColumn="0" w:lastRowFirstColumn="0" w:lastRowLastColumn="0"/>
            </w:pPr>
            <w:r w:rsidRPr="00F0317A">
              <w:t>339.3</w:t>
            </w:r>
          </w:p>
        </w:tc>
        <w:tc>
          <w:tcPr>
            <w:tcW w:w="972" w:type="dxa"/>
            <w:vAlign w:val="top"/>
          </w:tcPr>
          <w:p w:rsidR="007048AC" w:rsidRPr="007048AC" w:rsidRDefault="007048AC" w:rsidP="007048AC">
            <w:pPr>
              <w:cnfStyle w:val="000000000000" w:firstRow="0" w:lastRow="0" w:firstColumn="0" w:lastColumn="0" w:oddVBand="0" w:evenVBand="0" w:oddHBand="0" w:evenHBand="0" w:firstRowFirstColumn="0" w:firstRowLastColumn="0" w:lastRowFirstColumn="0" w:lastRowLastColumn="0"/>
            </w:pPr>
            <w:r w:rsidRPr="00F0317A">
              <w:t>344.1</w:t>
            </w:r>
          </w:p>
        </w:tc>
        <w:tc>
          <w:tcPr>
            <w:tcW w:w="972" w:type="dxa"/>
            <w:vAlign w:val="top"/>
          </w:tcPr>
          <w:p w:rsidR="007048AC" w:rsidRPr="007048AC" w:rsidRDefault="007048AC" w:rsidP="007048AC">
            <w:pPr>
              <w:cnfStyle w:val="000000000000" w:firstRow="0" w:lastRow="0" w:firstColumn="0" w:lastColumn="0" w:oddVBand="0" w:evenVBand="0" w:oddHBand="0" w:evenHBand="0" w:firstRowFirstColumn="0" w:firstRowLastColumn="0" w:lastRowFirstColumn="0" w:lastRowLastColumn="0"/>
            </w:pPr>
            <w:r w:rsidRPr="00F0317A">
              <w:t>355.0</w:t>
            </w:r>
          </w:p>
        </w:tc>
        <w:tc>
          <w:tcPr>
            <w:tcW w:w="972" w:type="dxa"/>
            <w:vAlign w:val="top"/>
          </w:tcPr>
          <w:p w:rsidR="007048AC" w:rsidRPr="007048AC" w:rsidRDefault="007048AC" w:rsidP="007048AC">
            <w:pPr>
              <w:cnfStyle w:val="000000000000" w:firstRow="0" w:lastRow="0" w:firstColumn="0" w:lastColumn="0" w:oddVBand="0" w:evenVBand="0" w:oddHBand="0" w:evenHBand="0" w:firstRowFirstColumn="0" w:firstRowLastColumn="0" w:lastRowFirstColumn="0" w:lastRowLastColumn="0"/>
            </w:pPr>
            <w:r w:rsidRPr="00F0317A">
              <w:t>357.2</w:t>
            </w:r>
          </w:p>
        </w:tc>
        <w:tc>
          <w:tcPr>
            <w:tcW w:w="1120" w:type="dxa"/>
            <w:vAlign w:val="top"/>
          </w:tcPr>
          <w:p w:rsidR="007048AC" w:rsidRPr="007048AC" w:rsidRDefault="007048AC" w:rsidP="007048AC">
            <w:pPr>
              <w:cnfStyle w:val="000000000000" w:firstRow="0" w:lastRow="0" w:firstColumn="0" w:lastColumn="0" w:oddVBand="0" w:evenVBand="0" w:oddHBand="0" w:evenHBand="0" w:firstRowFirstColumn="0" w:firstRowLastColumn="0" w:lastRowFirstColumn="0" w:lastRowLastColumn="0"/>
              <w:rPr>
                <w:rStyle w:val="Strong"/>
              </w:rPr>
            </w:pPr>
            <w:r w:rsidRPr="007048AC">
              <w:t>1738.2</w:t>
            </w:r>
          </w:p>
        </w:tc>
      </w:tr>
      <w:tr w:rsidR="007048AC" w:rsidTr="008150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dxa"/>
            <w:vAlign w:val="top"/>
          </w:tcPr>
          <w:p w:rsidR="007048AC" w:rsidRPr="007048AC" w:rsidRDefault="007048AC" w:rsidP="007048AC">
            <w:r w:rsidRPr="00D5634F">
              <w:t xml:space="preserve">AER </w:t>
            </w:r>
            <w:r w:rsidRPr="007048AC">
              <w:t>final decision</w:t>
            </w:r>
          </w:p>
        </w:tc>
        <w:tc>
          <w:tcPr>
            <w:tcW w:w="973" w:type="dxa"/>
            <w:vAlign w:val="top"/>
          </w:tcPr>
          <w:p w:rsidR="007048AC" w:rsidRPr="007048AC" w:rsidRDefault="007048AC" w:rsidP="007048AC">
            <w:pPr>
              <w:cnfStyle w:val="000000010000" w:firstRow="0" w:lastRow="0" w:firstColumn="0" w:lastColumn="0" w:oddVBand="0" w:evenVBand="0" w:oddHBand="0" w:evenHBand="1" w:firstRowFirstColumn="0" w:firstRowLastColumn="0" w:lastRowFirstColumn="0" w:lastRowLastColumn="0"/>
            </w:pPr>
            <w:r w:rsidRPr="00F0317A">
              <w:t>342.5</w:t>
            </w:r>
          </w:p>
        </w:tc>
        <w:tc>
          <w:tcPr>
            <w:tcW w:w="973" w:type="dxa"/>
            <w:vAlign w:val="top"/>
          </w:tcPr>
          <w:p w:rsidR="007048AC" w:rsidRPr="007048AC" w:rsidRDefault="007048AC" w:rsidP="007048AC">
            <w:pPr>
              <w:cnfStyle w:val="000000010000" w:firstRow="0" w:lastRow="0" w:firstColumn="0" w:lastColumn="0" w:oddVBand="0" w:evenVBand="0" w:oddHBand="0" w:evenHBand="1" w:firstRowFirstColumn="0" w:firstRowLastColumn="0" w:lastRowFirstColumn="0" w:lastRowLastColumn="0"/>
            </w:pPr>
            <w:r w:rsidRPr="00F0317A">
              <w:t>339.3</w:t>
            </w:r>
          </w:p>
        </w:tc>
        <w:tc>
          <w:tcPr>
            <w:tcW w:w="972" w:type="dxa"/>
            <w:vAlign w:val="top"/>
          </w:tcPr>
          <w:p w:rsidR="007048AC" w:rsidRPr="007048AC" w:rsidRDefault="007048AC" w:rsidP="007048AC">
            <w:pPr>
              <w:cnfStyle w:val="000000010000" w:firstRow="0" w:lastRow="0" w:firstColumn="0" w:lastColumn="0" w:oddVBand="0" w:evenVBand="0" w:oddHBand="0" w:evenHBand="1" w:firstRowFirstColumn="0" w:firstRowLastColumn="0" w:lastRowFirstColumn="0" w:lastRowLastColumn="0"/>
            </w:pPr>
            <w:r w:rsidRPr="00F0317A">
              <w:t>344.1</w:t>
            </w:r>
          </w:p>
        </w:tc>
        <w:tc>
          <w:tcPr>
            <w:tcW w:w="972" w:type="dxa"/>
            <w:vAlign w:val="top"/>
          </w:tcPr>
          <w:p w:rsidR="007048AC" w:rsidRPr="007048AC" w:rsidRDefault="007048AC" w:rsidP="007048AC">
            <w:pPr>
              <w:cnfStyle w:val="000000010000" w:firstRow="0" w:lastRow="0" w:firstColumn="0" w:lastColumn="0" w:oddVBand="0" w:evenVBand="0" w:oddHBand="0" w:evenHBand="1" w:firstRowFirstColumn="0" w:firstRowLastColumn="0" w:lastRowFirstColumn="0" w:lastRowLastColumn="0"/>
            </w:pPr>
            <w:r w:rsidRPr="00F0317A">
              <w:t>355.0</w:t>
            </w:r>
          </w:p>
        </w:tc>
        <w:tc>
          <w:tcPr>
            <w:tcW w:w="972" w:type="dxa"/>
            <w:vAlign w:val="top"/>
          </w:tcPr>
          <w:p w:rsidR="007048AC" w:rsidRPr="007048AC" w:rsidRDefault="007048AC" w:rsidP="007048AC">
            <w:pPr>
              <w:cnfStyle w:val="000000010000" w:firstRow="0" w:lastRow="0" w:firstColumn="0" w:lastColumn="0" w:oddVBand="0" w:evenVBand="0" w:oddHBand="0" w:evenHBand="1" w:firstRowFirstColumn="0" w:firstRowLastColumn="0" w:lastRowFirstColumn="0" w:lastRowLastColumn="0"/>
            </w:pPr>
            <w:r w:rsidRPr="00F0317A">
              <w:t>357.2</w:t>
            </w:r>
          </w:p>
        </w:tc>
        <w:tc>
          <w:tcPr>
            <w:tcW w:w="1120" w:type="dxa"/>
            <w:vAlign w:val="top"/>
          </w:tcPr>
          <w:p w:rsidR="007048AC" w:rsidRPr="007048AC" w:rsidRDefault="007048AC" w:rsidP="007048AC">
            <w:pPr>
              <w:cnfStyle w:val="000000010000" w:firstRow="0" w:lastRow="0" w:firstColumn="0" w:lastColumn="0" w:oddVBand="0" w:evenVBand="0" w:oddHBand="0" w:evenHBand="1" w:firstRowFirstColumn="0" w:firstRowLastColumn="0" w:lastRowFirstColumn="0" w:lastRowLastColumn="0"/>
              <w:rPr>
                <w:rStyle w:val="Strong"/>
              </w:rPr>
            </w:pPr>
            <w:r w:rsidRPr="007048AC">
              <w:t>1738.2</w:t>
            </w:r>
          </w:p>
        </w:tc>
      </w:tr>
      <w:tr w:rsidR="007048AC" w:rsidTr="008150B7">
        <w:tc>
          <w:tcPr>
            <w:cnfStyle w:val="001000000000" w:firstRow="0" w:lastRow="0" w:firstColumn="1" w:lastColumn="0" w:oddVBand="0" w:evenVBand="0" w:oddHBand="0" w:evenHBand="0" w:firstRowFirstColumn="0" w:firstRowLastColumn="0" w:lastRowFirstColumn="0" w:lastRowLastColumn="0"/>
            <w:tcW w:w="2711" w:type="dxa"/>
            <w:vAlign w:val="top"/>
          </w:tcPr>
          <w:p w:rsidR="007048AC" w:rsidRPr="007048AC" w:rsidRDefault="007048AC" w:rsidP="007048AC">
            <w:r w:rsidRPr="00F0317A">
              <w:t>Difference</w:t>
            </w:r>
          </w:p>
        </w:tc>
        <w:tc>
          <w:tcPr>
            <w:tcW w:w="973" w:type="dxa"/>
            <w:vAlign w:val="top"/>
          </w:tcPr>
          <w:p w:rsidR="007048AC" w:rsidRPr="007048AC" w:rsidRDefault="007048AC" w:rsidP="007048AC">
            <w:pPr>
              <w:cnfStyle w:val="000000000000" w:firstRow="0" w:lastRow="0" w:firstColumn="0" w:lastColumn="0" w:oddVBand="0" w:evenVBand="0" w:oddHBand="0" w:evenHBand="0" w:firstRowFirstColumn="0" w:firstRowLastColumn="0" w:lastRowFirstColumn="0" w:lastRowLastColumn="0"/>
            </w:pPr>
            <w:r w:rsidRPr="008B45A0">
              <w:rPr>
                <w:rStyle w:val="Strong"/>
              </w:rPr>
              <w:t>–</w:t>
            </w:r>
          </w:p>
        </w:tc>
        <w:tc>
          <w:tcPr>
            <w:tcW w:w="973" w:type="dxa"/>
            <w:vAlign w:val="top"/>
          </w:tcPr>
          <w:p w:rsidR="007048AC" w:rsidRPr="007048AC" w:rsidRDefault="007048AC" w:rsidP="007048AC">
            <w:pPr>
              <w:cnfStyle w:val="000000000000" w:firstRow="0" w:lastRow="0" w:firstColumn="0" w:lastColumn="0" w:oddVBand="0" w:evenVBand="0" w:oddHBand="0" w:evenHBand="0" w:firstRowFirstColumn="0" w:firstRowLastColumn="0" w:lastRowFirstColumn="0" w:lastRowLastColumn="0"/>
            </w:pPr>
            <w:r w:rsidRPr="008B45A0">
              <w:rPr>
                <w:rStyle w:val="Strong"/>
              </w:rPr>
              <w:t>–</w:t>
            </w:r>
          </w:p>
        </w:tc>
        <w:tc>
          <w:tcPr>
            <w:tcW w:w="972" w:type="dxa"/>
            <w:vAlign w:val="top"/>
          </w:tcPr>
          <w:p w:rsidR="007048AC" w:rsidRPr="007048AC" w:rsidRDefault="007048AC" w:rsidP="007048AC">
            <w:pPr>
              <w:cnfStyle w:val="000000000000" w:firstRow="0" w:lastRow="0" w:firstColumn="0" w:lastColumn="0" w:oddVBand="0" w:evenVBand="0" w:oddHBand="0" w:evenHBand="0" w:firstRowFirstColumn="0" w:firstRowLastColumn="0" w:lastRowFirstColumn="0" w:lastRowLastColumn="0"/>
            </w:pPr>
            <w:r w:rsidRPr="008B45A0">
              <w:rPr>
                <w:rStyle w:val="Strong"/>
              </w:rPr>
              <w:t>–</w:t>
            </w:r>
          </w:p>
        </w:tc>
        <w:tc>
          <w:tcPr>
            <w:tcW w:w="972" w:type="dxa"/>
            <w:vAlign w:val="top"/>
          </w:tcPr>
          <w:p w:rsidR="007048AC" w:rsidRPr="007048AC" w:rsidRDefault="007048AC" w:rsidP="007048AC">
            <w:pPr>
              <w:cnfStyle w:val="000000000000" w:firstRow="0" w:lastRow="0" w:firstColumn="0" w:lastColumn="0" w:oddVBand="0" w:evenVBand="0" w:oddHBand="0" w:evenHBand="0" w:firstRowFirstColumn="0" w:firstRowLastColumn="0" w:lastRowFirstColumn="0" w:lastRowLastColumn="0"/>
            </w:pPr>
            <w:r w:rsidRPr="008B45A0">
              <w:rPr>
                <w:rStyle w:val="Strong"/>
              </w:rPr>
              <w:t>–</w:t>
            </w:r>
          </w:p>
        </w:tc>
        <w:tc>
          <w:tcPr>
            <w:tcW w:w="972" w:type="dxa"/>
            <w:vAlign w:val="top"/>
          </w:tcPr>
          <w:p w:rsidR="007048AC" w:rsidRPr="007048AC" w:rsidRDefault="007048AC" w:rsidP="007048AC">
            <w:pPr>
              <w:cnfStyle w:val="000000000000" w:firstRow="0" w:lastRow="0" w:firstColumn="0" w:lastColumn="0" w:oddVBand="0" w:evenVBand="0" w:oddHBand="0" w:evenHBand="0" w:firstRowFirstColumn="0" w:firstRowLastColumn="0" w:lastRowFirstColumn="0" w:lastRowLastColumn="0"/>
            </w:pPr>
            <w:r w:rsidRPr="008B45A0">
              <w:rPr>
                <w:rStyle w:val="Strong"/>
              </w:rPr>
              <w:t>–</w:t>
            </w:r>
          </w:p>
        </w:tc>
        <w:tc>
          <w:tcPr>
            <w:tcW w:w="1120" w:type="dxa"/>
            <w:vAlign w:val="top"/>
          </w:tcPr>
          <w:p w:rsidR="007048AC" w:rsidRPr="007048AC" w:rsidRDefault="007048AC" w:rsidP="007048AC">
            <w:pPr>
              <w:cnfStyle w:val="000000000000" w:firstRow="0" w:lastRow="0" w:firstColumn="0" w:lastColumn="0" w:oddVBand="0" w:evenVBand="0" w:oddHBand="0" w:evenHBand="0" w:firstRowFirstColumn="0" w:firstRowLastColumn="0" w:lastRowFirstColumn="0" w:lastRowLastColumn="0"/>
            </w:pPr>
            <w:r w:rsidRPr="008B45A0">
              <w:rPr>
                <w:rStyle w:val="Strong"/>
              </w:rPr>
              <w:t>–</w:t>
            </w:r>
          </w:p>
        </w:tc>
      </w:tr>
    </w:tbl>
    <w:p w:rsidR="007048AC" w:rsidRPr="00D5634F" w:rsidRDefault="007048AC" w:rsidP="007048AC">
      <w:pPr>
        <w:pStyle w:val="AERtablesource"/>
      </w:pPr>
      <w:r w:rsidRPr="00D5634F">
        <w:t>Source:</w:t>
      </w:r>
      <w:r w:rsidRPr="00D5634F">
        <w:tab/>
        <w:t>AER analysis.</w:t>
      </w:r>
    </w:p>
    <w:p w:rsidR="007048AC" w:rsidRPr="00D5634F" w:rsidRDefault="007048AC" w:rsidP="007048AC">
      <w:pPr>
        <w:pStyle w:val="AERtablesource"/>
      </w:pPr>
      <w:r w:rsidRPr="00D5634F">
        <w:t>Note:</w:t>
      </w:r>
      <w:r w:rsidRPr="00D5634F">
        <w:tab/>
        <w:t>Includes debt raising costs.</w:t>
      </w:r>
    </w:p>
    <w:p w:rsidR="007048AC" w:rsidRPr="00D5634F" w:rsidRDefault="007048AC" w:rsidP="007048AC">
      <w:pPr>
        <w:numPr>
          <w:ilvl w:val="0"/>
          <w:numId w:val="25"/>
        </w:numPr>
        <w:rPr>
          <w:rStyle w:val="AERbody"/>
        </w:rPr>
      </w:pPr>
      <w:r w:rsidRPr="00D5634F">
        <w:rPr>
          <w:rStyle w:val="AERbody"/>
        </w:rPr>
        <w:t xml:space="preserve">Figure </w:t>
      </w:r>
      <w:r w:rsidR="0054283A">
        <w:rPr>
          <w:rStyle w:val="AERbody"/>
        </w:rPr>
        <w:t>9</w:t>
      </w:r>
      <w:r w:rsidRPr="00D5634F">
        <w:rPr>
          <w:rStyle w:val="AERbody"/>
        </w:rPr>
        <w:t xml:space="preserve"> shows our </w:t>
      </w:r>
      <w:r>
        <w:rPr>
          <w:rStyle w:val="AERbody"/>
        </w:rPr>
        <w:t>final</w:t>
      </w:r>
      <w:r w:rsidRPr="00D5634F">
        <w:rPr>
          <w:rStyle w:val="AERbody"/>
        </w:rPr>
        <w:t xml:space="preserve"> decision compared to </w:t>
      </w:r>
      <w:r>
        <w:t>Energex’s</w:t>
      </w:r>
      <w:r w:rsidRPr="00B71392">
        <w:t xml:space="preserve"> </w:t>
      </w:r>
      <w:r>
        <w:t xml:space="preserve">revised </w:t>
      </w:r>
      <w:r w:rsidRPr="00D5634F">
        <w:rPr>
          <w:rStyle w:val="AERbody"/>
        </w:rPr>
        <w:t>proposal, its past allowances and past actual expenditure.</w:t>
      </w:r>
    </w:p>
    <w:p w:rsidR="007048AC" w:rsidRPr="00D5634F" w:rsidRDefault="007048AC" w:rsidP="007048AC">
      <w:pPr>
        <w:pStyle w:val="Caption"/>
      </w:pPr>
      <w:r w:rsidRPr="00D5634F">
        <w:t xml:space="preserve">Figure </w:t>
      </w:r>
      <w:r w:rsidR="0054283A">
        <w:t>9</w:t>
      </w:r>
      <w:r w:rsidRPr="00D5634F">
        <w:t xml:space="preserve"> AER </w:t>
      </w:r>
      <w:r>
        <w:t>final</w:t>
      </w:r>
      <w:r w:rsidRPr="00D5634F">
        <w:t xml:space="preserve"> decision compared to </w:t>
      </w:r>
      <w:r>
        <w:t>Energex’s</w:t>
      </w:r>
      <w:r w:rsidRPr="00B71392">
        <w:t xml:space="preserve"> </w:t>
      </w:r>
      <w:r w:rsidRPr="00D5634F">
        <w:t>past and proposed opex ($million</w:t>
      </w:r>
      <w:r w:rsidRPr="007048AC">
        <w:rPr>
          <w:rStyle w:val="AERbodytextChar"/>
          <w:rFonts w:eastAsiaTheme="minorHAnsi"/>
        </w:rPr>
        <w:t>, 2014−15)</w:t>
      </w:r>
    </w:p>
    <w:p w:rsidR="007048AC" w:rsidRDefault="00636476" w:rsidP="007048AC">
      <w:pPr>
        <w:pStyle w:val="Caption"/>
        <w:numPr>
          <w:ilvl w:val="0"/>
          <w:numId w:val="25"/>
        </w:numPr>
      </w:pPr>
      <w:r w:rsidRPr="00636476">
        <w:rPr>
          <w:noProof/>
          <w:lang w:eastAsia="en-AU"/>
        </w:rPr>
        <w:drawing>
          <wp:inline distT="0" distB="0" distL="0" distR="0" wp14:anchorId="3FC7FFD1" wp14:editId="76ADC4DF">
            <wp:extent cx="5382895" cy="3174528"/>
            <wp:effectExtent l="0" t="0" r="8255" b="6985"/>
            <wp:docPr id="12" name="Picture 12" descr="cid:image001.png@01D10B24.DED9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10B24.DED9D10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382895" cy="3174528"/>
                    </a:xfrm>
                    <a:prstGeom prst="rect">
                      <a:avLst/>
                    </a:prstGeom>
                    <a:noFill/>
                    <a:ln>
                      <a:noFill/>
                    </a:ln>
                  </pic:spPr>
                </pic:pic>
              </a:graphicData>
            </a:graphic>
          </wp:inline>
        </w:drawing>
      </w:r>
    </w:p>
    <w:p w:rsidR="007048AC" w:rsidRPr="00856B9D" w:rsidRDefault="007048AC" w:rsidP="007048AC">
      <w:pPr>
        <w:pStyle w:val="AERtablesource"/>
      </w:pPr>
      <w:r w:rsidRPr="00680D19">
        <w:t>Note:</w:t>
      </w:r>
      <w:r w:rsidRPr="00680D19">
        <w:tab/>
        <w:t>The opex for the period 2005</w:t>
      </w:r>
      <w:r>
        <w:t>–</w:t>
      </w:r>
      <w:r w:rsidRPr="00680D19">
        <w:t>06 to 2014</w:t>
      </w:r>
      <w:r>
        <w:t>–</w:t>
      </w:r>
      <w:r w:rsidRPr="00680D19">
        <w:t>15 include some services that have been reclassified as ancillary reference services; the forecast opex for period 2015</w:t>
      </w:r>
      <w:r>
        <w:t>–</w:t>
      </w:r>
      <w:r w:rsidRPr="00680D19">
        <w:t>16 to 2019</w:t>
      </w:r>
      <w:r>
        <w:t>–</w:t>
      </w:r>
      <w:r w:rsidRPr="00680D19">
        <w:t>20 does not. The opex for the period 2005/06 to 2009/10 also includes debt raising costs; the opex and forecast opex for the period 2010/11 to 2019/20 do not.</w:t>
      </w:r>
    </w:p>
    <w:p w:rsidR="007048AC" w:rsidRDefault="007048AC" w:rsidP="007048AC">
      <w:pPr>
        <w:pStyle w:val="AERtablesource"/>
      </w:pPr>
      <w:r w:rsidRPr="00856B9D">
        <w:t>Source:</w:t>
      </w:r>
      <w:r w:rsidRPr="00856B9D">
        <w:tab/>
        <w:t>Energex, Regulatory accounts 2005</w:t>
      </w:r>
      <w:r>
        <w:t>–</w:t>
      </w:r>
      <w:r w:rsidRPr="00680D19">
        <w:t>06 to 2009</w:t>
      </w:r>
      <w:r>
        <w:t>–</w:t>
      </w:r>
      <w:r w:rsidRPr="00680D19">
        <w:t>10; Energex 2010</w:t>
      </w:r>
      <w:r>
        <w:t>–</w:t>
      </w:r>
      <w:r w:rsidRPr="00680D19">
        <w:t>11</w:t>
      </w:r>
      <w:r>
        <w:t xml:space="preserve"> to </w:t>
      </w:r>
      <w:r w:rsidRPr="00680D19">
        <w:t>2014</w:t>
      </w:r>
      <w:r>
        <w:t>–</w:t>
      </w:r>
      <w:r w:rsidRPr="00680D19">
        <w:t>15 PTRM, Annual Reporting RIN 2010</w:t>
      </w:r>
      <w:r>
        <w:t>–</w:t>
      </w:r>
      <w:r w:rsidRPr="00680D19">
        <w:t>11</w:t>
      </w:r>
      <w:r>
        <w:t xml:space="preserve"> to </w:t>
      </w:r>
      <w:r w:rsidRPr="00680D19">
        <w:t>2013</w:t>
      </w:r>
      <w:r>
        <w:t>–</w:t>
      </w:r>
      <w:r w:rsidRPr="00680D19">
        <w:t xml:space="preserve">14, </w:t>
      </w:r>
      <w:r w:rsidRPr="007048AC">
        <w:rPr>
          <w:rStyle w:val="AERtextitalic"/>
        </w:rPr>
        <w:t>Regulatory proposal for the 2015–20 period</w:t>
      </w:r>
      <w:r w:rsidRPr="00680D19">
        <w:t xml:space="preserve"> - Regulatory Information Notice; AER analysis.</w:t>
      </w:r>
    </w:p>
    <w:p w:rsidR="007048AC" w:rsidRDefault="007048AC" w:rsidP="007048AC">
      <w:r>
        <w:t xml:space="preserve">We accepted Energex’s proposed opex in our preliminary decision because </w:t>
      </w:r>
      <w:r w:rsidRPr="00491B2B">
        <w:t>Energex’s</w:t>
      </w:r>
      <w:r>
        <w:t xml:space="preserve"> forecast was approximately 7 per cent lower than the estimate we determined reasonably reflected the opex criteria (derived using our base, step and trend approach). Some key reasons for Energex’s lower forecast included efficiency adjustments and productivity improvements in the forecast period. These more than offset proposed increases in step changes and material inefficiency in Energex’s base year opex. </w:t>
      </w:r>
    </w:p>
    <w:p w:rsidR="007B3355" w:rsidRPr="00112BF8" w:rsidRDefault="007B3355" w:rsidP="007B3355">
      <w:pPr>
        <w:pStyle w:val="Heading2"/>
      </w:pPr>
      <w:bookmarkStart w:id="47" w:name="_Toc417973146"/>
      <w:bookmarkStart w:id="48" w:name="_Toc433723306"/>
      <w:r w:rsidRPr="00112BF8">
        <w:t>Corporate income tax</w:t>
      </w:r>
      <w:bookmarkEnd w:id="47"/>
      <w:bookmarkEnd w:id="48"/>
    </w:p>
    <w:p w:rsidR="007B3355" w:rsidRDefault="007B3355" w:rsidP="007B3355">
      <w:pPr>
        <w:numPr>
          <w:ilvl w:val="0"/>
          <w:numId w:val="25"/>
        </w:numPr>
      </w:pPr>
      <w:r>
        <w:t xml:space="preserve">The NER requires us </w:t>
      </w:r>
      <w:r w:rsidRPr="00521143">
        <w:rPr>
          <w:rStyle w:val="AERbody"/>
        </w:rPr>
        <w:t xml:space="preserve">to make a decision on the estimated cost of corporate income tax for </w:t>
      </w:r>
      <w:r>
        <w:rPr>
          <w:rStyle w:val="AERbody"/>
        </w:rPr>
        <w:t>Energex's</w:t>
      </w:r>
      <w:r w:rsidRPr="00521143">
        <w:rPr>
          <w:rStyle w:val="AERbody"/>
        </w:rPr>
        <w:t xml:space="preserve"> 2015–20 regulatory control period.</w:t>
      </w:r>
      <w:r w:rsidRPr="00577DF0">
        <w:rPr>
          <w:rStyle w:val="FootnoteReference"/>
        </w:rPr>
        <w:footnoteReference w:id="51"/>
      </w:r>
      <w:r>
        <w:rPr>
          <w:rStyle w:val="AERbody"/>
        </w:rPr>
        <w:t xml:space="preserve"> </w:t>
      </w:r>
      <w:r w:rsidRPr="00112BF8">
        <w:t xml:space="preserve">The estimated cost of corporate income tax contributes to our determination of the total revenue requirements for Energex over the 2015–20 regulatory control period. </w:t>
      </w:r>
      <w:r>
        <w:t xml:space="preserve">It </w:t>
      </w:r>
      <w:r w:rsidRPr="00112BF8">
        <w:t xml:space="preserve">enables Energex to recover the costs associated with the estimated corporate income tax payable during that period. </w:t>
      </w:r>
    </w:p>
    <w:p w:rsidR="00082EA6" w:rsidRPr="00082EA6" w:rsidRDefault="00082EA6" w:rsidP="00C35ABA">
      <w:r w:rsidRPr="00082EA6">
        <w:t xml:space="preserve">Our final decision </w:t>
      </w:r>
      <w:r w:rsidR="005B3663">
        <w:t>is to determine</w:t>
      </w:r>
      <w:r w:rsidRPr="00082EA6">
        <w:t xml:space="preserve"> the estimated cost of corporate income tax </w:t>
      </w:r>
      <w:r w:rsidR="005B3663">
        <w:t>of</w:t>
      </w:r>
      <w:r w:rsidRPr="00082EA6">
        <w:t xml:space="preserve"> $</w:t>
      </w:r>
      <w:r w:rsidR="00326AD3">
        <w:t>275.</w:t>
      </w:r>
      <w:r w:rsidR="00326AD3" w:rsidRPr="00C35ABA">
        <w:t>3</w:t>
      </w:r>
      <w:r w:rsidRPr="00C35ABA">
        <w:t> million</w:t>
      </w:r>
      <w:r w:rsidRPr="00082EA6">
        <w:t xml:space="preserve"> ($ nominal) for Energex over the 2015–20 regulatory control period</w:t>
      </w:r>
      <w:r w:rsidR="005B3663">
        <w:t xml:space="preserve"> as shown in table 9</w:t>
      </w:r>
      <w:r w:rsidRPr="00082EA6">
        <w:t xml:space="preserve">. </w:t>
      </w:r>
      <w:r w:rsidR="005B3663">
        <w:t>We do not accept</w:t>
      </w:r>
      <w:r>
        <w:t xml:space="preserve"> Energex's revised proposed cost of corporate income tax allowance of </w:t>
      </w:r>
      <w:r w:rsidRPr="00082EA6">
        <w:t xml:space="preserve">$538.1 million ($ nominal). </w:t>
      </w:r>
      <w:r w:rsidR="005B3663">
        <w:t>This</w:t>
      </w:r>
      <w:r w:rsidRPr="00082EA6">
        <w:t xml:space="preserve"> represents a reduction of $</w:t>
      </w:r>
      <w:r w:rsidR="00326AD3">
        <w:t>262.</w:t>
      </w:r>
      <w:r w:rsidR="00326AD3" w:rsidRPr="00C35ABA">
        <w:t>8</w:t>
      </w:r>
      <w:r w:rsidRPr="00C35ABA">
        <w:t xml:space="preserve"> million (or </w:t>
      </w:r>
      <w:r w:rsidR="00326AD3" w:rsidRPr="00C35ABA">
        <w:t>48.8</w:t>
      </w:r>
      <w:r w:rsidRPr="00C35ABA">
        <w:t> per cent</w:t>
      </w:r>
      <w:r w:rsidRPr="00082EA6">
        <w:t xml:space="preserve">) from </w:t>
      </w:r>
      <w:r w:rsidR="00A607F9">
        <w:t>Energex's</w:t>
      </w:r>
      <w:r w:rsidR="00A607F9" w:rsidRPr="00082EA6">
        <w:t xml:space="preserve"> </w:t>
      </w:r>
      <w:r w:rsidRPr="00082EA6">
        <w:t>revised proposal.</w:t>
      </w:r>
    </w:p>
    <w:p w:rsidR="007B3355" w:rsidRPr="00112BF8" w:rsidRDefault="007B3355" w:rsidP="007B3355">
      <w:pPr>
        <w:pStyle w:val="Caption"/>
      </w:pPr>
      <w:r w:rsidRPr="00112BF8">
        <w:t>Table</w:t>
      </w:r>
      <w:r>
        <w:t xml:space="preserve"> 9</w:t>
      </w:r>
      <w:r w:rsidRPr="00112BF8">
        <w:t xml:space="preserve"> </w:t>
      </w:r>
      <w:r w:rsidRPr="00112BF8">
        <w:tab/>
        <w:t xml:space="preserve">AER's </w:t>
      </w:r>
      <w:r w:rsidR="001C2963">
        <w:t>final</w:t>
      </w:r>
      <w:r w:rsidRPr="00112BF8">
        <w:t xml:space="preserve"> decision on Energex's cost of corporate income tax allowance for the 2015–20 </w:t>
      </w:r>
      <w:r>
        <w:t xml:space="preserve">regulatory control </w:t>
      </w:r>
      <w:r w:rsidRPr="00112BF8">
        <w:t>period ($ million, nominal)</w:t>
      </w:r>
    </w:p>
    <w:tbl>
      <w:tblPr>
        <w:tblStyle w:val="AERtable-numbers"/>
        <w:tblW w:w="5000" w:type="pct"/>
        <w:tblLook w:val="04A0" w:firstRow="1" w:lastRow="0" w:firstColumn="1" w:lastColumn="0" w:noHBand="0" w:noVBand="1"/>
      </w:tblPr>
      <w:tblGrid>
        <w:gridCol w:w="3101"/>
        <w:gridCol w:w="932"/>
        <w:gridCol w:w="932"/>
        <w:gridCol w:w="932"/>
        <w:gridCol w:w="932"/>
        <w:gridCol w:w="932"/>
        <w:gridCol w:w="932"/>
      </w:tblGrid>
      <w:tr w:rsidR="007B3355" w:rsidRPr="00F516A1" w:rsidTr="00D276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7B3355" w:rsidRPr="007B3355" w:rsidRDefault="007B3355" w:rsidP="007B3355">
            <w:r w:rsidRPr="00112BF8">
              <w:t> </w:t>
            </w:r>
          </w:p>
        </w:tc>
        <w:tc>
          <w:tcPr>
            <w:tcW w:w="536"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5–16</w:t>
            </w:r>
          </w:p>
        </w:tc>
        <w:tc>
          <w:tcPr>
            <w:tcW w:w="536"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6–17</w:t>
            </w:r>
          </w:p>
        </w:tc>
        <w:tc>
          <w:tcPr>
            <w:tcW w:w="536"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7–18</w:t>
            </w:r>
          </w:p>
        </w:tc>
        <w:tc>
          <w:tcPr>
            <w:tcW w:w="536"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201</w:t>
            </w:r>
            <w:r w:rsidRPr="007B3355">
              <w:t>8–19</w:t>
            </w:r>
          </w:p>
        </w:tc>
        <w:tc>
          <w:tcPr>
            <w:tcW w:w="536"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20</w:t>
            </w:r>
            <w:r w:rsidRPr="007B3355">
              <w:t>19–20</w:t>
            </w:r>
          </w:p>
        </w:tc>
        <w:tc>
          <w:tcPr>
            <w:tcW w:w="536" w:type="pct"/>
            <w:noWrap/>
            <w:hideMark/>
          </w:tcPr>
          <w:p w:rsidR="007B3355" w:rsidRPr="007B3355" w:rsidRDefault="007B3355" w:rsidP="007B3355">
            <w:pPr>
              <w:cnfStyle w:val="100000000000" w:firstRow="1" w:lastRow="0" w:firstColumn="0" w:lastColumn="0" w:oddVBand="0" w:evenVBand="0" w:oddHBand="0" w:evenHBand="0" w:firstRowFirstColumn="0" w:firstRowLastColumn="0" w:lastRowFirstColumn="0" w:lastRowLastColumn="0"/>
            </w:pPr>
            <w:r w:rsidRPr="00112BF8">
              <w:t>Total</w:t>
            </w:r>
          </w:p>
        </w:tc>
      </w:tr>
      <w:tr w:rsidR="00326AD3" w:rsidRPr="00F516A1" w:rsidTr="00D27650">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326AD3" w:rsidRPr="00326AD3" w:rsidRDefault="00326AD3" w:rsidP="00326AD3">
            <w:r w:rsidRPr="00326AD3">
              <w:t>Tax payable</w:t>
            </w:r>
          </w:p>
        </w:tc>
        <w:tc>
          <w:tcPr>
            <w:tcW w:w="536"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pPr>
            <w:r w:rsidRPr="00326AD3">
              <w:t>79.9</w:t>
            </w:r>
          </w:p>
        </w:tc>
        <w:tc>
          <w:tcPr>
            <w:tcW w:w="536" w:type="pct"/>
            <w:noWrap/>
            <w:vAlign w:val="bottom"/>
          </w:tcPr>
          <w:p w:rsidR="00326AD3" w:rsidRPr="00326AD3" w:rsidRDefault="00326AD3" w:rsidP="00246315">
            <w:pPr>
              <w:cnfStyle w:val="000000000000" w:firstRow="0" w:lastRow="0" w:firstColumn="0" w:lastColumn="0" w:oddVBand="0" w:evenVBand="0" w:oddHBand="0" w:evenHBand="0" w:firstRowFirstColumn="0" w:firstRowLastColumn="0" w:lastRowFirstColumn="0" w:lastRowLastColumn="0"/>
            </w:pPr>
            <w:r w:rsidRPr="00326AD3">
              <w:t>87.</w:t>
            </w:r>
            <w:r w:rsidR="00246315">
              <w:t>1</w:t>
            </w:r>
          </w:p>
        </w:tc>
        <w:tc>
          <w:tcPr>
            <w:tcW w:w="536"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pPr>
            <w:r w:rsidRPr="00326AD3">
              <w:t>92.5</w:t>
            </w:r>
          </w:p>
        </w:tc>
        <w:tc>
          <w:tcPr>
            <w:tcW w:w="536"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pPr>
            <w:r w:rsidRPr="00326AD3">
              <w:t>96.4</w:t>
            </w:r>
          </w:p>
        </w:tc>
        <w:tc>
          <w:tcPr>
            <w:tcW w:w="536"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pPr>
            <w:r w:rsidRPr="00326AD3">
              <w:t>103.0</w:t>
            </w:r>
          </w:p>
        </w:tc>
        <w:tc>
          <w:tcPr>
            <w:tcW w:w="536"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pPr>
            <w:r w:rsidRPr="00326AD3">
              <w:t>458.9</w:t>
            </w:r>
          </w:p>
        </w:tc>
      </w:tr>
      <w:tr w:rsidR="00326AD3" w:rsidRPr="00F516A1" w:rsidTr="00D276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326AD3" w:rsidRPr="00326AD3" w:rsidRDefault="00326AD3" w:rsidP="00326AD3">
            <w:r w:rsidRPr="00326AD3">
              <w:rPr>
                <w:rStyle w:val="AERtextitalic"/>
              </w:rPr>
              <w:t>Less</w:t>
            </w:r>
            <w:r w:rsidRPr="00326AD3">
              <w:t>: value of imputation credits</w:t>
            </w:r>
          </w:p>
        </w:tc>
        <w:tc>
          <w:tcPr>
            <w:tcW w:w="536" w:type="pct"/>
            <w:noWrap/>
            <w:vAlign w:val="bottom"/>
          </w:tcPr>
          <w:p w:rsidR="00326AD3" w:rsidRPr="00326AD3" w:rsidRDefault="00326AD3" w:rsidP="00326AD3">
            <w:pPr>
              <w:cnfStyle w:val="000000010000" w:firstRow="0" w:lastRow="0" w:firstColumn="0" w:lastColumn="0" w:oddVBand="0" w:evenVBand="0" w:oddHBand="0" w:evenHBand="1" w:firstRowFirstColumn="0" w:firstRowLastColumn="0" w:lastRowFirstColumn="0" w:lastRowLastColumn="0"/>
            </w:pPr>
            <w:r w:rsidRPr="00326AD3">
              <w:t>32.0</w:t>
            </w:r>
          </w:p>
        </w:tc>
        <w:tc>
          <w:tcPr>
            <w:tcW w:w="536" w:type="pct"/>
            <w:noWrap/>
            <w:vAlign w:val="bottom"/>
          </w:tcPr>
          <w:p w:rsidR="00326AD3" w:rsidRPr="00326AD3" w:rsidRDefault="00326AD3" w:rsidP="00326AD3">
            <w:pPr>
              <w:cnfStyle w:val="000000010000" w:firstRow="0" w:lastRow="0" w:firstColumn="0" w:lastColumn="0" w:oddVBand="0" w:evenVBand="0" w:oddHBand="0" w:evenHBand="1" w:firstRowFirstColumn="0" w:firstRowLastColumn="0" w:lastRowFirstColumn="0" w:lastRowLastColumn="0"/>
            </w:pPr>
            <w:r w:rsidRPr="00326AD3">
              <w:t>34.8</w:t>
            </w:r>
          </w:p>
        </w:tc>
        <w:tc>
          <w:tcPr>
            <w:tcW w:w="536" w:type="pct"/>
            <w:noWrap/>
            <w:vAlign w:val="bottom"/>
          </w:tcPr>
          <w:p w:rsidR="00326AD3" w:rsidRPr="00326AD3" w:rsidRDefault="00326AD3" w:rsidP="00326AD3">
            <w:pPr>
              <w:cnfStyle w:val="000000010000" w:firstRow="0" w:lastRow="0" w:firstColumn="0" w:lastColumn="0" w:oddVBand="0" w:evenVBand="0" w:oddHBand="0" w:evenHBand="1" w:firstRowFirstColumn="0" w:firstRowLastColumn="0" w:lastRowFirstColumn="0" w:lastRowLastColumn="0"/>
            </w:pPr>
            <w:r w:rsidRPr="00326AD3">
              <w:t>37.0</w:t>
            </w:r>
          </w:p>
        </w:tc>
        <w:tc>
          <w:tcPr>
            <w:tcW w:w="536" w:type="pct"/>
            <w:noWrap/>
            <w:vAlign w:val="bottom"/>
          </w:tcPr>
          <w:p w:rsidR="00326AD3" w:rsidRPr="00326AD3" w:rsidRDefault="00326AD3" w:rsidP="00326AD3">
            <w:pPr>
              <w:cnfStyle w:val="000000010000" w:firstRow="0" w:lastRow="0" w:firstColumn="0" w:lastColumn="0" w:oddVBand="0" w:evenVBand="0" w:oddHBand="0" w:evenHBand="1" w:firstRowFirstColumn="0" w:firstRowLastColumn="0" w:lastRowFirstColumn="0" w:lastRowLastColumn="0"/>
            </w:pPr>
            <w:r w:rsidRPr="00326AD3">
              <w:t>38.6</w:t>
            </w:r>
          </w:p>
        </w:tc>
        <w:tc>
          <w:tcPr>
            <w:tcW w:w="536" w:type="pct"/>
            <w:noWrap/>
            <w:vAlign w:val="bottom"/>
          </w:tcPr>
          <w:p w:rsidR="00326AD3" w:rsidRPr="00326AD3" w:rsidRDefault="00326AD3" w:rsidP="00326AD3">
            <w:pPr>
              <w:cnfStyle w:val="000000010000" w:firstRow="0" w:lastRow="0" w:firstColumn="0" w:lastColumn="0" w:oddVBand="0" w:evenVBand="0" w:oddHBand="0" w:evenHBand="1" w:firstRowFirstColumn="0" w:firstRowLastColumn="0" w:lastRowFirstColumn="0" w:lastRowLastColumn="0"/>
            </w:pPr>
            <w:r w:rsidRPr="00326AD3">
              <w:t>41.2</w:t>
            </w:r>
          </w:p>
        </w:tc>
        <w:tc>
          <w:tcPr>
            <w:tcW w:w="536" w:type="pct"/>
            <w:noWrap/>
            <w:vAlign w:val="bottom"/>
          </w:tcPr>
          <w:p w:rsidR="00326AD3" w:rsidRPr="00326AD3" w:rsidRDefault="00326AD3" w:rsidP="00326AD3">
            <w:pPr>
              <w:cnfStyle w:val="000000010000" w:firstRow="0" w:lastRow="0" w:firstColumn="0" w:lastColumn="0" w:oddVBand="0" w:evenVBand="0" w:oddHBand="0" w:evenHBand="1" w:firstRowFirstColumn="0" w:firstRowLastColumn="0" w:lastRowFirstColumn="0" w:lastRowLastColumn="0"/>
            </w:pPr>
            <w:r w:rsidRPr="00326AD3">
              <w:t>183.6</w:t>
            </w:r>
          </w:p>
        </w:tc>
      </w:tr>
      <w:tr w:rsidR="00326AD3" w:rsidRPr="00186632" w:rsidTr="00D27650">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326AD3" w:rsidRPr="00326AD3" w:rsidRDefault="00326AD3" w:rsidP="00326AD3">
            <w:pPr>
              <w:rPr>
                <w:rStyle w:val="Strong"/>
              </w:rPr>
            </w:pPr>
            <w:r w:rsidRPr="00326AD3">
              <w:rPr>
                <w:rStyle w:val="Strong"/>
              </w:rPr>
              <w:t>Corporate income tax allowance</w:t>
            </w:r>
          </w:p>
        </w:tc>
        <w:tc>
          <w:tcPr>
            <w:tcW w:w="536"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48.0</w:t>
            </w:r>
          </w:p>
        </w:tc>
        <w:tc>
          <w:tcPr>
            <w:tcW w:w="536"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52.2</w:t>
            </w:r>
          </w:p>
        </w:tc>
        <w:tc>
          <w:tcPr>
            <w:tcW w:w="536"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55.5</w:t>
            </w:r>
          </w:p>
        </w:tc>
        <w:tc>
          <w:tcPr>
            <w:tcW w:w="536" w:type="pct"/>
            <w:noWrap/>
            <w:vAlign w:val="bottom"/>
          </w:tcPr>
          <w:p w:rsidR="00326AD3" w:rsidRPr="00326AD3" w:rsidRDefault="00326AD3" w:rsidP="007A3171">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57.</w:t>
            </w:r>
            <w:r w:rsidR="007A3171">
              <w:rPr>
                <w:rStyle w:val="Strong"/>
              </w:rPr>
              <w:t>8</w:t>
            </w:r>
          </w:p>
        </w:tc>
        <w:tc>
          <w:tcPr>
            <w:tcW w:w="536" w:type="pct"/>
            <w:noWrap/>
            <w:vAlign w:val="bottom"/>
          </w:tcPr>
          <w:p w:rsidR="00326AD3" w:rsidRPr="00326AD3" w:rsidRDefault="00326AD3" w:rsidP="00326AD3">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61.8</w:t>
            </w:r>
          </w:p>
        </w:tc>
        <w:tc>
          <w:tcPr>
            <w:tcW w:w="536" w:type="pct"/>
            <w:noWrap/>
            <w:vAlign w:val="bottom"/>
          </w:tcPr>
          <w:p w:rsidR="00326AD3" w:rsidRPr="00326AD3" w:rsidRDefault="00326AD3" w:rsidP="00246315">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275.3</w:t>
            </w:r>
          </w:p>
        </w:tc>
      </w:tr>
    </w:tbl>
    <w:p w:rsidR="007B3355" w:rsidRPr="00112BF8" w:rsidRDefault="007B3355" w:rsidP="007B3355">
      <w:pPr>
        <w:pStyle w:val="AERtablesource"/>
      </w:pPr>
      <w:r w:rsidRPr="00112BF8">
        <w:t>Source:</w:t>
      </w:r>
      <w:r w:rsidRPr="00112BF8">
        <w:tab/>
        <w:t>AER analysis.</w:t>
      </w:r>
    </w:p>
    <w:p w:rsidR="00082EA6" w:rsidRDefault="00082EA6" w:rsidP="00082EA6">
      <w:r>
        <w:t>Our final decision</w:t>
      </w:r>
      <w:r w:rsidRPr="00E123FB">
        <w:t xml:space="preserve"> reflects our amendments to some of </w:t>
      </w:r>
      <w:r>
        <w:t>Energex's</w:t>
      </w:r>
      <w:r w:rsidRPr="00E123FB">
        <w:t xml:space="preserve"> </w:t>
      </w:r>
      <w:r>
        <w:t xml:space="preserve">revised </w:t>
      </w:r>
      <w:r w:rsidRPr="00E123FB">
        <w:t xml:space="preserve">proposed inputs for forecasting the cost of corporate income tax such as the opening </w:t>
      </w:r>
      <w:r w:rsidR="007A0129">
        <w:t>tax asset base</w:t>
      </w:r>
      <w:r w:rsidR="007A0129" w:rsidRPr="00E123FB">
        <w:t xml:space="preserve"> </w:t>
      </w:r>
      <w:r w:rsidRPr="00E123FB">
        <w:t>and the remaining tax asset lives</w:t>
      </w:r>
      <w:r>
        <w:t>. It also reflects our final decision on the value of imputation credits</w:t>
      </w:r>
      <w:r w:rsidR="00412B65">
        <w:t xml:space="preserve"> (</w:t>
      </w:r>
      <w:r>
        <w:t>gamma</w:t>
      </w:r>
      <w:r w:rsidR="00412B65">
        <w:t xml:space="preserve">) discussed at </w:t>
      </w:r>
      <w:r>
        <w:t xml:space="preserve">attachment 4. Changes to the building block costs also affect revenue, which in turn impacts the tax calculation. The changes affecting revenue are discussed in attachment 1.  </w:t>
      </w:r>
    </w:p>
    <w:p w:rsidR="007B3355" w:rsidRDefault="007B3355" w:rsidP="007B3355">
      <w:r>
        <w:t xml:space="preserve">Details of our </w:t>
      </w:r>
      <w:r w:rsidR="001C2963">
        <w:t xml:space="preserve">final </w:t>
      </w:r>
      <w:r>
        <w:t>decision on the corporate income tax allowance are set out in attachment 8.</w:t>
      </w:r>
    </w:p>
    <w:p w:rsidR="007B3355" w:rsidRPr="00222367" w:rsidRDefault="007B3355" w:rsidP="007B3355">
      <w:pPr>
        <w:pStyle w:val="Heading1"/>
      </w:pPr>
      <w:bookmarkStart w:id="49" w:name="_Toc417973147"/>
      <w:bookmarkStart w:id="50" w:name="_Toc433723307"/>
      <w:r w:rsidRPr="00222367">
        <w:t>Service classification, control mechanisms and incentive schemes</w:t>
      </w:r>
      <w:bookmarkEnd w:id="49"/>
      <w:bookmarkEnd w:id="50"/>
      <w:r w:rsidRPr="00222367">
        <w:t xml:space="preserve"> </w:t>
      </w:r>
    </w:p>
    <w:p w:rsidR="007B3355" w:rsidRPr="00891DF8" w:rsidRDefault="007B3355" w:rsidP="007B3355">
      <w:r w:rsidRPr="00891DF8">
        <w:t xml:space="preserve">A range of factors, in addition to the building blocks, affect </w:t>
      </w:r>
      <w:r>
        <w:t>Energex's</w:t>
      </w:r>
      <w:r w:rsidRPr="00891DF8">
        <w:t xml:space="preserve"> revenue. These include service classification, control mechanism</w:t>
      </w:r>
      <w:r w:rsidR="00412B65">
        <w:t>s</w:t>
      </w:r>
      <w:r w:rsidR="00FB6BA0">
        <w:t>,</w:t>
      </w:r>
      <w:r w:rsidR="00A607F9" w:rsidRPr="00A607F9">
        <w:t xml:space="preserve"> </w:t>
      </w:r>
      <w:r w:rsidR="00A607F9" w:rsidRPr="00891DF8">
        <w:t>our approach to services charged to individual consumers</w:t>
      </w:r>
      <w:r w:rsidR="00A607F9">
        <w:t xml:space="preserve"> and</w:t>
      </w:r>
      <w:r w:rsidRPr="00891DF8">
        <w:t xml:space="preserve"> incentive schemes to promote efficiency. This section sets out our </w:t>
      </w:r>
      <w:r w:rsidR="00A607F9">
        <w:t>final decisions on</w:t>
      </w:r>
      <w:r w:rsidRPr="00891DF8">
        <w:t xml:space="preserve"> these issues.</w:t>
      </w:r>
    </w:p>
    <w:p w:rsidR="007B3355" w:rsidRPr="00112BF8" w:rsidRDefault="007B3355" w:rsidP="007B3355">
      <w:pPr>
        <w:pStyle w:val="Heading2"/>
      </w:pPr>
      <w:bookmarkStart w:id="51" w:name="_Toc417973148"/>
      <w:bookmarkStart w:id="52" w:name="_Toc433723308"/>
      <w:r w:rsidRPr="00112BF8">
        <w:t>Classification of services and control mechanisms</w:t>
      </w:r>
      <w:bookmarkEnd w:id="51"/>
      <w:bookmarkEnd w:id="52"/>
    </w:p>
    <w:p w:rsidR="007B3355" w:rsidRPr="00112BF8" w:rsidRDefault="007B3355" w:rsidP="007B3355">
      <w:r w:rsidRPr="00112BF8">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w:t>
      </w:r>
      <w:r w:rsidR="001C2963">
        <w:t xml:space="preserve">final </w:t>
      </w:r>
      <w:r w:rsidRPr="00112BF8">
        <w:t xml:space="preserve">decision reflects our assessment of a number of factors, including existing and potential competition to supply these services. </w:t>
      </w:r>
    </w:p>
    <w:p w:rsidR="007B3355" w:rsidRPr="00112BF8" w:rsidRDefault="007B3355" w:rsidP="007B3355">
      <w:r>
        <w:rPr>
          <w:rStyle w:val="AERbody"/>
        </w:rPr>
        <w:t xml:space="preserve">Our </w:t>
      </w:r>
      <w:r w:rsidR="001C2963">
        <w:rPr>
          <w:rStyle w:val="AERbody"/>
        </w:rPr>
        <w:t>final</w:t>
      </w:r>
      <w:r w:rsidRPr="003E7844">
        <w:rPr>
          <w:rStyle w:val="AERbody"/>
        </w:rPr>
        <w:t xml:space="preserve"> decision is to retain the classification s</w:t>
      </w:r>
      <w:r>
        <w:rPr>
          <w:rStyle w:val="AERbody"/>
        </w:rPr>
        <w:t xml:space="preserve">tructure </w:t>
      </w:r>
      <w:r w:rsidR="00B97E80">
        <w:rPr>
          <w:rStyle w:val="AERbody"/>
        </w:rPr>
        <w:t xml:space="preserve">as </w:t>
      </w:r>
      <w:r>
        <w:rPr>
          <w:rStyle w:val="AERbody"/>
        </w:rPr>
        <w:t xml:space="preserve">set out in our </w:t>
      </w:r>
      <w:r w:rsidR="00B97E80">
        <w:rPr>
          <w:rStyle w:val="AERbody"/>
        </w:rPr>
        <w:t>preliminary decision</w:t>
      </w:r>
      <w:r>
        <w:rPr>
          <w:rStyle w:val="AERbody"/>
        </w:rPr>
        <w:t xml:space="preserve">. </w:t>
      </w:r>
      <w:r w:rsidRPr="00112BF8">
        <w:t xml:space="preserve">Figure </w:t>
      </w:r>
      <w:r w:rsidR="00C35ABA">
        <w:t>10</w:t>
      </w:r>
      <w:r>
        <w:t xml:space="preserve"> summarises</w:t>
      </w:r>
      <w:r w:rsidRPr="00112BF8">
        <w:t xml:space="preserve"> our </w:t>
      </w:r>
      <w:r w:rsidR="001C2963">
        <w:t>final</w:t>
      </w:r>
      <w:r w:rsidRPr="00112BF8">
        <w:t xml:space="preserve"> decision on service classifications for the 2015–20 regulatory control period. </w:t>
      </w:r>
    </w:p>
    <w:p w:rsidR="007B3355" w:rsidRPr="00112BF8" w:rsidRDefault="007B3355" w:rsidP="007B3355">
      <w:pPr>
        <w:pStyle w:val="Caption"/>
      </w:pPr>
      <w:r w:rsidRPr="00112BF8">
        <w:t xml:space="preserve">Figure </w:t>
      </w:r>
      <w:r w:rsidR="00C35ABA">
        <w:t>10</w:t>
      </w:r>
      <w:r w:rsidRPr="00112BF8">
        <w:tab/>
        <w:t xml:space="preserve">AER </w:t>
      </w:r>
      <w:r w:rsidR="001C2963">
        <w:t>final</w:t>
      </w:r>
      <w:r w:rsidRPr="00112BF8">
        <w:t xml:space="preserve"> decision on 2015–20 service classifications for Energex</w:t>
      </w:r>
    </w:p>
    <w:p w:rsidR="007B3355" w:rsidRPr="00112BF8" w:rsidRDefault="007B3355" w:rsidP="007B3355">
      <w:pPr>
        <w:pStyle w:val="AERtablesource"/>
      </w:pPr>
      <w:r w:rsidRPr="007B3355">
        <w:rPr>
          <w:noProof/>
          <w:lang w:eastAsia="en-AU"/>
        </w:rPr>
        <w:drawing>
          <wp:inline distT="0" distB="0" distL="0" distR="0" wp14:anchorId="036697F3" wp14:editId="11DFFF33">
            <wp:extent cx="5381625" cy="2952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82895" cy="2953447"/>
                    </a:xfrm>
                    <a:prstGeom prst="rect">
                      <a:avLst/>
                    </a:prstGeom>
                    <a:noFill/>
                    <a:ln>
                      <a:noFill/>
                    </a:ln>
                  </pic:spPr>
                </pic:pic>
              </a:graphicData>
            </a:graphic>
          </wp:inline>
        </w:drawing>
      </w:r>
    </w:p>
    <w:p w:rsidR="007B3355" w:rsidRPr="00112BF8" w:rsidRDefault="007B3355" w:rsidP="007B3355">
      <w:pPr>
        <w:pStyle w:val="AERtablesource"/>
      </w:pPr>
    </w:p>
    <w:p w:rsidR="007B3355" w:rsidRDefault="007B3355" w:rsidP="007B3355">
      <w:pPr>
        <w:pStyle w:val="AERtablesource"/>
      </w:pPr>
      <w:r w:rsidRPr="00112BF8">
        <w:t>Source: AER.</w:t>
      </w:r>
    </w:p>
    <w:p w:rsidR="007B3355" w:rsidRDefault="00B97E80" w:rsidP="007B3355">
      <w:pPr>
        <w:numPr>
          <w:ilvl w:val="0"/>
          <w:numId w:val="25"/>
        </w:numPr>
      </w:pPr>
      <w:r>
        <w:rPr>
          <w:rStyle w:val="AERbody"/>
        </w:rPr>
        <w:t>Consistent with our preliminary decision and final framework and approach (F&amp;A)</w:t>
      </w:r>
      <w:r w:rsidR="007B3355">
        <w:rPr>
          <w:rStyle w:val="AERbody"/>
        </w:rPr>
        <w:t>,</w:t>
      </w:r>
      <w:r>
        <w:rPr>
          <w:rStyle w:val="FootnoteReference"/>
        </w:rPr>
        <w:footnoteReference w:id="52"/>
      </w:r>
      <w:r w:rsidR="007B3355">
        <w:rPr>
          <w:rStyle w:val="AERbody"/>
        </w:rPr>
        <w:t xml:space="preserve"> Energex will be subject to a 'revenue cap' form of control for standard control services over the </w:t>
      </w:r>
      <w:r w:rsidR="00A607F9">
        <w:rPr>
          <w:rStyle w:val="AERbody"/>
        </w:rPr>
        <w:t>2015</w:t>
      </w:r>
      <w:r w:rsidR="00A607F9">
        <w:rPr>
          <w:rStyle w:val="AERbody"/>
          <w:rFonts w:cs="Arial"/>
        </w:rPr>
        <w:t>─</w:t>
      </w:r>
      <w:r w:rsidR="00A607F9">
        <w:rPr>
          <w:rStyle w:val="AERbody"/>
        </w:rPr>
        <w:t xml:space="preserve">20 </w:t>
      </w:r>
      <w:r w:rsidR="007B3355">
        <w:rPr>
          <w:rStyle w:val="AERbody"/>
        </w:rPr>
        <w:t xml:space="preserve">regulatory control period. </w:t>
      </w:r>
      <w:r w:rsidR="007B3355" w:rsidRPr="00112BF8">
        <w:t>The control mechanism (</w:t>
      </w:r>
      <w:r w:rsidR="007B3355">
        <w:t>which describes how the revenue will vary from year to year</w:t>
      </w:r>
      <w:r w:rsidR="007B3355" w:rsidRPr="00112BF8">
        <w:t xml:space="preserve">) </w:t>
      </w:r>
      <w:r w:rsidR="007B3355">
        <w:t xml:space="preserve">is discussed in attachments 14 and 16. The control mechanism for standard control services is described in mathematical terms and reflects all possible adjustments that might be made to the revenue cap. </w:t>
      </w:r>
    </w:p>
    <w:p w:rsidR="007B3355" w:rsidRDefault="007B3355" w:rsidP="007B3355">
      <w:pPr>
        <w:pStyle w:val="Heading2"/>
      </w:pPr>
      <w:bookmarkStart w:id="53" w:name="_Toc417973149"/>
      <w:bookmarkStart w:id="54" w:name="_Toc433723309"/>
      <w:r w:rsidRPr="00112BF8">
        <w:t>Alternative control services</w:t>
      </w:r>
      <w:bookmarkEnd w:id="53"/>
      <w:bookmarkEnd w:id="54"/>
    </w:p>
    <w:p w:rsidR="00A92C50" w:rsidRPr="00A92C50" w:rsidRDefault="00A92C50" w:rsidP="00A92C50">
      <w:r w:rsidRPr="00A92C50">
        <w:t xml:space="preserve">Alternative control services do not form part of Energex's revenue cap. Rather, the prices of these services are set individually. Our final decision is to maintain the approach adopted in our preliminary decision, that the form of control mechanism to apply to Energex's alternative control services will be price caps. Energex must demonstrate compliance with the control mechanism through an annual pricing proposal. </w:t>
      </w:r>
    </w:p>
    <w:p w:rsidR="00A92C50" w:rsidRPr="00A92C50" w:rsidRDefault="00A92C50" w:rsidP="00A92C50">
      <w:r w:rsidRPr="00A92C50">
        <w:t>Our final decision approves a structure of metering charges which has a capital and non–capital component. This “two–part tariff” gives effect to a regulatory regime that is robust enough to transition to competition. In accordance with an AEMC draft determination and draft rule, competition in metering and related services is scheduled to occur on 1 July 2017.</w:t>
      </w:r>
      <w:r w:rsidRPr="00A92C50">
        <w:rPr>
          <w:rStyle w:val="FootnoteReference"/>
        </w:rPr>
        <w:footnoteReference w:id="53"/>
      </w:r>
      <w:r w:rsidRPr="00A92C50">
        <w:t xml:space="preserve"> </w:t>
      </w:r>
    </w:p>
    <w:p w:rsidR="00A92C50" w:rsidRPr="00A92C50" w:rsidRDefault="00A92C50" w:rsidP="00A92C50">
      <w:r w:rsidRPr="00A92C50">
        <w:t xml:space="preserve">The approved two part tariff structure is largely unchanged from our preliminary decision. This is with the exception of a reallocation of Energex’s recovery of its tax liability costs, from the non–capital to the capital component. For more information about the approved structure of metering charges refer to </w:t>
      </w:r>
      <w:r w:rsidR="00412B65">
        <w:t>a</w:t>
      </w:r>
      <w:r w:rsidRPr="00A92C50">
        <w:t>ttachment 16 (</w:t>
      </w:r>
      <w:r w:rsidR="00412B65">
        <w:t>a</w:t>
      </w:r>
      <w:r w:rsidRPr="00A92C50">
        <w:t>ppendix B).</w:t>
      </w:r>
    </w:p>
    <w:p w:rsidR="007B3355" w:rsidRPr="00112BF8" w:rsidRDefault="007B3355" w:rsidP="007B3355">
      <w:pPr>
        <w:pStyle w:val="Heading2"/>
      </w:pPr>
      <w:bookmarkStart w:id="55" w:name="_Toc417973150"/>
      <w:bookmarkStart w:id="56" w:name="_Toc433723310"/>
      <w:r w:rsidRPr="00112BF8">
        <w:t>Incentive schemes</w:t>
      </w:r>
      <w:bookmarkEnd w:id="55"/>
      <w:bookmarkEnd w:id="56"/>
    </w:p>
    <w:p w:rsidR="007B3355" w:rsidRPr="00AA082F" w:rsidRDefault="007B3355" w:rsidP="007B3355">
      <w:r w:rsidRPr="00AA082F">
        <w:t xml:space="preserve">Incentive schemes are a component of incentive-based regulation and complement our approach to assessing efficient costs. The incentive schemes </w:t>
      </w:r>
      <w:r>
        <w:t xml:space="preserve">that will apply to Energex </w:t>
      </w:r>
      <w:r w:rsidRPr="00AA082F">
        <w:t>are</w:t>
      </w:r>
      <w:r w:rsidR="00412B65">
        <w:t xml:space="preserve"> the</w:t>
      </w:r>
      <w:r w:rsidRPr="00AA082F">
        <w:t>:</w:t>
      </w:r>
    </w:p>
    <w:p w:rsidR="007B3355" w:rsidRPr="00112BF8" w:rsidRDefault="007B3355" w:rsidP="007B3355">
      <w:pPr>
        <w:pStyle w:val="AERbulletlistfirststyle"/>
      </w:pPr>
      <w:r w:rsidRPr="00112BF8">
        <w:t>efficiency benefit sharing scheme (EBSS)</w:t>
      </w:r>
    </w:p>
    <w:p w:rsidR="007B3355" w:rsidRPr="00112BF8" w:rsidRDefault="007B3355" w:rsidP="007B3355">
      <w:pPr>
        <w:pStyle w:val="AERbulletlistfirststyle"/>
      </w:pPr>
      <w:r w:rsidRPr="00112BF8">
        <w:t>capital expenditure sharing scheme (CESS)</w:t>
      </w:r>
    </w:p>
    <w:p w:rsidR="007B3355" w:rsidRPr="00112BF8" w:rsidRDefault="007B3355" w:rsidP="007B3355">
      <w:pPr>
        <w:pStyle w:val="AERbulletlistfirststyle"/>
      </w:pPr>
      <w:r w:rsidRPr="00112BF8">
        <w:t>service target performance incentive scheme (STPIS)</w:t>
      </w:r>
    </w:p>
    <w:p w:rsidR="007B3355" w:rsidRDefault="007B3355" w:rsidP="007B3355">
      <w:pPr>
        <w:pStyle w:val="AERbulletlistfirststyle"/>
      </w:pPr>
      <w:r w:rsidRPr="00112BF8">
        <w:t>demand management incentive scheme (DMIS).</w:t>
      </w:r>
    </w:p>
    <w:p w:rsidR="009D59AF" w:rsidRPr="00112BF8" w:rsidRDefault="009D59AF" w:rsidP="00A92C50">
      <w:r w:rsidRPr="009D59AF">
        <w:t>Our incentive schemes encourage network businesses to make efficient decisions. They give network businesses an incentive to pursue efficiency improvements in opex and capex, and to share them with consumers.</w:t>
      </w:r>
      <w:r>
        <w:t xml:space="preserve"> </w:t>
      </w:r>
      <w:r w:rsidRPr="009D59AF">
        <w:t>Incentives for opex and capex are balanced (</w:t>
      </w:r>
      <w:r w:rsidR="00F24687">
        <w:t xml:space="preserve">approximately </w:t>
      </w:r>
      <w:r w:rsidRPr="009D59AF">
        <w:t xml:space="preserve">30 per cent) and constant. They are also balanced with the incentives under our service target performance incentive scheme. This encourages businesses to make efficient decisions on when and what type of expenditure to incur, in order to meet </w:t>
      </w:r>
      <w:r w:rsidR="00D82CE6">
        <w:t xml:space="preserve">or exceed </w:t>
      </w:r>
      <w:r w:rsidRPr="009D59AF">
        <w:t>service reliability targets.</w:t>
      </w:r>
    </w:p>
    <w:p w:rsidR="007B3355" w:rsidRPr="00112BF8" w:rsidRDefault="007B3355" w:rsidP="007B3355">
      <w:pPr>
        <w:pStyle w:val="Heading3"/>
      </w:pPr>
      <w:bookmarkStart w:id="57" w:name="_Toc417973151"/>
      <w:bookmarkStart w:id="58" w:name="_Toc433723311"/>
      <w:r w:rsidRPr="00112BF8">
        <w:t>Efficiency benefit sharing scheme</w:t>
      </w:r>
      <w:bookmarkEnd w:id="57"/>
      <w:bookmarkEnd w:id="58"/>
    </w:p>
    <w:p w:rsidR="007B3355" w:rsidRDefault="007B3355" w:rsidP="007B3355">
      <w:pPr>
        <w:numPr>
          <w:ilvl w:val="0"/>
          <w:numId w:val="25"/>
        </w:numPr>
        <w:rPr>
          <w:rStyle w:val="AERbody"/>
        </w:rPr>
      </w:pPr>
      <w:r w:rsidRPr="00112BF8">
        <w:rPr>
          <w:rStyle w:val="AERbody"/>
        </w:rPr>
        <w:t xml:space="preserve">The EBSS provides an additional incentive for service providers to pursue efficiency improvements in opex. </w:t>
      </w:r>
    </w:p>
    <w:p w:rsidR="007B3355" w:rsidRDefault="007B3355" w:rsidP="007B3355">
      <w:r>
        <w:t xml:space="preserve">As opex is largely recurrent and predictable, opex in one period is often a good indicator of opex in the next period (step changes provide for increases where this is not the case). Where a service provider is relatively efficient, we use the actual opex it incurred in a chosen base year of the regulatory control period to forecast opex for the next regulatory control period. We call this the 'revealed cost approach'. </w:t>
      </w:r>
    </w:p>
    <w:p w:rsidR="00F24687" w:rsidRDefault="007B3355" w:rsidP="00F24687">
      <w:r>
        <w:t>To encourage a distributor to become more efficient during the regulatory control period it is allowed to keep any difference between its approved forecast and its actual opex during a regulatory control period. This is supplemented by the EBSS which allows the distributor to retain efficiency savings and efficiency losses for a longer period of time.</w:t>
      </w:r>
      <w:r w:rsidR="00D82CE6">
        <w:rPr>
          <w:rStyle w:val="FootnoteReference"/>
        </w:rPr>
        <w:footnoteReference w:id="54"/>
      </w:r>
      <w:r>
        <w:t xml:space="preserve"> In total these rewards and penalties work together to provide a continuous incentive for a service provider to pursue efficiency gains over the regulatory control period. </w:t>
      </w:r>
      <w:r w:rsidR="00F24687" w:rsidRPr="00F24687">
        <w:t xml:space="preserve">The combined effect of our revealed cost forecasting approach and the EBSS is that opex efficiency savings or losses are shared approximately 30:70 between the network businesses and consumers. For example, for a one dollar saving in opex the network business gets 30 cents of the benefit while consumers get 70 cents of the benefit. </w:t>
      </w:r>
    </w:p>
    <w:p w:rsidR="007B3355" w:rsidRPr="00E105E6" w:rsidRDefault="007B3355" w:rsidP="00F24687">
      <w:r>
        <w:t>The EBSS also discourages a distributor from incurring opex in the expected base year in order to receive a higher opex allowance in the following regulatory control period.</w:t>
      </w:r>
      <w:r>
        <w:rPr>
          <w:rStyle w:val="FootnoteReference"/>
        </w:rPr>
        <w:footnoteReference w:id="55"/>
      </w:r>
    </w:p>
    <w:p w:rsidR="00A04BDC" w:rsidRDefault="00A04BDC" w:rsidP="00A04BDC">
      <w:r>
        <w:t xml:space="preserve">Our final decision is that </w:t>
      </w:r>
      <w:r>
        <w:rPr>
          <w:rStyle w:val="AERbody"/>
        </w:rPr>
        <w:t>w</w:t>
      </w:r>
      <w:r w:rsidRPr="000B7096">
        <w:rPr>
          <w:rStyle w:val="AERbody"/>
        </w:rPr>
        <w:t xml:space="preserve">e will not apply the EBSS carryover </w:t>
      </w:r>
      <w:r>
        <w:rPr>
          <w:rStyle w:val="AERbody"/>
        </w:rPr>
        <w:t xml:space="preserve">penalty </w:t>
      </w:r>
      <w:r w:rsidRPr="000B7096">
        <w:rPr>
          <w:rStyle w:val="AERbody"/>
        </w:rPr>
        <w:t>to Energex from the 2010–15 regulatory control period</w:t>
      </w:r>
      <w:r>
        <w:rPr>
          <w:rStyle w:val="AERbody"/>
        </w:rPr>
        <w:t xml:space="preserve"> and w</w:t>
      </w:r>
      <w:r w:rsidRPr="000B7096">
        <w:rPr>
          <w:rStyle w:val="AERbody"/>
        </w:rPr>
        <w:t xml:space="preserve">e will apply version two of the EBSS to Energex in the 2015–20 regulatory control period as outlined in </w:t>
      </w:r>
      <w:r>
        <w:t>attachment 9.</w:t>
      </w:r>
      <w:r>
        <w:rPr>
          <w:rStyle w:val="FootnoteReference"/>
        </w:rPr>
        <w:footnoteReference w:id="56"/>
      </w:r>
      <w:r>
        <w:t xml:space="preserve"> Both these decisions are consistent with our preliminary decision and Energex’s revised proposal.</w:t>
      </w:r>
    </w:p>
    <w:p w:rsidR="007B3355" w:rsidRPr="00112BF8" w:rsidRDefault="007B3355" w:rsidP="007B3355">
      <w:pPr>
        <w:pStyle w:val="Heading3"/>
      </w:pPr>
      <w:bookmarkStart w:id="59" w:name="_Toc417973152"/>
      <w:bookmarkStart w:id="60" w:name="_Toc433723312"/>
      <w:r w:rsidRPr="00112BF8">
        <w:t>Capital expenditure sharing scheme</w:t>
      </w:r>
      <w:bookmarkEnd w:id="59"/>
      <w:bookmarkEnd w:id="60"/>
    </w:p>
    <w:p w:rsidR="00C323B5" w:rsidRPr="00C323B5" w:rsidRDefault="00C323B5" w:rsidP="00C323B5">
      <w:r w:rsidRPr="00C323B5">
        <w:t xml:space="preserve">The CESS provides a network service provider with the same reward for an efficiency saving and same penalty for an efficiency loss regardless of which year they make the saving or loss. Consumers benefit from improved efficiency through lower regulated prices. </w:t>
      </w:r>
    </w:p>
    <w:p w:rsidR="00C323B5" w:rsidRPr="00C323B5" w:rsidRDefault="00C323B5" w:rsidP="00C323B5">
      <w:r w:rsidRPr="00C323B5">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C323B5" w:rsidRDefault="00C323B5" w:rsidP="00C323B5">
      <w:r w:rsidRPr="00C323B5">
        <w:t>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p>
    <w:p w:rsidR="007B3355" w:rsidRPr="00112BF8" w:rsidRDefault="00391D7C" w:rsidP="00C323B5">
      <w:r>
        <w:t>Our final decision, consistent with our preliminary decision, is to</w:t>
      </w:r>
      <w:r w:rsidR="007B3355" w:rsidRPr="00112BF8">
        <w:t xml:space="preserve"> apply version 1 of the CESS</w:t>
      </w:r>
      <w:r w:rsidR="002507E5">
        <w:t>,</w:t>
      </w:r>
      <w:r w:rsidR="007B3355" w:rsidRPr="00112BF8">
        <w:t xml:space="preserve"> as set out the </w:t>
      </w:r>
      <w:r w:rsidR="007B3355">
        <w:t>C</w:t>
      </w:r>
      <w:r w:rsidR="007B3355" w:rsidRPr="00112BF8">
        <w:t xml:space="preserve">apital </w:t>
      </w:r>
      <w:r w:rsidR="007B3355">
        <w:t>E</w:t>
      </w:r>
      <w:r w:rsidR="007B3355" w:rsidRPr="00112BF8">
        <w:t xml:space="preserve">xpenditure </w:t>
      </w:r>
      <w:r w:rsidR="007B3355">
        <w:t>I</w:t>
      </w:r>
      <w:r w:rsidR="007B3355" w:rsidRPr="00112BF8">
        <w:t xml:space="preserve">ncentives </w:t>
      </w:r>
      <w:r w:rsidR="007B3355">
        <w:t>G</w:t>
      </w:r>
      <w:r w:rsidR="007B3355" w:rsidRPr="00112BF8">
        <w:t>uideline</w:t>
      </w:r>
      <w:r w:rsidR="002507E5">
        <w:t>,</w:t>
      </w:r>
      <w:r w:rsidR="007B3355" w:rsidRPr="00112BF8">
        <w:t xml:space="preserve"> to Energex in the 201</w:t>
      </w:r>
      <w:r w:rsidR="007B3355">
        <w:t xml:space="preserve">5–20 regulatory control period as Energex </w:t>
      </w:r>
      <w:r w:rsidR="00A607F9">
        <w:t xml:space="preserve">initially </w:t>
      </w:r>
      <w:r w:rsidR="007B3355">
        <w:t>proposed.</w:t>
      </w:r>
      <w:r w:rsidR="007B3355" w:rsidRPr="0026327F">
        <w:rPr>
          <w:rStyle w:val="AERsuperscript"/>
        </w:rPr>
        <w:footnoteReference w:id="57"/>
      </w:r>
      <w:r w:rsidR="007B3355">
        <w:t xml:space="preserve"> </w:t>
      </w:r>
      <w:r>
        <w:t>Energex accepted our preliminary decision on this issue.</w:t>
      </w:r>
      <w:r>
        <w:rPr>
          <w:rStyle w:val="FootnoteReference"/>
        </w:rPr>
        <w:footnoteReference w:id="58"/>
      </w:r>
      <w:r>
        <w:t xml:space="preserve"> </w:t>
      </w:r>
      <w:r w:rsidR="007B3355">
        <w:t xml:space="preserve">Attachment 10 sets out our reasons for our </w:t>
      </w:r>
      <w:r w:rsidR="00233503">
        <w:t>final</w:t>
      </w:r>
      <w:r w:rsidR="007B3355">
        <w:t xml:space="preserve"> decision on CESS. </w:t>
      </w:r>
    </w:p>
    <w:p w:rsidR="007B3355" w:rsidRPr="00112BF8" w:rsidRDefault="007B3355" w:rsidP="007B3355">
      <w:pPr>
        <w:pStyle w:val="Heading3"/>
      </w:pPr>
      <w:bookmarkStart w:id="61" w:name="_Toc417973153"/>
      <w:bookmarkStart w:id="62" w:name="_Toc433723313"/>
      <w:r w:rsidRPr="00112BF8">
        <w:t>Service target performance incentive scheme (STPIS)</w:t>
      </w:r>
      <w:bookmarkEnd w:id="61"/>
      <w:bookmarkEnd w:id="62"/>
    </w:p>
    <w:p w:rsidR="00412B65" w:rsidRPr="006E5A4D" w:rsidRDefault="00412B65" w:rsidP="00412B65">
      <w:pPr>
        <w:numPr>
          <w:ilvl w:val="0"/>
          <w:numId w:val="25"/>
        </w:numPr>
      </w:pPr>
      <w:r>
        <w:t>Consistent with our preliminary decision, our final decision is to apply the service standards component (the s-factor) of our national</w:t>
      </w:r>
      <w:r w:rsidRPr="0035295E">
        <w:t xml:space="preserve"> STPIS to </w:t>
      </w:r>
      <w:r>
        <w:t xml:space="preserve">Energex for the 2015–20 regulatory control period. </w:t>
      </w:r>
      <w:r w:rsidRPr="006E5A4D">
        <w:t xml:space="preserve">We will not apply the </w:t>
      </w:r>
      <w:r>
        <w:t>guarantee service level (</w:t>
      </w:r>
      <w:r w:rsidRPr="006E5A4D">
        <w:t>GSL</w:t>
      </w:r>
      <w:r>
        <w:t>)</w:t>
      </w:r>
      <w:r w:rsidRPr="006E5A4D">
        <w:t xml:space="preserve"> component to </w:t>
      </w:r>
      <w:r>
        <w:t>Energex</w:t>
      </w:r>
      <w:r w:rsidRPr="006E5A4D">
        <w:t xml:space="preserve"> as the existing </w:t>
      </w:r>
      <w:r>
        <w:t>Queensland</w:t>
      </w:r>
      <w:r w:rsidRPr="006E5A4D">
        <w:t xml:space="preserve"> arrangements will continue to apply.</w:t>
      </w:r>
      <w:r>
        <w:t xml:space="preserve"> </w:t>
      </w:r>
      <w:r w:rsidRPr="006E5A4D">
        <w:t xml:space="preserve">We </w:t>
      </w:r>
      <w:r>
        <w:t>accepted</w:t>
      </w:r>
      <w:r w:rsidRPr="006E5A4D">
        <w:t xml:space="preserve"> Energex's proposal to cap revenue at risk under the scheme at </w:t>
      </w:r>
      <w:r w:rsidR="000E159F">
        <w:br/>
      </w:r>
      <w:r w:rsidRPr="006E5A4D">
        <w:t>±2</w:t>
      </w:r>
      <w:r w:rsidR="000E159F">
        <w:t>.0</w:t>
      </w:r>
      <w:r w:rsidRPr="006E5A4D">
        <w:t xml:space="preserve"> per cent</w:t>
      </w:r>
      <w:r>
        <w:t xml:space="preserve"> in our preliminary decision</w:t>
      </w:r>
      <w:r w:rsidRPr="006E5A4D">
        <w:t>.</w:t>
      </w:r>
      <w:r>
        <w:rPr>
          <w:rStyle w:val="FootnoteReference"/>
        </w:rPr>
        <w:footnoteReference w:id="59"/>
      </w:r>
      <w:r w:rsidRPr="006E5A4D">
        <w:t xml:space="preserve"> </w:t>
      </w:r>
    </w:p>
    <w:p w:rsidR="00412B65" w:rsidRDefault="00412B65" w:rsidP="00412B65">
      <w:pPr>
        <w:rPr>
          <w:rStyle w:val="AERbody"/>
        </w:rPr>
      </w:pPr>
      <w:r w:rsidRPr="006E5A4D">
        <w:t xml:space="preserve">The national STPIS is intended to balance the incentives to reduce expenditure with the need to maintain or improve service quality. It achieves this by providing </w:t>
      </w:r>
      <w:r>
        <w:t xml:space="preserve">appropriate </w:t>
      </w:r>
      <w:r w:rsidRPr="006E5A4D">
        <w:t>financial incentives to distributors to maintain and improve service performance (</w:t>
      </w:r>
      <w:r>
        <w:t xml:space="preserve">at the level </w:t>
      </w:r>
      <w:r w:rsidRPr="006E5A4D">
        <w:t>where customers are willing to pay for these improvements).</w:t>
      </w:r>
      <w:r w:rsidRPr="006E5A4D">
        <w:rPr>
          <w:rStyle w:val="FootnoteReference"/>
        </w:rPr>
        <w:footnoteReference w:id="60"/>
      </w:r>
      <w:r w:rsidRPr="006E5A4D">
        <w:t xml:space="preserve"> Hence, t</w:t>
      </w:r>
      <w:r w:rsidRPr="006E5A4D">
        <w:rPr>
          <w:rStyle w:val="AERbody"/>
        </w:rPr>
        <w:t>he STPIS also provides an incentive for distributors to invest in further reliability improvements (via additional capex or opex) where customers are willing to pay for it. Conversely, the STPIS penalises distributors where they let reliability deteriorate</w:t>
      </w:r>
      <w:r>
        <w:rPr>
          <w:rStyle w:val="AERbody"/>
        </w:rPr>
        <w:t xml:space="preserve"> beyond the acceptable level valued by customers</w:t>
      </w:r>
      <w:r w:rsidRPr="006E5A4D">
        <w:rPr>
          <w:rStyle w:val="AERbody"/>
        </w:rPr>
        <w:t xml:space="preserve">. Importantly, the distributor will only receive a financial reward after actual improvements are delivered to the customers. </w:t>
      </w:r>
    </w:p>
    <w:p w:rsidR="00412B65" w:rsidRPr="006E5A4D" w:rsidRDefault="00412B65" w:rsidP="00412B65">
      <w:pPr>
        <w:rPr>
          <w:rStyle w:val="AERbody"/>
        </w:rPr>
      </w:pPr>
      <w:r>
        <w:rPr>
          <w:rStyle w:val="AERbody"/>
        </w:rPr>
        <w:t>D</w:t>
      </w:r>
      <w:r w:rsidRPr="00214889">
        <w:rPr>
          <w:rStyle w:val="AERbody"/>
        </w:rPr>
        <w:t xml:space="preserve">istributors can only retain their rewards for sustained and continuous improvements </w:t>
      </w:r>
      <w:r>
        <w:rPr>
          <w:rStyle w:val="AERbody"/>
        </w:rPr>
        <w:t>to the reliability of supply to customer</w:t>
      </w:r>
      <w:r w:rsidRPr="00214889">
        <w:rPr>
          <w:rStyle w:val="AERbody"/>
        </w:rPr>
        <w:t>. Once improvements are made, the benchmark</w:t>
      </w:r>
      <w:r>
        <w:rPr>
          <w:rStyle w:val="AERbody"/>
        </w:rPr>
        <w:t xml:space="preserve"> performance</w:t>
      </w:r>
      <w:r w:rsidRPr="00214889">
        <w:rPr>
          <w:rStyle w:val="AERbody"/>
        </w:rPr>
        <w:t xml:space="preserve"> targets will be tightened in future years.</w:t>
      </w:r>
    </w:p>
    <w:p w:rsidR="00412B65" w:rsidRPr="006E5A4D" w:rsidRDefault="00412B65" w:rsidP="00412B65">
      <w:pPr>
        <w:rPr>
          <w:rStyle w:val="AERbody"/>
        </w:rPr>
      </w:pPr>
      <w:r w:rsidRPr="005D23BE">
        <w:rPr>
          <w:rStyle w:val="AERbody"/>
        </w:rPr>
        <w:t xml:space="preserve">In conjunction with the EBSS and CESS, the STPIS will ensure that: </w:t>
      </w:r>
    </w:p>
    <w:p w:rsidR="00412B65" w:rsidRPr="006E5A4D" w:rsidRDefault="00412B65" w:rsidP="00412B65">
      <w:pPr>
        <w:pStyle w:val="AERbulletlistfirststyle"/>
        <w:rPr>
          <w:rStyle w:val="AERbody"/>
        </w:rPr>
      </w:pPr>
      <w:r w:rsidRPr="006E5A4D">
        <w:rPr>
          <w:rStyle w:val="AERbody"/>
        </w:rPr>
        <w:t>any additional investments to improve reliability are based on prudent economic decisions</w:t>
      </w:r>
    </w:p>
    <w:p w:rsidR="00412B65" w:rsidRPr="006E5A4D" w:rsidRDefault="00412B65" w:rsidP="00412B65">
      <w:pPr>
        <w:pStyle w:val="AERbulletlistfirststyle"/>
        <w:rPr>
          <w:rStyle w:val="AERbody"/>
        </w:rPr>
      </w:pPr>
      <w:r w:rsidRPr="006E5A4D">
        <w:rPr>
          <w:rStyle w:val="AERbody"/>
        </w:rPr>
        <w:t>reductions in capex are achieved efficiently, rather than at the expense of service levels to customers.</w:t>
      </w:r>
    </w:p>
    <w:p w:rsidR="00412B65" w:rsidRPr="006E5A4D" w:rsidRDefault="00412B65" w:rsidP="00412B65">
      <w:pPr>
        <w:numPr>
          <w:ilvl w:val="0"/>
          <w:numId w:val="25"/>
        </w:numPr>
      </w:pPr>
      <w:r w:rsidRPr="006E5A4D">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7B3355" w:rsidRDefault="007B3355" w:rsidP="007B3355">
      <w:pPr>
        <w:numPr>
          <w:ilvl w:val="0"/>
          <w:numId w:val="25"/>
        </w:numPr>
        <w:rPr>
          <w:rStyle w:val="AERbody"/>
        </w:rPr>
      </w:pPr>
      <w:r>
        <w:rPr>
          <w:rStyle w:val="AERbody"/>
        </w:rPr>
        <w:t xml:space="preserve">Attachment 11 sets out our </w:t>
      </w:r>
      <w:r w:rsidR="00233503">
        <w:rPr>
          <w:rStyle w:val="AERbody"/>
        </w:rPr>
        <w:t>final</w:t>
      </w:r>
      <w:r>
        <w:rPr>
          <w:rStyle w:val="AERbody"/>
        </w:rPr>
        <w:t xml:space="preserve"> decision on Energex's service component parameter values. </w:t>
      </w:r>
    </w:p>
    <w:p w:rsidR="007B3355" w:rsidRPr="00112BF8" w:rsidRDefault="007B3355" w:rsidP="007B3355">
      <w:pPr>
        <w:pStyle w:val="Heading3"/>
      </w:pPr>
      <w:bookmarkStart w:id="63" w:name="_Toc417973154"/>
      <w:bookmarkStart w:id="64" w:name="_Toc433723314"/>
      <w:r w:rsidRPr="00112BF8">
        <w:t>Demand management incentive scheme</w:t>
      </w:r>
      <w:bookmarkEnd w:id="63"/>
      <w:bookmarkEnd w:id="64"/>
    </w:p>
    <w:p w:rsidR="007B3355" w:rsidRPr="00112BF8" w:rsidRDefault="007B3355" w:rsidP="007B3355">
      <w:pPr>
        <w:numPr>
          <w:ilvl w:val="0"/>
          <w:numId w:val="25"/>
        </w:numPr>
      </w:pPr>
      <w:r w:rsidRPr="00112BF8">
        <w:t>The DMIS includes a demand management innovation allowance (DMIA). The DMIA is a capped allowance for distributors to investigate and conduct broad based and/or peak demand management projects.</w:t>
      </w:r>
    </w:p>
    <w:p w:rsidR="007B3355" w:rsidRDefault="007B3355" w:rsidP="007B3355">
      <w:r w:rsidRPr="00112BF8">
        <w:t xml:space="preserve">We have determined to continue Part A of the </w:t>
      </w:r>
      <w:r w:rsidR="008712FA">
        <w:t>DMIS for</w:t>
      </w:r>
      <w:r w:rsidRPr="00854231">
        <w:t xml:space="preserve"> Energex</w:t>
      </w:r>
      <w:r>
        <w:t xml:space="preserve"> in the 2015–20</w:t>
      </w:r>
      <w:r w:rsidRPr="00112BF8">
        <w:t xml:space="preserve"> regulatory control period</w:t>
      </w:r>
      <w:r w:rsidR="008712FA">
        <w:t xml:space="preserve"> (that is, the DMIA component)</w:t>
      </w:r>
      <w:r w:rsidRPr="00112BF8">
        <w:t xml:space="preserve">. This is consistent with </w:t>
      </w:r>
      <w:r w:rsidR="00391D7C">
        <w:t>our preliminary decision</w:t>
      </w:r>
      <w:r w:rsidRPr="00112BF8">
        <w:t>.</w:t>
      </w:r>
      <w:r w:rsidR="008712FA" w:rsidRPr="00B307CC">
        <w:rPr>
          <w:rStyle w:val="FootnoteReference"/>
        </w:rPr>
        <w:footnoteReference w:id="61"/>
      </w:r>
      <w:r w:rsidR="00391D7C">
        <w:t xml:space="preserve"> Energex accepted our preliminary decision on this issue.</w:t>
      </w:r>
      <w:r w:rsidR="00391D7C">
        <w:rPr>
          <w:rStyle w:val="FootnoteReference"/>
        </w:rPr>
        <w:footnoteReference w:id="62"/>
      </w:r>
      <w:r w:rsidRPr="00112BF8">
        <w:t xml:space="preserve"> </w:t>
      </w:r>
    </w:p>
    <w:p w:rsidR="007B3355" w:rsidRDefault="008712FA" w:rsidP="007B3355">
      <w:r>
        <w:t>The current innovation allowance amount of $1 million ($2014</w:t>
      </w:r>
      <w:r w:rsidR="00324442">
        <w:rPr>
          <w:rFonts w:cs="Arial"/>
        </w:rPr>
        <w:t>─</w:t>
      </w:r>
      <w:r>
        <w:t xml:space="preserve">15) </w:t>
      </w:r>
      <w:r w:rsidR="007B3355" w:rsidRPr="00112BF8">
        <w:t xml:space="preserve">per annum </w:t>
      </w:r>
      <w:r>
        <w:t xml:space="preserve">will continue </w:t>
      </w:r>
      <w:r w:rsidR="007B3355" w:rsidRPr="00112BF8">
        <w:t xml:space="preserve">in the 2015–20 regulatory </w:t>
      </w:r>
      <w:r w:rsidR="007B3355">
        <w:t xml:space="preserve">control </w:t>
      </w:r>
      <w:r w:rsidR="007B3355" w:rsidRPr="00112BF8">
        <w:t>period.</w:t>
      </w:r>
    </w:p>
    <w:p w:rsidR="008712FA" w:rsidRDefault="008712FA" w:rsidP="007B3355">
      <w:r>
        <w:t xml:space="preserve">Attachment 12 sets out our </w:t>
      </w:r>
      <w:r w:rsidR="003F4E82">
        <w:t>final</w:t>
      </w:r>
      <w:r>
        <w:t xml:space="preserve"> decision on Energex's DMIS.</w:t>
      </w:r>
    </w:p>
    <w:p w:rsidR="007B3355" w:rsidRDefault="00170478" w:rsidP="007B3355">
      <w:pPr>
        <w:pStyle w:val="Heading1"/>
      </w:pPr>
      <w:bookmarkStart w:id="65" w:name="_Toc433723315"/>
      <w:r>
        <w:t>Understanding the NEO</w:t>
      </w:r>
      <w:bookmarkEnd w:id="65"/>
    </w:p>
    <w:p w:rsidR="007B3355" w:rsidRPr="006C7462" w:rsidRDefault="007B3355" w:rsidP="007B3355">
      <w:pPr>
        <w:numPr>
          <w:ilvl w:val="0"/>
          <w:numId w:val="25"/>
        </w:numPr>
      </w:pPr>
      <w:r w:rsidRPr="006C7462">
        <w:t xml:space="preserve">The NEO is the central feature of the </w:t>
      </w:r>
      <w:r>
        <w:t>regulatory</w:t>
      </w:r>
      <w:r w:rsidRPr="006C7462">
        <w:t xml:space="preserve"> framework. The NEO is to promote efficient investment in, and efficient operation and use of, electricity services for the long term interests of consumers of electricity with respect to—</w:t>
      </w:r>
    </w:p>
    <w:p w:rsidR="007B3355" w:rsidRPr="006C7462" w:rsidRDefault="007B3355" w:rsidP="007B3355">
      <w:pPr>
        <w:pStyle w:val="AERquote"/>
      </w:pPr>
      <w:r w:rsidRPr="006C7462">
        <w:t>price, quality, safety, reliability and security of supply of electricity; and</w:t>
      </w:r>
    </w:p>
    <w:p w:rsidR="007B3355" w:rsidRPr="006C7462" w:rsidRDefault="007B3355" w:rsidP="007B3355">
      <w:pPr>
        <w:pStyle w:val="AERquote"/>
      </w:pPr>
      <w:r w:rsidRPr="006C7462">
        <w:t>the reliability, safety and security of the national electricity system.</w:t>
      </w:r>
      <w:r w:rsidRPr="006C7462">
        <w:rPr>
          <w:rStyle w:val="FootnoteReference"/>
        </w:rPr>
        <w:footnoteReference w:id="63"/>
      </w:r>
      <w:r w:rsidRPr="006C7462">
        <w:t xml:space="preserve">  </w:t>
      </w:r>
    </w:p>
    <w:p w:rsidR="00170478" w:rsidRPr="006C7462" w:rsidRDefault="00170478" w:rsidP="00170478">
      <w:r w:rsidRPr="006C7462">
        <w:t>Energy Ministers have provided us with</w:t>
      </w:r>
      <w:r>
        <w:t xml:space="preserve"> a substantial body of explanatory material</w:t>
      </w:r>
      <w:r w:rsidRPr="006C7462">
        <w:t xml:space="preserve"> that guides our understanding of the NEO.</w:t>
      </w:r>
      <w:r w:rsidRPr="006C7462">
        <w:rPr>
          <w:rStyle w:val="FootnoteReference"/>
        </w:rPr>
        <w:footnoteReference w:id="64"/>
      </w:r>
      <w:r>
        <w:t xml:space="preserve"> </w:t>
      </w:r>
      <w:r w:rsidRPr="006C7462">
        <w:t>The long term interests of consumers are not delivered by any one of the NEO's factors in isolation, but rather by balancing them</w:t>
      </w:r>
      <w:r>
        <w:t xml:space="preserve"> in reaching a regulatory decision</w:t>
      </w:r>
      <w:r w:rsidRPr="006C7462">
        <w:t>.</w:t>
      </w:r>
      <w:r w:rsidRPr="006C7462">
        <w:rPr>
          <w:rStyle w:val="FootnoteReference"/>
        </w:rPr>
        <w:footnoteReference w:id="65"/>
      </w:r>
    </w:p>
    <w:p w:rsidR="007F7294" w:rsidRDefault="00170478" w:rsidP="007F7294">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66"/>
      </w:r>
      <w:r w:rsidR="007F7294">
        <w:t xml:space="preserve"> We have also considered the quality and reliability of services provided to consumers. For example, opex allowances have been set so Energex may meet existing and new regulatory requirements. Repex allowances take into account the age and condition of assets. We have allowed sufficient augex and connections capex to cater for expected areas of growth. Our capex allowance is based on a contemporary estimate of the value of customer reliability. And the STPIS encourages maintenance, and indeed improvement of, service quality.</w:t>
      </w:r>
    </w:p>
    <w:p w:rsidR="00170478" w:rsidRDefault="00170478" w:rsidP="007B3355">
      <w:r w:rsidRPr="006C7462">
        <w:t xml:space="preserve">The nature of decisions </w:t>
      </w:r>
      <w:r>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67"/>
      </w:r>
      <w:r w:rsidRPr="006C7462">
        <w:t xml:space="preserve"> At the same time, however, there are a range of outcomes that are unlikely to advance the NEO</w:t>
      </w:r>
      <w:r w:rsidR="00CD74DD">
        <w:t>, or advance the NEO</w:t>
      </w:r>
      <w:r w:rsidRPr="006C7462">
        <w:t xml:space="preserve"> to </w:t>
      </w:r>
      <w:r w:rsidR="00CD74DD">
        <w:t>the degree that others would</w:t>
      </w:r>
      <w:r w:rsidRPr="006C7462">
        <w:t xml:space="preserve">. </w:t>
      </w:r>
    </w:p>
    <w:p w:rsidR="00170478" w:rsidRDefault="00170478" w:rsidP="007B3355">
      <w:r w:rsidRPr="006C7462">
        <w:t xml:space="preserve">For example, we do not consider that the NEO would be advanced if </w:t>
      </w:r>
      <w:r w:rsidR="0012170B">
        <w:t xml:space="preserve">the </w:t>
      </w:r>
      <w:r w:rsidRPr="006C7462">
        <w:t>allowed revenue encourage overinvestment and result in prices so high that consumers are unwilling or unable to efficiently use the network.</w:t>
      </w:r>
      <w:r w:rsidRPr="006C7462">
        <w:rPr>
          <w:rStyle w:val="FootnoteReference"/>
        </w:rPr>
        <w:footnoteReference w:id="68"/>
      </w:r>
      <w:r w:rsidRPr="006C7462">
        <w:t xml:space="preserve"> This could have significant longer term pricing implications for those consumers who continue to use network services.</w:t>
      </w:r>
    </w:p>
    <w:p w:rsidR="00170478" w:rsidRDefault="00170478" w:rsidP="00170478">
      <w:r w:rsidRPr="006C7462">
        <w:t xml:space="preserve">Equally, we do not consider the NEO would be advanced if </w:t>
      </w:r>
      <w:r w:rsidR="0012170B">
        <w:t xml:space="preserve">the </w:t>
      </w:r>
      <w:r w:rsidRPr="006C7462">
        <w:t xml:space="preserve">allowed revenue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69"/>
      </w:r>
      <w:r w:rsidRPr="006C7462">
        <w:t xml:space="preserve"> </w:t>
      </w:r>
      <w:r>
        <w:t>and</w:t>
      </w:r>
      <w:r w:rsidRPr="006C7462">
        <w:t xml:space="preserve"> </w:t>
      </w:r>
      <w:r>
        <w:t>could</w:t>
      </w:r>
      <w:r w:rsidRPr="006C7462">
        <w:t xml:space="preserve"> have adverse consequences for safety, security and reliability of the network. </w:t>
      </w:r>
    </w:p>
    <w:p w:rsidR="007B3355" w:rsidRPr="003B504B" w:rsidRDefault="007B3355" w:rsidP="007B3355">
      <w:r w:rsidRPr="006C7462">
        <w:t>The NEL also includes the revenue and pricing principles (RPP), which support the NEO.</w:t>
      </w:r>
      <w:r w:rsidRPr="006C7462">
        <w:rPr>
          <w:rStyle w:val="FootnoteReference"/>
        </w:rPr>
        <w:footnoteReference w:id="70"/>
      </w:r>
      <w:r w:rsidRPr="006C7462">
        <w:t xml:space="preserve"> As the NEL requires,</w:t>
      </w:r>
      <w:r w:rsidRPr="006C7462">
        <w:rPr>
          <w:rStyle w:val="FootnoteReference"/>
        </w:rPr>
        <w:footnoteReference w:id="71"/>
      </w:r>
      <w:r w:rsidRPr="006C7462">
        <w:t xml:space="preserve"> we have taken the RPPs into account throughout our analysis. The RPPs are: </w:t>
      </w:r>
    </w:p>
    <w:p w:rsidR="007B3355" w:rsidRPr="00AF78C7" w:rsidRDefault="007B3355" w:rsidP="007B3355">
      <w:pPr>
        <w:pStyle w:val="AERquote"/>
      </w:pPr>
      <w:bookmarkStart w:id="66" w:name="id3d9e0c67_2587_487c_84b5_232488295210_a"/>
      <w:r w:rsidRPr="00AF78C7">
        <w:t>A regulated network service provider should be provided with a reasonable opportunity to recover at least the efficient costs the operator incurs in—</w:t>
      </w:r>
      <w:bookmarkEnd w:id="66"/>
    </w:p>
    <w:p w:rsidR="007B3355" w:rsidRPr="00AF78C7" w:rsidRDefault="007B3355" w:rsidP="007B3355">
      <w:pPr>
        <w:pStyle w:val="AERquotebullet1"/>
      </w:pPr>
      <w:r w:rsidRPr="00AF78C7">
        <w:t>providing direct control network services; and</w:t>
      </w:r>
    </w:p>
    <w:p w:rsidR="007B3355" w:rsidRPr="00AF78C7" w:rsidRDefault="007B3355" w:rsidP="007B3355">
      <w:pPr>
        <w:pStyle w:val="AERquotebullet1"/>
      </w:pPr>
      <w:bookmarkStart w:id="67" w:name="id39d95c28_3773_4662_b32f_fead85a8dc26_0"/>
      <w:r w:rsidRPr="00AF78C7">
        <w:t>complying with a regulatory obligation or requirement or making a regulatory payment.</w:t>
      </w:r>
      <w:bookmarkEnd w:id="67"/>
    </w:p>
    <w:p w:rsidR="007B3355" w:rsidRPr="00AF78C7" w:rsidRDefault="007B3355" w:rsidP="007B3355">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7B3355" w:rsidRPr="00AF78C7" w:rsidRDefault="007B3355" w:rsidP="007B3355">
      <w:pPr>
        <w:pStyle w:val="AERquotebullet1"/>
      </w:pPr>
      <w:r w:rsidRPr="00AF78C7">
        <w:t>efficient investment in a distribution system or transmission system with which the operator provides direct control network services; and</w:t>
      </w:r>
    </w:p>
    <w:p w:rsidR="007B3355" w:rsidRPr="003B504B" w:rsidRDefault="007B3355" w:rsidP="007B3355">
      <w:pPr>
        <w:pStyle w:val="AERquotebullet1"/>
      </w:pPr>
      <w:r w:rsidRPr="00AF78C7">
        <w:t>the efficient provision of electricity network services; and</w:t>
      </w:r>
    </w:p>
    <w:p w:rsidR="007B3355" w:rsidRPr="00AF78C7" w:rsidRDefault="007B3355" w:rsidP="007B3355">
      <w:pPr>
        <w:pStyle w:val="AERquotebullet1"/>
      </w:pPr>
      <w:r w:rsidRPr="00AF78C7">
        <w:t>the efficient use of the distribution system or transmission system with which the operator provides direct control network services.</w:t>
      </w:r>
    </w:p>
    <w:p w:rsidR="007B3355" w:rsidRPr="00AF78C7" w:rsidRDefault="007B3355" w:rsidP="007B3355">
      <w:pPr>
        <w:pStyle w:val="AERquote"/>
      </w:pPr>
      <w:r w:rsidRPr="00AF78C7">
        <w:t>Regard should be had to the regulatory asset base with respect to a distribution system or transmission system adopted—</w:t>
      </w:r>
    </w:p>
    <w:p w:rsidR="007B3355" w:rsidRPr="00AF78C7" w:rsidRDefault="007B3355" w:rsidP="007B3355">
      <w:pPr>
        <w:pStyle w:val="AERquotebullet1"/>
      </w:pPr>
      <w:r w:rsidRPr="00AF78C7">
        <w:t>in any previous—</w:t>
      </w:r>
    </w:p>
    <w:p w:rsidR="007B3355" w:rsidRPr="007B3355" w:rsidRDefault="007B3355" w:rsidP="00717FAA">
      <w:pPr>
        <w:pStyle w:val="AERquotebullet1"/>
        <w:numPr>
          <w:ilvl w:val="1"/>
          <w:numId w:val="23"/>
        </w:numPr>
      </w:pPr>
      <w:r w:rsidRPr="00AF78C7">
        <w:t>as the case requires, distribution determination or transmission determination; or</w:t>
      </w:r>
    </w:p>
    <w:p w:rsidR="007B3355" w:rsidRPr="007B3355" w:rsidRDefault="007B3355" w:rsidP="00717FAA">
      <w:pPr>
        <w:pStyle w:val="AERquotebullet1"/>
        <w:numPr>
          <w:ilvl w:val="1"/>
          <w:numId w:val="23"/>
        </w:numPr>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7B3355" w:rsidRPr="00AF78C7" w:rsidRDefault="007B3355" w:rsidP="007B3355">
      <w:pPr>
        <w:pStyle w:val="AERquotebullet1"/>
      </w:pPr>
      <w:r w:rsidRPr="00AF78C7">
        <w:t>in the Rules.</w:t>
      </w:r>
    </w:p>
    <w:p w:rsidR="007B3355" w:rsidRPr="00AF78C7" w:rsidRDefault="007B3355" w:rsidP="007B3355">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7B3355" w:rsidRPr="00AF78C7" w:rsidRDefault="007B3355" w:rsidP="007B3355">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7B3355" w:rsidRDefault="007B3355" w:rsidP="007B3355">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BF2111" w:rsidRPr="00BF2111" w:rsidRDefault="007B3355" w:rsidP="00BF2111">
      <w:pPr>
        <w:numPr>
          <w:ilvl w:val="0"/>
          <w:numId w:val="25"/>
        </w:numPr>
      </w:pPr>
      <w:r>
        <w:t>Consistent with Energy Ministers' views, we set revenue allowances to balance all element</w:t>
      </w:r>
      <w:r w:rsidR="0081552D">
        <w:t>s</w:t>
      </w:r>
      <w:r>
        <w:t xml:space="preserve"> of the NEO and consider each of the RPPs.</w:t>
      </w:r>
      <w:r>
        <w:rPr>
          <w:rStyle w:val="FootnoteReference"/>
        </w:rPr>
        <w:footnoteReference w:id="72"/>
      </w:r>
      <w:r>
        <w:t xml:space="preserve"> </w:t>
      </w:r>
      <w:r w:rsidR="00BF2111" w:rsidRPr="00BF2111">
        <w:t>For example:</w:t>
      </w:r>
    </w:p>
    <w:p w:rsidR="00BF2111" w:rsidRPr="00BF2111" w:rsidRDefault="00BF2111" w:rsidP="00BF2111">
      <w:pPr>
        <w:pStyle w:val="AERbulletlistfirststyle"/>
      </w:pPr>
      <w:r w:rsidRPr="00BF2111">
        <w:t xml:space="preserve">In determining forecast opex and capex that reasonably reflects the opex and capex criteria, we take into account the revenue and pricing principle that we should provide </w:t>
      </w:r>
      <w:r>
        <w:t>Energex</w:t>
      </w:r>
      <w:r w:rsidRPr="00BF2111">
        <w:t xml:space="preserve"> with a reasonable opportunity to recover at least efficient costs. (Refer to capex attachment 6 and opex attachment 7). </w:t>
      </w:r>
    </w:p>
    <w:p w:rsidR="00BF2111" w:rsidRPr="00BF2111" w:rsidRDefault="00BF2111" w:rsidP="00BF2111">
      <w:pPr>
        <w:pStyle w:val="AERbulletlistfirststyle"/>
      </w:pPr>
      <w:r w:rsidRPr="00BF2111">
        <w:t xml:space="preserve">We take into account the economic costs and risks of the potential for under and over investment by a network service provider in our assessment of </w:t>
      </w:r>
      <w:r>
        <w:t>Energex's</w:t>
      </w:r>
      <w:r w:rsidRPr="00BF2111">
        <w:t xml:space="preserve"> forecast capital expenditure and operating expenditure proposals. (Refer to capex attachment 6 and opex attachment 7).</w:t>
      </w:r>
    </w:p>
    <w:p w:rsidR="00BF2111" w:rsidRPr="00BF2111" w:rsidRDefault="00BF2111" w:rsidP="00BF2111">
      <w:pPr>
        <w:pStyle w:val="AERbulletlistfirststyle"/>
      </w:pPr>
      <w:r w:rsidRPr="00BF2111">
        <w:t xml:space="preserve">We consider the economic costs and risks of the potential for under and over utilisation of </w:t>
      </w:r>
      <w:r>
        <w:t>Energex's</w:t>
      </w:r>
      <w:r w:rsidRPr="00BF2111">
        <w:t xml:space="preserve"> distribution system in our demand forecasting and augmentation determinations (Refer to capex attachment 6).</w:t>
      </w:r>
    </w:p>
    <w:p w:rsidR="00BF2111" w:rsidRPr="00BF2111" w:rsidRDefault="00BF2111" w:rsidP="00BF2111">
      <w:pPr>
        <w:pStyle w:val="AERbulletlistfirststyle"/>
      </w:pPr>
      <w:r w:rsidRPr="00BF2111">
        <w:t>Our application o</w:t>
      </w:r>
      <w:r w:rsidR="00DA695C">
        <w:t>f</w:t>
      </w:r>
      <w:r w:rsidRPr="00BF2111">
        <w:t xml:space="preserve"> the EBSS, CESS, STPIS and DMI</w:t>
      </w:r>
      <w:r>
        <w:t>S</w:t>
      </w:r>
      <w:r w:rsidRPr="00BF2111">
        <w:t xml:space="preserve"> in this determination provide </w:t>
      </w:r>
      <w:r>
        <w:t>Energex</w:t>
      </w:r>
      <w:r w:rsidRPr="00BF2111">
        <w:t xml:space="preserve"> with effective incentives which we consider will promote economic efficiency with respect to the direct control services that </w:t>
      </w:r>
      <w:r>
        <w:t>Energex</w:t>
      </w:r>
      <w:r w:rsidRPr="00BF2111">
        <w:t xml:space="preserve"> provides throughout the regulatory control period. (Refer to attachments 9, 10, 11 and 12). </w:t>
      </w:r>
    </w:p>
    <w:p w:rsidR="00BF2111" w:rsidRPr="00BF2111" w:rsidRDefault="00BF2111" w:rsidP="00BF2111">
      <w:pPr>
        <w:pStyle w:val="AERbulletlistfirststyle"/>
      </w:pPr>
      <w:r w:rsidRPr="00BF2111">
        <w:t xml:space="preserve">We have determined </w:t>
      </w:r>
      <w:r>
        <w:t>Energex's</w:t>
      </w:r>
      <w:r w:rsidRPr="00BF2111">
        <w:t xml:space="preserve"> opening RAB taking into account the RAB adopted in the previous distribution determination. (Refer to attachment 2, regulatory asset base).  </w:t>
      </w:r>
    </w:p>
    <w:p w:rsidR="00BF2111" w:rsidRPr="00BF2111" w:rsidRDefault="00BF2111" w:rsidP="00BF2111">
      <w:pPr>
        <w:pStyle w:val="AERbulletlistfirststyle"/>
      </w:pPr>
      <w:r w:rsidRPr="00BF2111">
        <w:t xml:space="preserve">The allowed rate of return objective reflects the revenue and pricing principle in s.7A(5). We have determined a rate of return that we consider will </w:t>
      </w:r>
      <w:r>
        <w:t>provide Energex</w:t>
      </w:r>
      <w:r w:rsidRPr="00BF2111">
        <w:t xml:space="preserve"> with a return commensurate with the regulatory and commercial risks involved in providing direct control services. (Refer to attachment 3, rate of return).</w:t>
      </w:r>
    </w:p>
    <w:p w:rsidR="00BF2111" w:rsidRPr="00BF2111" w:rsidRDefault="00BF2111" w:rsidP="00BF2111">
      <w:pPr>
        <w:pStyle w:val="AERbulletlistfirststyle"/>
      </w:pPr>
      <w:r w:rsidRPr="00BF2111">
        <w:t>Our financing determinations provide the distributor with a reasonable opportunity to recover at least the efficient costs of accessing debt and capital. (Refer to attachment 3, rate of return).</w:t>
      </w:r>
    </w:p>
    <w:p w:rsidR="00F32711" w:rsidRPr="001B46C8" w:rsidRDefault="00F32711" w:rsidP="00F32711">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that may be</w:t>
      </w:r>
      <w:r w:rsidRPr="001B46C8">
        <w:rPr>
          <w:rStyle w:val="AERbody"/>
        </w:rPr>
        <w:t xml:space="preserve"> favourable to the businesses, for example, our choice of equity beta.</w:t>
      </w:r>
      <w:r w:rsidRPr="00FF25A5">
        <w:rPr>
          <w:rStyle w:val="AERsuperscript"/>
        </w:rPr>
        <w:t xml:space="preserve"> </w:t>
      </w:r>
      <w:r w:rsidRPr="001B46C8">
        <w:rPr>
          <w:rStyle w:val="AERbody"/>
        </w:rPr>
        <w:t>While it can be difficult to quantify the exact revenue impact of these individual decisions, we have identified where we have done so in our attachments. Some of these decisions include:</w:t>
      </w:r>
    </w:p>
    <w:p w:rsidR="00F32711" w:rsidRPr="001B46C8" w:rsidRDefault="00F32711" w:rsidP="00F32711">
      <w:pPr>
        <w:pStyle w:val="AERbulletlistfirststyle"/>
        <w:rPr>
          <w:rStyle w:val="AERbody"/>
        </w:rPr>
      </w:pPr>
      <w:r w:rsidRPr="001B46C8">
        <w:rPr>
          <w:rStyle w:val="AERbody"/>
        </w:rPr>
        <w:t>selecting at the top of the range for the equity beta</w:t>
      </w:r>
    </w:p>
    <w:p w:rsidR="00F32711" w:rsidRPr="001B46C8" w:rsidRDefault="00F32711" w:rsidP="00F32711">
      <w:pPr>
        <w:pStyle w:val="AERbulletlistfirststyle"/>
        <w:rPr>
          <w:rStyle w:val="AERbody"/>
        </w:rPr>
      </w:pPr>
      <w:r w:rsidRPr="001B46C8">
        <w:rPr>
          <w:rStyle w:val="AERbody"/>
        </w:rPr>
        <w:t>setting the return on debt by reference to data for a BBB broad band credit rating, when the benchmark is BBB+</w:t>
      </w:r>
    </w:p>
    <w:p w:rsidR="00F32711" w:rsidRPr="001B46C8" w:rsidRDefault="00F32711" w:rsidP="00F32711">
      <w:pPr>
        <w:pStyle w:val="AERbulletlistfirststyle"/>
        <w:rPr>
          <w:rStyle w:val="AERbody"/>
        </w:rPr>
      </w:pPr>
      <w:r w:rsidRPr="001B46C8">
        <w:rPr>
          <w:rStyle w:val="AERbody"/>
        </w:rPr>
        <w:t xml:space="preserve">the cash flow timing assumptions in the post-tax revenue model. </w:t>
      </w:r>
    </w:p>
    <w:p w:rsidR="00F32711" w:rsidRDefault="00F32711" w:rsidP="00F32711">
      <w:pPr>
        <w:rPr>
          <w:rStyle w:val="AERbody"/>
        </w:rPr>
      </w:pPr>
      <w:r>
        <w:t>We</w:t>
      </w:r>
      <w:r w:rsidRPr="00A34B93">
        <w:t xml:space="preserve"> take into account the RPPs when exercising discretion </w:t>
      </w:r>
      <w:r>
        <w:t xml:space="preserve">about an appropriate estimate. </w:t>
      </w:r>
      <w:r w:rsidRPr="00A34B93">
        <w:t xml:space="preserve">This requires </w:t>
      </w:r>
      <w:r>
        <w:t xml:space="preserve">a </w:t>
      </w:r>
      <w:r w:rsidRPr="00A34B93">
        <w:t>recognition that</w:t>
      </w:r>
      <w:r>
        <w:t xml:space="preserve"> </w:t>
      </w:r>
      <w:r w:rsidRPr="00A34B93">
        <w:t>for the long term interests of consumer</w:t>
      </w:r>
      <w:r>
        <w:t>s,</w:t>
      </w:r>
      <w:r w:rsidRPr="00A34B93">
        <w:t xml:space="preserve"> the risk of under compensation for, or underinvestment by, a service provider may be less desirable than </w:t>
      </w:r>
      <w:r>
        <w:t xml:space="preserve">the risk of </w:t>
      </w:r>
      <w:r w:rsidRPr="00A34B93">
        <w:t>overcompensation or overinvestment. </w:t>
      </w:r>
      <w:r>
        <w:t>However, we are</w:t>
      </w:r>
      <w:r w:rsidRPr="00A34B93">
        <w:t xml:space="preserve"> also conscious of the risk of introducing an inherent bias towards higher amounts where estimates throughout the different components of the determination are each set too conservatively.</w:t>
      </w:r>
      <w:r>
        <w:rPr>
          <w:rStyle w:val="FootnoteReference"/>
        </w:rPr>
        <w:footnoteReference w:id="73"/>
      </w:r>
      <w:r w:rsidRPr="00A34B93">
        <w:t xml:space="preserve"> The legislative framework recognises the complexity of this task by providing </w:t>
      </w:r>
      <w:r>
        <w:t>us</w:t>
      </w:r>
      <w:r w:rsidRPr="00A34B93">
        <w:t xml:space="preserve"> with significant discretion in many aspects of the decision-making process to make judgements on these matters.</w:t>
      </w:r>
    </w:p>
    <w:p w:rsidR="00170478" w:rsidRDefault="007B3355" w:rsidP="007B3355">
      <w:pPr>
        <w:numPr>
          <w:ilvl w:val="0"/>
          <w:numId w:val="25"/>
        </w:numPr>
      </w:pPr>
      <w:r>
        <w:t>C</w:t>
      </w:r>
      <w:r w:rsidRPr="00892ECD">
        <w:t xml:space="preserve">hapter 6 of the NER provides </w:t>
      </w:r>
      <w:r>
        <w:t xml:space="preserve">specifically for the </w:t>
      </w:r>
      <w:r w:rsidRPr="00892ECD">
        <w:t>economic regulation of distributors</w:t>
      </w:r>
      <w:r>
        <w:t>. It includes rules about the constituent components of our decisions. These are intended to contribute to the achievement of the NEO.</w:t>
      </w:r>
      <w:r>
        <w:rPr>
          <w:rStyle w:val="FootnoteReference"/>
        </w:rPr>
        <w:footnoteReference w:id="74"/>
      </w:r>
      <w:r>
        <w:t xml:space="preserve"> </w:t>
      </w:r>
    </w:p>
    <w:p w:rsidR="00170478" w:rsidRDefault="008C62B8" w:rsidP="008C62B8">
      <w:pPr>
        <w:pStyle w:val="Heading2"/>
      </w:pPr>
      <w:bookmarkStart w:id="68" w:name="_Toc433723316"/>
      <w:r>
        <w:t>Achieving the NEO to the greatest degree</w:t>
      </w:r>
      <w:bookmarkEnd w:id="68"/>
    </w:p>
    <w:p w:rsidR="001B39F5" w:rsidRPr="001B39F5" w:rsidRDefault="001B39F5" w:rsidP="001B39F5">
      <w:r w:rsidRPr="001B39F5">
        <w:t xml:space="preserve">A distribution determination is a complex decision and must be considered as such. In most instances, the provisions of the NER do not point to a single answer, either for our decision as a whole or in respect of particular components. They require us to exercise our regulatory judgement. For example, chapter 6 of the NER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several point estimates within a range. </w:t>
      </w:r>
    </w:p>
    <w:p w:rsidR="001B39F5" w:rsidRPr="001B39F5" w:rsidRDefault="001B39F5" w:rsidP="001B39F5">
      <w:r w:rsidRPr="001B39F5">
        <w:t xml:space="preserve">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the NEO to the </w:t>
      </w:r>
      <w:r w:rsidRPr="001B39F5">
        <w:rPr>
          <w:rStyle w:val="AERtextitalic"/>
        </w:rPr>
        <w:t>greatest</w:t>
      </w:r>
      <w:r w:rsidRPr="001B39F5">
        <w:t xml:space="preserve"> degree.</w:t>
      </w:r>
      <w:r w:rsidR="000B7E38">
        <w:rPr>
          <w:rStyle w:val="FootnoteReference"/>
        </w:rPr>
        <w:footnoteReference w:id="75"/>
      </w:r>
      <w:r w:rsidRPr="001B39F5">
        <w:t xml:space="preserve"> </w:t>
      </w:r>
    </w:p>
    <w:p w:rsidR="001B39F5" w:rsidRPr="001B39F5" w:rsidRDefault="001B39F5" w:rsidP="001B39F5">
      <w:r w:rsidRPr="001B39F5">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w:t>
      </w:r>
    </w:p>
    <w:p w:rsidR="001B39F5" w:rsidRPr="001B39F5" w:rsidRDefault="001B39F5" w:rsidP="001B39F5">
      <w:r w:rsidRPr="001B39F5">
        <w:t xml:space="preserve">Also, in coming to this final decision we have considered </w:t>
      </w:r>
      <w:r>
        <w:t>Energex's</w:t>
      </w:r>
      <w:r w:rsidRPr="001B39F5">
        <w:t xml:space="preserve"> initial and revised proposals. We have examined each of the building block components of the proposals and the incentive mechanisms </w:t>
      </w:r>
      <w:r w:rsidR="00DA695C">
        <w:t>that will</w:t>
      </w:r>
      <w:r w:rsidRPr="001B39F5">
        <w:t xml:space="preserve"> apply across the next regulatory control period. We have considered the submissions we received in regard to </w:t>
      </w:r>
      <w:r>
        <w:t>Energex's</w:t>
      </w:r>
      <w:r w:rsidRPr="001B39F5">
        <w:t xml:space="preserve"> proposals and our preliminary decision. We have conducted our own analysis and engaged expert consultant to help us better understand if and how </w:t>
      </w:r>
      <w:r>
        <w:t>Energex's</w:t>
      </w:r>
      <w:r w:rsidRPr="001B39F5">
        <w:t xml:space="preserve"> proposals contribute to the achievement the NEO. We have also considered how our constituent decisions relate to each other, the impact that particular constituent decisions have on other constituent components of our decision, and have described these interrelationships in this final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 final decision. </w:t>
      </w:r>
    </w:p>
    <w:p w:rsidR="001B39F5" w:rsidRPr="001B39F5" w:rsidRDefault="001B39F5" w:rsidP="001B39F5">
      <w:r w:rsidRPr="001B39F5">
        <w:t xml:space="preserve">Therefore, we are satisfied that among the options before us our final decision on </w:t>
      </w:r>
      <w:r>
        <w:t>Energex's</w:t>
      </w:r>
      <w:r w:rsidRPr="001B39F5">
        <w:t xml:space="preserve"> distribution determination for the 2015─20 regulatory control period contributes to the achieving the NEO to the greatest degree.</w:t>
      </w:r>
    </w:p>
    <w:p w:rsidR="001B39F5" w:rsidRPr="001B39F5" w:rsidRDefault="001B39F5" w:rsidP="001B39F5">
      <w:pPr>
        <w:pStyle w:val="Heading3"/>
      </w:pPr>
      <w:bookmarkStart w:id="69" w:name="_Toc432081958"/>
      <w:bookmarkStart w:id="70" w:name="_Toc430336810"/>
      <w:bookmarkStart w:id="71" w:name="_Toc433123387"/>
      <w:bookmarkStart w:id="72" w:name="_Toc433723317"/>
      <w:bookmarkEnd w:id="69"/>
      <w:bookmarkEnd w:id="70"/>
      <w:r w:rsidRPr="001B39F5">
        <w:t>Interrelationships between constituent components</w:t>
      </w:r>
      <w:bookmarkEnd w:id="71"/>
      <w:bookmarkEnd w:id="72"/>
    </w:p>
    <w:p w:rsidR="001B39F5" w:rsidRPr="001B39F5" w:rsidRDefault="001B39F5" w:rsidP="001B39F5">
      <w:r w:rsidRPr="001B39F5">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sidRPr="001B39F5">
        <w:rPr>
          <w:rStyle w:val="FootnoteReference"/>
        </w:rPr>
        <w:footnoteReference w:id="76"/>
      </w:r>
      <w:r w:rsidRPr="001B39F5">
        <w:t xml:space="preserve"> Interrelationships can take various forms, including:</w:t>
      </w:r>
    </w:p>
    <w:p w:rsidR="001B39F5" w:rsidRPr="001B39F5" w:rsidRDefault="001B39F5" w:rsidP="001B39F5">
      <w:pPr>
        <w:pStyle w:val="AERbulletlistfirststyle"/>
      </w:pPr>
      <w:r w:rsidRPr="001B39F5">
        <w:t>underlying drivers and context which are likely to affect many constituent components of our decision. For example, forecast demand affects the efficient levels of capex and opex in the regulatory control period (see attachment 6).</w:t>
      </w:r>
    </w:p>
    <w:p w:rsidR="001B39F5" w:rsidRPr="001B39F5" w:rsidRDefault="001B39F5" w:rsidP="001B39F5">
      <w:pPr>
        <w:pStyle w:val="AERbulletlistfirststyle"/>
      </w:pPr>
      <w:r w:rsidRPr="001B39F5">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1B39F5" w:rsidRPr="001B39F5" w:rsidRDefault="001B39F5" w:rsidP="001B39F5">
      <w:pPr>
        <w:pStyle w:val="AERbulletlistfirststyle"/>
      </w:pPr>
      <w:r w:rsidRPr="001B39F5">
        <w:t>trade-offs between different components of revenue. For example, undertaking a particular capex project may affect the need for opex or vice versa (see attachments 6 and 7).</w:t>
      </w:r>
    </w:p>
    <w:p w:rsidR="001B39F5" w:rsidRPr="001B39F5" w:rsidRDefault="001B39F5" w:rsidP="001B39F5">
      <w:pPr>
        <w:pStyle w:val="AERbulletlistfirststyle"/>
      </w:pPr>
      <w:r w:rsidRPr="001B39F5">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 (see attachments 6 and 7).</w:t>
      </w:r>
    </w:p>
    <w:p w:rsidR="001B39F5" w:rsidRPr="001B39F5" w:rsidRDefault="001B39F5" w:rsidP="001B39F5">
      <w:pPr>
        <w:pStyle w:val="AERbulletlistfirststyle"/>
      </w:pPr>
      <w:r w:rsidRPr="001B39F5">
        <w:t>the distributor's approach to managing its network. The distributor's governance arrangements and its approach to risk management will influence most aspects of the proposal, including capex/opex trade-offs (see attachment 6).</w:t>
      </w:r>
    </w:p>
    <w:p w:rsidR="00E828F4" w:rsidRPr="00E828F4" w:rsidRDefault="001B39F5" w:rsidP="00E828F4">
      <w:r w:rsidRPr="001B39F5">
        <w:t xml:space="preserve">We have considered interrelationships, including those above, in our analysis of the constituent components of our final decision. These considerations are explored in the relevant attachments. </w:t>
      </w:r>
      <w:r w:rsidR="00E828F4" w:rsidRPr="00E828F4">
        <w:t xml:space="preserve">We include a table of interrelationships, including the impacts of particular constituent decision on other constituent components of our distribution determination, in appendix D. </w:t>
      </w:r>
    </w:p>
    <w:p w:rsidR="001B39F5" w:rsidRPr="001B39F5" w:rsidRDefault="001B39F5" w:rsidP="001B39F5"/>
    <w:p w:rsidR="007B3355" w:rsidRPr="00650825" w:rsidRDefault="00037240" w:rsidP="007B3355">
      <w:pPr>
        <w:pStyle w:val="Heading1"/>
      </w:pPr>
      <w:bookmarkStart w:id="73" w:name="_Toc433723318"/>
      <w:r>
        <w:t>Energex's c</w:t>
      </w:r>
      <w:r w:rsidR="005D113D">
        <w:t>onsultation</w:t>
      </w:r>
      <w:bookmarkEnd w:id="73"/>
    </w:p>
    <w:p w:rsidR="00C35ABA" w:rsidRPr="00C35ABA" w:rsidRDefault="004112FD" w:rsidP="00C35ABA">
      <w:r>
        <w:t xml:space="preserve">This section </w:t>
      </w:r>
      <w:r w:rsidR="00C35ABA" w:rsidRPr="00C35ABA">
        <w:t>provide</w:t>
      </w:r>
      <w:r w:rsidR="00C35ABA">
        <w:t>s</w:t>
      </w:r>
      <w:r w:rsidR="00C35ABA" w:rsidRPr="00C35ABA">
        <w:t xml:space="preserve"> an overview and commentary on the consultation processes undertaken by Energex. Our specific assessment of the expenditure initiatives proposed by Energex arising from its stakeholder and consumer engagement can be found in the opex and capex assessments in attachments 6 and 7. </w:t>
      </w:r>
      <w:r w:rsidR="00C35ABA" w:rsidRPr="00C35ABA" w:rsidDel="00F4135D">
        <w:t xml:space="preserve"> </w:t>
      </w:r>
    </w:p>
    <w:p w:rsidR="00C35ABA" w:rsidRPr="00C35ABA" w:rsidRDefault="00C35ABA" w:rsidP="00C35ABA">
      <w:r w:rsidRPr="00C35ABA">
        <w:t xml:space="preserve">Energex developed a </w:t>
      </w:r>
      <w:r w:rsidR="00004C26">
        <w:t>customer</w:t>
      </w:r>
      <w:r w:rsidR="00004C26" w:rsidRPr="00C35ABA">
        <w:t xml:space="preserve"> </w:t>
      </w:r>
      <w:r w:rsidRPr="00C35ABA">
        <w:t xml:space="preserve">engagement program (CEP) titled ‘Connecting with you’. A simplified form of the program is contained in figure </w:t>
      </w:r>
      <w:r w:rsidR="004112FD">
        <w:t>11</w:t>
      </w:r>
      <w:r w:rsidRPr="00C35ABA">
        <w:t xml:space="preserve">. </w:t>
      </w:r>
    </w:p>
    <w:p w:rsidR="00C35ABA" w:rsidRPr="00C35ABA" w:rsidRDefault="00C35ABA" w:rsidP="004112FD">
      <w:pPr>
        <w:pStyle w:val="Caption"/>
      </w:pPr>
      <w:r w:rsidRPr="00C35ABA">
        <w:t xml:space="preserve">Figure </w:t>
      </w:r>
      <w:r w:rsidR="004112FD">
        <w:t>11</w:t>
      </w:r>
      <w:r w:rsidRPr="00C35ABA">
        <w:t xml:space="preserve">: Energex’s </w:t>
      </w:r>
      <w:r w:rsidR="009978DA" w:rsidRPr="00C35ABA">
        <w:t>Connecti</w:t>
      </w:r>
      <w:r w:rsidR="009978DA">
        <w:t>n</w:t>
      </w:r>
      <w:r w:rsidR="009978DA" w:rsidRPr="00C35ABA">
        <w:t>g</w:t>
      </w:r>
      <w:r w:rsidRPr="00C35ABA">
        <w:t xml:space="preserve"> with you customer engagement program for 2015─20 regulatory proposal </w:t>
      </w:r>
    </w:p>
    <w:p w:rsidR="00C35ABA" w:rsidRPr="00C35ABA" w:rsidRDefault="00C35ABA" w:rsidP="00C35ABA">
      <w:pPr>
        <w:rPr>
          <w:lang w:eastAsia="en-AU"/>
        </w:rPr>
      </w:pPr>
      <w:r w:rsidRPr="00C35ABA">
        <w:rPr>
          <w:noProof/>
          <w:lang w:eastAsia="en-AU"/>
        </w:rPr>
        <w:drawing>
          <wp:inline distT="0" distB="0" distL="0" distR="0" wp14:anchorId="594E0AA9" wp14:editId="21FBEC02">
            <wp:extent cx="5731510" cy="280942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31510" cy="2809420"/>
                    </a:xfrm>
                    <a:prstGeom prst="rect">
                      <a:avLst/>
                    </a:prstGeom>
                  </pic:spPr>
                </pic:pic>
              </a:graphicData>
            </a:graphic>
          </wp:inline>
        </w:drawing>
      </w:r>
    </w:p>
    <w:p w:rsidR="00C35ABA" w:rsidRPr="00C35ABA" w:rsidRDefault="00C35ABA" w:rsidP="004112FD">
      <w:pPr>
        <w:pStyle w:val="AERtablesource"/>
      </w:pPr>
      <w:r w:rsidRPr="00C35ABA">
        <w:t xml:space="preserve">Source: Energex, </w:t>
      </w:r>
      <w:r w:rsidRPr="004112FD">
        <w:rPr>
          <w:rStyle w:val="AERtextitalic"/>
        </w:rPr>
        <w:t>Regulatory proposal</w:t>
      </w:r>
      <w:r w:rsidRPr="00C35ABA">
        <w:t>, October 2014, p. 46.</w:t>
      </w:r>
    </w:p>
    <w:p w:rsidR="00C35ABA" w:rsidRPr="00C35ABA" w:rsidRDefault="00C35ABA" w:rsidP="00C35ABA">
      <w:r w:rsidRPr="00C35ABA">
        <w:t>Energex submitted that it developed this program to ensure decisions arising out of its regulatory proposal were informed by customer expectations and to enhance its ongoing business as usual engagement.</w:t>
      </w:r>
      <w:r w:rsidRPr="004112FD">
        <w:rPr>
          <w:rStyle w:val="AERsuperscript"/>
        </w:rPr>
        <w:footnoteReference w:id="77"/>
      </w:r>
      <w:r w:rsidRPr="00C35ABA">
        <w:t xml:space="preserve"> Energex engaged PricewaterhouseCoopers and Colmar Brunton to undertake research on customer expectations to assist in developing Energex’s consumer engagement strategy.</w:t>
      </w:r>
      <w:r w:rsidRPr="004112FD">
        <w:rPr>
          <w:rStyle w:val="AERsuperscript"/>
        </w:rPr>
        <w:footnoteReference w:id="78"/>
      </w:r>
      <w:r w:rsidRPr="00C35ABA">
        <w:t xml:space="preserve"> </w:t>
      </w:r>
    </w:p>
    <w:p w:rsidR="00C35ABA" w:rsidRPr="00C35ABA" w:rsidRDefault="00C35ABA" w:rsidP="00C35ABA">
      <w:r w:rsidRPr="00C35ABA">
        <w:t>Energex further submitted that it engaged with over 6700 customers on its 2015─20 regulatory proposal. Engagement was conducted through online surveys, focus groups, interviews, face to face meetings, workshops, website update, online web forums, fact sheets and information sessions.</w:t>
      </w:r>
      <w:r w:rsidRPr="004112FD">
        <w:rPr>
          <w:rStyle w:val="AERsuperscript"/>
        </w:rPr>
        <w:footnoteReference w:id="79"/>
      </w:r>
      <w:r w:rsidRPr="00C35ABA">
        <w:t xml:space="preserve"> This included engagement to understand consumer issues and priorities before moving to engagement on its proposed opex and capex.</w:t>
      </w:r>
    </w:p>
    <w:p w:rsidR="00C35ABA" w:rsidRPr="00C35ABA" w:rsidRDefault="00C35ABA" w:rsidP="00C35ABA">
      <w:r w:rsidRPr="00C35ABA">
        <w:t xml:space="preserve">Energex’s </w:t>
      </w:r>
      <w:r w:rsidR="00004C26">
        <w:t>initial</w:t>
      </w:r>
      <w:r w:rsidRPr="00C35ABA">
        <w:t xml:space="preserve"> and revised regulatory proposal</w:t>
      </w:r>
      <w:r w:rsidR="00B94B88">
        <w:t>s</w:t>
      </w:r>
      <w:r w:rsidRPr="00C35ABA">
        <w:t xml:space="preserve"> also form part of the consumer engagement process. The proposals enable stakeholders to engage in the review process through their submissions. The proposals represent a culmination of information and data to support Energex’s future service provision. Submissions we receive from stakeholders in response to the proposals are useful because they are informed by the detailed material contained in the proposals. The proposals are significantly more detailed (and refined) than the information provided before the proposals were submitted. According to Energex, its initial regulatory proposal consisted of 2697 pages.</w:t>
      </w:r>
      <w:r w:rsidRPr="004112FD">
        <w:rPr>
          <w:rStyle w:val="AERsuperscript"/>
        </w:rPr>
        <w:footnoteReference w:id="80"/>
      </w:r>
      <w:r w:rsidRPr="00C35ABA">
        <w:t xml:space="preserve"> Energex’s revised regulatory proposal consisted of a further 1410 pages.</w:t>
      </w:r>
      <w:r w:rsidRPr="004112FD">
        <w:rPr>
          <w:rStyle w:val="AERsuperscript"/>
        </w:rPr>
        <w:footnoteReference w:id="81"/>
      </w:r>
      <w:r w:rsidRPr="00C35ABA">
        <w:t xml:space="preserve"> </w:t>
      </w:r>
      <w:r w:rsidR="00004C26">
        <w:t xml:space="preserve">Assessing all material presented to us is </w:t>
      </w:r>
      <w:r w:rsidR="00004C26">
        <w:rPr>
          <w:rStyle w:val="AERbody"/>
        </w:rPr>
        <w:t xml:space="preserve">not just a matter of complying with the NER. It is good regulatory practice to consider the views of interested parties, and to consider the efficiency and prudency of Energex's proposal. </w:t>
      </w:r>
      <w:r w:rsidR="00037240">
        <w:t xml:space="preserve">Appendix </w:t>
      </w:r>
      <w:r w:rsidR="000616A1">
        <w:t>B</w:t>
      </w:r>
      <w:r w:rsidR="00037240">
        <w:t xml:space="preserve"> sets out our consultation in reaching our final decision. </w:t>
      </w:r>
    </w:p>
    <w:p w:rsidR="00C35ABA" w:rsidRPr="00C35ABA" w:rsidRDefault="00C35ABA" w:rsidP="00037240">
      <w:pPr>
        <w:pStyle w:val="Heading3"/>
      </w:pPr>
      <w:bookmarkStart w:id="74" w:name="_Toc433723319"/>
      <w:r w:rsidRPr="00C35ABA">
        <w:t>NER requirements around consumer engagement</w:t>
      </w:r>
      <w:bookmarkEnd w:id="74"/>
    </w:p>
    <w:p w:rsidR="00C35ABA" w:rsidRPr="00C35ABA" w:rsidRDefault="00C35ABA" w:rsidP="00C35ABA">
      <w:r w:rsidRPr="00C35ABA">
        <w:t>A number of the AEMC's 2012 rule changes attempt to address a lack of focus on consumer engagement and participation.</w:t>
      </w:r>
      <w:r w:rsidR="00E43ADD">
        <w:rPr>
          <w:rStyle w:val="FootnoteReference"/>
        </w:rPr>
        <w:footnoteReference w:id="82"/>
      </w:r>
      <w:r w:rsidRPr="00C35ABA">
        <w:t xml:space="preserve"> To achieve this, </w:t>
      </w:r>
      <w:r w:rsidR="00004C26">
        <w:t>c</w:t>
      </w:r>
      <w:r w:rsidRPr="00C35ABA">
        <w:t>hapter 6 of the NER was amended to, among other things, require:</w:t>
      </w:r>
    </w:p>
    <w:p w:rsidR="00C35ABA" w:rsidRPr="00C35ABA" w:rsidRDefault="00C35ABA" w:rsidP="00037240">
      <w:pPr>
        <w:pStyle w:val="AERbulletlistfirststyle"/>
      </w:pPr>
      <w:r w:rsidRPr="00C35ABA">
        <w:t>distributors to submit an overview with their regulatory proposal which describes how they have engaged with consumers and sought to address any relevant concerns identified by that engagement.</w:t>
      </w:r>
      <w:r w:rsidR="00E43ADD" w:rsidRPr="00251962">
        <w:rPr>
          <w:rStyle w:val="FootnoteReference"/>
        </w:rPr>
        <w:footnoteReference w:id="83"/>
      </w:r>
    </w:p>
    <w:p w:rsidR="00C35ABA" w:rsidRPr="00C35ABA" w:rsidRDefault="00C35ABA" w:rsidP="00037240">
      <w:pPr>
        <w:pStyle w:val="AERbulletlistfirststyle"/>
      </w:pPr>
      <w:r w:rsidRPr="00C35ABA">
        <w:t>the AER to publish an issues paper after receiving the distributor’s regulatory proposal.</w:t>
      </w:r>
      <w:r w:rsidRPr="00037240">
        <w:rPr>
          <w:rStyle w:val="AERsuperscript"/>
        </w:rPr>
        <w:t xml:space="preserve"> </w:t>
      </w:r>
      <w:r w:rsidRPr="00C35ABA">
        <w:t xml:space="preserve"> The AEMC stated that the purpose of the issues paper would be to assist consumer representative groups to focus on the key preliminary issues on which they should engage and comment.   </w:t>
      </w:r>
    </w:p>
    <w:p w:rsidR="00C35ABA" w:rsidRPr="00C35ABA" w:rsidRDefault="00C35ABA" w:rsidP="00037240">
      <w:pPr>
        <w:pStyle w:val="AERbulletlistfirststyle"/>
      </w:pPr>
      <w:r w:rsidRPr="00C35ABA">
        <w:t>the AER, when determining capex and opex allowances, to have regard to the extent to which the forecast includes expenditure to address the concerns of consumers as identified by the distributor in the course of its engagement with consumers.</w:t>
      </w:r>
      <w:r w:rsidR="00E43ADD">
        <w:rPr>
          <w:rStyle w:val="FootnoteReference"/>
        </w:rPr>
        <w:footnoteReference w:id="84"/>
      </w:r>
    </w:p>
    <w:p w:rsidR="00C35ABA" w:rsidRPr="00C35ABA" w:rsidRDefault="00C35ABA" w:rsidP="00C35ABA">
      <w:r w:rsidRPr="00C35ABA">
        <w:t>The extent to which the proposed forecasts include expenditure to address the concerns of consumers during the course of its engagement with consumers is one of nine or more factors that we must have regard to in determining whether we are satisfied that the proposed capex (or opex) reasonably reflects the capex (or opex) criteria.</w:t>
      </w:r>
      <w:r w:rsidR="00E43ADD">
        <w:rPr>
          <w:rStyle w:val="FootnoteReference"/>
        </w:rPr>
        <w:footnoteReference w:id="85"/>
      </w:r>
      <w:r w:rsidR="00E43ADD">
        <w:rPr>
          <w:rStyle w:val="AERbody"/>
        </w:rPr>
        <w:t xml:space="preserve"> </w:t>
      </w:r>
      <w:r w:rsidRPr="00C35ABA">
        <w:t xml:space="preserve">In this sense, the factor relating to consumer engagement alone is not determinative.  </w:t>
      </w:r>
    </w:p>
    <w:p w:rsidR="00C35ABA" w:rsidRPr="00C35ABA" w:rsidRDefault="00C35ABA" w:rsidP="00037240">
      <w:pPr>
        <w:pStyle w:val="Heading3"/>
      </w:pPr>
      <w:bookmarkStart w:id="75" w:name="_Toc433723320"/>
      <w:r w:rsidRPr="00C35ABA">
        <w:t>Comments on Energex’s consumer engagement</w:t>
      </w:r>
      <w:bookmarkEnd w:id="75"/>
    </w:p>
    <w:p w:rsidR="00C35ABA" w:rsidRPr="00C35ABA" w:rsidRDefault="00C35ABA" w:rsidP="00C35ABA">
      <w:r w:rsidRPr="00C35ABA">
        <w:t>Energex presented an overview of its proposed CEP to the AER in 2014. At the time, our feedback to Energex was positive insofar as its outlined plans to engage with consumers represented an encouraging start.</w:t>
      </w:r>
    </w:p>
    <w:p w:rsidR="00C35ABA" w:rsidRPr="00C35ABA" w:rsidRDefault="00C35ABA" w:rsidP="00C35ABA">
      <w:r w:rsidRPr="00C35ABA">
        <w:t>Our feedback was based on the steps Energex had taken which reflected our expectations as set out in our Consumer Engagement Guideline for Network Service Providers, released in 2013.</w:t>
      </w:r>
      <w:r w:rsidRPr="00037240">
        <w:rPr>
          <w:rStyle w:val="AERsuperscript"/>
        </w:rPr>
        <w:footnoteReference w:id="86"/>
      </w:r>
      <w:r w:rsidRPr="00C35ABA">
        <w:t xml:space="preserve"> The Consumer Engagement Guideline presents a framework for service providers to establish a consumer engagement strategy and to develop processes that best fit their business. We expect electricity and gas service providers to engage meaningfully with consumers as part of their usual way of doing business across a range of business activities. Importantly the Consumer Engagement Guideline sets expectations around network consumer engagement but does not define how network businesses should engage with consumers. </w:t>
      </w:r>
    </w:p>
    <w:p w:rsidR="00C35ABA" w:rsidRPr="00C35ABA" w:rsidRDefault="00C35ABA" w:rsidP="00C35ABA">
      <w:r w:rsidRPr="00C35ABA">
        <w:t>With the NER requirements in mind and having regard to Energex’s CEP, it is clear that Energex has attempted to reflect consumer issues and concerns in its regulatory proposal in line with best practice principles set out in our Guideline. Energex submitted that its funding requirements ‘largely’ meet consumer expectations of service levels and network prices. In gaining this insight, Energex submitted that it shared key decisions with consumer representative groups ahead of submitting its regulatory proposal to us in order to promote transparency and facilitate informed feedback.</w:t>
      </w:r>
      <w:r w:rsidRPr="009978DA">
        <w:rPr>
          <w:rStyle w:val="AERsuperscript"/>
        </w:rPr>
        <w:footnoteReference w:id="87"/>
      </w:r>
      <w:r w:rsidRPr="00C35ABA">
        <w:t xml:space="preserve"> </w:t>
      </w:r>
    </w:p>
    <w:p w:rsidR="00C35ABA" w:rsidRDefault="00C35ABA" w:rsidP="00C35ABA">
      <w:r w:rsidRPr="00C35ABA">
        <w:t>Our Consumer Engagement Guideline emphasises the need for engagement to be genuine. Fundamental to this is building a relationship with consumers and consumer representatives. While Energex</w:t>
      </w:r>
      <w:r w:rsidR="00D41158">
        <w:t xml:space="preserve">'s engagement strategy appears to be reasonably comprehensive </w:t>
      </w:r>
      <w:r w:rsidRPr="00C35ABA">
        <w:t xml:space="preserve">and </w:t>
      </w:r>
      <w:r w:rsidR="00D41158">
        <w:t xml:space="preserve">it has </w:t>
      </w:r>
      <w:r w:rsidRPr="00C35ABA">
        <w:t xml:space="preserve">conducted a range of consultation, we </w:t>
      </w:r>
      <w:r w:rsidR="00004C26">
        <w:t>could not</w:t>
      </w:r>
      <w:r w:rsidRPr="00C35ABA">
        <w:t xml:space="preserve"> see how Energex has measured the outcomes of its program and stakeholder feedback and applied that feedback to its strategy. We consider that Energex must continue working towards this. The outcome of engagement should be focussed on gaining an understanding of consumers and their needs in the lead up to developing a regulatory proposal</w:t>
      </w:r>
      <w:r w:rsidR="00D41158">
        <w:t xml:space="preserve"> and clearly reflecting those findings in its proposals</w:t>
      </w:r>
      <w:r w:rsidRPr="00C35ABA">
        <w:t xml:space="preserve">. In this instance, </w:t>
      </w:r>
      <w:r w:rsidR="00D41158">
        <w:t xml:space="preserve">it appears that </w:t>
      </w:r>
      <w:r w:rsidRPr="00C35ABA">
        <w:t>Energex has instead used its newly established consumer engagement process to inform consumers of a regulatory proposal that was likely well developed. This was reflected in stakeholder submissions to Energex’s regulatory proposal:</w:t>
      </w:r>
    </w:p>
    <w:p w:rsidR="00C35ABA" w:rsidRPr="00C35ABA" w:rsidRDefault="00C35ABA" w:rsidP="00037240">
      <w:pPr>
        <w:pStyle w:val="AERbulletlistfirststyle"/>
      </w:pPr>
      <w:r w:rsidRPr="00C35ABA">
        <w:t xml:space="preserve">Canegrowers submitted </w:t>
      </w:r>
      <w:r w:rsidR="00004C26" w:rsidRPr="00C35ABA">
        <w:t>that</w:t>
      </w:r>
      <w:r w:rsidR="00004C26">
        <w:t xml:space="preserve"> while </w:t>
      </w:r>
      <w:r w:rsidRPr="00C35ABA">
        <w:t>Energex’s workshops provided insights into the proposal being prepared, they were not designed to enable participants to critically analyse the issues.</w:t>
      </w:r>
      <w:r w:rsidRPr="00037240">
        <w:rPr>
          <w:rStyle w:val="AERsuperscript"/>
        </w:rPr>
        <w:footnoteReference w:id="88"/>
      </w:r>
    </w:p>
    <w:p w:rsidR="00C35ABA" w:rsidRPr="00C35ABA" w:rsidRDefault="00C35ABA" w:rsidP="00037240">
      <w:pPr>
        <w:pStyle w:val="AERbulletlistfirststyle"/>
      </w:pPr>
      <w:r w:rsidRPr="00C35ABA">
        <w:t>QCOSS acknowledged that Energex had attempted to engage but it was not evident where the views of those engaged have been reflected in the proposals submitted to the AER.</w:t>
      </w:r>
      <w:r w:rsidRPr="00037240">
        <w:rPr>
          <w:rStyle w:val="AERsuperscript"/>
        </w:rPr>
        <w:footnoteReference w:id="89"/>
      </w:r>
    </w:p>
    <w:p w:rsidR="00C35ABA" w:rsidRPr="00C35ABA" w:rsidRDefault="00C35ABA" w:rsidP="00037240">
      <w:pPr>
        <w:pStyle w:val="AERbulletlistfirststyle"/>
      </w:pPr>
      <w:r w:rsidRPr="00C35ABA">
        <w:t>Total Environment Centre submitted that Energex openly acknowledged the purpose of its engagement was to provide information rather than opportunities for stakeholder input into the development of its proposal.</w:t>
      </w:r>
      <w:r w:rsidRPr="00037240">
        <w:rPr>
          <w:rStyle w:val="AERsuperscript"/>
        </w:rPr>
        <w:footnoteReference w:id="90"/>
      </w:r>
      <w:r w:rsidRPr="00037240">
        <w:rPr>
          <w:rStyle w:val="AERsuperscript"/>
        </w:rPr>
        <w:t xml:space="preserve"> </w:t>
      </w:r>
    </w:p>
    <w:p w:rsidR="0094704D" w:rsidRPr="00C35ABA" w:rsidRDefault="007E0E08" w:rsidP="0094704D">
      <w:r>
        <w:t xml:space="preserve">We commend Energex for their progress on consumer engagement so far. </w:t>
      </w:r>
      <w:r w:rsidR="0094704D">
        <w:t>W</w:t>
      </w:r>
      <w:r w:rsidR="0094704D" w:rsidRPr="00C35ABA">
        <w:t xml:space="preserve">e expect that </w:t>
      </w:r>
      <w:r w:rsidR="0094704D">
        <w:t>Energex's</w:t>
      </w:r>
      <w:r w:rsidR="0094704D" w:rsidRPr="00C35ABA">
        <w:t xml:space="preserve"> </w:t>
      </w:r>
      <w:r w:rsidR="0094704D">
        <w:t>engagement with consumers</w:t>
      </w:r>
      <w:r w:rsidR="0094704D" w:rsidRPr="00C35ABA">
        <w:t xml:space="preserve"> will </w:t>
      </w:r>
      <w:r w:rsidR="0094704D">
        <w:t>continue to develop over time. We also expect</w:t>
      </w:r>
      <w:r w:rsidR="0094704D" w:rsidRPr="00C35ABA">
        <w:t xml:space="preserve"> engagement with consumers </w:t>
      </w:r>
      <w:r w:rsidR="0094704D">
        <w:t xml:space="preserve">to </w:t>
      </w:r>
      <w:r w:rsidR="0094704D" w:rsidRPr="00C35ABA">
        <w:t>become more sophisticated</w:t>
      </w:r>
      <w:r w:rsidR="0094704D">
        <w:t>,</w:t>
      </w:r>
      <w:r w:rsidR="0094704D" w:rsidRPr="00C35ABA">
        <w:t xml:space="preserve"> </w:t>
      </w:r>
      <w:r w:rsidR="0094704D">
        <w:t xml:space="preserve">as will consumers' expectations of Energex, </w:t>
      </w:r>
      <w:r w:rsidR="0094704D" w:rsidRPr="00C35ABA">
        <w:t xml:space="preserve">in working with consumers in developing its </w:t>
      </w:r>
      <w:r w:rsidR="0094704D">
        <w:t xml:space="preserve">next </w:t>
      </w:r>
      <w:r w:rsidR="0094704D" w:rsidRPr="00C35ABA">
        <w:t xml:space="preserve">regulatory proposal. </w:t>
      </w:r>
    </w:p>
    <w:p w:rsidR="00C35ABA" w:rsidRDefault="00C35ABA" w:rsidP="007B3355"/>
    <w:p w:rsidR="007B3355" w:rsidRDefault="007B3355" w:rsidP="004112FD">
      <w:pPr>
        <w:pStyle w:val="Heading2"/>
        <w:numPr>
          <w:ilvl w:val="0"/>
          <w:numId w:val="0"/>
        </w:numPr>
      </w:pPr>
    </w:p>
    <w:p w:rsidR="007B3355" w:rsidRPr="00C35ABA" w:rsidRDefault="007B3355" w:rsidP="004112FD">
      <w:pPr>
        <w:pStyle w:val="Heading7"/>
      </w:pPr>
      <w:bookmarkStart w:id="76" w:name="_Toc417973164"/>
      <w:r w:rsidRPr="00C35ABA">
        <w:t xml:space="preserve"> </w:t>
      </w:r>
      <w:bookmarkStart w:id="77" w:name="_Toc433723321"/>
      <w:r w:rsidRPr="00C35ABA">
        <w:t>Constituent decisions</w:t>
      </w:r>
      <w:bookmarkEnd w:id="76"/>
      <w:bookmarkEnd w:id="77"/>
    </w:p>
    <w:p w:rsidR="007B3355" w:rsidRDefault="007B3355" w:rsidP="007B3355">
      <w:pPr>
        <w:numPr>
          <w:ilvl w:val="0"/>
          <w:numId w:val="25"/>
        </w:numPr>
      </w:pPr>
      <w:r>
        <w:t xml:space="preserve">Our </w:t>
      </w:r>
      <w:r w:rsidR="006B269A">
        <w:t xml:space="preserve">final </w:t>
      </w:r>
      <w:r>
        <w:t>distribution determination is predicated on the following decisions (constituent decisions):</w:t>
      </w:r>
      <w:r>
        <w:rPr>
          <w:rStyle w:val="FootnoteReference"/>
        </w:rPr>
        <w:footnoteReference w:id="91"/>
      </w:r>
    </w:p>
    <w:tbl>
      <w:tblPr>
        <w:tblStyle w:val="AERtable-text0"/>
        <w:tblW w:w="0" w:type="auto"/>
        <w:tblLook w:val="04A0" w:firstRow="1" w:lastRow="0" w:firstColumn="1" w:lastColumn="0" w:noHBand="0" w:noVBand="1"/>
      </w:tblPr>
      <w:tblGrid>
        <w:gridCol w:w="8693"/>
      </w:tblGrid>
      <w:tr w:rsidR="007B3355" w:rsidTr="00D27650">
        <w:trPr>
          <w:cnfStyle w:val="100000000000" w:firstRow="1" w:lastRow="0" w:firstColumn="0" w:lastColumn="0" w:oddVBand="0" w:evenVBand="0" w:oddHBand="0" w:evenHBand="0" w:firstRowFirstColumn="0" w:firstRowLastColumn="0" w:lastRowFirstColumn="0" w:lastRowLastColumn="0"/>
          <w:tblHeader/>
        </w:trPr>
        <w:tc>
          <w:tcPr>
            <w:tcW w:w="8693" w:type="dxa"/>
          </w:tcPr>
          <w:p w:rsidR="007B3355" w:rsidRPr="0046153F" w:rsidRDefault="007B3355" w:rsidP="007B3355">
            <w:pPr>
              <w:numPr>
                <w:ilvl w:val="0"/>
                <w:numId w:val="25"/>
              </w:numPr>
            </w:pPr>
            <w:r>
              <w:t>Constituent decision</w:t>
            </w:r>
          </w:p>
        </w:tc>
      </w:tr>
      <w:tr w:rsidR="007B3355" w:rsidRPr="00185712" w:rsidTr="00D27650">
        <w:trPr>
          <w:trHeight w:val="2209"/>
        </w:trPr>
        <w:tc>
          <w:tcPr>
            <w:tcW w:w="8693" w:type="dxa"/>
          </w:tcPr>
          <w:p w:rsidR="007B3355" w:rsidRPr="00185712" w:rsidRDefault="007B3355" w:rsidP="007B3355">
            <w:pPr>
              <w:numPr>
                <w:ilvl w:val="0"/>
                <w:numId w:val="25"/>
              </w:numPr>
            </w:pPr>
            <w:r>
              <w:t>In accordance with clause 6.12.1(1) of the NER, the following classification of services will apply to Energex for the 2015</w:t>
            </w:r>
            <w:r w:rsidRPr="0046153F">
              <w:t>–</w:t>
            </w:r>
            <w:r>
              <w:t xml:space="preserve">20 regulatory control period </w:t>
            </w:r>
            <w:r w:rsidRPr="00185712">
              <w:t>(listed by service group):</w:t>
            </w:r>
          </w:p>
          <w:p w:rsidR="007B3355" w:rsidRPr="00EF616C" w:rsidRDefault="007B3355" w:rsidP="00EF616C">
            <w:pPr>
              <w:pStyle w:val="AERbulletlistfirststyle"/>
            </w:pPr>
            <w:r w:rsidRPr="00EF616C">
              <w:t xml:space="preserve">Standard control services include network services, small customer connections and type 7 metering services </w:t>
            </w:r>
          </w:p>
          <w:p w:rsidR="007B3355" w:rsidRPr="00EF616C" w:rsidRDefault="007B3355" w:rsidP="00EF616C">
            <w:pPr>
              <w:pStyle w:val="AERbulletlistfirststyle"/>
            </w:pPr>
            <w:r w:rsidRPr="00EF616C">
              <w:t>Alternative control services include metering types 5 and 6 metering services, large customer connections, ancillary network services and public lighting</w:t>
            </w:r>
          </w:p>
          <w:p w:rsidR="007B3355" w:rsidRPr="00EF616C" w:rsidRDefault="007B3355" w:rsidP="00EF616C">
            <w:pPr>
              <w:pStyle w:val="AERbulletlistfirststyle"/>
            </w:pPr>
            <w:r w:rsidRPr="00EF616C">
              <w:t>Unregulated services include type 1 to 4 metering services.</w:t>
            </w:r>
          </w:p>
          <w:p w:rsidR="007B3355" w:rsidRPr="007B3355" w:rsidRDefault="007B3355" w:rsidP="006B269A">
            <w:r>
              <w:t xml:space="preserve">Attachment 13 </w:t>
            </w:r>
            <w:r w:rsidR="006B269A">
              <w:t xml:space="preserve">of the final decision </w:t>
            </w:r>
            <w:r>
              <w:t xml:space="preserve">discusses classification of services. </w:t>
            </w:r>
          </w:p>
        </w:tc>
      </w:tr>
      <w:tr w:rsidR="007B3355" w:rsidTr="00D27650">
        <w:trPr>
          <w:cnfStyle w:val="000000010000" w:firstRow="0" w:lastRow="0" w:firstColumn="0" w:lastColumn="0" w:oddVBand="0" w:evenVBand="0" w:oddHBand="0" w:evenHBand="1" w:firstRowFirstColumn="0" w:firstRowLastColumn="0" w:lastRowFirstColumn="0" w:lastRowLastColumn="0"/>
        </w:trPr>
        <w:tc>
          <w:tcPr>
            <w:tcW w:w="8693" w:type="dxa"/>
          </w:tcPr>
          <w:p w:rsidR="007B3355" w:rsidRPr="0046153F" w:rsidRDefault="007B3355" w:rsidP="006B269A">
            <w:pPr>
              <w:numPr>
                <w:ilvl w:val="0"/>
                <w:numId w:val="25"/>
              </w:numPr>
            </w:pPr>
            <w:r>
              <w:t>In accordance with clause 6.12.1(2)(i) of the NER, the AER does not</w:t>
            </w:r>
            <w:r w:rsidRPr="0046153F">
              <w:t xml:space="preserve"> approve the annual revenue requirement set out in </w:t>
            </w:r>
            <w:r>
              <w:t>Energex'</w:t>
            </w:r>
            <w:r w:rsidRPr="0046153F">
              <w:t>s building block proposal. Our</w:t>
            </w:r>
            <w:r>
              <w:t xml:space="preserve"> </w:t>
            </w:r>
            <w:r w:rsidR="006B269A">
              <w:t>final</w:t>
            </w:r>
            <w:r w:rsidRPr="0046153F">
              <w:t xml:space="preserve"> decision on </w:t>
            </w:r>
            <w:r>
              <w:t>Energex's</w:t>
            </w:r>
            <w:r w:rsidRPr="0046153F">
              <w:t xml:space="preserve"> annual revenue requirement for each year of the 201</w:t>
            </w:r>
            <w:r>
              <w:t>5</w:t>
            </w:r>
            <w:r w:rsidRPr="0046153F">
              <w:t>–</w:t>
            </w:r>
            <w:r>
              <w:t xml:space="preserve">20 </w:t>
            </w:r>
            <w:r w:rsidR="00965B7C">
              <w:t xml:space="preserve">regulatory control </w:t>
            </w:r>
            <w:r>
              <w:t>period is set out in a</w:t>
            </w:r>
            <w:r w:rsidRPr="0046153F">
              <w:t>ttachment 1 of the</w:t>
            </w:r>
            <w:r>
              <w:t xml:space="preserve"> </w:t>
            </w:r>
            <w:r w:rsidR="006B269A">
              <w:t xml:space="preserve">final </w:t>
            </w:r>
            <w:r w:rsidRPr="0046153F">
              <w:t>decision.</w:t>
            </w:r>
          </w:p>
        </w:tc>
      </w:tr>
      <w:tr w:rsidR="007B3355" w:rsidTr="00D27650">
        <w:tc>
          <w:tcPr>
            <w:tcW w:w="8693" w:type="dxa"/>
          </w:tcPr>
          <w:p w:rsidR="007B3355" w:rsidRPr="007B3355" w:rsidRDefault="007B3355" w:rsidP="007B3355">
            <w:r>
              <w:t xml:space="preserve">In accordance with clause 6.12.1(2)(ii) of the NER, </w:t>
            </w:r>
            <w:r w:rsidRPr="007B3355">
              <w:t xml:space="preserve">the AER approves Energex's proposal that the regulatory control period will commence on 1 July 2015. Also in accordance with clause 6.12.1(2)(ii) of the NER, the AER approves Energex's proposal that the length of the regulatory control period will be five years from 1 July 2015 to 30 June 2020. </w:t>
            </w:r>
          </w:p>
        </w:tc>
      </w:tr>
      <w:tr w:rsidR="007B3355" w:rsidTr="00D27650">
        <w:trPr>
          <w:cnfStyle w:val="000000010000" w:firstRow="0" w:lastRow="0" w:firstColumn="0" w:lastColumn="0" w:oddVBand="0" w:evenVBand="0" w:oddHBand="0" w:evenHBand="1" w:firstRowFirstColumn="0" w:firstRowLastColumn="0" w:lastRowFirstColumn="0" w:lastRowLastColumn="0"/>
        </w:trPr>
        <w:tc>
          <w:tcPr>
            <w:tcW w:w="8693" w:type="dxa"/>
          </w:tcPr>
          <w:p w:rsidR="007B3355" w:rsidRPr="007B3355" w:rsidRDefault="007B3355" w:rsidP="00246315">
            <w:r>
              <w:t xml:space="preserve">In accordance </w:t>
            </w:r>
            <w:r w:rsidRPr="007B3355">
              <w:t xml:space="preserve">with clause 6.12.1(3)(ii) and acting in accordance with clause 6.5.7(c), the AER does not accept Energex's proposed total forecast capital expenditure of </w:t>
            </w:r>
            <w:r w:rsidRPr="007B3355">
              <w:rPr>
                <w:rStyle w:val="AERbodytextChar"/>
                <w:rFonts w:eastAsia="Calibri"/>
              </w:rPr>
              <w:t>$</w:t>
            </w:r>
            <w:r w:rsidR="004A2AF6">
              <w:rPr>
                <w:rStyle w:val="AERbodytextChar"/>
                <w:rFonts w:eastAsia="Calibri"/>
              </w:rPr>
              <w:t>2889.7</w:t>
            </w:r>
            <w:r w:rsidRPr="007B3355">
              <w:rPr>
                <w:rStyle w:val="AERbodytextChar"/>
                <w:rFonts w:eastAsia="Calibri"/>
              </w:rPr>
              <w:t xml:space="preserve"> million ($2014–15). Our substitute estimate of Energex's total forecast capex for the 2015–20 regulatory control period is $</w:t>
            </w:r>
            <w:r w:rsidR="004A2AF6">
              <w:rPr>
                <w:rStyle w:val="AERbodytextChar"/>
                <w:rFonts w:eastAsia="Calibri"/>
              </w:rPr>
              <w:t>27</w:t>
            </w:r>
            <w:r w:rsidR="00076893">
              <w:rPr>
                <w:rStyle w:val="AERbodytextChar"/>
                <w:rFonts w:eastAsia="Calibri"/>
              </w:rPr>
              <w:t>55.4</w:t>
            </w:r>
            <w:r w:rsidRPr="007B3355">
              <w:rPr>
                <w:rStyle w:val="AERbodytextChar"/>
                <w:rFonts w:eastAsia="Calibri"/>
              </w:rPr>
              <w:t xml:space="preserve"> million</w:t>
            </w:r>
            <w:r w:rsidRPr="007B3355">
              <w:t xml:space="preserve"> ($2014–15). This is discussed in attachment 6 of the </w:t>
            </w:r>
            <w:r w:rsidR="006B269A">
              <w:t>final</w:t>
            </w:r>
            <w:r w:rsidRPr="007B3355">
              <w:t xml:space="preserve"> decision.</w:t>
            </w:r>
          </w:p>
        </w:tc>
      </w:tr>
      <w:tr w:rsidR="00A371F7" w:rsidTr="00D27650">
        <w:tc>
          <w:tcPr>
            <w:tcW w:w="8693" w:type="dxa"/>
          </w:tcPr>
          <w:p w:rsidR="00A371F7" w:rsidRPr="00A371F7" w:rsidRDefault="00A371F7" w:rsidP="00A371F7">
            <w:r>
              <w:t xml:space="preserve">In accordance with clause 6.12.1(4)(i) and acting in accordance with clause 6.5.6(c), </w:t>
            </w:r>
            <w:r w:rsidRPr="00A371F7">
              <w:t xml:space="preserve">the AER accepts Energex’s proposed total forecast operating expenditure inclusive of debt raising costs </w:t>
            </w:r>
            <w:r w:rsidRPr="00A371F7">
              <w:rPr>
                <w:rStyle w:val="AERbodytextChar"/>
                <w:rFonts w:eastAsia="Calibri"/>
              </w:rPr>
              <w:t>of $</w:t>
            </w:r>
            <w:r w:rsidRPr="00A371F7">
              <w:t>1738.2</w:t>
            </w:r>
            <w:r w:rsidRPr="00A371F7">
              <w:rPr>
                <w:rStyle w:val="AERbodytextChar"/>
                <w:rFonts w:eastAsia="Calibri"/>
              </w:rPr>
              <w:t xml:space="preserve"> million (</w:t>
            </w:r>
            <w:r w:rsidRPr="00A371F7">
              <w:t>$20</w:t>
            </w:r>
            <w:r w:rsidR="00246315">
              <w:t>14–</w:t>
            </w:r>
            <w:r w:rsidRPr="00A371F7">
              <w:t>15). This is discussed in attachment 7 of the final decision.</w:t>
            </w:r>
          </w:p>
        </w:tc>
      </w:tr>
      <w:tr w:rsidR="00A371F7" w:rsidTr="00D27650">
        <w:trPr>
          <w:cnfStyle w:val="000000010000" w:firstRow="0" w:lastRow="0" w:firstColumn="0" w:lastColumn="0" w:oddVBand="0" w:evenVBand="0" w:oddHBand="0" w:evenHBand="1" w:firstRowFirstColumn="0" w:firstRowLastColumn="0" w:lastRowFirstColumn="0" w:lastRowLastColumn="0"/>
        </w:trPr>
        <w:tc>
          <w:tcPr>
            <w:tcW w:w="8693" w:type="dxa"/>
          </w:tcPr>
          <w:p w:rsidR="00A371F7" w:rsidRPr="0046153F" w:rsidRDefault="00A371F7" w:rsidP="00A371F7">
            <w:pPr>
              <w:numPr>
                <w:ilvl w:val="0"/>
                <w:numId w:val="25"/>
              </w:numPr>
            </w:pPr>
            <w:r>
              <w:t>In accordance with clause 6.12.1(4A)(i) the AER determines</w:t>
            </w:r>
            <w:r w:rsidRPr="0046153F">
              <w:t xml:space="preserve"> that there are no contingent projects for the purposes of the distribution</w:t>
            </w:r>
            <w:r>
              <w:t xml:space="preserve"> determination.</w:t>
            </w:r>
          </w:p>
        </w:tc>
      </w:tr>
      <w:tr w:rsidR="00A371F7" w:rsidTr="00D27650">
        <w:tc>
          <w:tcPr>
            <w:tcW w:w="8693" w:type="dxa"/>
          </w:tcPr>
          <w:p w:rsidR="00A371F7" w:rsidRPr="00A371F7" w:rsidRDefault="00A371F7" w:rsidP="00A371F7">
            <w:r>
              <w:t>Energex</w:t>
            </w:r>
            <w:r w:rsidRPr="00A371F7">
              <w:t xml:space="preserve"> did not include any proposed contingent projects in its regulatory proposal for the 2015–20 regulatory control period. Therefore,</w:t>
            </w:r>
          </w:p>
          <w:p w:rsidR="00A371F7" w:rsidRPr="00A371F7" w:rsidRDefault="00A371F7" w:rsidP="00A371F7">
            <w:pPr>
              <w:pStyle w:val="AERbulletlistfirststyle"/>
            </w:pPr>
            <w:r>
              <w:t>i</w:t>
            </w:r>
            <w:r w:rsidRPr="00A371F7">
              <w:t>n accordance with clause 6.12.1(4A)(ii), the AER has not made an assessment of whether the capital expenditure proposed in the context of each contingent project reflects the capital expenditure criteria and factors</w:t>
            </w:r>
          </w:p>
          <w:p w:rsidR="00A371F7" w:rsidRPr="00A371F7" w:rsidRDefault="00A371F7" w:rsidP="00A371F7">
            <w:pPr>
              <w:pStyle w:val="AERbulletlistfirststyle"/>
            </w:pPr>
            <w:r w:rsidRPr="00C97F75">
              <w:t xml:space="preserve">in accordance with clause </w:t>
            </w:r>
            <w:r w:rsidRPr="00A371F7">
              <w:t>6.12.1(4A)(iii), the AER does not specify any trigger events in relation to contingent projects</w:t>
            </w:r>
          </w:p>
          <w:p w:rsidR="00A371F7" w:rsidRPr="00A371F7" w:rsidRDefault="00A371F7" w:rsidP="00A371F7">
            <w:pPr>
              <w:pStyle w:val="AERbulletlistfirststyle"/>
            </w:pPr>
            <w:r>
              <w:t>i</w:t>
            </w:r>
            <w:r w:rsidRPr="00A371F7">
              <w:t>n accordance with clause 6.12.1(4A)(iv), the AER does not determine that any proposed contingent project is not a contingent project.</w:t>
            </w:r>
          </w:p>
        </w:tc>
      </w:tr>
      <w:tr w:rsidR="00A371F7" w:rsidTr="00D27650">
        <w:trPr>
          <w:cnfStyle w:val="000000010000" w:firstRow="0" w:lastRow="0" w:firstColumn="0" w:lastColumn="0" w:oddVBand="0" w:evenVBand="0" w:oddHBand="0" w:evenHBand="1" w:firstRowFirstColumn="0" w:firstRowLastColumn="0" w:lastRowFirstColumn="0" w:lastRowLastColumn="0"/>
        </w:trPr>
        <w:tc>
          <w:tcPr>
            <w:tcW w:w="8693" w:type="dxa"/>
          </w:tcPr>
          <w:p w:rsidR="00A371F7" w:rsidRPr="00A371F7" w:rsidRDefault="00A371F7" w:rsidP="000B7E38">
            <w:r>
              <w:t>In accordance with clause 6.12.1(5) the AER's decision on the allowed rate o</w:t>
            </w:r>
            <w:r w:rsidRPr="00A371F7">
              <w:t>f return for the first regulatory year of the regulatory control period in accordance with clause  6.5.2 is not to accept Energex's proposal of 7.42 per cent. Our decision on the allowed rate of return for the first regulatory year of the regulatory control period is 6.01</w:t>
            </w:r>
            <w:r w:rsidR="000B7E38">
              <w:t xml:space="preserve"> </w:t>
            </w:r>
            <w:r w:rsidRPr="00A371F7">
              <w:t>per</w:t>
            </w:r>
            <w:r w:rsidRPr="00A371F7">
              <w:rPr>
                <w:rStyle w:val="AERbodytextChar"/>
                <w:rFonts w:eastAsia="Calibri"/>
              </w:rPr>
              <w:t xml:space="preserve"> cent as set out in table 3.1 of attachment 3 </w:t>
            </w:r>
            <w:r w:rsidRPr="00A371F7">
              <w:t>of the final decision. This rate of return will be updated annually because our decision is to apply a trailing average portfolio approach to estimating debt which incorporates annual updating of the allowed return on debt.</w:t>
            </w:r>
          </w:p>
        </w:tc>
      </w:tr>
      <w:tr w:rsidR="00A371F7" w:rsidTr="00D27650">
        <w:tc>
          <w:tcPr>
            <w:tcW w:w="8693" w:type="dxa"/>
          </w:tcPr>
          <w:p w:rsidR="00A371F7" w:rsidRPr="00A371F7" w:rsidRDefault="00A371F7" w:rsidP="00A371F7">
            <w:r>
              <w:t>In accordance with clause 6.12.1(5A) the AER</w:t>
            </w:r>
            <w:r w:rsidRPr="00A371F7">
              <w:t xml:space="preserve">'s decision is that the return on debt is to be estimated using a methodology referred to in clause 6.5.2(i)(2) which is set out in attachment 3 (appendix I) of the final decision. </w:t>
            </w:r>
          </w:p>
        </w:tc>
      </w:tr>
      <w:tr w:rsidR="00A371F7" w:rsidTr="00D27650">
        <w:trPr>
          <w:cnfStyle w:val="000000010000" w:firstRow="0" w:lastRow="0" w:firstColumn="0" w:lastColumn="0" w:oddVBand="0" w:evenVBand="0" w:oddHBand="0" w:evenHBand="1" w:firstRowFirstColumn="0" w:firstRowLastColumn="0" w:lastRowFirstColumn="0" w:lastRowLastColumn="0"/>
        </w:trPr>
        <w:tc>
          <w:tcPr>
            <w:tcW w:w="8693" w:type="dxa"/>
          </w:tcPr>
          <w:p w:rsidR="00A371F7" w:rsidRPr="00A371F7" w:rsidRDefault="00A371F7" w:rsidP="000B7E38">
            <w:r>
              <w:t>In accordance with clause 6.12.1(5B) the AER's decision on the value of imputation credits as referred to in clause 6.5.3</w:t>
            </w:r>
            <w:r w:rsidRPr="00A371F7">
              <w:t xml:space="preserve"> is to adopt a value of 0.4. This is set out in attachment 4 of the final decision. </w:t>
            </w:r>
          </w:p>
        </w:tc>
      </w:tr>
      <w:tr w:rsidR="00A371F7" w:rsidTr="00D27650">
        <w:tc>
          <w:tcPr>
            <w:tcW w:w="8693" w:type="dxa"/>
          </w:tcPr>
          <w:p w:rsidR="00A371F7" w:rsidRPr="00A371F7" w:rsidRDefault="00A371F7" w:rsidP="000B7E38">
            <w:r>
              <w:t xml:space="preserve">In accordance with clause 6.12.1(6) the AER's decision on </w:t>
            </w:r>
            <w:r w:rsidRPr="00A371F7">
              <w:t>Energex's regulatory asset base as at 1 July 2015 in accordance with clause 6.5.1 and schedule 6.</w:t>
            </w:r>
            <w:r w:rsidRPr="00A371F7">
              <w:rPr>
                <w:rStyle w:val="AERbodytextChar"/>
                <w:rFonts w:eastAsia="Calibri"/>
              </w:rPr>
              <w:t>2 is $</w:t>
            </w:r>
            <w:r w:rsidRPr="00A371F7">
              <w:t>11 172.5 million</w:t>
            </w:r>
            <w:r w:rsidR="000B7E38">
              <w:t xml:space="preserve"> ($ nominal)</w:t>
            </w:r>
            <w:r w:rsidRPr="00A371F7">
              <w:t>. This is set out in attachment 2 of the final decision.</w:t>
            </w:r>
          </w:p>
        </w:tc>
      </w:tr>
      <w:tr w:rsidR="00A371F7" w:rsidTr="00D27650">
        <w:trPr>
          <w:cnfStyle w:val="000000010000" w:firstRow="0" w:lastRow="0" w:firstColumn="0" w:lastColumn="0" w:oddVBand="0" w:evenVBand="0" w:oddHBand="0" w:evenHBand="1" w:firstRowFirstColumn="0" w:firstRowLastColumn="0" w:lastRowFirstColumn="0" w:lastRowLastColumn="0"/>
        </w:trPr>
        <w:tc>
          <w:tcPr>
            <w:tcW w:w="8693" w:type="dxa"/>
          </w:tcPr>
          <w:p w:rsidR="00A371F7" w:rsidRPr="00A371F7" w:rsidRDefault="00A371F7" w:rsidP="00246315">
            <w:r>
              <w:t>In accordance with clause 6.12.1(7)</w:t>
            </w:r>
            <w:r w:rsidRPr="00A371F7">
              <w:t xml:space="preserve"> the AER does not accept Energex's revised proposed corporate income tax of $538.1 million ($ nominal). Our decision on Energex's corporate income tax is $ 275.</w:t>
            </w:r>
            <w:r w:rsidRPr="0054283A">
              <w:t>3</w:t>
            </w:r>
            <w:r w:rsidRPr="00A371F7">
              <w:rPr>
                <w:rStyle w:val="AERbodytextChar"/>
                <w:rFonts w:eastAsia="Calibri"/>
              </w:rPr>
              <w:t xml:space="preserve"> million</w:t>
            </w:r>
            <w:r w:rsidRPr="00A371F7">
              <w:t xml:space="preserve"> ($nominal). This is set out in attachment 8 of the final decision.</w:t>
            </w:r>
          </w:p>
        </w:tc>
      </w:tr>
      <w:tr w:rsidR="00A371F7" w:rsidTr="00D27650">
        <w:tc>
          <w:tcPr>
            <w:tcW w:w="8693" w:type="dxa"/>
          </w:tcPr>
          <w:p w:rsidR="00A371F7" w:rsidRPr="00A371F7" w:rsidRDefault="00A371F7" w:rsidP="00A371F7">
            <w:r>
              <w:t xml:space="preserve">In accordance with clause 6.12.1(8) the AER's decision </w:t>
            </w:r>
            <w:r w:rsidRPr="00A371F7">
              <w:t>is not to approve the depreciation schedules submitted by Energex. This is set out in attachment 5 of the final decision.</w:t>
            </w:r>
          </w:p>
        </w:tc>
      </w:tr>
      <w:tr w:rsidR="00A371F7" w:rsidTr="00D27650">
        <w:trPr>
          <w:cnfStyle w:val="000000010000" w:firstRow="0" w:lastRow="0" w:firstColumn="0" w:lastColumn="0" w:oddVBand="0" w:evenVBand="0" w:oddHBand="0" w:evenHBand="1" w:firstRowFirstColumn="0" w:firstRowLastColumn="0" w:lastRowFirstColumn="0" w:lastRowLastColumn="0"/>
        </w:trPr>
        <w:tc>
          <w:tcPr>
            <w:tcW w:w="8693" w:type="dxa"/>
          </w:tcPr>
          <w:p w:rsidR="00A371F7" w:rsidRPr="00A371F7" w:rsidRDefault="00A371F7" w:rsidP="00A371F7">
            <w:r>
              <w:t>In accordance with clause 6.12.1(9) the AER</w:t>
            </w:r>
            <w:r w:rsidRPr="00A371F7">
              <w:t xml:space="preserve"> makes the following decisions on how any applicable efficiency benefit sharing scheme, capital expenditure sharing scheme, service target performance incentive scheme, demand management</w:t>
            </w:r>
            <w:r w:rsidR="009501CC">
              <w:t xml:space="preserve"> and embedded generation connection </w:t>
            </w:r>
            <w:r w:rsidRPr="00A371F7">
              <w:t>incentive scheme or small-scale incentive scheme is to apply:</w:t>
            </w:r>
          </w:p>
          <w:p w:rsidR="00A371F7" w:rsidRPr="00A371F7" w:rsidRDefault="00A371F7" w:rsidP="00A371F7">
            <w:pPr>
              <w:pStyle w:val="AERbulletlistfirststyle"/>
            </w:pPr>
            <w:r w:rsidRPr="00DD74C3">
              <w:t>In accordance with clause 6.12.1(9) of the NER</w:t>
            </w:r>
            <w:r w:rsidRPr="00A371F7">
              <w:t>, the AER's decision is to apply version two of the EBSS to Energex in the 2015–20 regulatory control period. This is set out in attachment 9 of the final decision.</w:t>
            </w:r>
          </w:p>
          <w:p w:rsidR="00A371F7" w:rsidRPr="00A371F7" w:rsidRDefault="00A371F7" w:rsidP="00A371F7">
            <w:pPr>
              <w:pStyle w:val="AERbulletlistfirststyle"/>
            </w:pPr>
            <w:r w:rsidRPr="00DD74C3">
              <w:t>In accordance with clause 6.12.1(9) of the NER</w:t>
            </w:r>
            <w:r w:rsidRPr="00A371F7">
              <w:t xml:space="preserve">, </w:t>
            </w:r>
            <w:r w:rsidR="000B7E38">
              <w:t xml:space="preserve">the AER </w:t>
            </w:r>
            <w:r w:rsidRPr="00A371F7">
              <w:t>will apply the CESS as set out in version 1 of the Capital Expenditure Incentives Guideline to Energex in the 2015–20 regulatory control period. CESS is discussed in attachment 10.</w:t>
            </w:r>
          </w:p>
          <w:p w:rsidR="00A371F7" w:rsidRPr="00A371F7" w:rsidRDefault="00A371F7" w:rsidP="00A371F7">
            <w:pPr>
              <w:pStyle w:val="AERbulletlistfirststyle"/>
            </w:pPr>
            <w:r w:rsidRPr="00FB29D4">
              <w:t xml:space="preserve">In accordance with clause 6.12.1(9) of the NER, </w:t>
            </w:r>
            <w:r w:rsidR="000B7E38">
              <w:t>the AER</w:t>
            </w:r>
            <w:r w:rsidR="000B7E38" w:rsidRPr="00FB29D4">
              <w:t xml:space="preserve"> </w:t>
            </w:r>
            <w:r w:rsidRPr="00FB29D4">
              <w:t xml:space="preserve">will apply our </w:t>
            </w:r>
            <w:r w:rsidRPr="00A371F7">
              <w:t>Service Target Performance Incentive Scheme (STPIS) to Energex for the 2015</w:t>
            </w:r>
            <w:r w:rsidR="000B7E38">
              <w:rPr>
                <w:rFonts w:cs="Arial"/>
              </w:rPr>
              <w:t>─</w:t>
            </w:r>
            <w:r w:rsidRPr="00A371F7">
              <w:t>20 regulatory control period.</w:t>
            </w:r>
            <w:r w:rsidR="000B7E38">
              <w:t xml:space="preserve"> STPIS is discussed in attachment 11.</w:t>
            </w:r>
          </w:p>
          <w:p w:rsidR="00A371F7" w:rsidRPr="00A371F7" w:rsidRDefault="00A371F7" w:rsidP="00A371F7">
            <w:pPr>
              <w:pStyle w:val="AERbulletlistsecondstyle"/>
            </w:pPr>
            <w:r w:rsidRPr="00A371F7">
              <w:t xml:space="preserve">We will apply the System Average Interruption Duration Index (SAIDI) and System Average Interruption Frequency Index (SAIFI) reliability of supply parameters. We will also apply the customer service telephone answering parameter. We will not apply a guaranteed service level scheme as Energex must comply with its existing Queensland jurisdictional guaranteed service level scheme. </w:t>
            </w:r>
          </w:p>
          <w:p w:rsidR="00A371F7" w:rsidRPr="00A371F7" w:rsidRDefault="00A371F7" w:rsidP="00A371F7">
            <w:pPr>
              <w:pStyle w:val="AERbulletlistsecondstyle"/>
            </w:pPr>
            <w:r w:rsidRPr="007066BB">
              <w:t xml:space="preserve">A beta of 2.5 will be used to calculate the major event day boundary. </w:t>
            </w:r>
          </w:p>
          <w:p w:rsidR="00A371F7" w:rsidRPr="00A371F7" w:rsidRDefault="00A371F7" w:rsidP="00A371F7">
            <w:pPr>
              <w:pStyle w:val="AERbulletlistsecondstyle"/>
            </w:pPr>
            <w:r w:rsidRPr="007066BB">
              <w:t>Our decision on the SAIDI and SAIFI incentive rates and performance targets to apply to Energex in the 2015</w:t>
            </w:r>
            <w:r w:rsidR="000B7E38">
              <w:rPr>
                <w:rFonts w:cs="Arial"/>
              </w:rPr>
              <w:t>─</w:t>
            </w:r>
            <w:r w:rsidRPr="007066BB">
              <w:t>20 regulatory control period are set out in tables 11</w:t>
            </w:r>
            <w:r w:rsidR="000B7E38">
              <w:t>.</w:t>
            </w:r>
            <w:r w:rsidRPr="007066BB">
              <w:t>1 and</w:t>
            </w:r>
            <w:r w:rsidR="0054283A">
              <w:t xml:space="preserve"> 11</w:t>
            </w:r>
            <w:r w:rsidR="000B7E38">
              <w:t>.</w:t>
            </w:r>
            <w:r w:rsidR="0054283A">
              <w:t>2 of attachment 11 of this final</w:t>
            </w:r>
            <w:r w:rsidRPr="007066BB">
              <w:t xml:space="preserve"> decision.</w:t>
            </w:r>
          </w:p>
          <w:p w:rsidR="00A371F7" w:rsidRPr="00A371F7" w:rsidRDefault="00A371F7" w:rsidP="00A371F7">
            <w:pPr>
              <w:pStyle w:val="AERbulletlistsecondstyle"/>
            </w:pPr>
            <w:r w:rsidRPr="007066BB">
              <w:t xml:space="preserve">Our decision on the customer service component incentive rate and performance target are set </w:t>
            </w:r>
            <w:r w:rsidRPr="00A371F7">
              <w:t xml:space="preserve">out in section 11.1 of attachment 11 of this </w:t>
            </w:r>
            <w:r w:rsidR="0054283A">
              <w:t>final</w:t>
            </w:r>
            <w:r w:rsidRPr="00A371F7">
              <w:t xml:space="preserve"> decision.</w:t>
            </w:r>
          </w:p>
          <w:p w:rsidR="00A371F7" w:rsidRPr="00A371F7" w:rsidRDefault="00A371F7" w:rsidP="00A371F7">
            <w:pPr>
              <w:pStyle w:val="AERbulletlistsecondstyle"/>
            </w:pPr>
            <w:r w:rsidRPr="007066BB">
              <w:t>The revenue at risk for Energex will be capped at ±2.0 per cent. Within this there will be a cap of ±0.1 per cent on the telephone answering parameter for performance.</w:t>
            </w:r>
          </w:p>
          <w:p w:rsidR="00A371F7" w:rsidRPr="00A371F7" w:rsidRDefault="00A371F7" w:rsidP="00A371F7">
            <w:pPr>
              <w:pStyle w:val="ListContinue2"/>
            </w:pPr>
            <w:r w:rsidRPr="004838BA">
              <w:t>Note: The meaning for year “t” under the price control formula for this determination is different to that in Appendix C of STPIS. Year “t+1” in Appendix C of STPIS is equivalent to year “t” in the price control formula of this decision.</w:t>
            </w:r>
          </w:p>
          <w:p w:rsidR="00A371F7" w:rsidRPr="00A371F7" w:rsidRDefault="00A371F7" w:rsidP="00A371F7">
            <w:pPr>
              <w:pStyle w:val="AERbulletlistfirststyle"/>
            </w:pPr>
            <w:r>
              <w:t xml:space="preserve">The AER has </w:t>
            </w:r>
            <w:r w:rsidRPr="00A371F7">
              <w:t>determined to continue Part A of the Demand Management Innovation Scheme (DMIS) for Energex in the 2015–20 regulatory control period (that is, the DMIA component). DMIS is discussed in attachment 12 of the final decision.</w:t>
            </w:r>
          </w:p>
        </w:tc>
      </w:tr>
      <w:tr w:rsidR="00A371F7" w:rsidTr="00D27650">
        <w:tc>
          <w:tcPr>
            <w:tcW w:w="8693" w:type="dxa"/>
          </w:tcPr>
          <w:p w:rsidR="00A371F7" w:rsidRPr="00A371F7" w:rsidRDefault="00A371F7" w:rsidP="00A371F7">
            <w:r w:rsidRPr="00D20B4A">
              <w:t>In accordance with clause 6.12.1(10) the AER's decision is that all appropriate amounts, values and inputs are as set out in this determination including attachments.</w:t>
            </w:r>
          </w:p>
        </w:tc>
      </w:tr>
      <w:tr w:rsidR="00A371F7" w:rsidRPr="007A08A0" w:rsidTr="00D27650">
        <w:trPr>
          <w:cnfStyle w:val="000000010000" w:firstRow="0" w:lastRow="0" w:firstColumn="0" w:lastColumn="0" w:oddVBand="0" w:evenVBand="0" w:oddHBand="0" w:evenHBand="1" w:firstRowFirstColumn="0" w:firstRowLastColumn="0" w:lastRowFirstColumn="0" w:lastRowLastColumn="0"/>
        </w:trPr>
        <w:tc>
          <w:tcPr>
            <w:tcW w:w="8693" w:type="dxa"/>
          </w:tcPr>
          <w:p w:rsidR="00A371F7" w:rsidRPr="00A371F7" w:rsidRDefault="00A371F7" w:rsidP="000B7E38">
            <w:r w:rsidRPr="007A08A0">
              <w:t xml:space="preserve">In accordance with clause 6.12.1(11) the AER's decision on the form of control mechanisms </w:t>
            </w:r>
            <w:r w:rsidRPr="00A371F7">
              <w:t xml:space="preserve">(including the X factor) for standard control services is a revenue cap. The revenue cap for Energex for any given regulatory year is the total annual revenue calculated using the formula in </w:t>
            </w:r>
            <w:r w:rsidR="000B7E38">
              <w:rPr>
                <w:rStyle w:val="AERbodytextChar"/>
                <w:rFonts w:eastAsia="Calibri"/>
              </w:rPr>
              <w:t>attachment 14</w:t>
            </w:r>
            <w:r w:rsidRPr="00A371F7">
              <w:t xml:space="preserve"> plus any adjustment required to move the DUoS under/over account to zero. This is discussed at attachment 14 in the final decision.</w:t>
            </w:r>
          </w:p>
        </w:tc>
      </w:tr>
      <w:tr w:rsidR="00A371F7" w:rsidRPr="007A08A0" w:rsidTr="00D27650">
        <w:tc>
          <w:tcPr>
            <w:tcW w:w="8693" w:type="dxa"/>
          </w:tcPr>
          <w:p w:rsidR="00A371F7" w:rsidRPr="00A371F7" w:rsidRDefault="00A371F7" w:rsidP="00A371F7">
            <w:r w:rsidRPr="007A08A0">
              <w:t>In accordance with clause 6.12.1(12) the AER's decision on the</w:t>
            </w:r>
            <w:r w:rsidRPr="00A371F7">
              <w:t xml:space="preserve"> form of the control mechanism for alternative control services is to apply price caps. This is discussed in attachment 16 in the final decision.</w:t>
            </w:r>
          </w:p>
        </w:tc>
      </w:tr>
      <w:tr w:rsidR="00A371F7" w:rsidRPr="007A08A0" w:rsidTr="00D27650">
        <w:trPr>
          <w:cnfStyle w:val="000000010000" w:firstRow="0" w:lastRow="0" w:firstColumn="0" w:lastColumn="0" w:oddVBand="0" w:evenVBand="0" w:oddHBand="0" w:evenHBand="1" w:firstRowFirstColumn="0" w:firstRowLastColumn="0" w:lastRowFirstColumn="0" w:lastRowLastColumn="0"/>
        </w:trPr>
        <w:tc>
          <w:tcPr>
            <w:tcW w:w="8693" w:type="dxa"/>
          </w:tcPr>
          <w:p w:rsidR="00A371F7" w:rsidRPr="00A371F7" w:rsidRDefault="00A371F7" w:rsidP="00A371F7">
            <w:r w:rsidRPr="007A08A0">
              <w:t>In accordance with clause 6.12.1(13)</w:t>
            </w:r>
            <w:r w:rsidRPr="00A371F7">
              <w:t>, to demonstrate compliance with its distribution determination, the AER's decision is Energex must maintain a DUoS unders and overs account. It must provide information on this account to us in its annual pricing proposal. This is discussed in attachment 14 in the final decision.</w:t>
            </w:r>
          </w:p>
        </w:tc>
      </w:tr>
      <w:tr w:rsidR="00A371F7" w:rsidTr="00D27650">
        <w:tc>
          <w:tcPr>
            <w:tcW w:w="8693" w:type="dxa"/>
          </w:tcPr>
          <w:p w:rsidR="00A371F7" w:rsidRPr="00A371F7" w:rsidRDefault="00A371F7" w:rsidP="00A371F7">
            <w:r w:rsidRPr="0078506D">
              <w:t xml:space="preserve">In accordance with clause 6.12.1(14) the AER's decision on the additional pass through events that are to apply is to not to accept the nominated pass through events as </w:t>
            </w:r>
            <w:r w:rsidRPr="00A371F7">
              <w:t>proposed by Energex. The AER also substitutes its own definitions for the following events:</w:t>
            </w:r>
          </w:p>
          <w:p w:rsidR="00A371F7" w:rsidRPr="00A371F7" w:rsidRDefault="00A371F7" w:rsidP="00A371F7">
            <w:pPr>
              <w:pStyle w:val="AERbulletlistfirststyle"/>
            </w:pPr>
            <w:r w:rsidRPr="00A904D8">
              <w:t>insurance cap event</w:t>
            </w:r>
          </w:p>
          <w:p w:rsidR="00A371F7" w:rsidRPr="00A371F7" w:rsidRDefault="00A371F7" w:rsidP="00A371F7">
            <w:pPr>
              <w:pStyle w:val="AERbulletlistfirststyle"/>
            </w:pPr>
            <w:r w:rsidRPr="00A904D8">
              <w:t xml:space="preserve">insurer credit risk event </w:t>
            </w:r>
          </w:p>
          <w:p w:rsidR="00A371F7" w:rsidRPr="00A371F7" w:rsidRDefault="00A371F7" w:rsidP="00A371F7">
            <w:pPr>
              <w:pStyle w:val="AERbulletlistfirststyle"/>
            </w:pPr>
            <w:r w:rsidRPr="00A904D8">
              <w:t>terrorism event</w:t>
            </w:r>
          </w:p>
          <w:p w:rsidR="00A371F7" w:rsidRPr="00A371F7" w:rsidRDefault="00A371F7" w:rsidP="00A371F7">
            <w:pPr>
              <w:pStyle w:val="AERbulletlistfirststyle"/>
            </w:pPr>
            <w:r w:rsidRPr="00A904D8">
              <w:t>natural disaster event.</w:t>
            </w:r>
          </w:p>
        </w:tc>
      </w:tr>
      <w:tr w:rsidR="00A371F7" w:rsidRPr="007A08A0" w:rsidTr="00D27650">
        <w:trPr>
          <w:cnfStyle w:val="000000010000" w:firstRow="0" w:lastRow="0" w:firstColumn="0" w:lastColumn="0" w:oddVBand="0" w:evenVBand="0" w:oddHBand="0" w:evenHBand="1" w:firstRowFirstColumn="0" w:firstRowLastColumn="0" w:lastRowFirstColumn="0" w:lastRowLastColumn="0"/>
        </w:trPr>
        <w:tc>
          <w:tcPr>
            <w:tcW w:w="8693" w:type="dxa"/>
          </w:tcPr>
          <w:p w:rsidR="00A371F7" w:rsidRPr="00A371F7" w:rsidRDefault="00A371F7" w:rsidP="00A371F7">
            <w:r w:rsidRPr="007A08A0">
              <w:t>In accordance with clause 6.12.1(15) the AER's decision</w:t>
            </w:r>
            <w:r w:rsidRPr="00A371F7">
              <w:t xml:space="preserve"> is to approve Energex's proposed negotiating framework. The negotiating framework that is to apply to Energex is set out at attachment 17 of the final decision. </w:t>
            </w:r>
          </w:p>
        </w:tc>
      </w:tr>
      <w:tr w:rsidR="00A371F7" w:rsidRPr="007A08A0" w:rsidTr="00D27650">
        <w:tc>
          <w:tcPr>
            <w:tcW w:w="8693" w:type="dxa"/>
          </w:tcPr>
          <w:p w:rsidR="00A371F7" w:rsidRPr="00A371F7" w:rsidRDefault="00A371F7" w:rsidP="00A371F7">
            <w:r w:rsidRPr="007A08A0">
              <w:t xml:space="preserve">In accordance with clause 6.12.1(16) the AER's decision </w:t>
            </w:r>
            <w:r w:rsidRPr="00A371F7">
              <w:t>is to apply the negotiated distribution services criteria published in November 2014 to Energex. This is set out is at attachment</w:t>
            </w:r>
            <w:r w:rsidR="00060A92">
              <w:t xml:space="preserve"> </w:t>
            </w:r>
            <w:r w:rsidRPr="00A371F7">
              <w:t>17</w:t>
            </w:r>
            <w:r w:rsidR="00F32711">
              <w:t xml:space="preserve"> </w:t>
            </w:r>
            <w:r w:rsidRPr="00A371F7">
              <w:t>of the final decision.</w:t>
            </w:r>
          </w:p>
        </w:tc>
      </w:tr>
      <w:tr w:rsidR="00A371F7" w:rsidRPr="007A08A0" w:rsidTr="00D27650">
        <w:trPr>
          <w:cnfStyle w:val="000000010000" w:firstRow="0" w:lastRow="0" w:firstColumn="0" w:lastColumn="0" w:oddVBand="0" w:evenVBand="0" w:oddHBand="0" w:evenHBand="1" w:firstRowFirstColumn="0" w:firstRowLastColumn="0" w:lastRowFirstColumn="0" w:lastRowLastColumn="0"/>
        </w:trPr>
        <w:tc>
          <w:tcPr>
            <w:tcW w:w="8693" w:type="dxa"/>
          </w:tcPr>
          <w:p w:rsidR="00A371F7" w:rsidRPr="00A371F7" w:rsidRDefault="00A371F7" w:rsidP="00A371F7">
            <w:r w:rsidRPr="00995832">
              <w:t xml:space="preserve">In accordance with clause 6.12.1(17) the </w:t>
            </w:r>
            <w:r w:rsidRPr="00A371F7">
              <w:t xml:space="preserve">AER's decision on the procedures for assigning retail customers to tariff classes for Energex is set out at attachment 14 of the final decision. </w:t>
            </w:r>
          </w:p>
        </w:tc>
      </w:tr>
      <w:tr w:rsidR="00A371F7" w:rsidRPr="007A08A0" w:rsidTr="00D27650">
        <w:tc>
          <w:tcPr>
            <w:tcW w:w="8693" w:type="dxa"/>
          </w:tcPr>
          <w:p w:rsidR="00A371F7" w:rsidRPr="00A371F7" w:rsidRDefault="00A371F7" w:rsidP="00A371F7">
            <w:r w:rsidRPr="00995832">
              <w:t xml:space="preserve">In accordance with clause 6.12.1(18) the AER's decision on regulatory depreciation is that the forecast depreciation approach is to be used to establish the RAB at the commencement of </w:t>
            </w:r>
            <w:r w:rsidRPr="00A371F7">
              <w:t xml:space="preserve">Energex's regulatory control period (1 July 2020). This is discussed in attachment 2 of the final decision. </w:t>
            </w:r>
          </w:p>
        </w:tc>
      </w:tr>
      <w:tr w:rsidR="00A371F7" w:rsidRPr="007A08A0" w:rsidTr="00D27650">
        <w:trPr>
          <w:cnfStyle w:val="000000010000" w:firstRow="0" w:lastRow="0" w:firstColumn="0" w:lastColumn="0" w:oddVBand="0" w:evenVBand="0" w:oddHBand="0" w:evenHBand="1" w:firstRowFirstColumn="0" w:firstRowLastColumn="0" w:lastRowFirstColumn="0" w:lastRowLastColumn="0"/>
        </w:trPr>
        <w:tc>
          <w:tcPr>
            <w:tcW w:w="8693" w:type="dxa"/>
          </w:tcPr>
          <w:p w:rsidR="00A371F7" w:rsidRPr="00A371F7" w:rsidRDefault="00A371F7" w:rsidP="00A371F7">
            <w:r w:rsidRPr="00995832">
              <w:t xml:space="preserve">In accordance with clause 6.12.1(19) the AER's decision on how </w:t>
            </w:r>
            <w:r w:rsidRPr="00A371F7">
              <w:t>Energex is to report to the AER on its recovery of designated pricing proposal charges is to set this out in its annual pricing proposal. The method to account for the under and over recovery of designated pricing proposal charges is discussed in attachment 14 of the final decision.</w:t>
            </w:r>
          </w:p>
        </w:tc>
      </w:tr>
      <w:tr w:rsidR="00A371F7" w:rsidRPr="007A08A0" w:rsidTr="00D27650">
        <w:tc>
          <w:tcPr>
            <w:tcW w:w="8693" w:type="dxa"/>
          </w:tcPr>
          <w:p w:rsidR="00A371F7" w:rsidRPr="00A371F7" w:rsidRDefault="00A371F7" w:rsidP="00A371F7">
            <w:r w:rsidRPr="00995832">
              <w:t>In accordance with clause 6.12.1(20) the AER's decision is</w:t>
            </w:r>
            <w:r w:rsidRPr="00A371F7">
              <w:t xml:space="preserve"> we require Energex to maintain a jurisdictional scheme unders and overs account. It must provide information on this account to us in its annual pricing proposal as set out in attachment 14 of the final decision.</w:t>
            </w:r>
          </w:p>
        </w:tc>
      </w:tr>
      <w:tr w:rsidR="00A371F7" w:rsidTr="00D27650">
        <w:trPr>
          <w:cnfStyle w:val="000000010000" w:firstRow="0" w:lastRow="0" w:firstColumn="0" w:lastColumn="0" w:oddVBand="0" w:evenVBand="0" w:oddHBand="0" w:evenHBand="1" w:firstRowFirstColumn="0" w:firstRowLastColumn="0" w:lastRowFirstColumn="0" w:lastRowLastColumn="0"/>
        </w:trPr>
        <w:tc>
          <w:tcPr>
            <w:tcW w:w="8693" w:type="dxa"/>
          </w:tcPr>
          <w:p w:rsidR="00A371F7" w:rsidRPr="00A371F7" w:rsidRDefault="00A371F7" w:rsidP="00A371F7">
            <w:r w:rsidRPr="007066BB">
              <w:t xml:space="preserve">In accordance with clause 6.12.1(21) the AER approves a modified version of the connection policy proposed by Energex in its </w:t>
            </w:r>
            <w:r w:rsidRPr="00A371F7">
              <w:t>revised regulatory proposal. This is set out in attachment 18 of the final decision.</w:t>
            </w:r>
          </w:p>
        </w:tc>
      </w:tr>
    </w:tbl>
    <w:p w:rsidR="00C35ABA" w:rsidRPr="00C35ABA" w:rsidRDefault="00C35ABA" w:rsidP="00C35ABA">
      <w:pPr>
        <w:pStyle w:val="Heading7"/>
      </w:pPr>
      <w:bookmarkStart w:id="78" w:name="_Toc417973165"/>
      <w:bookmarkStart w:id="79" w:name="_Toc433723322"/>
      <w:r w:rsidRPr="00C35ABA">
        <w:t>Our consultation process</w:t>
      </w:r>
      <w:bookmarkEnd w:id="79"/>
    </w:p>
    <w:p w:rsidR="004112FD" w:rsidRDefault="004112FD" w:rsidP="00C35ABA">
      <w:r w:rsidRPr="004112FD">
        <w:t xml:space="preserve">This section summarises our consultation and engagement with stakeholders, interested parties and Energex in coming to this final decision. </w:t>
      </w:r>
    </w:p>
    <w:p w:rsidR="00C35ABA" w:rsidRPr="00C35ABA" w:rsidRDefault="00C35ABA" w:rsidP="00C35ABA">
      <w:r w:rsidRPr="00C35ABA">
        <w:t>We recognise that stakeholder participation in decision making processes is an important element of achieving the NEO</w:t>
      </w:r>
      <w:r w:rsidR="007E0E08">
        <w:t xml:space="preserve"> by gaining insight into the long term interests of consumers</w:t>
      </w:r>
      <w:r w:rsidRPr="00C35ABA">
        <w:t>. The NEL requires us to inform stakeholders of the material issues we are considering and to give them a reasonable opportunity to make submissions in respect of the decision before it is made.</w:t>
      </w:r>
      <w:r w:rsidRPr="009D30F6">
        <w:rPr>
          <w:rStyle w:val="AERsuperscript"/>
        </w:rPr>
        <w:footnoteReference w:id="92"/>
      </w:r>
    </w:p>
    <w:p w:rsidR="00C35ABA" w:rsidRPr="00C35ABA" w:rsidRDefault="00C35ABA" w:rsidP="00C35ABA">
      <w:r w:rsidRPr="00C35ABA">
        <w:t xml:space="preserve">Below we set out the consultation process we have followed leading up to this final decision. We have considered the views presented to us at each stage in reaching our final decision. </w:t>
      </w:r>
    </w:p>
    <w:p w:rsidR="00C35ABA" w:rsidRPr="00C35ABA" w:rsidRDefault="00C35ABA" w:rsidP="00C35ABA">
      <w:r w:rsidRPr="00C35ABA">
        <w:t>Effective consultation with stakeholders is essential to the performance of our regulatory functions. In summary, our consultation and engagement with stakeholders through the process that has led to this final determination can be summarised as follows:</w:t>
      </w:r>
    </w:p>
    <w:p w:rsidR="00C35ABA" w:rsidRPr="00C35ABA" w:rsidRDefault="00C35ABA" w:rsidP="009D30F6">
      <w:pPr>
        <w:pStyle w:val="AERbulletlistfirststyle"/>
      </w:pPr>
      <w:r w:rsidRPr="00C35ABA">
        <w:t>holding regular meetings with Energex to discuss issues relevant to this decision. These meetings commenced in May 2013 to discuss the framework and approach. The meetings continued throughout our decision making process.</w:t>
      </w:r>
    </w:p>
    <w:p w:rsidR="00C35ABA" w:rsidRPr="00C35ABA" w:rsidRDefault="00C35ABA" w:rsidP="009D30F6">
      <w:pPr>
        <w:pStyle w:val="AERbulletlistfirststyle"/>
      </w:pPr>
      <w:r w:rsidRPr="00C35ABA">
        <w:t>establishing the CCP to assist us to make better regulatory determinations by providing input on issues of importance to consumers</w:t>
      </w:r>
      <w:r w:rsidR="000159CA">
        <w:t xml:space="preserve">. </w:t>
      </w:r>
    </w:p>
    <w:p w:rsidR="00C35ABA" w:rsidRPr="00C35ABA" w:rsidRDefault="00C35ABA" w:rsidP="009D30F6">
      <w:pPr>
        <w:pStyle w:val="AERbulletlistfirststyle"/>
      </w:pPr>
      <w:r w:rsidRPr="00C35ABA">
        <w:t>publishing an issues paper to help stakeholders engage with, and meaningfully respond to issues in Energex's regulatory proposal that we considered material to consumers</w:t>
      </w:r>
    </w:p>
    <w:p w:rsidR="00C35ABA" w:rsidRPr="00C35ABA" w:rsidRDefault="00C35ABA" w:rsidP="009D30F6">
      <w:pPr>
        <w:pStyle w:val="AERbulletlistfirststyle"/>
      </w:pPr>
      <w:r w:rsidRPr="00C35ABA">
        <w:t>hosting public forums in Brisbane on 9 December 2014 and 12 May 2015 so stakeholders could question the AER, the CCP and Energex on its regulatory proposal</w:t>
      </w:r>
    </w:p>
    <w:p w:rsidR="00C35ABA" w:rsidRPr="00C35ABA" w:rsidRDefault="00C35ABA" w:rsidP="009D30F6">
      <w:pPr>
        <w:pStyle w:val="AERbulletlistfirststyle"/>
      </w:pPr>
      <w:r w:rsidRPr="00C35ABA">
        <w:t>having Energex present its regulatory proposal to the AER Board on 16 January 2015 and its revised proposal on 31 July 2015, so questions could be raised and key issues explained</w:t>
      </w:r>
    </w:p>
    <w:p w:rsidR="00C35ABA" w:rsidRPr="00C35ABA" w:rsidRDefault="00C35ABA" w:rsidP="009D30F6">
      <w:pPr>
        <w:pStyle w:val="AERbulletlistfirststyle"/>
      </w:pPr>
      <w:r w:rsidRPr="00C35ABA">
        <w:t>having the CCP present its advice in response to Energex’s initial and revised regulatory proposals and our preliminary decision to the AER Board</w:t>
      </w:r>
    </w:p>
    <w:p w:rsidR="00C35ABA" w:rsidRPr="00C35ABA" w:rsidRDefault="00C35ABA" w:rsidP="009D30F6">
      <w:pPr>
        <w:pStyle w:val="AERbulletlistfirststyle"/>
      </w:pPr>
      <w:r w:rsidRPr="00C35ABA">
        <w:t xml:space="preserve">considering 39 submissions on Energex's regulatory proposal and a total of 23 submissions on our preliminary decision and Energex's revised proposal. A list of the latter submissions is at appendix </w:t>
      </w:r>
      <w:r>
        <w:t>C</w:t>
      </w:r>
      <w:r w:rsidRPr="00C35ABA">
        <w:t xml:space="preserve">. </w:t>
      </w:r>
    </w:p>
    <w:p w:rsidR="00C35ABA" w:rsidRPr="00C35ABA" w:rsidRDefault="00C35ABA" w:rsidP="009D30F6">
      <w:pPr>
        <w:pStyle w:val="AERbulletlistfirststyle"/>
      </w:pPr>
      <w:r w:rsidRPr="00C35ABA">
        <w:t>convening monthly meetings between the CCP and AER staff to discuss key issues</w:t>
      </w:r>
    </w:p>
    <w:p w:rsidR="00C35ABA" w:rsidRPr="00C35ABA" w:rsidRDefault="00C35ABA" w:rsidP="009D30F6">
      <w:pPr>
        <w:pStyle w:val="AERbulletlistfirststyle"/>
      </w:pPr>
      <w:r w:rsidRPr="00C35ABA">
        <w:t>ongoing formal and informal jurisdictional consumer forums from November 2013</w:t>
      </w:r>
    </w:p>
    <w:p w:rsidR="00C35ABA" w:rsidRPr="00C35ABA" w:rsidRDefault="00C35ABA" w:rsidP="009D30F6">
      <w:pPr>
        <w:pStyle w:val="AERbulletlistfirststyle"/>
      </w:pPr>
      <w:r w:rsidRPr="00C35ABA">
        <w:t xml:space="preserve">consulting </w:t>
      </w:r>
      <w:r w:rsidR="000159CA">
        <w:t xml:space="preserve">with stakeholders </w:t>
      </w:r>
      <w:r w:rsidRPr="00C35ABA">
        <w:t>on benchmarking measures prepared by us and Economic Insights, jointly relevant to the preparation of the annual benchmarking report and our assessment of Energex's initial regulatory proposal</w:t>
      </w:r>
    </w:p>
    <w:p w:rsidR="00C35ABA" w:rsidRPr="00C35ABA" w:rsidRDefault="00C35ABA" w:rsidP="009D30F6">
      <w:pPr>
        <w:pStyle w:val="AERbulletlistfirststyle"/>
      </w:pPr>
      <w:r w:rsidRPr="00C35ABA">
        <w:t>having ongoing discussions with Energex about its regulatory proposal. In particular, our consultants and AER staff met with Energex to discuss opex, augex and repex. During this process, AER staff and our consultants considered over 70 responses to information requested from Energex.</w:t>
      </w:r>
    </w:p>
    <w:p w:rsidR="00C35ABA" w:rsidRPr="00C35ABA" w:rsidRDefault="00C35ABA" w:rsidP="009D30F6">
      <w:pPr>
        <w:pStyle w:val="AERbulletlistfirststyle"/>
      </w:pPr>
      <w:r w:rsidRPr="00C35ABA">
        <w:t xml:space="preserve">releasing a brief consultation paper on recovering the residual metering capital costs through an alternative control service charge and considering 19 submissions in response.  </w:t>
      </w:r>
    </w:p>
    <w:p w:rsidR="00C35ABA" w:rsidRPr="00C35ABA" w:rsidRDefault="00C35ABA" w:rsidP="00C35ABA">
      <w:r w:rsidRPr="00C35ABA">
        <w:t xml:space="preserve">This process builds on </w:t>
      </w:r>
      <w:r w:rsidR="007E0E08">
        <w:t xml:space="preserve">the extensive </w:t>
      </w:r>
      <w:r w:rsidRPr="00C35ABA">
        <w:t xml:space="preserve">consultation undertaken by the AER as part of the Better Regulation program. Following the 2012 changes to the NER, we spent much of 2013 consulting on and refining our assessment methods and approaches to decision making. We referred to this as our Better Regulation program. The objective of this program was to refine our approaches, with a greater emphasis on incentive regulation. The Better Regulation program was designed to be an inclusive process that provided an opportunity for all stakeholders to be engaged and provide their input. </w:t>
      </w:r>
    </w:p>
    <w:p w:rsidR="00C35ABA" w:rsidRPr="00C35ABA" w:rsidRDefault="00C35ABA" w:rsidP="00C35ABA">
      <w:pPr>
        <w:numPr>
          <w:ilvl w:val="0"/>
          <w:numId w:val="25"/>
        </w:numPr>
      </w:pPr>
      <w:r w:rsidRPr="00C35ABA">
        <w:t>The resulting Guidelines support our decision making framework as set out in section 16 of the NEL. Our consultation and engagement gives us confidence the approaches set out in the Guidelines, which we have applied in this decision unless noted otherwise, will result in decisions that will or are likely to contribute to the achievement of the NEO to the greatest degree. Our Better Regulation Guidelines are available on our website and include:</w:t>
      </w:r>
    </w:p>
    <w:p w:rsidR="00C35ABA" w:rsidRPr="00C35ABA" w:rsidRDefault="00C35ABA" w:rsidP="009D30F6">
      <w:pPr>
        <w:pStyle w:val="AERbulletlistfirststyle"/>
      </w:pPr>
      <w:r w:rsidRPr="00C35ABA">
        <w:t>Expenditure Forecast Assessment Guideline</w:t>
      </w:r>
    </w:p>
    <w:p w:rsidR="00C35ABA" w:rsidRPr="00C35ABA" w:rsidRDefault="00C35ABA" w:rsidP="009D30F6">
      <w:pPr>
        <w:pStyle w:val="AERbulletlistfirststyle"/>
      </w:pPr>
      <w:r w:rsidRPr="00C35ABA">
        <w:t>Expenditure Incentives Guideline</w:t>
      </w:r>
    </w:p>
    <w:p w:rsidR="00C35ABA" w:rsidRPr="00C35ABA" w:rsidRDefault="00C35ABA" w:rsidP="009D30F6">
      <w:pPr>
        <w:pStyle w:val="AERbulletlistfirststyle"/>
      </w:pPr>
      <w:r w:rsidRPr="00C35ABA">
        <w:t>Rate of Return Guideline</w:t>
      </w:r>
    </w:p>
    <w:p w:rsidR="00C35ABA" w:rsidRPr="00C35ABA" w:rsidRDefault="00C35ABA" w:rsidP="009D30F6">
      <w:pPr>
        <w:pStyle w:val="AERbulletlistfirststyle"/>
      </w:pPr>
      <w:r w:rsidRPr="00C35ABA">
        <w:t>Consumer Engagement Guideline for Network Service Providers</w:t>
      </w:r>
    </w:p>
    <w:p w:rsidR="00C35ABA" w:rsidRPr="00C35ABA" w:rsidRDefault="00C35ABA" w:rsidP="009D30F6">
      <w:pPr>
        <w:pStyle w:val="AERbulletlistfirststyle"/>
      </w:pPr>
      <w:r w:rsidRPr="00C35ABA">
        <w:t>Shared Assets Guideline</w:t>
      </w:r>
    </w:p>
    <w:p w:rsidR="00C35ABA" w:rsidRPr="00C35ABA" w:rsidRDefault="00C35ABA" w:rsidP="009D30F6">
      <w:pPr>
        <w:pStyle w:val="AERbulletlistfirststyle"/>
      </w:pPr>
      <w:r w:rsidRPr="00C35ABA">
        <w:t>Confidentiality Guideline.</w:t>
      </w:r>
    </w:p>
    <w:p w:rsidR="00C35ABA" w:rsidRPr="00C35ABA" w:rsidRDefault="00C35ABA" w:rsidP="00C35ABA">
      <w:r w:rsidRPr="00C35ABA">
        <w:t xml:space="preserve">Our consultation processes, which go </w:t>
      </w:r>
      <w:r w:rsidR="000159CA">
        <w:t xml:space="preserve">well </w:t>
      </w:r>
      <w:r w:rsidRPr="00C35ABA">
        <w:t xml:space="preserve">beyond the minimum requirements of the NER, provide us with a range of stakeholder views. </w:t>
      </w:r>
    </w:p>
    <w:p w:rsidR="007B3355" w:rsidRDefault="00C35ABA" w:rsidP="004112FD">
      <w:pPr>
        <w:pStyle w:val="Heading7"/>
      </w:pPr>
      <w:bookmarkStart w:id="80" w:name="_Toc433723323"/>
      <w:r>
        <w:t>L</w:t>
      </w:r>
      <w:r w:rsidR="007B3355" w:rsidRPr="00B6585E">
        <w:t>ist of submissions</w:t>
      </w:r>
      <w:bookmarkEnd w:id="78"/>
      <w:bookmarkEnd w:id="80"/>
      <w:r w:rsidR="007B3355" w:rsidRPr="00B6585E">
        <w:t xml:space="preserve"> </w:t>
      </w:r>
    </w:p>
    <w:p w:rsidR="007B3355" w:rsidRDefault="007B3355" w:rsidP="007B3355">
      <w:pPr>
        <w:numPr>
          <w:ilvl w:val="0"/>
          <w:numId w:val="25"/>
        </w:numPr>
      </w:pPr>
      <w:r>
        <w:t>We received</w:t>
      </w:r>
      <w:r w:rsidR="004112FD">
        <w:t xml:space="preserve"> 23</w:t>
      </w:r>
      <w:r w:rsidR="00873E9B">
        <w:t xml:space="preserve"> </w:t>
      </w:r>
      <w:r>
        <w:t xml:space="preserve">submissions in response to Energex's </w:t>
      </w:r>
      <w:r w:rsidR="0005724F">
        <w:t xml:space="preserve">revised </w:t>
      </w:r>
      <w:r>
        <w:t>regulatory proposal</w:t>
      </w:r>
      <w:r w:rsidR="0005724F">
        <w:t xml:space="preserve"> and our </w:t>
      </w:r>
      <w:r w:rsidR="00D81E5A">
        <w:t>preliminary</w:t>
      </w:r>
      <w:r w:rsidR="0005724F">
        <w:t xml:space="preserve"> decision</w:t>
      </w:r>
      <w:r>
        <w:t xml:space="preserve"> as listed below:</w:t>
      </w:r>
    </w:p>
    <w:tbl>
      <w:tblPr>
        <w:tblStyle w:val="AERtable-text0"/>
        <w:tblW w:w="0" w:type="auto"/>
        <w:tblLook w:val="04A0" w:firstRow="1" w:lastRow="0" w:firstColumn="1" w:lastColumn="0" w:noHBand="0" w:noVBand="1"/>
      </w:tblPr>
      <w:tblGrid>
        <w:gridCol w:w="534"/>
        <w:gridCol w:w="4394"/>
        <w:gridCol w:w="1417"/>
        <w:gridCol w:w="2348"/>
      </w:tblGrid>
      <w:tr w:rsidR="007B3355" w:rsidTr="00873E9B">
        <w:trPr>
          <w:cnfStyle w:val="100000000000" w:firstRow="1" w:lastRow="0" w:firstColumn="0" w:lastColumn="0" w:oddVBand="0" w:evenVBand="0" w:oddHBand="0" w:evenHBand="0" w:firstRowFirstColumn="0" w:firstRowLastColumn="0" w:lastRowFirstColumn="0" w:lastRowLastColumn="0"/>
          <w:tblHeader/>
        </w:trPr>
        <w:tc>
          <w:tcPr>
            <w:tcW w:w="534" w:type="dxa"/>
          </w:tcPr>
          <w:p w:rsidR="007B3355" w:rsidRDefault="007B3355" w:rsidP="007B3355"/>
        </w:tc>
        <w:tc>
          <w:tcPr>
            <w:tcW w:w="4394" w:type="dxa"/>
          </w:tcPr>
          <w:p w:rsidR="007B3355" w:rsidRPr="007B3355" w:rsidRDefault="007B3355" w:rsidP="007B3355">
            <w:r>
              <w:t>Submission from</w:t>
            </w:r>
          </w:p>
        </w:tc>
        <w:tc>
          <w:tcPr>
            <w:tcW w:w="1417" w:type="dxa"/>
          </w:tcPr>
          <w:p w:rsidR="007B3355" w:rsidRPr="007B3355" w:rsidRDefault="007B3355" w:rsidP="007B3355">
            <w:r>
              <w:t>Date received</w:t>
            </w:r>
          </w:p>
        </w:tc>
        <w:tc>
          <w:tcPr>
            <w:tcW w:w="2348" w:type="dxa"/>
          </w:tcPr>
          <w:p w:rsidR="007B3355" w:rsidRPr="007B3355" w:rsidRDefault="007B3355" w:rsidP="007B3355">
            <w:r>
              <w:t>Submission on</w:t>
            </w:r>
          </w:p>
        </w:tc>
      </w:tr>
      <w:tr w:rsidR="007B3355" w:rsidTr="00873E9B">
        <w:tc>
          <w:tcPr>
            <w:tcW w:w="534" w:type="dxa"/>
          </w:tcPr>
          <w:p w:rsidR="007B3355" w:rsidRPr="007B3355" w:rsidRDefault="007B3355" w:rsidP="007B3355">
            <w:r>
              <w:t>1</w:t>
            </w:r>
          </w:p>
        </w:tc>
        <w:tc>
          <w:tcPr>
            <w:tcW w:w="4394" w:type="dxa"/>
            <w:vAlign w:val="top"/>
          </w:tcPr>
          <w:p w:rsidR="007B3355" w:rsidRPr="007B3355" w:rsidRDefault="00873E9B" w:rsidP="007B3355">
            <w:r>
              <w:t>Alliance of Electricity Consumers</w:t>
            </w:r>
          </w:p>
        </w:tc>
        <w:tc>
          <w:tcPr>
            <w:tcW w:w="1417" w:type="dxa"/>
          </w:tcPr>
          <w:p w:rsidR="007B3355" w:rsidRPr="007B3355" w:rsidRDefault="00873E9B" w:rsidP="007B3355">
            <w:r>
              <w:t>3 July 2015</w:t>
            </w:r>
          </w:p>
        </w:tc>
        <w:tc>
          <w:tcPr>
            <w:tcW w:w="2348" w:type="dxa"/>
          </w:tcPr>
          <w:p w:rsidR="007B3355" w:rsidRPr="007B3355" w:rsidRDefault="00873E9B" w:rsidP="007B3355">
            <w:r>
              <w:t>AER preliminary decision</w:t>
            </w:r>
          </w:p>
        </w:tc>
      </w:tr>
      <w:tr w:rsidR="007B3355" w:rsidTr="00873E9B">
        <w:trPr>
          <w:cnfStyle w:val="000000010000" w:firstRow="0" w:lastRow="0" w:firstColumn="0" w:lastColumn="0" w:oddVBand="0" w:evenVBand="0" w:oddHBand="0" w:evenHBand="1" w:firstRowFirstColumn="0" w:firstRowLastColumn="0" w:lastRowFirstColumn="0" w:lastRowLastColumn="0"/>
        </w:trPr>
        <w:tc>
          <w:tcPr>
            <w:tcW w:w="534" w:type="dxa"/>
          </w:tcPr>
          <w:p w:rsidR="007B3355" w:rsidRPr="007B3355" w:rsidRDefault="007B3355" w:rsidP="007B3355">
            <w:r>
              <w:t>2</w:t>
            </w:r>
          </w:p>
        </w:tc>
        <w:tc>
          <w:tcPr>
            <w:tcW w:w="4394" w:type="dxa"/>
            <w:vAlign w:val="top"/>
          </w:tcPr>
          <w:p w:rsidR="007B3355" w:rsidRPr="007B3355" w:rsidRDefault="00873E9B" w:rsidP="007B3355">
            <w:r>
              <w:t>AusNet Services</w:t>
            </w:r>
          </w:p>
        </w:tc>
        <w:tc>
          <w:tcPr>
            <w:tcW w:w="1417" w:type="dxa"/>
          </w:tcPr>
          <w:p w:rsidR="007B3355" w:rsidRPr="007B3355" w:rsidRDefault="00873E9B" w:rsidP="007B3355">
            <w:r>
              <w:t>3 July 2015</w:t>
            </w:r>
          </w:p>
        </w:tc>
        <w:tc>
          <w:tcPr>
            <w:tcW w:w="2348" w:type="dxa"/>
          </w:tcPr>
          <w:p w:rsidR="007B3355" w:rsidRPr="007B3355" w:rsidRDefault="00873E9B" w:rsidP="007B3355">
            <w:r>
              <w:t>AER preliminary decision</w:t>
            </w:r>
          </w:p>
        </w:tc>
      </w:tr>
      <w:tr w:rsidR="007B3355" w:rsidTr="00873E9B">
        <w:tc>
          <w:tcPr>
            <w:tcW w:w="534" w:type="dxa"/>
          </w:tcPr>
          <w:p w:rsidR="007B3355" w:rsidRPr="007B3355" w:rsidRDefault="007B3355" w:rsidP="007B3355">
            <w:r>
              <w:t>3</w:t>
            </w:r>
          </w:p>
        </w:tc>
        <w:tc>
          <w:tcPr>
            <w:tcW w:w="4394" w:type="dxa"/>
            <w:vAlign w:val="top"/>
          </w:tcPr>
          <w:p w:rsidR="007B3355" w:rsidRPr="007B3355" w:rsidRDefault="00873E9B" w:rsidP="007B3355">
            <w:r>
              <w:t>Canegrowers</w:t>
            </w:r>
          </w:p>
        </w:tc>
        <w:tc>
          <w:tcPr>
            <w:tcW w:w="1417" w:type="dxa"/>
          </w:tcPr>
          <w:p w:rsidR="007B3355" w:rsidRPr="007B3355" w:rsidRDefault="00873E9B" w:rsidP="007B3355">
            <w:r>
              <w:t>7 July 2015</w:t>
            </w:r>
          </w:p>
        </w:tc>
        <w:tc>
          <w:tcPr>
            <w:tcW w:w="2348" w:type="dxa"/>
          </w:tcPr>
          <w:p w:rsidR="007B3355" w:rsidRPr="007B3355" w:rsidRDefault="00873E9B" w:rsidP="007B3355">
            <w:r>
              <w:t>AER preliminary decision</w:t>
            </w:r>
          </w:p>
        </w:tc>
      </w:tr>
      <w:tr w:rsidR="007B3355" w:rsidTr="00873E9B">
        <w:trPr>
          <w:cnfStyle w:val="000000010000" w:firstRow="0" w:lastRow="0" w:firstColumn="0" w:lastColumn="0" w:oddVBand="0" w:evenVBand="0" w:oddHBand="0" w:evenHBand="1" w:firstRowFirstColumn="0" w:firstRowLastColumn="0" w:lastRowFirstColumn="0" w:lastRowLastColumn="0"/>
        </w:trPr>
        <w:tc>
          <w:tcPr>
            <w:tcW w:w="534" w:type="dxa"/>
          </w:tcPr>
          <w:p w:rsidR="007B3355" w:rsidRPr="007B3355" w:rsidRDefault="007B3355" w:rsidP="007B3355">
            <w:r>
              <w:t>4</w:t>
            </w:r>
          </w:p>
        </w:tc>
        <w:tc>
          <w:tcPr>
            <w:tcW w:w="4394" w:type="dxa"/>
            <w:vAlign w:val="top"/>
          </w:tcPr>
          <w:p w:rsidR="007B3355" w:rsidRPr="007B3355" w:rsidRDefault="00873E9B" w:rsidP="007B3355">
            <w:r>
              <w:t>Chamber of Commerce and Industry Qld</w:t>
            </w:r>
          </w:p>
        </w:tc>
        <w:tc>
          <w:tcPr>
            <w:tcW w:w="1417" w:type="dxa"/>
          </w:tcPr>
          <w:p w:rsidR="007B3355" w:rsidRPr="007B3355" w:rsidRDefault="00873E9B" w:rsidP="007B3355">
            <w:r>
              <w:t>3 July 2015</w:t>
            </w:r>
          </w:p>
        </w:tc>
        <w:tc>
          <w:tcPr>
            <w:tcW w:w="2348" w:type="dxa"/>
          </w:tcPr>
          <w:p w:rsidR="007B3355" w:rsidRPr="007B3355" w:rsidRDefault="00873E9B" w:rsidP="007B3355">
            <w:r>
              <w:t>AER preliminary decision</w:t>
            </w:r>
          </w:p>
        </w:tc>
      </w:tr>
      <w:tr w:rsidR="007B3355" w:rsidTr="00873E9B">
        <w:tc>
          <w:tcPr>
            <w:tcW w:w="534" w:type="dxa"/>
          </w:tcPr>
          <w:p w:rsidR="007B3355" w:rsidRPr="007B3355" w:rsidRDefault="007B3355" w:rsidP="007B3355">
            <w:r>
              <w:t>5</w:t>
            </w:r>
          </w:p>
        </w:tc>
        <w:tc>
          <w:tcPr>
            <w:tcW w:w="4394" w:type="dxa"/>
            <w:vAlign w:val="top"/>
          </w:tcPr>
          <w:p w:rsidR="007B3355" w:rsidRPr="007B3355" w:rsidRDefault="00873E9B" w:rsidP="007B3355">
            <w:r>
              <w:t>Energy Retailer's Association of Australia</w:t>
            </w:r>
          </w:p>
        </w:tc>
        <w:tc>
          <w:tcPr>
            <w:tcW w:w="1417" w:type="dxa"/>
          </w:tcPr>
          <w:p w:rsidR="007B3355" w:rsidRPr="007B3355" w:rsidRDefault="00873E9B" w:rsidP="007B3355">
            <w:r>
              <w:t>3 July 2015</w:t>
            </w:r>
          </w:p>
        </w:tc>
        <w:tc>
          <w:tcPr>
            <w:tcW w:w="2348" w:type="dxa"/>
          </w:tcPr>
          <w:p w:rsidR="007B3355" w:rsidRPr="007B3355" w:rsidRDefault="00873E9B" w:rsidP="007B3355">
            <w:r>
              <w:t>AER preliminary decision</w:t>
            </w:r>
          </w:p>
        </w:tc>
      </w:tr>
      <w:tr w:rsidR="007B3355" w:rsidTr="00873E9B">
        <w:trPr>
          <w:cnfStyle w:val="000000010000" w:firstRow="0" w:lastRow="0" w:firstColumn="0" w:lastColumn="0" w:oddVBand="0" w:evenVBand="0" w:oddHBand="0" w:evenHBand="1" w:firstRowFirstColumn="0" w:firstRowLastColumn="0" w:lastRowFirstColumn="0" w:lastRowLastColumn="0"/>
        </w:trPr>
        <w:tc>
          <w:tcPr>
            <w:tcW w:w="534" w:type="dxa"/>
          </w:tcPr>
          <w:p w:rsidR="007B3355" w:rsidRPr="007B3355" w:rsidRDefault="007B3355" w:rsidP="007B3355">
            <w:r>
              <w:t>6</w:t>
            </w:r>
          </w:p>
        </w:tc>
        <w:tc>
          <w:tcPr>
            <w:tcW w:w="4394" w:type="dxa"/>
            <w:vAlign w:val="top"/>
          </w:tcPr>
          <w:p w:rsidR="007B3355" w:rsidRPr="007B3355" w:rsidRDefault="00873E9B" w:rsidP="007B3355">
            <w:r>
              <w:t>Origin</w:t>
            </w:r>
          </w:p>
        </w:tc>
        <w:tc>
          <w:tcPr>
            <w:tcW w:w="1417" w:type="dxa"/>
          </w:tcPr>
          <w:p w:rsidR="007B3355" w:rsidRPr="007B3355" w:rsidRDefault="00873E9B" w:rsidP="007B3355">
            <w:r>
              <w:t>3 July 2015</w:t>
            </w:r>
          </w:p>
        </w:tc>
        <w:tc>
          <w:tcPr>
            <w:tcW w:w="2348" w:type="dxa"/>
          </w:tcPr>
          <w:p w:rsidR="007B3355" w:rsidRPr="007B3355" w:rsidRDefault="00873E9B" w:rsidP="007B3355">
            <w:r>
              <w:t>AER preliminary decision</w:t>
            </w:r>
          </w:p>
        </w:tc>
      </w:tr>
      <w:tr w:rsidR="007B3355" w:rsidTr="00873E9B">
        <w:tc>
          <w:tcPr>
            <w:tcW w:w="534" w:type="dxa"/>
          </w:tcPr>
          <w:p w:rsidR="007B3355" w:rsidRPr="007B3355" w:rsidRDefault="007B3355" w:rsidP="007B3355">
            <w:r>
              <w:t>7</w:t>
            </w:r>
          </w:p>
        </w:tc>
        <w:tc>
          <w:tcPr>
            <w:tcW w:w="4394" w:type="dxa"/>
            <w:vAlign w:val="top"/>
          </w:tcPr>
          <w:p w:rsidR="007B3355" w:rsidRPr="007B3355" w:rsidRDefault="00873E9B" w:rsidP="007B3355">
            <w:r>
              <w:t>Professionals Australia</w:t>
            </w:r>
          </w:p>
        </w:tc>
        <w:tc>
          <w:tcPr>
            <w:tcW w:w="1417" w:type="dxa"/>
          </w:tcPr>
          <w:p w:rsidR="007B3355" w:rsidRPr="007B3355" w:rsidRDefault="00873E9B" w:rsidP="007B3355">
            <w:r>
              <w:t>2 July 2015</w:t>
            </w:r>
          </w:p>
        </w:tc>
        <w:tc>
          <w:tcPr>
            <w:tcW w:w="2348" w:type="dxa"/>
          </w:tcPr>
          <w:p w:rsidR="007B3355" w:rsidRPr="007B3355" w:rsidRDefault="00873E9B" w:rsidP="007B3355">
            <w:r>
              <w:t>AER preliminary decision</w:t>
            </w:r>
          </w:p>
        </w:tc>
      </w:tr>
      <w:tr w:rsidR="007B3355" w:rsidTr="00873E9B">
        <w:trPr>
          <w:cnfStyle w:val="000000010000" w:firstRow="0" w:lastRow="0" w:firstColumn="0" w:lastColumn="0" w:oddVBand="0" w:evenVBand="0" w:oddHBand="0" w:evenHBand="1" w:firstRowFirstColumn="0" w:firstRowLastColumn="0" w:lastRowFirstColumn="0" w:lastRowLastColumn="0"/>
        </w:trPr>
        <w:tc>
          <w:tcPr>
            <w:tcW w:w="534" w:type="dxa"/>
          </w:tcPr>
          <w:p w:rsidR="007B3355" w:rsidRPr="007B3355" w:rsidRDefault="007B3355" w:rsidP="007B3355">
            <w:r>
              <w:t>8</w:t>
            </w:r>
          </w:p>
        </w:tc>
        <w:tc>
          <w:tcPr>
            <w:tcW w:w="4394" w:type="dxa"/>
            <w:vAlign w:val="top"/>
          </w:tcPr>
          <w:p w:rsidR="007B3355" w:rsidRPr="007B3355" w:rsidRDefault="00873E9B" w:rsidP="007B3355">
            <w:r>
              <w:t>Qld Consumers' Association</w:t>
            </w:r>
          </w:p>
        </w:tc>
        <w:tc>
          <w:tcPr>
            <w:tcW w:w="1417" w:type="dxa"/>
          </w:tcPr>
          <w:p w:rsidR="007B3355" w:rsidRPr="007B3355" w:rsidRDefault="00873E9B" w:rsidP="007B3355">
            <w:r>
              <w:t>3 July 2015</w:t>
            </w:r>
          </w:p>
        </w:tc>
        <w:tc>
          <w:tcPr>
            <w:tcW w:w="2348" w:type="dxa"/>
          </w:tcPr>
          <w:p w:rsidR="007B3355" w:rsidRPr="007B3355" w:rsidRDefault="00873E9B" w:rsidP="007B3355">
            <w:r>
              <w:t>AER preliminary decision</w:t>
            </w:r>
          </w:p>
        </w:tc>
      </w:tr>
      <w:tr w:rsidR="007B3355" w:rsidTr="00873E9B">
        <w:tc>
          <w:tcPr>
            <w:tcW w:w="534" w:type="dxa"/>
          </w:tcPr>
          <w:p w:rsidR="007B3355" w:rsidRPr="007B3355" w:rsidRDefault="007B3355" w:rsidP="007B3355">
            <w:r>
              <w:t>9</w:t>
            </w:r>
          </w:p>
        </w:tc>
        <w:tc>
          <w:tcPr>
            <w:tcW w:w="4394" w:type="dxa"/>
            <w:vAlign w:val="top"/>
          </w:tcPr>
          <w:p w:rsidR="007B3355" w:rsidRPr="007B3355" w:rsidRDefault="00873E9B" w:rsidP="007B3355">
            <w:r>
              <w:t>Qld Council of Social Services</w:t>
            </w:r>
          </w:p>
        </w:tc>
        <w:tc>
          <w:tcPr>
            <w:tcW w:w="1417" w:type="dxa"/>
          </w:tcPr>
          <w:p w:rsidR="007B3355" w:rsidRPr="007B3355" w:rsidRDefault="00873E9B" w:rsidP="007B3355">
            <w:r>
              <w:t>3 July 2015</w:t>
            </w:r>
          </w:p>
        </w:tc>
        <w:tc>
          <w:tcPr>
            <w:tcW w:w="2348" w:type="dxa"/>
          </w:tcPr>
          <w:p w:rsidR="007B3355" w:rsidRPr="007B3355" w:rsidRDefault="00873E9B" w:rsidP="007B3355">
            <w:r>
              <w:t>AER preliminary decision</w:t>
            </w:r>
          </w:p>
        </w:tc>
      </w:tr>
      <w:tr w:rsidR="007B3355" w:rsidTr="00873E9B">
        <w:trPr>
          <w:cnfStyle w:val="000000010000" w:firstRow="0" w:lastRow="0" w:firstColumn="0" w:lastColumn="0" w:oddVBand="0" w:evenVBand="0" w:oddHBand="0" w:evenHBand="1" w:firstRowFirstColumn="0" w:firstRowLastColumn="0" w:lastRowFirstColumn="0" w:lastRowLastColumn="0"/>
        </w:trPr>
        <w:tc>
          <w:tcPr>
            <w:tcW w:w="534" w:type="dxa"/>
          </w:tcPr>
          <w:p w:rsidR="007B3355" w:rsidRPr="007B3355" w:rsidRDefault="007B3355" w:rsidP="007B3355">
            <w:r>
              <w:t>10</w:t>
            </w:r>
          </w:p>
        </w:tc>
        <w:tc>
          <w:tcPr>
            <w:tcW w:w="4394" w:type="dxa"/>
            <w:vAlign w:val="top"/>
          </w:tcPr>
          <w:p w:rsidR="007B3355" w:rsidRPr="007B3355" w:rsidRDefault="00873E9B" w:rsidP="007B3355">
            <w:r>
              <w:t>Qld Farmers' Federation</w:t>
            </w:r>
          </w:p>
        </w:tc>
        <w:tc>
          <w:tcPr>
            <w:tcW w:w="1417" w:type="dxa"/>
          </w:tcPr>
          <w:p w:rsidR="007B3355" w:rsidRPr="007B3355" w:rsidRDefault="00873E9B" w:rsidP="007B3355">
            <w:r>
              <w:t>3 July 2015</w:t>
            </w:r>
          </w:p>
        </w:tc>
        <w:tc>
          <w:tcPr>
            <w:tcW w:w="2348" w:type="dxa"/>
          </w:tcPr>
          <w:p w:rsidR="007B3355" w:rsidRPr="007B3355" w:rsidRDefault="00873E9B" w:rsidP="007B3355">
            <w:r>
              <w:t>AER preliminary decision</w:t>
            </w:r>
          </w:p>
        </w:tc>
      </w:tr>
      <w:tr w:rsidR="007B3355" w:rsidTr="00873E9B">
        <w:tc>
          <w:tcPr>
            <w:tcW w:w="534" w:type="dxa"/>
          </w:tcPr>
          <w:p w:rsidR="007B3355" w:rsidRPr="007B3355" w:rsidRDefault="007B3355" w:rsidP="007B3355">
            <w:r>
              <w:t>11</w:t>
            </w:r>
          </w:p>
        </w:tc>
        <w:tc>
          <w:tcPr>
            <w:tcW w:w="4394" w:type="dxa"/>
            <w:vAlign w:val="top"/>
          </w:tcPr>
          <w:p w:rsidR="007B3355" w:rsidRPr="007B3355" w:rsidRDefault="00873E9B" w:rsidP="007B3355">
            <w:r>
              <w:t>SAP Consulting</w:t>
            </w:r>
          </w:p>
        </w:tc>
        <w:tc>
          <w:tcPr>
            <w:tcW w:w="1417" w:type="dxa"/>
          </w:tcPr>
          <w:p w:rsidR="007B3355" w:rsidRPr="007B3355" w:rsidRDefault="00873E9B" w:rsidP="007B3355">
            <w:r>
              <w:t>6 July 2015</w:t>
            </w:r>
          </w:p>
        </w:tc>
        <w:tc>
          <w:tcPr>
            <w:tcW w:w="2348" w:type="dxa"/>
          </w:tcPr>
          <w:p w:rsidR="007B3355" w:rsidRPr="007B3355" w:rsidRDefault="00873E9B" w:rsidP="007B3355">
            <w:r>
              <w:t>AER preliminary decision</w:t>
            </w:r>
          </w:p>
        </w:tc>
      </w:tr>
      <w:tr w:rsidR="007B3355" w:rsidTr="00873E9B">
        <w:trPr>
          <w:cnfStyle w:val="000000010000" w:firstRow="0" w:lastRow="0" w:firstColumn="0" w:lastColumn="0" w:oddVBand="0" w:evenVBand="0" w:oddHBand="0" w:evenHBand="1" w:firstRowFirstColumn="0" w:firstRowLastColumn="0" w:lastRowFirstColumn="0" w:lastRowLastColumn="0"/>
        </w:trPr>
        <w:tc>
          <w:tcPr>
            <w:tcW w:w="534" w:type="dxa"/>
          </w:tcPr>
          <w:p w:rsidR="007B3355" w:rsidRPr="007B3355" w:rsidRDefault="007B3355" w:rsidP="007B3355">
            <w:r>
              <w:t>12</w:t>
            </w:r>
          </w:p>
        </w:tc>
        <w:tc>
          <w:tcPr>
            <w:tcW w:w="4394" w:type="dxa"/>
            <w:vAlign w:val="top"/>
          </w:tcPr>
          <w:p w:rsidR="007B3355" w:rsidRPr="007B3355" w:rsidRDefault="00873E9B" w:rsidP="007B3355">
            <w:r>
              <w:t>Total Environment Centre</w:t>
            </w:r>
          </w:p>
        </w:tc>
        <w:tc>
          <w:tcPr>
            <w:tcW w:w="1417" w:type="dxa"/>
          </w:tcPr>
          <w:p w:rsidR="007B3355" w:rsidRPr="007B3355" w:rsidRDefault="00873E9B" w:rsidP="007B3355">
            <w:r>
              <w:t>3 July 2015</w:t>
            </w:r>
          </w:p>
        </w:tc>
        <w:tc>
          <w:tcPr>
            <w:tcW w:w="2348" w:type="dxa"/>
          </w:tcPr>
          <w:p w:rsidR="007B3355" w:rsidRPr="007B3355" w:rsidRDefault="00873E9B" w:rsidP="007B3355">
            <w:r>
              <w:t>AER preliminary decision</w:t>
            </w:r>
          </w:p>
        </w:tc>
      </w:tr>
      <w:tr w:rsidR="007B3355" w:rsidTr="00873E9B">
        <w:tc>
          <w:tcPr>
            <w:tcW w:w="534" w:type="dxa"/>
          </w:tcPr>
          <w:p w:rsidR="007B3355" w:rsidRPr="007B3355" w:rsidRDefault="007B3355" w:rsidP="007B3355">
            <w:r>
              <w:t>13</w:t>
            </w:r>
          </w:p>
        </w:tc>
        <w:tc>
          <w:tcPr>
            <w:tcW w:w="4394" w:type="dxa"/>
            <w:vAlign w:val="top"/>
          </w:tcPr>
          <w:p w:rsidR="007B3355" w:rsidRPr="007B3355" w:rsidRDefault="00873E9B" w:rsidP="007B3355">
            <w:r>
              <w:t>United Energy</w:t>
            </w:r>
          </w:p>
        </w:tc>
        <w:tc>
          <w:tcPr>
            <w:tcW w:w="1417" w:type="dxa"/>
          </w:tcPr>
          <w:p w:rsidR="007B3355" w:rsidRPr="007B3355" w:rsidRDefault="00873E9B" w:rsidP="007B3355">
            <w:r>
              <w:t>3 July 2015</w:t>
            </w:r>
          </w:p>
        </w:tc>
        <w:tc>
          <w:tcPr>
            <w:tcW w:w="2348" w:type="dxa"/>
          </w:tcPr>
          <w:p w:rsidR="007B3355" w:rsidRPr="007B3355" w:rsidRDefault="00873E9B" w:rsidP="007B3355">
            <w:r>
              <w:t>AER preliminary decision</w:t>
            </w:r>
          </w:p>
        </w:tc>
      </w:tr>
      <w:tr w:rsidR="007B3355" w:rsidTr="00873E9B">
        <w:trPr>
          <w:cnfStyle w:val="000000010000" w:firstRow="0" w:lastRow="0" w:firstColumn="0" w:lastColumn="0" w:oddVBand="0" w:evenVBand="0" w:oddHBand="0" w:evenHBand="1" w:firstRowFirstColumn="0" w:firstRowLastColumn="0" w:lastRowFirstColumn="0" w:lastRowLastColumn="0"/>
        </w:trPr>
        <w:tc>
          <w:tcPr>
            <w:tcW w:w="534" w:type="dxa"/>
          </w:tcPr>
          <w:p w:rsidR="007B3355" w:rsidRPr="007B3355" w:rsidRDefault="007B3355" w:rsidP="007B3355">
            <w:r>
              <w:t>14</w:t>
            </w:r>
          </w:p>
        </w:tc>
        <w:tc>
          <w:tcPr>
            <w:tcW w:w="4394" w:type="dxa"/>
            <w:vAlign w:val="top"/>
          </w:tcPr>
          <w:p w:rsidR="007B3355" w:rsidRPr="007B3355" w:rsidRDefault="00873E9B" w:rsidP="007B3355">
            <w:r>
              <w:t>Vector Limited</w:t>
            </w:r>
          </w:p>
        </w:tc>
        <w:tc>
          <w:tcPr>
            <w:tcW w:w="1417" w:type="dxa"/>
          </w:tcPr>
          <w:p w:rsidR="007B3355" w:rsidRPr="007B3355" w:rsidRDefault="00873E9B" w:rsidP="007B3355">
            <w:r>
              <w:t>3 July 2015</w:t>
            </w:r>
          </w:p>
        </w:tc>
        <w:tc>
          <w:tcPr>
            <w:tcW w:w="2348" w:type="dxa"/>
          </w:tcPr>
          <w:p w:rsidR="007B3355" w:rsidRPr="007B3355" w:rsidRDefault="00873E9B" w:rsidP="007B3355">
            <w:r>
              <w:t>AER preliminary decision</w:t>
            </w:r>
          </w:p>
        </w:tc>
      </w:tr>
      <w:tr w:rsidR="007B3355" w:rsidTr="00873E9B">
        <w:tc>
          <w:tcPr>
            <w:tcW w:w="534" w:type="dxa"/>
          </w:tcPr>
          <w:p w:rsidR="007B3355" w:rsidRPr="007B3355" w:rsidRDefault="007B3355" w:rsidP="007B3355">
            <w:r>
              <w:t>15</w:t>
            </w:r>
          </w:p>
        </w:tc>
        <w:tc>
          <w:tcPr>
            <w:tcW w:w="4394" w:type="dxa"/>
            <w:vAlign w:val="top"/>
          </w:tcPr>
          <w:p w:rsidR="007B3355" w:rsidRPr="007B3355" w:rsidRDefault="00873E9B" w:rsidP="007B3355">
            <w:r>
              <w:t>VETO</w:t>
            </w:r>
          </w:p>
        </w:tc>
        <w:tc>
          <w:tcPr>
            <w:tcW w:w="1417" w:type="dxa"/>
          </w:tcPr>
          <w:p w:rsidR="007B3355" w:rsidRPr="007B3355" w:rsidRDefault="00873E9B" w:rsidP="007B3355">
            <w:r>
              <w:t>3 July 2015</w:t>
            </w:r>
          </w:p>
        </w:tc>
        <w:tc>
          <w:tcPr>
            <w:tcW w:w="2348" w:type="dxa"/>
          </w:tcPr>
          <w:p w:rsidR="007B3355" w:rsidRPr="007B3355" w:rsidRDefault="00873E9B" w:rsidP="007B3355">
            <w:r>
              <w:t>AER preliminary decision</w:t>
            </w:r>
          </w:p>
        </w:tc>
      </w:tr>
      <w:tr w:rsidR="007B3355" w:rsidTr="00873E9B">
        <w:trPr>
          <w:cnfStyle w:val="000000010000" w:firstRow="0" w:lastRow="0" w:firstColumn="0" w:lastColumn="0" w:oddVBand="0" w:evenVBand="0" w:oddHBand="0" w:evenHBand="1" w:firstRowFirstColumn="0" w:firstRowLastColumn="0" w:lastRowFirstColumn="0" w:lastRowLastColumn="0"/>
        </w:trPr>
        <w:tc>
          <w:tcPr>
            <w:tcW w:w="534" w:type="dxa"/>
          </w:tcPr>
          <w:p w:rsidR="007B3355" w:rsidRPr="007B3355" w:rsidRDefault="007B3355" w:rsidP="007B3355">
            <w:r>
              <w:t>16</w:t>
            </w:r>
          </w:p>
        </w:tc>
        <w:tc>
          <w:tcPr>
            <w:tcW w:w="4394" w:type="dxa"/>
            <w:vAlign w:val="top"/>
          </w:tcPr>
          <w:p w:rsidR="007B3355" w:rsidRPr="007B3355" w:rsidRDefault="00873E9B" w:rsidP="007B3355">
            <w:r>
              <w:t>Alliance of Electricity Consumers</w:t>
            </w:r>
          </w:p>
        </w:tc>
        <w:tc>
          <w:tcPr>
            <w:tcW w:w="1417" w:type="dxa"/>
          </w:tcPr>
          <w:p w:rsidR="007B3355" w:rsidRPr="007B3355" w:rsidRDefault="00873E9B" w:rsidP="007B3355">
            <w:r>
              <w:t>24 July 2015</w:t>
            </w:r>
          </w:p>
        </w:tc>
        <w:tc>
          <w:tcPr>
            <w:tcW w:w="2348" w:type="dxa"/>
          </w:tcPr>
          <w:p w:rsidR="007B3355" w:rsidRPr="007B3355" w:rsidRDefault="00873E9B" w:rsidP="00873E9B">
            <w:r>
              <w:t>Energex and Ergon Energy's revised proposals</w:t>
            </w:r>
          </w:p>
        </w:tc>
      </w:tr>
      <w:tr w:rsidR="007B3355" w:rsidTr="00873E9B">
        <w:tc>
          <w:tcPr>
            <w:tcW w:w="534" w:type="dxa"/>
          </w:tcPr>
          <w:p w:rsidR="007B3355" w:rsidRPr="007B3355" w:rsidRDefault="007B3355" w:rsidP="007B3355">
            <w:r>
              <w:t>17</w:t>
            </w:r>
          </w:p>
        </w:tc>
        <w:tc>
          <w:tcPr>
            <w:tcW w:w="4394" w:type="dxa"/>
            <w:vAlign w:val="top"/>
          </w:tcPr>
          <w:p w:rsidR="007B3355" w:rsidRPr="007B3355" w:rsidRDefault="00873E9B" w:rsidP="007B3355">
            <w:r>
              <w:t xml:space="preserve">CitiPower and </w:t>
            </w:r>
            <w:r w:rsidR="00CB461E">
              <w:t>Powercor</w:t>
            </w:r>
          </w:p>
        </w:tc>
        <w:tc>
          <w:tcPr>
            <w:tcW w:w="1417" w:type="dxa"/>
          </w:tcPr>
          <w:p w:rsidR="007B3355" w:rsidRPr="007B3355" w:rsidRDefault="00873E9B" w:rsidP="007B3355">
            <w:r>
              <w:t>24 July 2015</w:t>
            </w:r>
          </w:p>
        </w:tc>
        <w:tc>
          <w:tcPr>
            <w:tcW w:w="2348" w:type="dxa"/>
          </w:tcPr>
          <w:p w:rsidR="007B3355" w:rsidRPr="007B3355" w:rsidRDefault="00873E9B" w:rsidP="007B3355">
            <w:r>
              <w:t>All current regulatory determination processes</w:t>
            </w:r>
          </w:p>
        </w:tc>
      </w:tr>
      <w:tr w:rsidR="007B3355" w:rsidTr="00873E9B">
        <w:trPr>
          <w:cnfStyle w:val="000000010000" w:firstRow="0" w:lastRow="0" w:firstColumn="0" w:lastColumn="0" w:oddVBand="0" w:evenVBand="0" w:oddHBand="0" w:evenHBand="1" w:firstRowFirstColumn="0" w:firstRowLastColumn="0" w:lastRowFirstColumn="0" w:lastRowLastColumn="0"/>
        </w:trPr>
        <w:tc>
          <w:tcPr>
            <w:tcW w:w="534" w:type="dxa"/>
          </w:tcPr>
          <w:p w:rsidR="007B3355" w:rsidRPr="007B3355" w:rsidRDefault="007B3355" w:rsidP="007B3355">
            <w:r>
              <w:t>18</w:t>
            </w:r>
          </w:p>
        </w:tc>
        <w:tc>
          <w:tcPr>
            <w:tcW w:w="4394" w:type="dxa"/>
            <w:vAlign w:val="top"/>
          </w:tcPr>
          <w:p w:rsidR="007B3355" w:rsidRPr="007B3355" w:rsidRDefault="00873E9B" w:rsidP="007B3355">
            <w:r>
              <w:t>Cotton Australia</w:t>
            </w:r>
          </w:p>
        </w:tc>
        <w:tc>
          <w:tcPr>
            <w:tcW w:w="1417" w:type="dxa"/>
          </w:tcPr>
          <w:p w:rsidR="007B3355" w:rsidRPr="007B3355" w:rsidRDefault="00873E9B" w:rsidP="007B3355">
            <w:r>
              <w:t>24 July 2015</w:t>
            </w:r>
          </w:p>
        </w:tc>
        <w:tc>
          <w:tcPr>
            <w:tcW w:w="2348" w:type="dxa"/>
          </w:tcPr>
          <w:p w:rsidR="007B3355" w:rsidRPr="007B3355" w:rsidRDefault="00873E9B" w:rsidP="007B3355">
            <w:r>
              <w:t>Energex and Ergon Energy's revised proposals</w:t>
            </w:r>
          </w:p>
        </w:tc>
      </w:tr>
      <w:tr w:rsidR="007B3355" w:rsidTr="00873E9B">
        <w:tc>
          <w:tcPr>
            <w:tcW w:w="534" w:type="dxa"/>
          </w:tcPr>
          <w:p w:rsidR="007B3355" w:rsidRPr="007B3355" w:rsidRDefault="007B3355" w:rsidP="007B3355">
            <w:r>
              <w:t>19</w:t>
            </w:r>
          </w:p>
        </w:tc>
        <w:tc>
          <w:tcPr>
            <w:tcW w:w="4394" w:type="dxa"/>
            <w:vAlign w:val="top"/>
          </w:tcPr>
          <w:p w:rsidR="007B3355" w:rsidRPr="007B3355" w:rsidRDefault="00873E9B" w:rsidP="007B3355">
            <w:r>
              <w:t>Energy Users Association of Australia</w:t>
            </w:r>
          </w:p>
        </w:tc>
        <w:tc>
          <w:tcPr>
            <w:tcW w:w="1417" w:type="dxa"/>
          </w:tcPr>
          <w:p w:rsidR="007B3355" w:rsidRPr="007B3355" w:rsidRDefault="00873E9B" w:rsidP="007B3355">
            <w:r>
              <w:t>24 July 2015</w:t>
            </w:r>
          </w:p>
        </w:tc>
        <w:tc>
          <w:tcPr>
            <w:tcW w:w="2348" w:type="dxa"/>
          </w:tcPr>
          <w:p w:rsidR="007B3355" w:rsidRPr="007B3355" w:rsidRDefault="00873E9B" w:rsidP="007B3355">
            <w:r>
              <w:t>Energex's revised proposal</w:t>
            </w:r>
          </w:p>
        </w:tc>
      </w:tr>
      <w:tr w:rsidR="007B3355" w:rsidTr="00873E9B">
        <w:trPr>
          <w:cnfStyle w:val="000000010000" w:firstRow="0" w:lastRow="0" w:firstColumn="0" w:lastColumn="0" w:oddVBand="0" w:evenVBand="0" w:oddHBand="0" w:evenHBand="1" w:firstRowFirstColumn="0" w:firstRowLastColumn="0" w:lastRowFirstColumn="0" w:lastRowLastColumn="0"/>
        </w:trPr>
        <w:tc>
          <w:tcPr>
            <w:tcW w:w="534" w:type="dxa"/>
          </w:tcPr>
          <w:p w:rsidR="007B3355" w:rsidRPr="007B3355" w:rsidRDefault="007B3355" w:rsidP="007B3355">
            <w:r>
              <w:t>20</w:t>
            </w:r>
          </w:p>
        </w:tc>
        <w:tc>
          <w:tcPr>
            <w:tcW w:w="4394" w:type="dxa"/>
            <w:vAlign w:val="top"/>
          </w:tcPr>
          <w:p w:rsidR="007B3355" w:rsidRPr="007B3355" w:rsidRDefault="00873E9B" w:rsidP="007B3355">
            <w:r>
              <w:t>Jemena</w:t>
            </w:r>
          </w:p>
        </w:tc>
        <w:tc>
          <w:tcPr>
            <w:tcW w:w="1417" w:type="dxa"/>
          </w:tcPr>
          <w:p w:rsidR="007B3355" w:rsidRPr="007B3355" w:rsidRDefault="00873E9B" w:rsidP="007B3355">
            <w:r>
              <w:t>24 July 2015</w:t>
            </w:r>
          </w:p>
        </w:tc>
        <w:tc>
          <w:tcPr>
            <w:tcW w:w="2348" w:type="dxa"/>
          </w:tcPr>
          <w:p w:rsidR="007B3355" w:rsidRPr="007B3355" w:rsidRDefault="00873E9B" w:rsidP="007B3355">
            <w:r>
              <w:t>All current regulatory determination processes</w:t>
            </w:r>
          </w:p>
        </w:tc>
      </w:tr>
      <w:tr w:rsidR="007B3355" w:rsidTr="00873E9B">
        <w:tc>
          <w:tcPr>
            <w:tcW w:w="534" w:type="dxa"/>
          </w:tcPr>
          <w:p w:rsidR="007B3355" w:rsidRPr="007B3355" w:rsidRDefault="007B3355" w:rsidP="007B3355">
            <w:r>
              <w:t>21</w:t>
            </w:r>
          </w:p>
        </w:tc>
        <w:tc>
          <w:tcPr>
            <w:tcW w:w="4394" w:type="dxa"/>
            <w:vAlign w:val="top"/>
          </w:tcPr>
          <w:p w:rsidR="007B3355" w:rsidRPr="007B3355" w:rsidRDefault="00873E9B" w:rsidP="007B3355">
            <w:r>
              <w:t>Multinet Gas</w:t>
            </w:r>
          </w:p>
        </w:tc>
        <w:tc>
          <w:tcPr>
            <w:tcW w:w="1417" w:type="dxa"/>
          </w:tcPr>
          <w:p w:rsidR="007B3355" w:rsidRPr="007B3355" w:rsidRDefault="00873E9B" w:rsidP="007B3355">
            <w:r>
              <w:t>24 July 2015</w:t>
            </w:r>
          </w:p>
        </w:tc>
        <w:tc>
          <w:tcPr>
            <w:tcW w:w="2348" w:type="dxa"/>
          </w:tcPr>
          <w:p w:rsidR="007B3355" w:rsidRPr="007B3355" w:rsidRDefault="00873E9B" w:rsidP="007B3355">
            <w:r>
              <w:t>All current regulatory determination processes</w:t>
            </w:r>
          </w:p>
        </w:tc>
      </w:tr>
      <w:tr w:rsidR="007B3355" w:rsidTr="00873E9B">
        <w:trPr>
          <w:cnfStyle w:val="000000010000" w:firstRow="0" w:lastRow="0" w:firstColumn="0" w:lastColumn="0" w:oddVBand="0" w:evenVBand="0" w:oddHBand="0" w:evenHBand="1" w:firstRowFirstColumn="0" w:firstRowLastColumn="0" w:lastRowFirstColumn="0" w:lastRowLastColumn="0"/>
        </w:trPr>
        <w:tc>
          <w:tcPr>
            <w:tcW w:w="534" w:type="dxa"/>
          </w:tcPr>
          <w:p w:rsidR="007B3355" w:rsidRPr="007B3355" w:rsidRDefault="007B3355" w:rsidP="007B3355">
            <w:r>
              <w:t>22</w:t>
            </w:r>
          </w:p>
        </w:tc>
        <w:tc>
          <w:tcPr>
            <w:tcW w:w="4394" w:type="dxa"/>
            <w:vAlign w:val="top"/>
          </w:tcPr>
          <w:p w:rsidR="007B3355" w:rsidRPr="007B3355" w:rsidRDefault="00873E9B" w:rsidP="007B3355">
            <w:r>
              <w:t>United Energy</w:t>
            </w:r>
          </w:p>
        </w:tc>
        <w:tc>
          <w:tcPr>
            <w:tcW w:w="1417" w:type="dxa"/>
          </w:tcPr>
          <w:p w:rsidR="007B3355" w:rsidRPr="007B3355" w:rsidRDefault="00873E9B" w:rsidP="007B3355">
            <w:r>
              <w:t>24 July 2015</w:t>
            </w:r>
          </w:p>
        </w:tc>
        <w:tc>
          <w:tcPr>
            <w:tcW w:w="2348" w:type="dxa"/>
          </w:tcPr>
          <w:p w:rsidR="007B3355" w:rsidRPr="007B3355" w:rsidRDefault="00873E9B" w:rsidP="007B3355">
            <w:r>
              <w:t>All current regulatory determination processes</w:t>
            </w:r>
          </w:p>
        </w:tc>
      </w:tr>
      <w:tr w:rsidR="007B3355" w:rsidTr="00873E9B">
        <w:tc>
          <w:tcPr>
            <w:tcW w:w="534" w:type="dxa"/>
          </w:tcPr>
          <w:p w:rsidR="007B3355" w:rsidRPr="007B3355" w:rsidRDefault="007B3355" w:rsidP="007B3355">
            <w:r>
              <w:t>23</w:t>
            </w:r>
          </w:p>
        </w:tc>
        <w:tc>
          <w:tcPr>
            <w:tcW w:w="4394" w:type="dxa"/>
            <w:vAlign w:val="top"/>
          </w:tcPr>
          <w:p w:rsidR="007B3355" w:rsidRPr="007B3355" w:rsidRDefault="00873E9B" w:rsidP="007B3355">
            <w:r>
              <w:t>Local Government Association of Qld</w:t>
            </w:r>
          </w:p>
        </w:tc>
        <w:tc>
          <w:tcPr>
            <w:tcW w:w="1417" w:type="dxa"/>
          </w:tcPr>
          <w:p w:rsidR="007B3355" w:rsidRPr="007B3355" w:rsidRDefault="00873E9B" w:rsidP="007B3355">
            <w:r>
              <w:t>24 July 2015</w:t>
            </w:r>
          </w:p>
        </w:tc>
        <w:tc>
          <w:tcPr>
            <w:tcW w:w="2348" w:type="dxa"/>
          </w:tcPr>
          <w:p w:rsidR="007B3355" w:rsidRPr="007B3355" w:rsidRDefault="00873E9B" w:rsidP="007B3355">
            <w:r>
              <w:t>Energex and Ergon Energy's revised proposals</w:t>
            </w:r>
          </w:p>
        </w:tc>
      </w:tr>
    </w:tbl>
    <w:p w:rsidR="007B3355" w:rsidRDefault="007B3355" w:rsidP="007B3355"/>
    <w:p w:rsidR="007B3355" w:rsidRDefault="007B3355" w:rsidP="007B3355"/>
    <w:p w:rsidR="008D2009" w:rsidRDefault="008D2009" w:rsidP="007B3355">
      <w:pPr>
        <w:sectPr w:rsidR="008D2009" w:rsidSect="00DE563D">
          <w:pgSz w:w="11906" w:h="16838" w:code="9"/>
          <w:pgMar w:top="1440" w:right="1700" w:bottom="1582" w:left="1729" w:header="720" w:footer="0" w:gutter="0"/>
          <w:cols w:space="720"/>
          <w:docGrid w:linePitch="326"/>
        </w:sectPr>
      </w:pPr>
    </w:p>
    <w:p w:rsidR="008D2009" w:rsidRPr="008D2009" w:rsidRDefault="008D2009" w:rsidP="008D2009">
      <w:pPr>
        <w:pStyle w:val="Heading7"/>
      </w:pPr>
      <w:bookmarkStart w:id="81" w:name="_Toc433723324"/>
      <w:r w:rsidRPr="008D2009">
        <w:t>Interrelationships in the AER’s final decision for Energex</w:t>
      </w:r>
      <w:bookmarkEnd w:id="81"/>
    </w:p>
    <w:tbl>
      <w:tblPr>
        <w:tblStyle w:val="AERtable-text0"/>
        <w:tblW w:w="5039" w:type="pct"/>
        <w:tblLayout w:type="fixed"/>
        <w:tblLook w:val="04A0" w:firstRow="1" w:lastRow="0" w:firstColumn="1" w:lastColumn="0" w:noHBand="0" w:noVBand="1"/>
      </w:tblPr>
      <w:tblGrid>
        <w:gridCol w:w="1838"/>
        <w:gridCol w:w="12612"/>
      </w:tblGrid>
      <w:tr w:rsidR="008D2009" w:rsidRPr="001A705F" w:rsidTr="00F95B36">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rsidR="008D2009" w:rsidRPr="008D2009" w:rsidRDefault="008D2009" w:rsidP="008D2009">
            <w:r w:rsidRPr="008D2009">
              <w:t>Interrelationships in the AER’s final decision for Energex</w:t>
            </w:r>
          </w:p>
        </w:tc>
      </w:tr>
      <w:tr w:rsidR="008D2009" w:rsidRPr="001A705F" w:rsidTr="00F95B36">
        <w:tc>
          <w:tcPr>
            <w:tcW w:w="636" w:type="pct"/>
          </w:tcPr>
          <w:p w:rsidR="008D2009" w:rsidRPr="008D2009" w:rsidRDefault="008D2009" w:rsidP="008D2009">
            <w:r w:rsidRPr="008D2009">
              <w:t>Page Ref.</w:t>
            </w:r>
          </w:p>
        </w:tc>
        <w:tc>
          <w:tcPr>
            <w:tcW w:w="4364" w:type="pct"/>
            <w:hideMark/>
          </w:tcPr>
          <w:p w:rsidR="008D2009" w:rsidRPr="008D2009" w:rsidRDefault="008D2009" w:rsidP="008D2009">
            <w:r w:rsidRPr="008D2009">
              <w:t>Explanation</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Overview</w:t>
            </w:r>
          </w:p>
        </w:tc>
      </w:tr>
      <w:tr w:rsidR="008D2009" w:rsidRPr="001A705F" w:rsidTr="00F95B36">
        <w:tc>
          <w:tcPr>
            <w:tcW w:w="636" w:type="pct"/>
          </w:tcPr>
          <w:p w:rsidR="008D2009" w:rsidRPr="008D2009" w:rsidRDefault="008D2009" w:rsidP="008D2009">
            <w:r w:rsidRPr="008D2009">
              <w:t>Final decision</w:t>
            </w:r>
          </w:p>
          <w:p w:rsidR="008D2009" w:rsidRPr="008D2009" w:rsidRDefault="008D2009" w:rsidP="008D2009">
            <w:r w:rsidRPr="008D2009">
              <w:t>Overview p. 43</w:t>
            </w:r>
          </w:p>
        </w:tc>
        <w:tc>
          <w:tcPr>
            <w:tcW w:w="4364" w:type="pct"/>
          </w:tcPr>
          <w:p w:rsidR="008D2009" w:rsidRPr="008D2009" w:rsidRDefault="008D2009" w:rsidP="008D2009">
            <w:r w:rsidRPr="008D2009">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  Interrelationships can take various forms, including:</w:t>
            </w:r>
          </w:p>
          <w:p w:rsidR="008D2009" w:rsidRPr="008D2009" w:rsidRDefault="008D2009" w:rsidP="00F95B36">
            <w:pPr>
              <w:pStyle w:val="AERbulletlistfirststyle"/>
            </w:pPr>
            <w:r w:rsidRPr="008D2009">
              <w:t>underlying drivers and context which are likely to affect many constituent components of our decision. For example, forecast demand affects the efficient levels of capex and opex in the regulatory control period (see attachment 6).</w:t>
            </w:r>
          </w:p>
          <w:p w:rsidR="008D2009" w:rsidRPr="008D2009" w:rsidRDefault="008D2009" w:rsidP="00F95B36">
            <w:pPr>
              <w:pStyle w:val="AERbulletlistfirststyle"/>
            </w:pPr>
            <w:r w:rsidRPr="008D2009">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8D2009" w:rsidRPr="008D2009" w:rsidRDefault="008D2009" w:rsidP="00F95B36">
            <w:pPr>
              <w:pStyle w:val="AERbulletlistfirststyle"/>
            </w:pPr>
            <w:r w:rsidRPr="008D2009">
              <w:t>trade-offs between different components of revenue. For example, undertaking a particular capex project may affect the need for opex or vice versa (see attachments 6 and 7).</w:t>
            </w:r>
          </w:p>
          <w:p w:rsidR="008D2009" w:rsidRPr="008D2009" w:rsidRDefault="008D2009" w:rsidP="00F95B36">
            <w:pPr>
              <w:pStyle w:val="AERbulletlistfirststyle"/>
            </w:pPr>
            <w:r w:rsidRPr="008D2009">
              <w:t>trade-offs between forecast and actual regulatory measures. The reasons for one part of a proposal may have impacts on other parts of a proposal. For example, an increase in augmentation to the network means the network service provider has more assets to maintain leading to higher opex requirements (see attachments 6 and 7).</w:t>
            </w:r>
          </w:p>
          <w:p w:rsidR="008D2009" w:rsidRPr="008D2009" w:rsidRDefault="008D2009" w:rsidP="00F95B36">
            <w:pPr>
              <w:pStyle w:val="AERbulletlistfirststyle"/>
            </w:pPr>
            <w:r w:rsidRPr="008D2009">
              <w:t>the network service provider's approach to managing its network. The network service provider's governance arrangements and its approach to risk management will influence most aspects of the proposal, including capex/opex trade-offs (see attachment 6).</w:t>
            </w:r>
          </w:p>
          <w:p w:rsidR="008D2009" w:rsidRPr="008D2009" w:rsidRDefault="008D2009" w:rsidP="008D2009">
            <w:r w:rsidRPr="008D2009">
              <w:t>We have considered interrelationships, including those above, in our analysis of the constituent components of our final decision. These considerations are explored in the relevant attachments.</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1: Annual Revenue Requirement</w:t>
            </w:r>
          </w:p>
        </w:tc>
      </w:tr>
      <w:tr w:rsidR="008D2009" w:rsidRPr="001A705F" w:rsidTr="00F95B36">
        <w:trPr>
          <w:trHeight w:val="837"/>
        </w:trPr>
        <w:tc>
          <w:tcPr>
            <w:tcW w:w="636" w:type="pct"/>
          </w:tcPr>
          <w:p w:rsidR="008D2009" w:rsidRPr="008D2009" w:rsidRDefault="008D2009" w:rsidP="008D2009"/>
        </w:tc>
        <w:tc>
          <w:tcPr>
            <w:tcW w:w="4364" w:type="pct"/>
          </w:tcPr>
          <w:p w:rsidR="008D2009" w:rsidRPr="008D2009" w:rsidRDefault="008D2009" w:rsidP="008D2009">
            <w:r w:rsidRPr="008D2009">
              <w:t>Smoothing profile (X factors) is affected by the overall annual revenue requirement based on all building block decisions, including rate of return and capex. Further, the smoothing profile is affected by the removal of alternative control services assets for changes in classification of services.</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2: Regulatory asset base</w:t>
            </w:r>
          </w:p>
        </w:tc>
      </w:tr>
      <w:tr w:rsidR="008D2009" w:rsidRPr="001A705F" w:rsidTr="00F95B36">
        <w:tc>
          <w:tcPr>
            <w:tcW w:w="636" w:type="pct"/>
          </w:tcPr>
          <w:p w:rsidR="008D2009" w:rsidRPr="008D2009" w:rsidRDefault="008D2009" w:rsidP="008D2009">
            <w:r w:rsidRPr="008D2009">
              <w:t>Preliminary decision p. 2–11</w:t>
            </w:r>
          </w:p>
        </w:tc>
        <w:tc>
          <w:tcPr>
            <w:tcW w:w="4364" w:type="pct"/>
          </w:tcPr>
          <w:p w:rsidR="008D2009" w:rsidRPr="008D2009" w:rsidRDefault="008D2009" w:rsidP="008D2009">
            <w:r w:rsidRPr="008D2009">
              <w:t>The RAB is an input into the determination of the return on capital and depreciation (return of capital) building block allowances.  Factors that influence the RAB will therefore flow through to these building block components and the annual revenue requirement. Other things being equal, a higher RAB increases both the return on capital and depreciation allowances.</w:t>
            </w:r>
          </w:p>
          <w:p w:rsidR="008D2009" w:rsidRPr="008D2009" w:rsidRDefault="008D2009" w:rsidP="008D2009">
            <w:r w:rsidRPr="008D2009">
              <w:t>The RAB is determined by various factors, including:</w:t>
            </w:r>
          </w:p>
          <w:p w:rsidR="008D2009" w:rsidRPr="008D2009" w:rsidRDefault="008D2009" w:rsidP="00F95B36">
            <w:pPr>
              <w:pStyle w:val="AERbulletlistfirststyle"/>
            </w:pPr>
            <w:r w:rsidRPr="008D2009">
              <w:t>the opening RAB (meaning the value of existing assets at the beginning of the regulatory control period)</w:t>
            </w:r>
          </w:p>
          <w:p w:rsidR="008D2009" w:rsidRPr="008D2009" w:rsidRDefault="008D2009" w:rsidP="00F95B36">
            <w:pPr>
              <w:pStyle w:val="AERbulletlistfirststyle"/>
            </w:pPr>
            <w:r w:rsidRPr="008D2009">
              <w:t xml:space="preserve">net capex </w:t>
            </w:r>
          </w:p>
          <w:p w:rsidR="008D2009" w:rsidRPr="008D2009" w:rsidRDefault="008D2009" w:rsidP="00F95B36">
            <w:pPr>
              <w:pStyle w:val="AERbulletlistfirststyle"/>
            </w:pPr>
            <w:r w:rsidRPr="008D2009">
              <w:t>depreciation</w:t>
            </w:r>
          </w:p>
          <w:p w:rsidR="008D2009" w:rsidRPr="008D2009" w:rsidRDefault="008D2009" w:rsidP="00F95B36">
            <w:pPr>
              <w:pStyle w:val="AERbulletlistfirststyle"/>
            </w:pPr>
            <w:r w:rsidRPr="008D2009">
              <w:t>indexation adjustment – so the RAB is presented in nominal terms, consistent with the rate of return.</w:t>
            </w:r>
          </w:p>
          <w:p w:rsidR="008D2009" w:rsidRPr="008D2009" w:rsidRDefault="008D2009" w:rsidP="008D2009">
            <w:r w:rsidRPr="008D2009">
              <w:t xml:space="preserve">The opening RAB depends on the value of existing assets and will depend on actual net capex, actual inflation outcomes and depreciation in the past. </w:t>
            </w:r>
          </w:p>
          <w:p w:rsidR="008D2009" w:rsidRPr="008D2009" w:rsidRDefault="008D2009" w:rsidP="008D2009">
            <w:r w:rsidRPr="008D2009">
              <w:t xml:space="preserve">The RAB when projected to the end of the regulatory control period increases due to both forecast new capex and the indexation adjustment. The size of the indexation adjustment depends on expected inflation (which also affects the nominal rate of return) and the size of the RAB at the start of each year. </w:t>
            </w:r>
          </w:p>
          <w:p w:rsidR="008D2009" w:rsidRPr="008D2009" w:rsidRDefault="008D2009" w:rsidP="008D2009">
            <w:r w:rsidRPr="008D2009">
              <w:t>Depreciation reduces the RAB. The depreciation allowance depends on the size of the opening RAB and the forecast net capex. By convention, the indexation adjustment is also offset against depreciation to prevent double counting of inflation in the RAB and rate of return, which are both presented in nominal terms. This reduces the apparent depreciation building block that feeds into the annual revenue requirement.</w:t>
            </w:r>
          </w:p>
          <w:p w:rsidR="008D2009" w:rsidRPr="008D2009" w:rsidRDefault="008D2009" w:rsidP="008D2009">
            <w:r w:rsidRPr="008D2009">
              <w:t xml:space="preserve">Maintaining the RAB in real terms by adding inflation is required by the NER and generally helps to promote smoother prices over the life of an asset. If the RAB was unindexed for inflation, the offsetting indexation adjustment applied to depreciation would also have to be removed. On balance, this means more depreciation would be returned to the business resulting in higher prices early in an asset life and lower prices later in its life. Even if allowed under the NER, moving to an unindexed RAB would lead to a price increase over the short to medium term and when new lumpy assets are added to the RAB. </w:t>
            </w:r>
          </w:p>
          <w:p w:rsidR="008D2009" w:rsidRPr="008D2009" w:rsidRDefault="008D2009" w:rsidP="00F95B36">
            <w:r w:rsidRPr="008D2009">
              <w:t xml:space="preserve">The depreciation amount also largely depends on the opening RAB (which in turn depends on capex in the past). </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3: Rate of return</w:t>
            </w:r>
          </w:p>
        </w:tc>
      </w:tr>
      <w:tr w:rsidR="008D2009" w:rsidRPr="001A705F" w:rsidTr="00F95B36">
        <w:trPr>
          <w:trHeight w:val="432"/>
        </w:trPr>
        <w:tc>
          <w:tcPr>
            <w:tcW w:w="636" w:type="pct"/>
          </w:tcPr>
          <w:p w:rsidR="008D2009" w:rsidRPr="008D2009" w:rsidRDefault="008D2009" w:rsidP="008D2009">
            <w:r w:rsidRPr="008D2009">
              <w:t>Final decision p. 3–25</w:t>
            </w:r>
          </w:p>
        </w:tc>
        <w:tc>
          <w:tcPr>
            <w:tcW w:w="4364" w:type="pct"/>
          </w:tcPr>
          <w:p w:rsidR="008D2009" w:rsidRPr="008D2009" w:rsidRDefault="008D2009" w:rsidP="008D2009">
            <w:r w:rsidRPr="008D2009">
              <w:t xml:space="preserve">This section notes the key interrelationships in the rate of return decision in the context of the rule requirements to apply a rate of return. Where we have had regard to these in developing our approach, they are more fully described in the Guideline. The manner in which these are taken into account in making this decision is set out as part of our reasoning and analysis in section 3.4 and the rate of return appendices. </w:t>
            </w:r>
          </w:p>
          <w:p w:rsidR="008D2009" w:rsidRPr="008D2009" w:rsidRDefault="008D2009" w:rsidP="008D2009">
            <w:r w:rsidRPr="008D2009">
              <w:t xml:space="preserve">We estimate a rate of return for a benchmark efficient entity which is then applied to a specific service provider rather than determining the returns of a specific service provider based on its specific circumstances. This is the same whether estimating the return on equity or return on debt as separate components. We set a rate of return that is commensurate with the efficient financing costs of a benchmark efficient entity with a similar degree of risk as the service provider in respect of the provision of standard control services. This provides a reasonable opportunity to recover at least the efficient costs. The network service provider’s actual returns could be higher or lower compared to the benchmark depending on how efficiently it operates its business. This is consistent with incentive regulation. That is, our rate of return approach drives efficient outcomes by creating the correct incentive by allowing network service providers to retain (fund) any additional income (costs) by outperforming (underperforming) the efficient benchmark.  </w:t>
            </w:r>
          </w:p>
          <w:p w:rsidR="008D2009" w:rsidRPr="008D2009" w:rsidRDefault="008D2009" w:rsidP="008D2009">
            <w:r w:rsidRPr="008D2009">
              <w:t>We are mindful that we apply a benchmark approach and an incentive regulatory framework. Any one component or relevant parameter adopted for estimating the rate of return should not be solely viewed in isolation. In developing our approach and implementing it to derive the overall rate of return we are cognisant of a number of interrelationships relating to the estimation of the return on equity and debt and underlying input parameters.</w:t>
            </w:r>
          </w:p>
          <w:p w:rsidR="008D2009" w:rsidRPr="00F95B36" w:rsidRDefault="008D2009" w:rsidP="008D2009">
            <w:pPr>
              <w:rPr>
                <w:rStyle w:val="Strong"/>
              </w:rPr>
            </w:pPr>
            <w:r w:rsidRPr="00F95B36">
              <w:rPr>
                <w:rStyle w:val="Strong"/>
              </w:rPr>
              <w:t xml:space="preserve">Single benchmark </w:t>
            </w:r>
          </w:p>
          <w:p w:rsidR="008D2009" w:rsidRPr="008D2009" w:rsidRDefault="008D2009" w:rsidP="008D2009">
            <w:r w:rsidRPr="008D2009">
              <w:t xml:space="preserve">We adopt a single benchmark efficient entity across all service providers. In deciding on a single benchmark we considered different types of risks and different risk drivers that may have the potential to lead to different risk exposures. We also noted that the rate of return compensates investors only for non–diversifiable risks (systematic risks) and other types of risks are compensated via cash flows and some may not be compensated at all.  These interrelationships between the types of risk and the required compensation via the rate of return are an important factor.  Our view is that the benchmark efficient entity would face a similar degree of risk irrespective of the: </w:t>
            </w:r>
          </w:p>
          <w:p w:rsidR="008D2009" w:rsidRPr="008D2009" w:rsidRDefault="008D2009" w:rsidP="00F95B36">
            <w:pPr>
              <w:pStyle w:val="AERbulletlistfirststyle"/>
            </w:pPr>
            <w:r w:rsidRPr="008D2009">
              <w:t xml:space="preserve">energy type (gas or electricity) </w:t>
            </w:r>
          </w:p>
          <w:p w:rsidR="008D2009" w:rsidRPr="008D2009" w:rsidRDefault="008D2009" w:rsidP="00F95B36">
            <w:pPr>
              <w:pStyle w:val="AERbulletlistfirststyle"/>
            </w:pPr>
            <w:r w:rsidRPr="008D2009">
              <w:t>network type (distribution or transmission)</w:t>
            </w:r>
          </w:p>
          <w:p w:rsidR="008D2009" w:rsidRPr="008D2009" w:rsidRDefault="008D2009" w:rsidP="00F95B36">
            <w:pPr>
              <w:pStyle w:val="AERbulletlistfirststyle"/>
            </w:pPr>
            <w:r w:rsidRPr="008D2009">
              <w:t>ownership type (government or private)</w:t>
            </w:r>
          </w:p>
          <w:p w:rsidR="008D2009" w:rsidRPr="008D2009" w:rsidRDefault="008D2009" w:rsidP="00F95B36">
            <w:pPr>
              <w:pStyle w:val="AERbulletlistfirststyle"/>
            </w:pPr>
            <w:r w:rsidRPr="008D2009">
              <w:t>size of the service provider (big or small).</w:t>
            </w:r>
          </w:p>
          <w:p w:rsidR="008D2009" w:rsidRPr="00F95B36" w:rsidRDefault="008D2009" w:rsidP="008D2009">
            <w:pPr>
              <w:rPr>
                <w:rStyle w:val="Strong"/>
              </w:rPr>
            </w:pPr>
            <w:r w:rsidRPr="00F95B36">
              <w:rPr>
                <w:rStyle w:val="Strong"/>
              </w:rPr>
              <w:t>Domestic market</w:t>
            </w:r>
          </w:p>
          <w:p w:rsidR="008D2009" w:rsidRPr="008D2009" w:rsidRDefault="008D2009" w:rsidP="008D2009">
            <w:r w:rsidRPr="008D2009">
              <w:t xml:space="preserve">We adopt the Australian market as the market within which the benchmark efficient entity operates. This recognises that the location of a business determines the conditions under which the business operates and these include the regulatory regime, tax laws, industry structure and broader economic environment. As most of these conditions will be different from those prevailing for overseas entities, the risk profile of overseas entities is likely to differ from those within Australia. Consequently, the returns required are also likely to differ. This is an important factor in estimating the rate of return and we therefore adopt a domestic approach. Hence, when estimating input parameters for the Sharpe–Lintner capital asset pricing model (SLCAPM) we place most reliance on Australian market data whilst, using overseas data informatively. </w:t>
            </w:r>
          </w:p>
          <w:p w:rsidR="008D2009" w:rsidRPr="00F95B36" w:rsidRDefault="008D2009" w:rsidP="008D2009">
            <w:pPr>
              <w:rPr>
                <w:rStyle w:val="Strong"/>
              </w:rPr>
            </w:pPr>
            <w:r w:rsidRPr="00F95B36">
              <w:rPr>
                <w:rStyle w:val="Strong"/>
              </w:rPr>
              <w:t xml:space="preserve">Benchmark gearing </w:t>
            </w:r>
          </w:p>
          <w:p w:rsidR="008D2009" w:rsidRPr="008D2009" w:rsidRDefault="008D2009" w:rsidP="008D2009">
            <w:r w:rsidRPr="008D2009">
              <w:t>We apply a benchmark efficient level of gearing of 60 per cent.  This benchmark gearing level is used:</w:t>
            </w:r>
          </w:p>
          <w:p w:rsidR="008D2009" w:rsidRPr="008D2009" w:rsidRDefault="008D2009" w:rsidP="00F95B36">
            <w:pPr>
              <w:pStyle w:val="AERbulletlistfirststyle"/>
            </w:pPr>
            <w:r w:rsidRPr="008D2009">
              <w:t>to weight the expected required return on debt and equity to derive the overall rate of return using the WACC formula</w:t>
            </w:r>
          </w:p>
          <w:p w:rsidR="008D2009" w:rsidRPr="008D2009" w:rsidRDefault="008D2009" w:rsidP="00F95B36">
            <w:pPr>
              <w:pStyle w:val="AERbulletlistfirststyle"/>
            </w:pPr>
            <w:r w:rsidRPr="008D2009">
              <w:t>to re-lever asset betas for the purposes of comparing the levels of systematic risk across businesses which is relevant for the equity beta estimate.</w:t>
            </w:r>
          </w:p>
          <w:p w:rsidR="008D2009" w:rsidRPr="008D2009" w:rsidRDefault="008D2009" w:rsidP="008D2009">
            <w:r w:rsidRPr="008D2009">
              <w:t xml:space="preserve">We adopt a benchmark credit rating which is BBB+ or its equivalent for the purposes of estimating the return on debt. To derive this benchmark rating and the gearing ratio, we reviewed a sample of regulated networks. Amongst a number of other factors, a regulated service provider's actual gearing levels have a direct relationship to its credit ratings. Hence, our findings on the benchmark gearing ratio of 60 per cent and the benchmark credit rating are interrelated given that the underlying evidence is derived from a sample of regulated network service providers. </w:t>
            </w:r>
          </w:p>
          <w:p w:rsidR="008D2009" w:rsidRPr="00F95B36" w:rsidRDefault="008D2009" w:rsidP="008D2009">
            <w:pPr>
              <w:rPr>
                <w:rStyle w:val="Strong"/>
              </w:rPr>
            </w:pPr>
            <w:r w:rsidRPr="00F95B36">
              <w:rPr>
                <w:rStyle w:val="Strong"/>
              </w:rPr>
              <w:t>Term of the rate of return</w:t>
            </w:r>
          </w:p>
          <w:p w:rsidR="008D2009" w:rsidRPr="008D2009" w:rsidRDefault="008D2009" w:rsidP="008D2009">
            <w:r w:rsidRPr="008D2009">
              <w:t>We adopt a 10 year term for our overall rate of return.  This results in the following economic interdependencies that impact on the implementation of our return on equity and debt estimation methods:</w:t>
            </w:r>
          </w:p>
          <w:p w:rsidR="008D2009" w:rsidRPr="008D2009" w:rsidRDefault="008D2009" w:rsidP="00F95B36">
            <w:pPr>
              <w:pStyle w:val="AERbulletlistfirststyle"/>
            </w:pPr>
            <w:r w:rsidRPr="008D2009">
              <w:t>The risk free rate used for estimating the return on equity is a 10 year forward looking rate</w:t>
            </w:r>
          </w:p>
          <w:p w:rsidR="008D2009" w:rsidRPr="008D2009" w:rsidRDefault="008D2009" w:rsidP="00F95B36">
            <w:pPr>
              <w:pStyle w:val="AERbulletlistfirststyle"/>
            </w:pPr>
            <w:r w:rsidRPr="008D2009">
              <w:t>The market risk premium (MRP) estimate is for a 10 year forward looking period</w:t>
            </w:r>
          </w:p>
          <w:p w:rsidR="008D2009" w:rsidRPr="008D2009" w:rsidRDefault="008D2009" w:rsidP="00E43ADD">
            <w:pPr>
              <w:pStyle w:val="AERbulletlistfirststyle"/>
            </w:pPr>
            <w:r w:rsidRPr="008D2009">
              <w:t>We adopt a 10 year debt term for estimating the return on debt.</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Height w:val="222"/>
        </w:trPr>
        <w:tc>
          <w:tcPr>
            <w:tcW w:w="5000" w:type="pct"/>
            <w:gridSpan w:val="2"/>
          </w:tcPr>
          <w:p w:rsidR="008D2009" w:rsidRPr="00F95B36" w:rsidRDefault="008D2009" w:rsidP="008D2009">
            <w:pPr>
              <w:rPr>
                <w:rStyle w:val="Strong"/>
              </w:rPr>
            </w:pPr>
            <w:r w:rsidRPr="00F95B36">
              <w:rPr>
                <w:rStyle w:val="Strong"/>
              </w:rPr>
              <w:t>Attachment 4: Value of imputation credits</w:t>
            </w:r>
          </w:p>
        </w:tc>
      </w:tr>
      <w:tr w:rsidR="008D2009" w:rsidRPr="001A705F" w:rsidTr="00F95B36">
        <w:trPr>
          <w:trHeight w:val="1861"/>
        </w:trPr>
        <w:tc>
          <w:tcPr>
            <w:tcW w:w="636" w:type="pct"/>
          </w:tcPr>
          <w:p w:rsidR="008D2009" w:rsidRPr="008D2009" w:rsidRDefault="008D2009" w:rsidP="008D2009">
            <w:r w:rsidRPr="008D2009">
              <w:t>Preliminary decision p. 4–13</w:t>
            </w:r>
          </w:p>
        </w:tc>
        <w:tc>
          <w:tcPr>
            <w:tcW w:w="4364" w:type="pct"/>
          </w:tcPr>
          <w:p w:rsidR="008D2009" w:rsidRPr="008D2009" w:rsidRDefault="008D2009" w:rsidP="008D2009">
            <w:r w:rsidRPr="008D2009">
              <w:t>The NER recognise that a service provider's allowed revenue does not need to include the value of imputation credits. The NER adjust for the value of imputation credits via the revenue granted to a service provider to cover its expected tax liability. This form of adjustment recognises that it is the payment of corporate tax which is the source of the imputat</w:t>
            </w:r>
            <w:r w:rsidR="00F95B36">
              <w:t>ion credit return to investors.</w:t>
            </w:r>
          </w:p>
          <w:p w:rsidR="008D2009" w:rsidRPr="008D2009" w:rsidRDefault="008D2009" w:rsidP="008D2009">
            <w:r w:rsidRPr="008D2009">
              <w:t>The value of imputation credits is also interrelated with the MRP. As discussed in attachment 3, the definition of the MRP in the SLCAPM should account for the capitalised value of imputation credits. Accordingly, in our determination of the return on equity in attachment 3 we adjust estimates of the MRP in a manner consistent with our determination of the value of imputation credits in this attachment. This is also required by the NER/NGR.</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5: Regulatory depreciation</w:t>
            </w:r>
          </w:p>
        </w:tc>
      </w:tr>
      <w:tr w:rsidR="008D2009" w:rsidRPr="001A705F" w:rsidTr="00F95B36">
        <w:tc>
          <w:tcPr>
            <w:tcW w:w="636" w:type="pct"/>
          </w:tcPr>
          <w:p w:rsidR="008D2009" w:rsidRPr="008D2009" w:rsidRDefault="008D2009" w:rsidP="008D2009">
            <w:r w:rsidRPr="008D2009">
              <w:t>Preliminary decision p. 5–9</w:t>
            </w:r>
          </w:p>
        </w:tc>
        <w:tc>
          <w:tcPr>
            <w:tcW w:w="4364" w:type="pct"/>
          </w:tcPr>
          <w:p w:rsidR="008D2009" w:rsidRPr="008D2009" w:rsidRDefault="008D2009" w:rsidP="008D2009">
            <w:r w:rsidRPr="008D2009">
              <w:t xml:space="preserve">The regulatory depreciation allowance is a building block component of the annual revenue requirement. Higher (or quicker) depreciation leads to higher revenues over the regulatory control period. It also causes the RAB to reduce more quickly (assuming no further capex). This outcome reduces the return on capital allowance, although this impact is usually secondary to the increased depreciation allowance. </w:t>
            </w:r>
          </w:p>
          <w:p w:rsidR="008D2009" w:rsidRPr="008D2009" w:rsidRDefault="008D2009" w:rsidP="008D2009">
            <w:r w:rsidRPr="008D2009">
              <w:t xml:space="preserve">Ultimately, however, a service provider can recover only once the capex that it incurred on assets. The depreciation allowance reflects how quickly the RAB is being recovered, and it is based on the remaining and standard asset lives used in the depreciation calculation. It also depends on the level of the opening RAB and the forecast capex. Any increase in these factors also increases the depreciation allowance. </w:t>
            </w:r>
          </w:p>
          <w:p w:rsidR="008D2009" w:rsidRPr="008D2009" w:rsidRDefault="008D2009" w:rsidP="00F95B36">
            <w:r w:rsidRPr="008D2009">
              <w:t xml:space="preserve">To prevent double counting of inflation through the WACC and the RAB, the regulatory depreciation allowance also has an offsetting reduction for indexation of the RAB. Factors that affect forecast inflation and/or the size of the RAB will affect the size of this indexation adjustment.  </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6: Capital expenditure</w:t>
            </w:r>
          </w:p>
        </w:tc>
      </w:tr>
      <w:tr w:rsidR="008D2009" w:rsidRPr="001A705F" w:rsidTr="00F95B36">
        <w:trPr>
          <w:trHeight w:val="2513"/>
        </w:trPr>
        <w:tc>
          <w:tcPr>
            <w:tcW w:w="636" w:type="pct"/>
          </w:tcPr>
          <w:p w:rsidR="008D2009" w:rsidRPr="008D2009" w:rsidRDefault="008D2009" w:rsidP="008D2009">
            <w:r w:rsidRPr="008D2009">
              <w:t>Final decision p. 6–27</w:t>
            </w:r>
          </w:p>
          <w:p w:rsidR="008D2009" w:rsidRPr="008D2009" w:rsidRDefault="008D2009" w:rsidP="008D2009"/>
        </w:tc>
        <w:tc>
          <w:tcPr>
            <w:tcW w:w="4364" w:type="pct"/>
          </w:tcPr>
          <w:p w:rsidR="008D2009" w:rsidRPr="008D2009" w:rsidRDefault="008D2009" w:rsidP="008D2009">
            <w:r w:rsidRPr="008D2009">
              <w:t>There are a number of interrelationships between total forecast capex and other components of the distribution. We considered these interrelationships in coming to our final decision on total forecast capex.</w:t>
            </w:r>
          </w:p>
          <w:p w:rsidR="008D2009" w:rsidRPr="00F95B36" w:rsidRDefault="008D2009" w:rsidP="008D2009">
            <w:pPr>
              <w:rPr>
                <w:rStyle w:val="Strong"/>
              </w:rPr>
            </w:pPr>
            <w:r w:rsidRPr="00F95B36">
              <w:rPr>
                <w:rStyle w:val="Strong"/>
              </w:rPr>
              <w:t>Capex and opex</w:t>
            </w:r>
          </w:p>
          <w:p w:rsidR="008D2009" w:rsidRPr="008D2009" w:rsidRDefault="008D2009" w:rsidP="008D2009">
            <w:r w:rsidRPr="008D2009">
              <w:t xml:space="preserve">Elements of total forecast opex relate to total forecast capex. These include the forecast labour price growth included in our opex forecast. The price of labour affects both total forecast capex and total forecast opex. </w:t>
            </w:r>
          </w:p>
          <w:p w:rsidR="008D2009" w:rsidRPr="008D2009" w:rsidRDefault="008D2009" w:rsidP="008D2009">
            <w:r w:rsidRPr="008D2009">
              <w:t>More generally, our total opex forecast will provide sufficient opex to maintain network reliability. Although we do not approve opex on specific opex categories such as maintenance, the total opex we approve will in part influence the required repex.</w:t>
            </w:r>
          </w:p>
          <w:p w:rsidR="008D2009" w:rsidRPr="00F95B36" w:rsidRDefault="008D2009" w:rsidP="008D2009">
            <w:pPr>
              <w:rPr>
                <w:rStyle w:val="Strong"/>
              </w:rPr>
            </w:pPr>
            <w:r w:rsidRPr="00F95B36">
              <w:rPr>
                <w:rStyle w:val="Strong"/>
              </w:rPr>
              <w:t>Capex and demand</w:t>
            </w:r>
          </w:p>
          <w:p w:rsidR="008D2009" w:rsidRPr="008D2009" w:rsidRDefault="008D2009" w:rsidP="008D2009">
            <w:r w:rsidRPr="008D2009">
              <w:t>Forecast demand is related to total forecast capex. Growth driven capex, which includes augex and customer connections capex, is typically triggered by a need to build or upgrade a network to address changes in demand or to comply with quality, reliability and security of supply requirements. Hence, the main driver of growth-related capex is maximum demand and its effect on network utilisation and reliability.</w:t>
            </w:r>
          </w:p>
          <w:p w:rsidR="008D2009" w:rsidRPr="00F95B36" w:rsidRDefault="008D2009" w:rsidP="008D2009">
            <w:pPr>
              <w:rPr>
                <w:rStyle w:val="Strong"/>
              </w:rPr>
            </w:pPr>
            <w:r w:rsidRPr="00F95B36">
              <w:rPr>
                <w:rStyle w:val="Strong"/>
              </w:rPr>
              <w:t>Capex and CESS</w:t>
            </w:r>
          </w:p>
          <w:p w:rsidR="008D2009" w:rsidRPr="008D2009" w:rsidRDefault="008D2009" w:rsidP="008D2009">
            <w:r w:rsidRPr="008D2009">
              <w:t>The CESS is related to total forecast capex. In particular, the effective application of the CESS is contingent on the approved total forecast capex being efficient and that it reasonably reflects the capex criteria. As we note in the capex criteria table below, this is because any efficiency gains or losses are measured against the approved total forecast capex. In addition, in future distribution determinations we will be required to undertake an ex post review of the efficiency and prudency of capex, with the option to exclude any inefficient capex in excess of the approved total forecast capex from the network service provider regulatory asset base. In particular, the CESS will ensure that the network service provider bears at least 30 per cent of any overspend against the capex allowance. Similarly, if the network service provider can fulfil their objectives without spending the full capex allowance, it will be able to retain 30 per cent of the benefit of this. In addition, if an overspend is found to be inefficient through the ex post review, the network service provider risks having to bear the entire overspend.</w:t>
            </w:r>
          </w:p>
          <w:p w:rsidR="008D2009" w:rsidRPr="00F95B36" w:rsidRDefault="008D2009" w:rsidP="008D2009">
            <w:pPr>
              <w:rPr>
                <w:rStyle w:val="Strong"/>
              </w:rPr>
            </w:pPr>
            <w:r w:rsidRPr="00F95B36">
              <w:rPr>
                <w:rStyle w:val="Strong"/>
              </w:rPr>
              <w:t>Capex and STPIS</w:t>
            </w:r>
          </w:p>
          <w:p w:rsidR="008D2009" w:rsidRPr="008D2009" w:rsidRDefault="008D2009" w:rsidP="008D2009">
            <w:r w:rsidRPr="008D2009">
              <w:t>The STPIS is interrelated to the total forecast capex, in so far as it is important that it does not include any expenditure for the purposes of improving supply reliability during the regulatory control period. This is because such expenditure should be offset by rewards provided through the application of the STPIS.</w:t>
            </w:r>
          </w:p>
          <w:p w:rsidR="008D2009" w:rsidRPr="008D2009" w:rsidRDefault="008D2009" w:rsidP="008D2009">
            <w:r w:rsidRPr="008D2009">
              <w:t>Further, the forecast capex should be sufficient to maintain performance at the targets set under the STPIS. The capex allowance should not be set such that there is an expectation that it will lead to the network service provider systematically under or over performing against its targets.</w:t>
            </w:r>
          </w:p>
          <w:p w:rsidR="008D2009" w:rsidRPr="00F95B36" w:rsidRDefault="008D2009" w:rsidP="008D2009">
            <w:pPr>
              <w:rPr>
                <w:rStyle w:val="Strong"/>
              </w:rPr>
            </w:pPr>
            <w:r w:rsidRPr="00F95B36">
              <w:rPr>
                <w:rStyle w:val="Strong"/>
              </w:rPr>
              <w:t>Capex and contingent projects</w:t>
            </w:r>
          </w:p>
          <w:p w:rsidR="008D2009" w:rsidRPr="008D2009" w:rsidRDefault="008D2009" w:rsidP="008D2009">
            <w:r w:rsidRPr="008D2009">
              <w:t>A contingent project is interrelated to total forecast capex. This is because an amount of expenditure that should be included as a contingent project should not be included as part of the total forecast capex.</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7: Operating expenditure</w:t>
            </w:r>
          </w:p>
        </w:tc>
      </w:tr>
      <w:tr w:rsidR="008D2009" w:rsidRPr="001A705F" w:rsidTr="00F95B36">
        <w:tc>
          <w:tcPr>
            <w:tcW w:w="636" w:type="pct"/>
          </w:tcPr>
          <w:p w:rsidR="008D2009" w:rsidRPr="008D2009" w:rsidRDefault="008D2009" w:rsidP="008D2009">
            <w:r w:rsidRPr="008D2009">
              <w:t>Preliminary decision p. 7–30</w:t>
            </w:r>
          </w:p>
        </w:tc>
        <w:tc>
          <w:tcPr>
            <w:tcW w:w="4364" w:type="pct"/>
          </w:tcPr>
          <w:p w:rsidR="008D2009" w:rsidRPr="008D2009" w:rsidRDefault="008D2009" w:rsidP="008D2009">
            <w:r w:rsidRPr="008D2009">
              <w:t>In assessing  total forecast opex we take into account other components of the regulatory proposal, including:</w:t>
            </w:r>
          </w:p>
          <w:p w:rsidR="008D2009" w:rsidRPr="008D2009" w:rsidRDefault="008D2009" w:rsidP="00E43ADD">
            <w:pPr>
              <w:pStyle w:val="AERbulletlistfirststyle"/>
            </w:pPr>
            <w:r w:rsidRPr="008D2009">
              <w:t>The impact of cost drivers that affect both forecast opex and forecast capex. For instance forecast maximum demand affects forecast augmentation capex and forecast output growth used in estimating the rate of change in opex.</w:t>
            </w:r>
          </w:p>
          <w:p w:rsidR="008D2009" w:rsidRPr="008D2009" w:rsidRDefault="008D2009" w:rsidP="00E43ADD">
            <w:pPr>
              <w:pStyle w:val="AERbulletlistfirststyle"/>
            </w:pPr>
            <w:r w:rsidRPr="008D2009">
              <w:t>The inter-relationship between the RAB and opex.</w:t>
            </w:r>
          </w:p>
          <w:p w:rsidR="008D2009" w:rsidRPr="008D2009" w:rsidRDefault="008D2009" w:rsidP="00E43ADD">
            <w:pPr>
              <w:pStyle w:val="AERbulletlistfirststyle"/>
            </w:pPr>
            <w:r w:rsidRPr="008D2009">
              <w:t xml:space="preserve">The approach to assessing the rate of return, to ensure there is consistency between our determination of debt raising costs and the rate of return building block. </w:t>
            </w:r>
          </w:p>
          <w:p w:rsidR="008D2009" w:rsidRPr="008D2009" w:rsidRDefault="008D2009" w:rsidP="00E43ADD">
            <w:pPr>
              <w:pStyle w:val="AERbulletlistfirststyle"/>
            </w:pPr>
            <w:r w:rsidRPr="008D2009">
              <w:t>Changes to the classification of services from standard control services to alternative control services.</w:t>
            </w:r>
          </w:p>
          <w:p w:rsidR="008D2009" w:rsidRPr="008D2009" w:rsidRDefault="008D2009" w:rsidP="00E43ADD">
            <w:pPr>
              <w:pStyle w:val="AERbulletlistfirststyle"/>
            </w:pPr>
            <w:r w:rsidRPr="008D2009">
              <w:t>Consistency with the application of incentive schemes.</w:t>
            </w:r>
          </w:p>
          <w:p w:rsidR="008D2009" w:rsidRPr="008D2009" w:rsidRDefault="008D2009" w:rsidP="00E43ADD">
            <w:pPr>
              <w:pStyle w:val="AERbulletlistfirststyle"/>
            </w:pPr>
            <w:r w:rsidRPr="008D2009">
              <w:t>Concerns of electricity consumers.</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8: Corporate income tax</w:t>
            </w:r>
          </w:p>
        </w:tc>
      </w:tr>
      <w:tr w:rsidR="008D2009" w:rsidRPr="001A705F" w:rsidTr="00F95B36">
        <w:tc>
          <w:tcPr>
            <w:tcW w:w="636" w:type="pct"/>
          </w:tcPr>
          <w:p w:rsidR="008D2009" w:rsidRPr="008D2009" w:rsidRDefault="008D2009" w:rsidP="008D2009">
            <w:r w:rsidRPr="008D2009">
              <w:t>Preliminary decision p. 8–9</w:t>
            </w:r>
          </w:p>
        </w:tc>
        <w:tc>
          <w:tcPr>
            <w:tcW w:w="4364" w:type="pct"/>
          </w:tcPr>
          <w:p w:rsidR="008D2009" w:rsidRPr="008D2009" w:rsidRDefault="008D2009" w:rsidP="008D2009">
            <w:r w:rsidRPr="008D2009">
              <w:t>The cost of corporate income tax building block feeds directly into the annual revenue requirement (ARR). This allowance is determined by four factors:</w:t>
            </w:r>
          </w:p>
          <w:p w:rsidR="008D2009" w:rsidRPr="008D2009" w:rsidRDefault="008D2009" w:rsidP="00F95B36">
            <w:pPr>
              <w:pStyle w:val="AERbulletlistfirststyle"/>
            </w:pPr>
            <w:r w:rsidRPr="008D2009">
              <w:t xml:space="preserve">pre-tax revenues </w:t>
            </w:r>
          </w:p>
          <w:p w:rsidR="008D2009" w:rsidRPr="008D2009" w:rsidRDefault="008D2009" w:rsidP="00F95B36">
            <w:pPr>
              <w:pStyle w:val="AERbulletlistfirststyle"/>
            </w:pPr>
            <w:r w:rsidRPr="008D2009">
              <w:t>tax expenses (including tax depreciation)</w:t>
            </w:r>
          </w:p>
          <w:p w:rsidR="008D2009" w:rsidRPr="008D2009" w:rsidRDefault="008D2009" w:rsidP="00F95B36">
            <w:pPr>
              <w:pStyle w:val="AERbulletlistfirststyle"/>
            </w:pPr>
            <w:r w:rsidRPr="008D2009">
              <w:t>the corporate tax rate</w:t>
            </w:r>
          </w:p>
          <w:p w:rsidR="008D2009" w:rsidRPr="008D2009" w:rsidRDefault="008D2009" w:rsidP="00F95B36">
            <w:pPr>
              <w:pStyle w:val="AERbulletlistfirststyle"/>
            </w:pPr>
            <w:r w:rsidRPr="008D2009">
              <w:t>gamma—the expected proportion of company tax that is returned to investors through the utilisation of imputation credits—which is offset against the corporate income tax allowance. This is discussed further at attachment 4.</w:t>
            </w:r>
          </w:p>
          <w:p w:rsidR="008D2009" w:rsidRPr="008D2009" w:rsidRDefault="008D2009" w:rsidP="008D2009">
            <w:r w:rsidRPr="008D2009">
              <w:t>Of these four factors, the corporate tax rate is set externally by the Government. The higher the tax rate the higher the required tax allowance.</w:t>
            </w:r>
          </w:p>
          <w:p w:rsidR="008D2009" w:rsidRPr="008D2009" w:rsidRDefault="008D2009" w:rsidP="008D2009">
            <w:r w:rsidRPr="008D2009">
              <w:t xml:space="preserve">The pre-tax revenues depend on all the building block components. Any factor that affects revenue will therefore affect pre-tax revenues. Higher pre-tax revenues can increase the tax allowance. Depending on the source of the revenue increase, the tax increase may be equal to or less than proportional to the company tax rate. </w:t>
            </w:r>
          </w:p>
          <w:p w:rsidR="008D2009" w:rsidRPr="008D2009" w:rsidRDefault="008D2009" w:rsidP="008D2009">
            <w:r w:rsidRPr="008D2009">
              <w:t>The tax expenses (or deductions)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cost of corporate income tax allowance (all things being equal). Tax expenses include:</w:t>
            </w:r>
          </w:p>
          <w:p w:rsidR="008D2009" w:rsidRPr="008D2009" w:rsidRDefault="008D2009" w:rsidP="00F95B36">
            <w:pPr>
              <w:pStyle w:val="AERbulletlistfirststyle"/>
            </w:pPr>
            <w:r w:rsidRPr="008D2009">
              <w:t>Interest on debt – Interest is a tax offset. The size of this offset depends on the ratio of debt to equity and therefore the proportion of the RAB funded through debt. It also depends on the allowed return on debt and the size of the RAB.</w:t>
            </w:r>
          </w:p>
          <w:p w:rsidR="008D2009" w:rsidRPr="008D2009" w:rsidRDefault="008D2009" w:rsidP="00F95B36">
            <w:pPr>
              <w:pStyle w:val="AERbulletlistfirststyle"/>
            </w:pPr>
            <w:r w:rsidRPr="008D2009">
              <w:t>General expenses – In the main these expenses will match the opex allowance.</w:t>
            </w:r>
          </w:p>
          <w:p w:rsidR="008D2009" w:rsidRPr="008D2009" w:rsidRDefault="008D2009" w:rsidP="00F95B36">
            <w:pPr>
              <w:pStyle w:val="AERbulletlistfirststyle"/>
            </w:pPr>
            <w:r w:rsidRPr="008D2009">
              <w:t xml:space="preserve">Tax depreciation – A separate tax asset base (TAB) is maintained for the businesses reflecting tax rules. This TAB is affected by many of the same factors as the RAB, such as capex, although unlike the RAB value it is maintained at its historical cost with no indexation. </w:t>
            </w:r>
          </w:p>
          <w:p w:rsidR="008D2009" w:rsidRPr="008D2009" w:rsidRDefault="008D2009" w:rsidP="008D2009">
            <w:r w:rsidRPr="008D2009">
              <w:t>The TAB is also affected by the depreciation rate and asset lives assigned for tax depreciation purposes. A 10 per cent increase in the corporate income tax allowance causes revenues to increase by about 0.7 per cent. The proposed gamma of 0.25, compared to the value in our preliminary decision of 0.40, would increase the corporate income tax allowance by 32.3 per cent and total revenues by about 1.2 per cent.</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9: Efficiency benefit sharing scheme (EBSS)</w:t>
            </w:r>
          </w:p>
        </w:tc>
      </w:tr>
      <w:tr w:rsidR="008D2009" w:rsidRPr="001A705F" w:rsidTr="00F95B36">
        <w:tc>
          <w:tcPr>
            <w:tcW w:w="636" w:type="pct"/>
          </w:tcPr>
          <w:p w:rsidR="008D2009" w:rsidRPr="008D2009" w:rsidRDefault="008D2009" w:rsidP="008D2009">
            <w:r w:rsidRPr="008D2009">
              <w:t>Final decision 9–9</w:t>
            </w:r>
          </w:p>
        </w:tc>
        <w:tc>
          <w:tcPr>
            <w:tcW w:w="4364" w:type="pct"/>
          </w:tcPr>
          <w:p w:rsidR="008D2009" w:rsidRPr="008D2009" w:rsidRDefault="008D2009" w:rsidP="008D2009">
            <w:r w:rsidRPr="008D2009">
              <w:t>The EBSS is intrinsically linked to a revealed cost forecasting approach for opex. Under this forecasting approach, the EBSS has two specific functions:</w:t>
            </w:r>
          </w:p>
          <w:p w:rsidR="008D2009" w:rsidRPr="008D2009" w:rsidRDefault="008D2009" w:rsidP="0087418F">
            <w:pPr>
              <w:pStyle w:val="AERbulletlistfirststyle"/>
            </w:pPr>
            <w:r w:rsidRPr="008D2009">
              <w:t>To mitigate the incentive for a service provider to increase opex in the expected 'base year' to increase its approved opex forecast for the following regulatory control period.</w:t>
            </w:r>
          </w:p>
          <w:p w:rsidR="008D2009" w:rsidRPr="008D2009" w:rsidRDefault="008D2009" w:rsidP="0087418F">
            <w:pPr>
              <w:pStyle w:val="AERbulletlistfirststyle"/>
            </w:pPr>
            <w:r w:rsidRPr="008D2009">
              <w:t>To provide a continuous incentive for a service provider to make efficiency gains - network service providers receive the same reward for an underspend and the same penalty for an overspend in each year of the regulatory control period.</w:t>
            </w:r>
          </w:p>
          <w:p w:rsidR="008D2009" w:rsidRPr="008D2009" w:rsidRDefault="008D2009" w:rsidP="008D2009">
            <w:r w:rsidRPr="008D2009">
              <w:t>Incentives to reduce opex may also affect a service provider's incentives to undertake capex. We take into account these interactions in developing and implementing the EBSS as well as developing the capital expenditure sharing scheme (CESS). For instance:</w:t>
            </w:r>
          </w:p>
          <w:p w:rsidR="008D2009" w:rsidRPr="008D2009" w:rsidRDefault="008D2009" w:rsidP="00F95B36">
            <w:pPr>
              <w:pStyle w:val="AERbulletlistfirststyle"/>
            </w:pPr>
            <w:r w:rsidRPr="008D2009">
              <w:t xml:space="preserve">in developing and implementing the EBSS, we must have regard to any incentives that network service providers may have to capitalise operating expenditure as well as the possible effects of the scheme on incentives for the implementation of non-network alternatives. </w:t>
            </w:r>
          </w:p>
          <w:p w:rsidR="008D2009" w:rsidRPr="008D2009" w:rsidRDefault="008D2009" w:rsidP="00E71D7A">
            <w:pPr>
              <w:pStyle w:val="AERbulletlistfirststyle"/>
            </w:pPr>
            <w:r w:rsidRPr="008D2009">
              <w:t xml:space="preserve">in developing the CESS, we must take into account the interaction of the scheme with other incentives that network service providers may have in relation to undertaking efficient opex or capex as well as the capex objectives and, if relevant, the opex objectives.  </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10: Capital expenditure sharing scheme (CESS)</w:t>
            </w:r>
          </w:p>
        </w:tc>
      </w:tr>
      <w:tr w:rsidR="008D2009" w:rsidRPr="001A705F" w:rsidTr="00F95B36">
        <w:tc>
          <w:tcPr>
            <w:tcW w:w="636" w:type="pct"/>
          </w:tcPr>
          <w:p w:rsidR="008D2009" w:rsidRPr="008D2009" w:rsidRDefault="008D2009" w:rsidP="008D2009">
            <w:r w:rsidRPr="008D2009">
              <w:t>Final decision p. 10–7</w:t>
            </w:r>
          </w:p>
        </w:tc>
        <w:tc>
          <w:tcPr>
            <w:tcW w:w="4364" w:type="pct"/>
          </w:tcPr>
          <w:p w:rsidR="008D2009" w:rsidRPr="008D2009" w:rsidRDefault="008D2009" w:rsidP="00F95B36">
            <w:r w:rsidRPr="008D2009">
              <w:t xml:space="preserve">The CESS relates to other incentives to incur efficient opex, conduct demand management, and maintain or improve service levels. We aim to incentivise network service providers to make efficient decisions on when and what type of expenditure to incur, and to balance expenditure efficiencies with service quality. </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11: Service target performance incentive scheme</w:t>
            </w:r>
          </w:p>
        </w:tc>
      </w:tr>
      <w:tr w:rsidR="008D2009" w:rsidRPr="001A705F" w:rsidTr="00F95B36">
        <w:tc>
          <w:tcPr>
            <w:tcW w:w="636" w:type="pct"/>
          </w:tcPr>
          <w:p w:rsidR="008D2009" w:rsidRPr="008D2009" w:rsidRDefault="008D2009" w:rsidP="008D2009">
            <w:r w:rsidRPr="008D2009">
              <w:t>Final decision p. 11–8</w:t>
            </w:r>
          </w:p>
        </w:tc>
        <w:tc>
          <w:tcPr>
            <w:tcW w:w="4364" w:type="pct"/>
          </w:tcPr>
          <w:p w:rsidR="008D2009" w:rsidRPr="008D2009" w:rsidRDefault="008D2009" w:rsidP="008D2009">
            <w:r w:rsidRPr="008D2009">
              <w:t xml:space="preserve">In applying the STPIS we must consider any other incentives available to the network service provider under the NER or relevant distribution determination.  One of the objectives of the STPIS is to ensure that the incentives are sufficient to offset any financial incentives the network service provider may have to reduce costs at the expense of service levels. The STPIS interacts with the Capital Expenditure Sharing Scheme (CESS) and the opex Expenditure Benefit Sharing Scheme (EBSS). </w:t>
            </w:r>
          </w:p>
          <w:p w:rsidR="008D2009" w:rsidRPr="008D2009" w:rsidRDefault="008D2009" w:rsidP="008D2009">
            <w:r w:rsidRPr="008D2009">
              <w:t>The rewards and penalties amounts under STPIS (the incentive rates) are determined based on the average customer value for the improvement, or otherwise, to supply reliability (the VCR). This is aimed at ensuring that the network service provider’s operational and investment strategies are consistent with customers’ value for the services that are offered to them.</w:t>
            </w:r>
          </w:p>
          <w:p w:rsidR="008D2009" w:rsidRPr="008D2009" w:rsidRDefault="008D2009" w:rsidP="008D2009">
            <w:r w:rsidRPr="008D2009">
              <w:t xml:space="preserve">Our capex and opex allowances are set to reasonably reflect the expenditures required by a prudent and efficient business to achieve the capex and opex objectives. These include complying with all applicable regulatory obligations and requirements and, in the absence of such obligations, maintaining quality, reliability, and security outcomes. </w:t>
            </w:r>
          </w:p>
          <w:p w:rsidR="008D2009" w:rsidRPr="008D2009" w:rsidRDefault="008D2009" w:rsidP="008D2009">
            <w:r w:rsidRPr="008D2009">
              <w:t xml:space="preserve">The STPIS, on the other hand provides, an incentive for network service providers to invest in further reliability improvements (via additional STPIS rewards) where customers are willing to pay for it. Conversely, the STPIS penalises network service providers where they let reliability deteriorate. Importantly, the network service provider will only receive a financial reward after actual improvements are delivered to the customers. </w:t>
            </w:r>
          </w:p>
          <w:p w:rsidR="008D2009" w:rsidRPr="008D2009" w:rsidRDefault="008D2009" w:rsidP="008D2009">
            <w:r w:rsidRPr="008D2009">
              <w:t>In conjunction with CESS and EBSS, the STPIS will ensure that:</w:t>
            </w:r>
          </w:p>
          <w:p w:rsidR="008D2009" w:rsidRPr="008D2009" w:rsidRDefault="008D2009" w:rsidP="00F95B36">
            <w:pPr>
              <w:pStyle w:val="AERbulletlistfirststyle"/>
            </w:pPr>
            <w:r w:rsidRPr="008D2009">
              <w:tab/>
              <w:t>any additional investments to improve reliability are based on prudent economic decisions</w:t>
            </w:r>
          </w:p>
          <w:p w:rsidR="008D2009" w:rsidRPr="00F95B36" w:rsidRDefault="008D2009" w:rsidP="008D2009">
            <w:pPr>
              <w:pStyle w:val="AERbulletlistfirststyle"/>
            </w:pPr>
            <w:r w:rsidRPr="008D2009">
              <w:tab/>
              <w:t>reductions in capex and/or opex are achieved efficiently, rather than at the expense of service levels to customers.</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12: Demand management incentive scheme</w:t>
            </w:r>
          </w:p>
        </w:tc>
      </w:tr>
      <w:tr w:rsidR="008D2009" w:rsidRPr="001A705F" w:rsidTr="00F95B36">
        <w:tc>
          <w:tcPr>
            <w:tcW w:w="636" w:type="pct"/>
          </w:tcPr>
          <w:p w:rsidR="008D2009" w:rsidRPr="008D2009" w:rsidRDefault="008D2009" w:rsidP="008D2009">
            <w:r w:rsidRPr="008D2009">
              <w:t>Final decision p. 12–7</w:t>
            </w:r>
          </w:p>
        </w:tc>
        <w:tc>
          <w:tcPr>
            <w:tcW w:w="4364" w:type="pct"/>
          </w:tcPr>
          <w:p w:rsidR="008D2009" w:rsidRPr="008D2009" w:rsidRDefault="008D2009" w:rsidP="008D2009">
            <w:r w:rsidRPr="008D2009">
              <w:t>We have regard to several factors and interrelationships in developing and implementing a DMIS. These are:</w:t>
            </w:r>
          </w:p>
          <w:p w:rsidR="008D2009" w:rsidRPr="008D2009" w:rsidRDefault="008D2009" w:rsidP="00F95B36">
            <w:pPr>
              <w:pStyle w:val="AERbulletlistfirststyle"/>
            </w:pPr>
            <w:r w:rsidRPr="008D2009">
              <w:t>Benefits to consumers</w:t>
            </w:r>
          </w:p>
          <w:p w:rsidR="008D2009" w:rsidRPr="008D2009" w:rsidRDefault="008D2009" w:rsidP="00F95B36">
            <w:pPr>
              <w:pStyle w:val="AERbulletlistfirststyle"/>
            </w:pPr>
            <w:r w:rsidRPr="008D2009">
              <w:t>the need to ensure that benefits to electricity consumers likely to result from the scheme are sufficient to warrant any reward or penalty under the scheme</w:t>
            </w:r>
          </w:p>
          <w:p w:rsidR="008D2009" w:rsidRPr="008D2009" w:rsidRDefault="008D2009" w:rsidP="00F95B36">
            <w:pPr>
              <w:pStyle w:val="AERbulletlistfirststyle"/>
            </w:pPr>
            <w:r w:rsidRPr="008D2009">
              <w:t>the willingness of customers or end users to pay for increases in costs resulting from implementing DMIS.</w:t>
            </w:r>
          </w:p>
          <w:p w:rsidR="008D2009" w:rsidRPr="008D2009" w:rsidRDefault="008D2009" w:rsidP="008D2009">
            <w:r w:rsidRPr="008D2009">
              <w:t>Balanced incentives</w:t>
            </w:r>
          </w:p>
          <w:p w:rsidR="008D2009" w:rsidRPr="008D2009" w:rsidRDefault="008D2009" w:rsidP="00F95B36">
            <w:pPr>
              <w:pStyle w:val="AERbulletlistfirststyle"/>
            </w:pPr>
            <w:r w:rsidRPr="008D2009">
              <w:t>the effect of a particular control mechanism (i.e. price as distinct from revenue regulation) on a distributor's incentives to adopt or implement efficient non-network alternatives</w:t>
            </w:r>
          </w:p>
          <w:p w:rsidR="008D2009" w:rsidRPr="008D2009" w:rsidRDefault="008D2009" w:rsidP="00F95B36">
            <w:pPr>
              <w:pStyle w:val="AERbulletlistfirststyle"/>
            </w:pPr>
            <w:r w:rsidRPr="008D2009">
              <w:t xml:space="preserve">the effect of classification of services on a distributor's incentive to adopt or implement efficient embedded generator connections </w:t>
            </w:r>
          </w:p>
          <w:p w:rsidR="008D2009" w:rsidRPr="008D2009" w:rsidRDefault="008D2009" w:rsidP="00F95B36">
            <w:pPr>
              <w:pStyle w:val="AERbulletlistfirststyle"/>
            </w:pPr>
            <w:r w:rsidRPr="008D2009">
              <w:t>the extent the distributor is able to offer efficient pricing structures</w:t>
            </w:r>
          </w:p>
          <w:p w:rsidR="008D2009" w:rsidRPr="00F95B36" w:rsidRDefault="008D2009" w:rsidP="008D2009">
            <w:pPr>
              <w:pStyle w:val="AERbulletlistfirststyle"/>
            </w:pPr>
            <w:r w:rsidRPr="008D2009">
              <w:t>the possible interactions between DMIS and other incentive schemes.</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13: Classification of services</w:t>
            </w:r>
            <w:r w:rsidRPr="00F95B36">
              <w:rPr>
                <w:rStyle w:val="Strong"/>
              </w:rPr>
              <w:tab/>
            </w:r>
          </w:p>
        </w:tc>
      </w:tr>
      <w:tr w:rsidR="008D2009" w:rsidRPr="001A705F" w:rsidTr="00F95B36">
        <w:tc>
          <w:tcPr>
            <w:tcW w:w="636" w:type="pct"/>
          </w:tcPr>
          <w:p w:rsidR="008D2009" w:rsidRPr="008D2009" w:rsidRDefault="008D2009" w:rsidP="008D2009">
            <w:r w:rsidRPr="008D2009">
              <w:t>Final decision p. 13–9</w:t>
            </w:r>
          </w:p>
        </w:tc>
        <w:tc>
          <w:tcPr>
            <w:tcW w:w="4364" w:type="pct"/>
          </w:tcPr>
          <w:p w:rsidR="008D2009" w:rsidRPr="008D2009" w:rsidRDefault="008D2009" w:rsidP="008D2009">
            <w:r w:rsidRPr="008D2009">
              <w:t xml:space="preserve">In assessing what services we classify, we are setting the basis for the charges that can be levied on those services. To allow charges to be recovered for standard control services, assets associated with delivering those services are added to the regulatory asset base (RAB). A separate RAB may also be constructed for the capital costs associated with an alternative control service. There will usually be operating costs associated with the provision of a service as well. </w:t>
            </w:r>
          </w:p>
          <w:p w:rsidR="008D2009" w:rsidRPr="008D2009" w:rsidRDefault="008D2009" w:rsidP="008D2009">
            <w:r w:rsidRPr="008D2009">
              <w:t xml:space="preserve">The assets that make up the RAB and the operating costs that relate to any standard control service form a starting point for our assessment of the distributor's proposal for recovering revenues through charges for their services. Classification of services will therefore influence all revenue components of our decision. </w:t>
            </w:r>
          </w:p>
          <w:p w:rsidR="008D2009" w:rsidRPr="008D2009" w:rsidRDefault="008D2009" w:rsidP="008D2009">
            <w:r w:rsidRPr="008D2009">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8D2009" w:rsidRPr="008D2009" w:rsidRDefault="008D2009" w:rsidP="00F95B36">
            <w:r w:rsidRPr="008D2009">
              <w:t xml:space="preserve">The incentive schemes do not apply to services classified alternative control. As such, classifying services alternative control from standard control means the incentive schemes are no longer applied to expenditure associated with these services. </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14: Control mechanism</w:t>
            </w:r>
          </w:p>
        </w:tc>
      </w:tr>
      <w:tr w:rsidR="008D2009" w:rsidRPr="001A705F" w:rsidTr="00F95B36">
        <w:tc>
          <w:tcPr>
            <w:tcW w:w="636" w:type="pct"/>
          </w:tcPr>
          <w:p w:rsidR="008D2009" w:rsidRPr="008D2009" w:rsidRDefault="008D2009" w:rsidP="008D2009"/>
        </w:tc>
        <w:tc>
          <w:tcPr>
            <w:tcW w:w="4364" w:type="pct"/>
          </w:tcPr>
          <w:p w:rsidR="008D2009" w:rsidRPr="008D2009" w:rsidRDefault="008D2009" w:rsidP="008D2009">
            <w:r w:rsidRPr="008D2009">
              <w:t>We considered the interrelationship between the control mechanism pass through amounts and the reclassification of metering services as alternative control services.</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15: Pass through events</w:t>
            </w:r>
          </w:p>
        </w:tc>
      </w:tr>
      <w:tr w:rsidR="008D2009" w:rsidRPr="001A705F" w:rsidTr="00F95B36">
        <w:tc>
          <w:tcPr>
            <w:tcW w:w="636" w:type="pct"/>
          </w:tcPr>
          <w:p w:rsidR="008D2009" w:rsidRPr="008D2009" w:rsidRDefault="008D2009" w:rsidP="008D2009">
            <w:r w:rsidRPr="008D2009">
              <w:t>Final decision p. 15–9</w:t>
            </w:r>
          </w:p>
        </w:tc>
        <w:tc>
          <w:tcPr>
            <w:tcW w:w="4364" w:type="pct"/>
          </w:tcPr>
          <w:p w:rsidR="008D2009" w:rsidRPr="008D2009" w:rsidRDefault="008D2009" w:rsidP="00F95B36">
            <w:r w:rsidRPr="008D2009">
              <w:t xml:space="preserve">Nominated pass through events are interrelated with the opex and capex forecasts. These interrelationships require us to balance a decision to accept nominated pass through events with the need to maintain appropriate incentives in other aspects of the decision. </w:t>
            </w:r>
          </w:p>
        </w:tc>
      </w:tr>
      <w:tr w:rsidR="008D2009" w:rsidRPr="001A705F" w:rsidTr="00F95B36">
        <w:trPr>
          <w:cnfStyle w:val="000000010000" w:firstRow="0" w:lastRow="0" w:firstColumn="0" w:lastColumn="0" w:oddVBand="0" w:evenVBand="0" w:oddHBand="0" w:evenHBand="1" w:firstRowFirstColumn="0" w:firstRowLastColumn="0" w:lastRowFirstColumn="0" w:lastRowLastColumn="0"/>
        </w:trPr>
        <w:tc>
          <w:tcPr>
            <w:tcW w:w="5000" w:type="pct"/>
            <w:gridSpan w:val="2"/>
          </w:tcPr>
          <w:p w:rsidR="008D2009" w:rsidRPr="00F95B36" w:rsidRDefault="008D2009" w:rsidP="008D2009">
            <w:pPr>
              <w:rPr>
                <w:rStyle w:val="Strong"/>
              </w:rPr>
            </w:pPr>
            <w:r w:rsidRPr="00F95B36">
              <w:rPr>
                <w:rStyle w:val="Strong"/>
              </w:rPr>
              <w:t>Attachment 16: Alternative control services</w:t>
            </w:r>
          </w:p>
        </w:tc>
      </w:tr>
      <w:tr w:rsidR="008D2009" w:rsidRPr="001A705F" w:rsidTr="00F95B36">
        <w:tc>
          <w:tcPr>
            <w:tcW w:w="636" w:type="pct"/>
          </w:tcPr>
          <w:p w:rsidR="008D2009" w:rsidRPr="008D2009" w:rsidRDefault="008D2009" w:rsidP="008D2009">
            <w:r w:rsidRPr="008D2009">
              <w:t>Final decision p. 16–24</w:t>
            </w:r>
          </w:p>
        </w:tc>
        <w:tc>
          <w:tcPr>
            <w:tcW w:w="4364" w:type="pct"/>
          </w:tcPr>
          <w:p w:rsidR="008D2009" w:rsidRPr="008D2009" w:rsidRDefault="008D2009" w:rsidP="008D2009">
            <w:r w:rsidRPr="008D2009">
              <w:t xml:space="preserve">We apply the same rate of return parameters for all direct control services (standard and alternative control services). </w:t>
            </w:r>
          </w:p>
          <w:p w:rsidR="008D2009" w:rsidRPr="008D2009" w:rsidRDefault="008D2009" w:rsidP="00F95B36">
            <w:r w:rsidRPr="008D2009">
              <w:t>Our decision on alternative control services therefore interrelates with our decision on rate of return and imputation credits. Please refer to Attachments 3 and 4 for the WACC and gamma values we accept for direct control services, along with our reasons.</w:t>
            </w:r>
          </w:p>
        </w:tc>
      </w:tr>
    </w:tbl>
    <w:p w:rsidR="008D2009" w:rsidRDefault="008D2009" w:rsidP="008D2009"/>
    <w:p w:rsidR="008D2009" w:rsidRPr="008D2009" w:rsidRDefault="008D2009" w:rsidP="008D2009">
      <w:pPr>
        <w:pStyle w:val="Heading2"/>
        <w:numPr>
          <w:ilvl w:val="0"/>
          <w:numId w:val="0"/>
        </w:numPr>
        <w:ind w:left="680"/>
      </w:pPr>
    </w:p>
    <w:p w:rsidR="008D2009" w:rsidRDefault="008D2009" w:rsidP="008D2009"/>
    <w:p w:rsidR="008D2009" w:rsidRDefault="008D2009" w:rsidP="007B3355"/>
    <w:sectPr w:rsidR="008D2009" w:rsidSect="008D2009">
      <w:footerReference w:type="first" r:id="rId27"/>
      <w:pgSz w:w="16838" w:h="11906" w:orient="landscape"/>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65" w:rsidRPr="00290C63" w:rsidRDefault="008A5165" w:rsidP="00290C63">
      <w:r>
        <w:separator/>
      </w:r>
    </w:p>
    <w:p w:rsidR="008A5165" w:rsidRDefault="008A5165"/>
  </w:endnote>
  <w:endnote w:type="continuationSeparator" w:id="0">
    <w:p w:rsidR="008A5165" w:rsidRPr="00290C63" w:rsidRDefault="008A5165" w:rsidP="00290C63">
      <w:r>
        <w:continuationSeparator/>
      </w:r>
    </w:p>
    <w:p w:rsidR="008A5165" w:rsidRDefault="008A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65" w:rsidRPr="00290C63" w:rsidRDefault="008A516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A5165" w:rsidRDefault="008A5165"/>
  <w:p w:rsidR="008A5165" w:rsidRDefault="008A5165"/>
  <w:p w:rsidR="008A5165" w:rsidRDefault="008A5165"/>
  <w:p w:rsidR="008A5165" w:rsidRDefault="008A5165"/>
  <w:p w:rsidR="008A5165" w:rsidRDefault="008A5165"/>
  <w:p w:rsidR="008A5165" w:rsidRDefault="008A5165"/>
  <w:p w:rsidR="008A5165" w:rsidRDefault="008A51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800499"/>
      <w:docPartObj>
        <w:docPartGallery w:val="Page Numbers (Bottom of Page)"/>
        <w:docPartUnique/>
      </w:docPartObj>
    </w:sdtPr>
    <w:sdtEndPr>
      <w:rPr>
        <w:noProof/>
      </w:rPr>
    </w:sdtEndPr>
    <w:sdtContent>
      <w:p w:rsidR="008A5165" w:rsidRDefault="008A5165">
        <w:pPr>
          <w:pStyle w:val="Footer"/>
        </w:pPr>
        <w:r>
          <w:fldChar w:fldCharType="begin"/>
        </w:r>
        <w:r>
          <w:instrText xml:space="preserve"> PAGE   \* MERGEFORMAT </w:instrText>
        </w:r>
        <w:r>
          <w:fldChar w:fldCharType="separate"/>
        </w:r>
        <w:r w:rsidR="000B6AA9">
          <w:rPr>
            <w:noProof/>
          </w:rPr>
          <w:t>3</w:t>
        </w:r>
        <w:r>
          <w:rPr>
            <w:noProof/>
          </w:rPr>
          <w:fldChar w:fldCharType="end"/>
        </w:r>
        <w:r>
          <w:rPr>
            <w:noProof/>
          </w:rPr>
          <w:t xml:space="preserve">      </w:t>
        </w:r>
        <w:r>
          <w:t xml:space="preserve">          </w:t>
        </w:r>
        <w:r>
          <w:tab/>
          <w:t xml:space="preserve">                        </w:t>
        </w:r>
        <w:r>
          <w:rPr>
            <w:noProof/>
          </w:rPr>
          <w:t xml:space="preserve">  </w:t>
        </w:r>
        <w:r>
          <w:t>Overview</w:t>
        </w:r>
        <w:r>
          <w:rPr>
            <w:rFonts w:cs="Gautami"/>
            <w:noProof/>
          </w:rPr>
          <w:t xml:space="preserve"> | </w:t>
        </w:r>
        <w:r>
          <w:t>Energex final decision</w:t>
        </w:r>
        <w:r>
          <w:rPr>
            <w:rFonts w:cs="Gautami"/>
            <w:noProof/>
          </w:rPr>
          <w:t xml:space="preserve"> 2015–20</w:t>
        </w:r>
      </w:p>
    </w:sdtContent>
  </w:sdt>
  <w:p w:rsidR="008A5165" w:rsidRDefault="008A51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65" w:rsidRPr="00290C63" w:rsidRDefault="008A516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A5165" w:rsidRDefault="008A5165">
    <w:pPr>
      <w:pStyle w:val="Footer"/>
    </w:pPr>
  </w:p>
  <w:p w:rsidR="008A5165" w:rsidRDefault="008A5165"/>
  <w:p w:rsidR="008A5165" w:rsidRDefault="008A5165"/>
  <w:p w:rsidR="008A5165" w:rsidRDefault="008A5165"/>
  <w:p w:rsidR="008A5165" w:rsidRDefault="008A5165"/>
  <w:p w:rsidR="008A5165" w:rsidRDefault="008A5165"/>
  <w:p w:rsidR="008A5165" w:rsidRDefault="008A5165"/>
  <w:p w:rsidR="008A5165" w:rsidRDefault="008A516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8A5165" w:rsidRDefault="008A5165">
        <w:pPr>
          <w:pStyle w:val="Footer"/>
        </w:pPr>
        <w:r>
          <w:fldChar w:fldCharType="begin"/>
        </w:r>
        <w:r>
          <w:instrText xml:space="preserve"> PAGE   \* MERGEFORMAT </w:instrText>
        </w:r>
        <w:r>
          <w:fldChar w:fldCharType="separate"/>
        </w:r>
        <w:r>
          <w:rPr>
            <w:noProof/>
          </w:rPr>
          <w:t>1</w:t>
        </w:r>
        <w:r>
          <w:rPr>
            <w:noProof/>
          </w:rPr>
          <w:fldChar w:fldCharType="end"/>
        </w:r>
      </w:p>
    </w:sdtContent>
  </w:sdt>
  <w:p w:rsidR="008A5165" w:rsidRDefault="008A5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65" w:rsidRPr="00290C63" w:rsidRDefault="008A5165" w:rsidP="00290C63">
      <w:r>
        <w:separator/>
      </w:r>
    </w:p>
    <w:p w:rsidR="008A5165" w:rsidRDefault="008A5165"/>
  </w:footnote>
  <w:footnote w:type="continuationSeparator" w:id="0">
    <w:p w:rsidR="008A5165" w:rsidRPr="00290C63" w:rsidRDefault="008A5165" w:rsidP="00290C63">
      <w:r>
        <w:continuationSeparator/>
      </w:r>
    </w:p>
    <w:p w:rsidR="008A5165" w:rsidRDefault="008A5165"/>
  </w:footnote>
  <w:footnote w:id="1">
    <w:p w:rsidR="008A5165" w:rsidRDefault="008A5165" w:rsidP="00040EEA">
      <w:pPr>
        <w:pStyle w:val="FootnoteText"/>
      </w:pPr>
      <w:r>
        <w:rPr>
          <w:rStyle w:val="FootnoteReference"/>
        </w:rPr>
        <w:footnoteRef/>
      </w:r>
      <w:r>
        <w:t xml:space="preserve"> </w:t>
      </w:r>
      <w:r>
        <w:tab/>
        <w:t xml:space="preserve">AEMC, </w:t>
      </w:r>
      <w:r w:rsidRPr="003A0E03">
        <w:rPr>
          <w:rStyle w:val="AERtextitalic"/>
        </w:rPr>
        <w:t>Final Rule Determination, National Electricity Amendment (Economic Regulation of Network Service Providers) Rule 2012</w:t>
      </w:r>
      <w:r>
        <w:t xml:space="preserve">, 29 November 2012. </w:t>
      </w:r>
    </w:p>
  </w:footnote>
  <w:footnote w:id="2">
    <w:p w:rsidR="008A5165" w:rsidRDefault="008A5165" w:rsidP="00040EEA">
      <w:pPr>
        <w:pStyle w:val="FootnoteText"/>
      </w:pPr>
      <w:r>
        <w:rPr>
          <w:rStyle w:val="FootnoteReference"/>
        </w:rPr>
        <w:footnoteRef/>
      </w:r>
      <w:r>
        <w:t xml:space="preserve"> </w:t>
      </w:r>
      <w:r>
        <w:tab/>
        <w:t>NER, cl. 11.60.4.</w:t>
      </w:r>
    </w:p>
  </w:footnote>
  <w:footnote w:id="3">
    <w:p w:rsidR="008A5165" w:rsidRDefault="008A5165" w:rsidP="00040EEA">
      <w:pPr>
        <w:pStyle w:val="FootnoteText"/>
      </w:pPr>
      <w:r>
        <w:rPr>
          <w:rStyle w:val="FootnoteReference"/>
        </w:rPr>
        <w:footnoteRef/>
      </w:r>
      <w:r>
        <w:t xml:space="preserve"> </w:t>
      </w:r>
      <w:r>
        <w:tab/>
        <w:t>NER, cl. 11.60.4(d) and (e).</w:t>
      </w:r>
    </w:p>
  </w:footnote>
  <w:footnote w:id="4">
    <w:p w:rsidR="008A5165" w:rsidRDefault="008A5165">
      <w:pPr>
        <w:pStyle w:val="FootnoteText"/>
      </w:pPr>
      <w:r>
        <w:rPr>
          <w:rStyle w:val="FootnoteReference"/>
        </w:rPr>
        <w:footnoteRef/>
      </w:r>
      <w:r>
        <w:t xml:space="preserve"> </w:t>
      </w:r>
      <w:r>
        <w:tab/>
        <w:t xml:space="preserve">NEL, s. 7. </w:t>
      </w:r>
    </w:p>
  </w:footnote>
  <w:footnote w:id="5">
    <w:p w:rsidR="008A5165" w:rsidRDefault="008A5165" w:rsidP="00715575">
      <w:pPr>
        <w:pStyle w:val="FootnoteText"/>
      </w:pPr>
      <w:r>
        <w:rPr>
          <w:rStyle w:val="FootnoteReference"/>
        </w:rPr>
        <w:footnoteRef/>
      </w:r>
      <w:r>
        <w:t xml:space="preserve"> </w:t>
      </w:r>
      <w:r>
        <w:tab/>
        <w:t>NER, cl. 6.8.2.</w:t>
      </w:r>
    </w:p>
  </w:footnote>
  <w:footnote w:id="6">
    <w:p w:rsidR="008A5165" w:rsidRDefault="008A5165" w:rsidP="00715575">
      <w:pPr>
        <w:pStyle w:val="FootnoteText"/>
      </w:pPr>
      <w:r>
        <w:rPr>
          <w:rStyle w:val="FootnoteReference"/>
        </w:rPr>
        <w:footnoteRef/>
      </w:r>
      <w:r>
        <w:t xml:space="preserve"> </w:t>
      </w:r>
      <w:r>
        <w:tab/>
        <w:t>NER, cll. 6.3.1 and 6.8.2.</w:t>
      </w:r>
    </w:p>
  </w:footnote>
  <w:footnote w:id="7">
    <w:p w:rsidR="008A5165" w:rsidRDefault="008A5165">
      <w:pPr>
        <w:pStyle w:val="FootnoteText"/>
      </w:pPr>
      <w:r>
        <w:rPr>
          <w:rStyle w:val="FootnoteReference"/>
        </w:rPr>
        <w:footnoteRef/>
      </w:r>
      <w:r>
        <w:t xml:space="preserve"> </w:t>
      </w:r>
      <w:r>
        <w:tab/>
        <w:t xml:space="preserve">NER, cl. 6.2.6(a) states that for standard control services, the control mechanism must be of the prospective CPI minus X form, or some incentive-based variant of the prospective CPI minus X form, in accordance with Part C (Building Block Determinations for standard control services). Further, the revenue and pricing principles (RPPs) state a regulated network service provider should be provided with effective incentives in order to promote economic efficiency with respect to direct control network services the operator provides. </w:t>
      </w:r>
    </w:p>
  </w:footnote>
  <w:footnote w:id="8">
    <w:p w:rsidR="008A5165" w:rsidRDefault="008A5165">
      <w:pPr>
        <w:pStyle w:val="FootnoteText"/>
      </w:pPr>
      <w:r>
        <w:rPr>
          <w:rStyle w:val="FootnoteReference"/>
        </w:rPr>
        <w:footnoteRef/>
      </w:r>
      <w:r>
        <w:t xml:space="preserve"> </w:t>
      </w:r>
      <w:r>
        <w:tab/>
        <w:t xml:space="preserve">AEMC, </w:t>
      </w:r>
      <w:r w:rsidRPr="00144760">
        <w:rPr>
          <w:rStyle w:val="AERtextitalic"/>
        </w:rPr>
        <w:t>Consultation paper: National Electricity Amendment (Demand Management Incentive Scheme) Rule 2015</w:t>
      </w:r>
      <w:r>
        <w:t xml:space="preserve">, February 2015, p. 3. </w:t>
      </w:r>
    </w:p>
  </w:footnote>
  <w:footnote w:id="9">
    <w:p w:rsidR="008A5165" w:rsidRDefault="008A5165">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10">
    <w:p w:rsidR="008A5165" w:rsidRDefault="008A5165" w:rsidP="007B3355">
      <w:pPr>
        <w:pStyle w:val="FootnoteText"/>
      </w:pPr>
      <w:r>
        <w:rPr>
          <w:rStyle w:val="FootnoteReference"/>
        </w:rPr>
        <w:footnoteRef/>
      </w:r>
      <w:r>
        <w:t xml:space="preserve"> </w:t>
      </w:r>
      <w:r>
        <w:tab/>
      </w:r>
      <w:r w:rsidRPr="000F5B95">
        <w:t xml:space="preserve">This </w:t>
      </w:r>
      <w:r>
        <w:t>amount</w:t>
      </w:r>
      <w:r w:rsidRPr="000F5B95">
        <w:t xml:space="preserve"> </w:t>
      </w:r>
      <w:r>
        <w:t>ex</w:t>
      </w:r>
      <w:r w:rsidRPr="000F5B95">
        <w:t xml:space="preserve">cludes </w:t>
      </w:r>
      <w:r>
        <w:t xml:space="preserve">other additional factors that will be recovered as part of DUoS but not within the building block revenue, such as </w:t>
      </w:r>
      <w:r w:rsidRPr="000F5B95">
        <w:t xml:space="preserve">the Solar Bonus Scheme feed-in tariff. </w:t>
      </w:r>
      <w:r>
        <w:t>The</w:t>
      </w:r>
      <w:r w:rsidRPr="000F5B95">
        <w:t xml:space="preserve"> total </w:t>
      </w:r>
      <w:r>
        <w:t xml:space="preserve">expected </w:t>
      </w:r>
      <w:r w:rsidRPr="000F5B95">
        <w:t>revenue</w:t>
      </w:r>
      <w:r>
        <w:t xml:space="preserve"> including the additionals is $8257.0</w:t>
      </w:r>
      <w:r w:rsidRPr="000F5B95">
        <w:t xml:space="preserve"> </w:t>
      </w:r>
      <w:r>
        <w:t>m</w:t>
      </w:r>
      <w:r w:rsidRPr="000F5B95">
        <w:t>illion.</w:t>
      </w:r>
    </w:p>
  </w:footnote>
  <w:footnote w:id="11">
    <w:p w:rsidR="008A5165" w:rsidRDefault="008A5165">
      <w:pPr>
        <w:pStyle w:val="FootnoteText"/>
      </w:pPr>
      <w:r>
        <w:rPr>
          <w:rStyle w:val="FootnoteReference"/>
        </w:rPr>
        <w:footnoteRef/>
      </w:r>
      <w:r>
        <w:t xml:space="preserve"> </w:t>
      </w:r>
      <w:r>
        <w:tab/>
      </w:r>
      <w:r w:rsidRPr="00C74AC0">
        <w:t xml:space="preserve">Interdepartmental committee on electricity sector reform, </w:t>
      </w:r>
      <w:r>
        <w:rPr>
          <w:rStyle w:val="AERtextitalic"/>
        </w:rPr>
        <w:t>Terms of Reference</w:t>
      </w:r>
      <w:r w:rsidRPr="00C74AC0">
        <w:t>,</w:t>
      </w:r>
      <w:r>
        <w:t xml:space="preserve"> 2012, p. 1. See </w:t>
      </w:r>
      <w:hyperlink r:id="rId1" w:history="1">
        <w:r w:rsidRPr="008E54CC">
          <w:rPr>
            <w:rStyle w:val="Hyperlink"/>
            <w:sz w:val="16"/>
          </w:rPr>
          <w:t>https://www.dews.qld.gov.au/__data/assets/pdf_file/0013/30622/IDC-terms-of-reference.pdf</w:t>
        </w:r>
      </w:hyperlink>
      <w:r>
        <w:t xml:space="preserve">. </w:t>
      </w:r>
    </w:p>
  </w:footnote>
  <w:footnote w:id="12">
    <w:p w:rsidR="008A5165" w:rsidRDefault="008A5165">
      <w:pPr>
        <w:pStyle w:val="FootnoteText"/>
      </w:pPr>
      <w:r>
        <w:rPr>
          <w:rStyle w:val="FootnoteReference"/>
        </w:rPr>
        <w:footnoteRef/>
      </w:r>
      <w:r>
        <w:t xml:space="preserve"> </w:t>
      </w:r>
      <w:r>
        <w:tab/>
        <w:t xml:space="preserve">Queensland Productivity Commission, </w:t>
      </w:r>
      <w:r w:rsidRPr="00FD138B">
        <w:rPr>
          <w:rStyle w:val="AERtextitalic"/>
        </w:rPr>
        <w:t>Issues paper, Electricity Pricing in Queensland</w:t>
      </w:r>
      <w:r>
        <w:t>, October 2015, pp. 6</w:t>
      </w:r>
      <w:r>
        <w:rPr>
          <w:rFonts w:cs="Arial"/>
        </w:rPr>
        <w:t>─</w:t>
      </w:r>
      <w:r>
        <w:t>9.</w:t>
      </w:r>
    </w:p>
  </w:footnote>
  <w:footnote w:id="13">
    <w:p w:rsidR="008A5165" w:rsidRDefault="008A5165" w:rsidP="00884BA8">
      <w:pPr>
        <w:pStyle w:val="FootnoteText"/>
      </w:pPr>
      <w:r>
        <w:rPr>
          <w:rStyle w:val="FootnoteReference"/>
        </w:rPr>
        <w:footnoteRef/>
      </w:r>
      <w:r>
        <w:t xml:space="preserve"> </w:t>
      </w:r>
      <w:r>
        <w:tab/>
        <w:t xml:space="preserve">See attachment 1 for details. </w:t>
      </w:r>
    </w:p>
  </w:footnote>
  <w:footnote w:id="14">
    <w:p w:rsidR="008A5165" w:rsidRDefault="008A5165">
      <w:pPr>
        <w:pStyle w:val="FootnoteText"/>
      </w:pPr>
      <w:r>
        <w:rPr>
          <w:rStyle w:val="FootnoteReference"/>
        </w:rPr>
        <w:footnoteRef/>
      </w:r>
      <w:r>
        <w:t xml:space="preserve"> </w:t>
      </w:r>
      <w:r>
        <w:tab/>
        <w:t xml:space="preserve">AER, </w:t>
      </w:r>
      <w:r w:rsidRPr="00090C83">
        <w:rPr>
          <w:rStyle w:val="AERtextitalic"/>
        </w:rPr>
        <w:t>Final decision, Queensland distribution determination 2010─11 to 2014─15</w:t>
      </w:r>
      <w:r>
        <w:t>, May 2010, p. 267. This figure is nominal, vanilla.</w:t>
      </w:r>
    </w:p>
  </w:footnote>
  <w:footnote w:id="15">
    <w:p w:rsidR="008A5165" w:rsidRDefault="008A5165">
      <w:pPr>
        <w:pStyle w:val="FootnoteText"/>
      </w:pPr>
      <w:r>
        <w:rPr>
          <w:rStyle w:val="FootnoteReference"/>
        </w:rPr>
        <w:footnoteRef/>
      </w:r>
      <w:r>
        <w:t xml:space="preserve"> </w:t>
      </w:r>
      <w:r>
        <w:tab/>
        <w:t xml:space="preserve">Electricity Network Capital Program Review 2011, Detailed report of the Independent Panel, 2011, p. 10. See: </w:t>
      </w:r>
      <w:hyperlink r:id="rId2" w:history="1">
        <w:r w:rsidRPr="00FA15AD">
          <w:rPr>
            <w:rStyle w:val="Hyperlink"/>
            <w:sz w:val="16"/>
          </w:rPr>
          <w:t>https://www.business.qld.gov.au/__data/assets/pdf_file/0018/9117/ENCAP_Review_Final_Report_3_new.pdf</w:t>
        </w:r>
      </w:hyperlink>
      <w:r>
        <w:t xml:space="preserve">. </w:t>
      </w:r>
    </w:p>
  </w:footnote>
  <w:footnote w:id="16">
    <w:p w:rsidR="008A5165" w:rsidRDefault="008A5165">
      <w:pPr>
        <w:pStyle w:val="FootnoteText"/>
      </w:pPr>
      <w:r>
        <w:rPr>
          <w:rStyle w:val="FootnoteReference"/>
        </w:rPr>
        <w:footnoteRef/>
      </w:r>
      <w:r>
        <w:t xml:space="preserve"> </w:t>
      </w:r>
      <w:r>
        <w:tab/>
        <w:t xml:space="preserve">AER, </w:t>
      </w:r>
      <w:r w:rsidRPr="000B63A0">
        <w:rPr>
          <w:rStyle w:val="AERtextitalic"/>
        </w:rPr>
        <w:t>Issues paper, Queensland  electricity distribution determination 2015─16 to 2019─20</w:t>
      </w:r>
      <w:r>
        <w:t xml:space="preserve">, December 2014, p. 13; Energex, </w:t>
      </w:r>
      <w:r w:rsidRPr="00186C43">
        <w:rPr>
          <w:rStyle w:val="AERtextitalic"/>
        </w:rPr>
        <w:t>Regulatory proposal</w:t>
      </w:r>
      <w:r>
        <w:t>, October 2014, pp. 1, 4, 23.</w:t>
      </w:r>
    </w:p>
  </w:footnote>
  <w:footnote w:id="17">
    <w:p w:rsidR="008A5165" w:rsidRDefault="008A5165" w:rsidP="00E9135F">
      <w:pPr>
        <w:pStyle w:val="FootnoteText"/>
      </w:pPr>
      <w:r>
        <w:rPr>
          <w:rStyle w:val="FootnoteReference"/>
        </w:rPr>
        <w:footnoteRef/>
      </w:r>
      <w:r>
        <w:t xml:space="preserve"> </w:t>
      </w:r>
      <w:r>
        <w:tab/>
        <w:t xml:space="preserve">DEWS, </w:t>
      </w:r>
      <w:r w:rsidRPr="00BE0E73">
        <w:rPr>
          <w:rStyle w:val="AERtextitalic"/>
        </w:rPr>
        <w:t>Changes to electricity network reliability standards</w:t>
      </w:r>
      <w:r>
        <w:t xml:space="preserve">; Refer to </w:t>
      </w:r>
      <w:r w:rsidRPr="00BE0E73">
        <w:t>https://www.dews.qld.gov.au/policies-initiatives/electricity-sector-reform/supply/electricity-network-reliability-standards</w:t>
      </w:r>
      <w:r>
        <w:t>.</w:t>
      </w:r>
    </w:p>
  </w:footnote>
  <w:footnote w:id="18">
    <w:p w:rsidR="008A5165" w:rsidRDefault="008A5165">
      <w:pPr>
        <w:pStyle w:val="FootnoteText"/>
      </w:pPr>
      <w:r>
        <w:rPr>
          <w:rStyle w:val="FootnoteReference"/>
        </w:rPr>
        <w:footnoteRef/>
      </w:r>
      <w:r>
        <w:t xml:space="preserve"> </w:t>
      </w:r>
      <w:r>
        <w:tab/>
      </w:r>
      <w:r w:rsidRPr="00186C43">
        <w:t xml:space="preserve">Energex, </w:t>
      </w:r>
      <w:r w:rsidRPr="00186C43">
        <w:rPr>
          <w:rStyle w:val="AERtextitalic"/>
        </w:rPr>
        <w:t>Regulatory proposal</w:t>
      </w:r>
      <w:r w:rsidRPr="00186C43">
        <w:t>, October 2014, pp. 1, 4, 23</w:t>
      </w:r>
      <w:r>
        <w:t>, 34.</w:t>
      </w:r>
    </w:p>
  </w:footnote>
  <w:footnote w:id="19">
    <w:p w:rsidR="008A5165" w:rsidRDefault="008A5165">
      <w:pPr>
        <w:pStyle w:val="FootnoteText"/>
      </w:pPr>
      <w:r>
        <w:rPr>
          <w:rStyle w:val="FootnoteReference"/>
        </w:rPr>
        <w:footnoteRef/>
      </w:r>
      <w:r>
        <w:t xml:space="preserve"> </w:t>
      </w:r>
      <w:r>
        <w:tab/>
      </w:r>
      <w:r w:rsidRPr="00C74AC0">
        <w:t xml:space="preserve">Interdepartmental committee on electricity sector reform, </w:t>
      </w:r>
      <w:r w:rsidRPr="00F92D46">
        <w:rPr>
          <w:rStyle w:val="AERtextitalic"/>
        </w:rPr>
        <w:t>Report to government</w:t>
      </w:r>
      <w:r w:rsidRPr="00C74AC0">
        <w:t>, May 2013</w:t>
      </w:r>
      <w:r>
        <w:t xml:space="preserve">. </w:t>
      </w:r>
    </w:p>
  </w:footnote>
  <w:footnote w:id="20">
    <w:p w:rsidR="008A5165" w:rsidRDefault="008A5165">
      <w:pPr>
        <w:pStyle w:val="FootnoteText"/>
      </w:pPr>
      <w:r>
        <w:rPr>
          <w:rStyle w:val="FootnoteReference"/>
        </w:rPr>
        <w:footnoteRef/>
      </w:r>
      <w:r>
        <w:t xml:space="preserve"> </w:t>
      </w:r>
      <w:r>
        <w:tab/>
        <w:t xml:space="preserve">AER, </w:t>
      </w:r>
      <w:r w:rsidRPr="00F92D46">
        <w:rPr>
          <w:rStyle w:val="AERtextitalic"/>
        </w:rPr>
        <w:t>Preliminary decision Energex, Attachment 7, Operating expenditure</w:t>
      </w:r>
      <w:r>
        <w:t>, April 2015, pp. 7-133 and 7-134.</w:t>
      </w:r>
    </w:p>
  </w:footnote>
  <w:footnote w:id="21">
    <w:p w:rsidR="008A5165" w:rsidRDefault="008A5165">
      <w:pPr>
        <w:pStyle w:val="FootnoteText"/>
      </w:pPr>
      <w:r>
        <w:rPr>
          <w:rStyle w:val="FootnoteReference"/>
        </w:rPr>
        <w:footnoteRef/>
      </w:r>
      <w:r>
        <w:t xml:space="preserve"> </w:t>
      </w:r>
      <w:r>
        <w:tab/>
        <w:t xml:space="preserve">Take up of the Queensland Solar Bonus Scheme was significantly more than expected, therefore resulting in a build-up of under recoveries related to the scheme. </w:t>
      </w:r>
    </w:p>
  </w:footnote>
  <w:footnote w:id="22">
    <w:p w:rsidR="008A5165" w:rsidRDefault="008A5165">
      <w:pPr>
        <w:pStyle w:val="FootnoteText"/>
      </w:pPr>
      <w:r>
        <w:rPr>
          <w:rStyle w:val="FootnoteReference"/>
        </w:rPr>
        <w:footnoteRef/>
      </w:r>
      <w:r>
        <w:t xml:space="preserve"> </w:t>
      </w:r>
      <w:r>
        <w:tab/>
        <w:t xml:space="preserve">Energex, </w:t>
      </w:r>
      <w:r w:rsidRPr="00A12D0C">
        <w:rPr>
          <w:rStyle w:val="AERtextitalic"/>
        </w:rPr>
        <w:t>Revised regulatory proposal</w:t>
      </w:r>
      <w:r>
        <w:t xml:space="preserve">, July 2015, pp. 5, 6 and 19. </w:t>
      </w:r>
    </w:p>
  </w:footnote>
  <w:footnote w:id="23">
    <w:p w:rsidR="008A5165" w:rsidRDefault="008A5165" w:rsidP="0070010C">
      <w:pPr>
        <w:pStyle w:val="FootnoteText"/>
      </w:pPr>
      <w:r>
        <w:rPr>
          <w:rStyle w:val="FootnoteReference"/>
        </w:rPr>
        <w:footnoteRef/>
      </w:r>
      <w:r>
        <w:t xml:space="preserve"> </w:t>
      </w:r>
      <w:r>
        <w:tab/>
        <w:t xml:space="preserve">Energex, </w:t>
      </w:r>
      <w:r w:rsidRPr="00A12D0C">
        <w:rPr>
          <w:rStyle w:val="AERtextitalic"/>
        </w:rPr>
        <w:t>Revised regulatory proposal</w:t>
      </w:r>
      <w:r>
        <w:t xml:space="preserve">, July 2015, pp. 6 and 19. </w:t>
      </w:r>
    </w:p>
  </w:footnote>
  <w:footnote w:id="24">
    <w:p w:rsidR="008A5165" w:rsidRDefault="008A5165">
      <w:pPr>
        <w:pStyle w:val="FootnoteText"/>
      </w:pPr>
      <w:r>
        <w:rPr>
          <w:rStyle w:val="FootnoteReference"/>
        </w:rPr>
        <w:footnoteRef/>
      </w:r>
      <w:r>
        <w:t xml:space="preserve"> </w:t>
      </w:r>
      <w:r>
        <w:tab/>
        <w:t xml:space="preserve">Energex, </w:t>
      </w:r>
      <w:r w:rsidRPr="00A12D0C">
        <w:rPr>
          <w:rStyle w:val="AERtextitalic"/>
        </w:rPr>
        <w:t>Revised regulatory proposal</w:t>
      </w:r>
      <w:r>
        <w:t xml:space="preserve">, July 2015, pp. 5 and 19. </w:t>
      </w:r>
    </w:p>
  </w:footnote>
  <w:footnote w:id="25">
    <w:p w:rsidR="008A5165" w:rsidRDefault="008A5165" w:rsidP="00920E0B">
      <w:pPr>
        <w:pStyle w:val="FootnoteText"/>
      </w:pPr>
      <w:r>
        <w:rPr>
          <w:rStyle w:val="FootnoteReference"/>
        </w:rPr>
        <w:footnoteRef/>
      </w:r>
      <w:r>
        <w:t xml:space="preserve"> </w:t>
      </w:r>
      <w:r>
        <w:tab/>
        <w:t>Because Energex has a balance on its unders/overs account at the end of the 2010–15 regulatory control period, this will also be included as a building block. This is not shown in the illustration as typically a service provider should be aiming for a zero balance.</w:t>
      </w:r>
    </w:p>
  </w:footnote>
  <w:footnote w:id="26">
    <w:p w:rsidR="008A5165" w:rsidRDefault="008A5165" w:rsidP="007B3355">
      <w:pPr>
        <w:pStyle w:val="FootnoteText"/>
      </w:pPr>
      <w:r>
        <w:rPr>
          <w:rStyle w:val="FootnoteReference"/>
        </w:rPr>
        <w:footnoteRef/>
      </w:r>
      <w:r>
        <w:t xml:space="preserve"> </w:t>
      </w:r>
      <w:r>
        <w:tab/>
        <w:t>www.aer.gov.au/Better-regulation.</w:t>
      </w:r>
    </w:p>
  </w:footnote>
  <w:footnote w:id="27">
    <w:p w:rsidR="008A5165" w:rsidRDefault="008A5165" w:rsidP="007B3355">
      <w:pPr>
        <w:pStyle w:val="FootnoteText"/>
      </w:pPr>
      <w:r>
        <w:rPr>
          <w:rStyle w:val="FootnoteReference"/>
        </w:rPr>
        <w:footnoteRef/>
      </w:r>
      <w:r>
        <w:t xml:space="preserve"> </w:t>
      </w:r>
      <w:r>
        <w:tab/>
        <w:t>NER, cll. 6.5.1 and S6.2.</w:t>
      </w:r>
    </w:p>
  </w:footnote>
  <w:footnote w:id="28">
    <w:p w:rsidR="008A5165" w:rsidRDefault="008A5165" w:rsidP="009F0BCD">
      <w:pPr>
        <w:pStyle w:val="FootnoteText"/>
      </w:pPr>
      <w:r>
        <w:rPr>
          <w:rStyle w:val="FootnoteReference"/>
        </w:rPr>
        <w:footnoteRef/>
      </w:r>
      <w:r>
        <w:t xml:space="preserve"> </w:t>
      </w:r>
      <w:r>
        <w:tab/>
        <w:t xml:space="preserve">Energex, </w:t>
      </w:r>
      <w:r w:rsidRPr="00374C7E">
        <w:rPr>
          <w:rStyle w:val="AERtextitalic"/>
        </w:rPr>
        <w:t>Revised regulatory proposal</w:t>
      </w:r>
      <w:r>
        <w:t>, July 2015, p. 75.</w:t>
      </w:r>
    </w:p>
  </w:footnote>
  <w:footnote w:id="29">
    <w:p w:rsidR="008A5165" w:rsidRDefault="008A5165" w:rsidP="007B3355">
      <w:pPr>
        <w:pStyle w:val="FootnoteText"/>
      </w:pPr>
      <w:r>
        <w:rPr>
          <w:rStyle w:val="FootnoteReference"/>
        </w:rPr>
        <w:footnoteRef/>
      </w:r>
      <w:r>
        <w:t xml:space="preserve"> </w:t>
      </w:r>
      <w:r>
        <w:tab/>
        <w:t>NER, cl. 6.5.2(a).</w:t>
      </w:r>
    </w:p>
  </w:footnote>
  <w:footnote w:id="30">
    <w:p w:rsidR="008A5165" w:rsidRDefault="008A5165" w:rsidP="007B3355">
      <w:pPr>
        <w:pStyle w:val="FootnoteText"/>
      </w:pPr>
      <w:r>
        <w:rPr>
          <w:rStyle w:val="FootnoteReference"/>
        </w:rPr>
        <w:footnoteRef/>
      </w:r>
      <w:r>
        <w:t xml:space="preserve"> </w:t>
      </w:r>
      <w:r>
        <w:tab/>
        <w:t>NER, cl. 6.5.2(b).</w:t>
      </w:r>
    </w:p>
  </w:footnote>
  <w:footnote w:id="31">
    <w:p w:rsidR="008A5165" w:rsidRDefault="008A5165" w:rsidP="007B3355">
      <w:pPr>
        <w:pStyle w:val="FootnoteText"/>
      </w:pPr>
      <w:r>
        <w:rPr>
          <w:rStyle w:val="FootnoteReference"/>
        </w:rPr>
        <w:footnoteRef/>
      </w:r>
      <w:r>
        <w:t xml:space="preserve"> </w:t>
      </w:r>
      <w:r>
        <w:tab/>
        <w:t>The nominal vanilla WACC combines a post-tax return on equity and a pre-tax return on debt, for consistency with other building blocks.</w:t>
      </w:r>
    </w:p>
  </w:footnote>
  <w:footnote w:id="32">
    <w:p w:rsidR="008A5165" w:rsidRDefault="008A5165" w:rsidP="007B3355">
      <w:pPr>
        <w:pStyle w:val="FootnoteText"/>
      </w:pPr>
      <w:r>
        <w:rPr>
          <w:rStyle w:val="FootnoteReference"/>
        </w:rPr>
        <w:footnoteRef/>
      </w:r>
      <w:r>
        <w:t xml:space="preserve"> </w:t>
      </w:r>
      <w:r>
        <w:tab/>
        <w:t>NER, cl. 6.5.2(i)(2).</w:t>
      </w:r>
    </w:p>
  </w:footnote>
  <w:footnote w:id="33">
    <w:p w:rsidR="008A5165" w:rsidRDefault="008A5165" w:rsidP="007B3355">
      <w:pPr>
        <w:pStyle w:val="FootnoteText"/>
      </w:pPr>
      <w:r>
        <w:rPr>
          <w:rStyle w:val="FootnoteReference"/>
        </w:rPr>
        <w:footnoteRef/>
      </w:r>
      <w:r>
        <w:t xml:space="preserve"> </w:t>
      </w:r>
      <w:r>
        <w:tab/>
        <w:t>NER, cl. 6.5.2(b).</w:t>
      </w:r>
    </w:p>
  </w:footnote>
  <w:footnote w:id="34">
    <w:p w:rsidR="008A5165" w:rsidRDefault="008A5165" w:rsidP="007B3355">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35">
    <w:p w:rsidR="008A5165" w:rsidRDefault="008A5165" w:rsidP="007B3355">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w:t>
      </w:r>
      <w:r>
        <w:rPr>
          <w:rStyle w:val="AERtextitalic"/>
        </w:rPr>
        <w:t>R</w:t>
      </w:r>
      <w:r w:rsidRPr="00746651">
        <w:rPr>
          <w:rStyle w:val="AERtextitalic"/>
        </w:rPr>
        <w:t xml:space="preserve">ate of </w:t>
      </w:r>
      <w:r>
        <w:rPr>
          <w:rStyle w:val="AERtextitalic"/>
        </w:rPr>
        <w:t>R</w:t>
      </w:r>
      <w:r w:rsidRPr="00746651">
        <w:rPr>
          <w:rStyle w:val="AERtextitalic"/>
        </w:rPr>
        <w:t xml:space="preserve">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36">
    <w:p w:rsidR="008A5165" w:rsidRDefault="008A5165" w:rsidP="007B3355">
      <w:pPr>
        <w:pStyle w:val="FootnoteText"/>
      </w:pPr>
      <w:r>
        <w:rPr>
          <w:rStyle w:val="FootnoteReference"/>
        </w:rPr>
        <w:footnoteRef/>
      </w:r>
      <w:r>
        <w:t xml:space="preserve"> </w:t>
      </w:r>
      <w:r>
        <w:tab/>
      </w:r>
      <w:r w:rsidRPr="00835CE1">
        <w:t>NER, cl.</w:t>
      </w:r>
      <w:r>
        <w:t xml:space="preserve"> </w:t>
      </w:r>
      <w:r w:rsidRPr="00835CE1">
        <w:t>6.</w:t>
      </w:r>
      <w:r>
        <w:t>5</w:t>
      </w:r>
      <w:r w:rsidRPr="00835CE1">
        <w:t>.2(m)</w:t>
      </w:r>
      <w:r>
        <w:t>.</w:t>
      </w:r>
    </w:p>
  </w:footnote>
  <w:footnote w:id="37">
    <w:p w:rsidR="008A5165" w:rsidRDefault="008A5165" w:rsidP="007B3355">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regulatory control period.</w:t>
      </w:r>
    </w:p>
  </w:footnote>
  <w:footnote w:id="38">
    <w:p w:rsidR="008A5165" w:rsidRDefault="008A5165" w:rsidP="007B3355">
      <w:pPr>
        <w:pStyle w:val="FootnoteText"/>
      </w:pPr>
      <w:r>
        <w:rPr>
          <w:rStyle w:val="FootnoteReference"/>
        </w:rPr>
        <w:footnoteRef/>
      </w:r>
      <w:r>
        <w:t xml:space="preserve"> </w:t>
      </w:r>
      <w:r>
        <w:tab/>
        <w:t xml:space="preserve">In broad terms, this means that over the longer term the return on debt for any year will represent the average return on debt over the previous ten years. </w:t>
      </w:r>
    </w:p>
  </w:footnote>
  <w:footnote w:id="39">
    <w:p w:rsidR="008A5165" w:rsidRDefault="008A5165">
      <w:pPr>
        <w:pStyle w:val="FootnoteText"/>
      </w:pPr>
      <w:r>
        <w:rPr>
          <w:rStyle w:val="FootnoteReference"/>
        </w:rPr>
        <w:footnoteRef/>
      </w:r>
      <w:r>
        <w:t xml:space="preserve"> </w:t>
      </w:r>
      <w:r>
        <w:tab/>
        <w:t xml:space="preserve">Energex, </w:t>
      </w:r>
      <w:r w:rsidRPr="00A12D0C">
        <w:rPr>
          <w:rStyle w:val="AERtextitalic"/>
        </w:rPr>
        <w:t>Regulatory proposal</w:t>
      </w:r>
      <w:r>
        <w:t>, October 2014, p. 167.</w:t>
      </w:r>
    </w:p>
  </w:footnote>
  <w:footnote w:id="40">
    <w:p w:rsidR="008A5165" w:rsidRDefault="008A5165">
      <w:pPr>
        <w:pStyle w:val="FootnoteText"/>
      </w:pPr>
      <w:r>
        <w:rPr>
          <w:rStyle w:val="FootnoteReference"/>
        </w:rPr>
        <w:footnoteRef/>
      </w:r>
      <w:r>
        <w:t xml:space="preserve"> </w:t>
      </w:r>
      <w:r>
        <w:tab/>
        <w:t xml:space="preserve">Energex, </w:t>
      </w:r>
      <w:r w:rsidRPr="00A12D0C">
        <w:rPr>
          <w:rStyle w:val="AERtextitalic"/>
        </w:rPr>
        <w:t>Revised regulatory proposal</w:t>
      </w:r>
      <w:r>
        <w:t>, July 2015, p. 108.</w:t>
      </w:r>
    </w:p>
  </w:footnote>
  <w:footnote w:id="41">
    <w:p w:rsidR="008A5165" w:rsidRDefault="008A5165" w:rsidP="007B3355">
      <w:pPr>
        <w:pStyle w:val="FootnoteText"/>
      </w:pPr>
      <w:r w:rsidRPr="0043616E">
        <w:rPr>
          <w:rStyle w:val="AERsuperscript"/>
        </w:rPr>
        <w:footnoteRef/>
      </w:r>
      <w:r w:rsidRPr="0043616E">
        <w:rPr>
          <w:rStyle w:val="AERsuperscript"/>
        </w:rPr>
        <w:t xml:space="preserve"> </w:t>
      </w:r>
      <w:r>
        <w:tab/>
      </w:r>
      <w:r w:rsidRPr="0043616E">
        <w:rPr>
          <w:rStyle w:val="AERtextsize8"/>
        </w:rPr>
        <w:t xml:space="preserve">Energex, </w:t>
      </w:r>
      <w:r w:rsidRPr="00CC5DB6">
        <w:rPr>
          <w:rStyle w:val="AERtextitalic"/>
        </w:rPr>
        <w:t>Regulatory proposa</w:t>
      </w:r>
      <w:r>
        <w:rPr>
          <w:rStyle w:val="AERtextitalic"/>
        </w:rPr>
        <w:t>l,</w:t>
      </w:r>
      <w:r w:rsidRPr="0043616E">
        <w:rPr>
          <w:rStyle w:val="AERtextsize8"/>
        </w:rPr>
        <w:t xml:space="preserve"> October 2014, p. 153 states that 'While Energex has applied the AER’s preferred foundation model to estimate the return on equity, being the Sharpe-Lintner Capital Asset Pricing Model (the Sharpe-Lintner CAPM), the parameter values have been estimated having regard to the strength and weaknesses of all relevant evidence, rather than arbitrarily assigning different pieces of evidence different roles, as the AER has done in its Guideline. </w:t>
      </w:r>
    </w:p>
  </w:footnote>
  <w:footnote w:id="42">
    <w:p w:rsidR="008A5165" w:rsidRDefault="008A5165" w:rsidP="007B3355">
      <w:pPr>
        <w:pStyle w:val="FootnoteText"/>
      </w:pPr>
      <w:r>
        <w:rPr>
          <w:rStyle w:val="FootnoteReference"/>
        </w:rPr>
        <w:footnoteRef/>
      </w:r>
      <w:r>
        <w:t xml:space="preserve"> </w:t>
      </w:r>
      <w:r>
        <w:tab/>
        <w:t>NER, cl. 6.5.2(e)(1).</w:t>
      </w:r>
    </w:p>
  </w:footnote>
  <w:footnote w:id="43">
    <w:p w:rsidR="008A5165" w:rsidRDefault="008A5165" w:rsidP="007B3355">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44">
    <w:p w:rsidR="008A5165" w:rsidRDefault="008A5165" w:rsidP="007B3355">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45">
    <w:p w:rsidR="008A5165" w:rsidRDefault="008A5165" w:rsidP="007B3355">
      <w:pPr>
        <w:pStyle w:val="FootnoteText"/>
      </w:pPr>
      <w:r>
        <w:rPr>
          <w:rStyle w:val="FootnoteReference"/>
        </w:rPr>
        <w:footnoteRef/>
      </w:r>
      <w:r>
        <w:t xml:space="preserve"> </w:t>
      </w:r>
      <w:r>
        <w:tab/>
      </w:r>
      <w:r w:rsidRPr="00890E69">
        <w:rPr>
          <w:rStyle w:val="AERtextitalic"/>
        </w:rPr>
        <w:t>Income Tax Assessment Act 1997</w:t>
      </w:r>
      <w:r>
        <w:t>, parts 3–6.</w:t>
      </w:r>
    </w:p>
  </w:footnote>
  <w:footnote w:id="46">
    <w:p w:rsidR="008A5165" w:rsidRDefault="008A5165" w:rsidP="007B3355">
      <w:pPr>
        <w:pStyle w:val="FootnoteText"/>
      </w:pPr>
      <w:r>
        <w:rPr>
          <w:rStyle w:val="FootnoteReference"/>
        </w:rPr>
        <w:footnoteRef/>
      </w:r>
      <w:r>
        <w:t xml:space="preserve"> </w:t>
      </w:r>
      <w:r>
        <w:tab/>
        <w:t>NER, cll. 6.4.3(a)(4), 6.4.3(b)(4), 6.5.3.</w:t>
      </w:r>
    </w:p>
  </w:footnote>
  <w:footnote w:id="47">
    <w:p w:rsidR="008A5165" w:rsidRDefault="008A5165" w:rsidP="007B3355">
      <w:pPr>
        <w:pStyle w:val="FootnoteText"/>
      </w:pPr>
      <w:r>
        <w:rPr>
          <w:rStyle w:val="FootnoteReference"/>
        </w:rPr>
        <w:footnoteRef/>
      </w:r>
      <w:r>
        <w:t xml:space="preserve"> </w:t>
      </w:r>
      <w:r>
        <w:tab/>
        <w:t>NER, cl. 6.12.1(8).</w:t>
      </w:r>
    </w:p>
  </w:footnote>
  <w:footnote w:id="48">
    <w:p w:rsidR="008A5165" w:rsidRDefault="008A5165" w:rsidP="00EF22EF">
      <w:pPr>
        <w:pStyle w:val="FootnoteText"/>
      </w:pPr>
      <w:r>
        <w:rPr>
          <w:rStyle w:val="FootnoteReference"/>
        </w:rPr>
        <w:footnoteRef/>
      </w:r>
      <w:r>
        <w:t xml:space="preserve"> </w:t>
      </w:r>
      <w:r>
        <w:tab/>
        <w:t xml:space="preserve">Energex, </w:t>
      </w:r>
      <w:r w:rsidRPr="001121F4">
        <w:rPr>
          <w:rStyle w:val="AERtextitalic"/>
        </w:rPr>
        <w:t>Revised regulatory proposal</w:t>
      </w:r>
      <w:r>
        <w:t xml:space="preserve">, July 2015, p. 71. </w:t>
      </w:r>
    </w:p>
  </w:footnote>
  <w:footnote w:id="49">
    <w:p w:rsidR="008A5165" w:rsidRDefault="008A5165" w:rsidP="004D5835">
      <w:pPr>
        <w:pStyle w:val="FootnoteText"/>
      </w:pPr>
      <w:r>
        <w:rPr>
          <w:rStyle w:val="FootnoteReference"/>
        </w:rPr>
        <w:footnoteRef/>
      </w:r>
      <w:r>
        <w:t xml:space="preserve"> </w:t>
      </w:r>
      <w:r>
        <w:tab/>
        <w:t xml:space="preserve">We obtained Energex’s proposed capex figures from its RIN. Our assessment used information subsequently provided by Energex. </w:t>
      </w:r>
    </w:p>
  </w:footnote>
  <w:footnote w:id="50">
    <w:p w:rsidR="008A5165" w:rsidRDefault="008A5165">
      <w:pPr>
        <w:pStyle w:val="FootnoteText"/>
      </w:pPr>
      <w:r>
        <w:rPr>
          <w:rStyle w:val="FootnoteReference"/>
        </w:rPr>
        <w:footnoteRef/>
      </w:r>
      <w:r>
        <w:t xml:space="preserve"> </w:t>
      </w:r>
      <w:r>
        <w:tab/>
        <w:t>Total connections capex includes customer contributions.</w:t>
      </w:r>
    </w:p>
  </w:footnote>
  <w:footnote w:id="51">
    <w:p w:rsidR="008A5165" w:rsidRDefault="008A5165" w:rsidP="007B3355">
      <w:pPr>
        <w:pStyle w:val="FootnoteText"/>
      </w:pPr>
      <w:r>
        <w:rPr>
          <w:rStyle w:val="FootnoteReference"/>
        </w:rPr>
        <w:footnoteRef/>
      </w:r>
      <w:r>
        <w:t xml:space="preserve"> </w:t>
      </w:r>
      <w:r>
        <w:tab/>
      </w:r>
      <w:r w:rsidRPr="0046015E">
        <w:t>NER, cl</w:t>
      </w:r>
      <w:r>
        <w:t>.</w:t>
      </w:r>
      <w:r w:rsidRPr="0046015E">
        <w:t xml:space="preserve"> 6.4.3(a)(4).</w:t>
      </w:r>
    </w:p>
  </w:footnote>
  <w:footnote w:id="52">
    <w:p w:rsidR="008A5165" w:rsidRDefault="008A5165">
      <w:pPr>
        <w:pStyle w:val="FootnoteText"/>
      </w:pPr>
      <w:r>
        <w:rPr>
          <w:rStyle w:val="FootnoteReference"/>
        </w:rPr>
        <w:footnoteRef/>
      </w:r>
      <w:r>
        <w:t xml:space="preserve"> </w:t>
      </w:r>
      <w:r>
        <w:tab/>
        <w:t xml:space="preserve">AER, </w:t>
      </w:r>
      <w:r w:rsidRPr="00B97E80">
        <w:rPr>
          <w:rStyle w:val="AERtextitalic"/>
        </w:rPr>
        <w:t>Final F&amp;A for Energex and Ergon Energy</w:t>
      </w:r>
      <w:r>
        <w:t xml:space="preserve">, April 2014. </w:t>
      </w:r>
    </w:p>
  </w:footnote>
  <w:footnote w:id="53">
    <w:p w:rsidR="008A5165" w:rsidRDefault="008A5165" w:rsidP="00A92C50">
      <w:pPr>
        <w:pStyle w:val="FootnoteText"/>
      </w:pPr>
      <w:r>
        <w:rPr>
          <w:rStyle w:val="FootnoteReference"/>
        </w:rPr>
        <w:footnoteRef/>
      </w:r>
      <w:r>
        <w:t xml:space="preserve"> </w:t>
      </w:r>
      <w:r>
        <w:tab/>
        <w:t xml:space="preserve">AEMC, </w:t>
      </w:r>
      <w:r w:rsidRPr="00156EBE">
        <w:rPr>
          <w:rStyle w:val="AERtextitalic"/>
        </w:rPr>
        <w:t>Draft Rule Determination, National Electricity Amendment (Expanding competition in metering related services) Rule 2015</w:t>
      </w:r>
      <w:r>
        <w:t>, 26 March 2015.</w:t>
      </w:r>
    </w:p>
  </w:footnote>
  <w:footnote w:id="54">
    <w:p w:rsidR="008A5165" w:rsidRDefault="008A5165">
      <w:pPr>
        <w:pStyle w:val="FootnoteText"/>
      </w:pPr>
      <w:r>
        <w:rPr>
          <w:rStyle w:val="FootnoteReference"/>
        </w:rPr>
        <w:footnoteRef/>
      </w:r>
      <w:r>
        <w:t xml:space="preserve"> </w:t>
      </w:r>
      <w:r>
        <w:tab/>
        <w:t xml:space="preserve">Without this, the incentive would be greatest to make savings in the first year of the regulatory control period. </w:t>
      </w:r>
    </w:p>
  </w:footnote>
  <w:footnote w:id="55">
    <w:p w:rsidR="008A5165" w:rsidRDefault="008A5165" w:rsidP="007B3355">
      <w:pPr>
        <w:pStyle w:val="FootnoteText"/>
      </w:pPr>
      <w:r>
        <w:rPr>
          <w:rStyle w:val="FootnoteReference"/>
        </w:rPr>
        <w:footnoteRef/>
      </w:r>
      <w:r>
        <w:t xml:space="preserve"> </w:t>
      </w:r>
      <w:r>
        <w:tab/>
        <w:t xml:space="preserve">These concepts are explained more fully in the explanatory statement to the EBSS, AER, </w:t>
      </w:r>
      <w:r w:rsidRPr="00F73B92">
        <w:rPr>
          <w:rStyle w:val="AERtextitalic"/>
        </w:rPr>
        <w:t>Efficiency benefit sharing scheme for electricity network service providers - explanatory statement</w:t>
      </w:r>
      <w:r>
        <w:t xml:space="preserve">, November 2013. </w:t>
      </w:r>
    </w:p>
  </w:footnote>
  <w:footnote w:id="56">
    <w:p w:rsidR="008A5165" w:rsidRDefault="008A5165" w:rsidP="00A04BDC">
      <w:pPr>
        <w:pStyle w:val="FootnoteText"/>
      </w:pPr>
      <w:r>
        <w:rPr>
          <w:rStyle w:val="FootnoteReference"/>
        </w:rPr>
        <w:footnoteRef/>
      </w:r>
      <w:r>
        <w:t xml:space="preserve"> </w:t>
      </w:r>
      <w:r>
        <w:tab/>
        <w:t>AER</w:t>
      </w:r>
      <w:r w:rsidRPr="00A1185E">
        <w:rPr>
          <w:rStyle w:val="AERtextitalic"/>
        </w:rPr>
        <w:t xml:space="preserve"> </w:t>
      </w:r>
      <w:r w:rsidRPr="006F0324">
        <w:rPr>
          <w:rStyle w:val="AERtextitalic"/>
        </w:rPr>
        <w:t xml:space="preserve">Efficiency benefit sharing scheme for </w:t>
      </w:r>
      <w:r>
        <w:rPr>
          <w:rStyle w:val="AERtextitalic"/>
        </w:rPr>
        <w:t>electricity network service providers</w:t>
      </w:r>
      <w:r>
        <w:t>, November 2013.</w:t>
      </w:r>
    </w:p>
  </w:footnote>
  <w:footnote w:id="57">
    <w:p w:rsidR="008A5165" w:rsidRDefault="008A5165" w:rsidP="007B3355">
      <w:pPr>
        <w:pStyle w:val="FootnoteText"/>
      </w:pPr>
      <w:r>
        <w:rPr>
          <w:rStyle w:val="FootnoteReference"/>
        </w:rPr>
        <w:footnoteRef/>
      </w:r>
      <w:r>
        <w:t xml:space="preserve"> </w:t>
      </w:r>
      <w:r>
        <w:tab/>
        <w:t xml:space="preserve">Energex, </w:t>
      </w:r>
      <w:r w:rsidRPr="00ED2DF0">
        <w:rPr>
          <w:rStyle w:val="AERtextitalic"/>
        </w:rPr>
        <w:t>Regulatory Proposal</w:t>
      </w:r>
      <w:r>
        <w:rPr>
          <w:rStyle w:val="AERtextitalic"/>
        </w:rPr>
        <w:t xml:space="preserve">, </w:t>
      </w:r>
      <w:r>
        <w:t>October 2014, p. 192.</w:t>
      </w:r>
    </w:p>
  </w:footnote>
  <w:footnote w:id="58">
    <w:p w:rsidR="008A5165" w:rsidRDefault="008A5165">
      <w:pPr>
        <w:pStyle w:val="FootnoteText"/>
      </w:pPr>
      <w:r>
        <w:rPr>
          <w:rStyle w:val="FootnoteReference"/>
        </w:rPr>
        <w:footnoteRef/>
      </w:r>
      <w:r>
        <w:t xml:space="preserve"> </w:t>
      </w:r>
      <w:r>
        <w:tab/>
        <w:t xml:space="preserve">Energex, </w:t>
      </w:r>
      <w:r w:rsidRPr="00391D7C">
        <w:rPr>
          <w:rStyle w:val="AERtextitalic"/>
        </w:rPr>
        <w:t>Revised regulatory proposal</w:t>
      </w:r>
      <w:r>
        <w:t>, July 2015, p. 131.</w:t>
      </w:r>
    </w:p>
  </w:footnote>
  <w:footnote w:id="59">
    <w:p w:rsidR="008A5165" w:rsidRDefault="008A5165" w:rsidP="00412B65">
      <w:pPr>
        <w:pStyle w:val="FootnoteText"/>
      </w:pPr>
      <w:r>
        <w:rPr>
          <w:rStyle w:val="FootnoteReference"/>
        </w:rPr>
        <w:footnoteRef/>
      </w:r>
      <w:r>
        <w:t xml:space="preserve"> </w:t>
      </w:r>
      <w:r>
        <w:tab/>
        <w:t xml:space="preserve">AER, </w:t>
      </w:r>
      <w:r w:rsidRPr="00B97E80">
        <w:rPr>
          <w:rStyle w:val="AERtextitalic"/>
        </w:rPr>
        <w:t>Preliminary decision for Energex, Attachment 11 − STPIS</w:t>
      </w:r>
      <w:r>
        <w:t xml:space="preserve">, April 2015. </w:t>
      </w:r>
    </w:p>
  </w:footnote>
  <w:footnote w:id="60">
    <w:p w:rsidR="008A5165" w:rsidRDefault="008A5165" w:rsidP="00412B65">
      <w:pPr>
        <w:pStyle w:val="FootnoteText"/>
      </w:pPr>
      <w:r>
        <w:rPr>
          <w:rStyle w:val="FootnoteReference"/>
        </w:rPr>
        <w:footnoteRef/>
      </w:r>
      <w:r>
        <w:t xml:space="preserve"> </w:t>
      </w:r>
      <w:r>
        <w:tab/>
      </w:r>
      <w:r w:rsidRPr="004254AB">
        <w:t xml:space="preserve">AER, </w:t>
      </w:r>
      <w:r w:rsidRPr="004254AB">
        <w:rPr>
          <w:rStyle w:val="AERtextitalic"/>
        </w:rPr>
        <w:t>Electricity distribution network service providers—service target performance incentive scheme</w:t>
      </w:r>
      <w:r w:rsidRPr="004254AB">
        <w:t xml:space="preserve">, 1 November 2009. </w:t>
      </w:r>
    </w:p>
  </w:footnote>
  <w:footnote w:id="61">
    <w:p w:rsidR="008A5165" w:rsidRPr="003534C1" w:rsidRDefault="008A5165" w:rsidP="008712FA">
      <w:pPr>
        <w:pStyle w:val="FootnoteText"/>
        <w:rPr>
          <w:rStyle w:val="Emphasis"/>
        </w:rPr>
      </w:pPr>
      <w:r>
        <w:rPr>
          <w:rStyle w:val="FootnoteReference"/>
        </w:rPr>
        <w:footnoteRef/>
      </w:r>
      <w:r>
        <w:t xml:space="preserve"> </w:t>
      </w:r>
      <w:r>
        <w:tab/>
      </w:r>
      <w:r w:rsidRPr="00AE5088">
        <w:t xml:space="preserve">AER, </w:t>
      </w:r>
      <w:r w:rsidRPr="00AE5088">
        <w:rPr>
          <w:rStyle w:val="Emphasis"/>
        </w:rPr>
        <w:t xml:space="preserve">Preliminary decision </w:t>
      </w:r>
      <w:r>
        <w:rPr>
          <w:rStyle w:val="Emphasis"/>
        </w:rPr>
        <w:t>Energex</w:t>
      </w:r>
      <w:r w:rsidRPr="00AE5088">
        <w:rPr>
          <w:rStyle w:val="Emphasis"/>
        </w:rPr>
        <w:t xml:space="preserve"> distribution determination 2015-16 to 2019-20, Attachment 12 – Demand management incentive scheme</w:t>
      </w:r>
      <w:r>
        <w:t>, April 2015, p.7.</w:t>
      </w:r>
    </w:p>
  </w:footnote>
  <w:footnote w:id="62">
    <w:p w:rsidR="008A5165" w:rsidRDefault="008A5165">
      <w:pPr>
        <w:pStyle w:val="FootnoteText"/>
      </w:pPr>
      <w:r>
        <w:rPr>
          <w:rStyle w:val="FootnoteReference"/>
        </w:rPr>
        <w:footnoteRef/>
      </w:r>
      <w:r>
        <w:t xml:space="preserve"> </w:t>
      </w:r>
      <w:r>
        <w:tab/>
        <w:t xml:space="preserve">Energex, </w:t>
      </w:r>
      <w:r w:rsidRPr="001D6ED8">
        <w:rPr>
          <w:rStyle w:val="AERtextitalic"/>
        </w:rPr>
        <w:t>Revised regulatory proposal</w:t>
      </w:r>
      <w:r>
        <w:t xml:space="preserve">, July 2015, p. 131. </w:t>
      </w:r>
    </w:p>
  </w:footnote>
  <w:footnote w:id="63">
    <w:p w:rsidR="008A5165" w:rsidRDefault="008A5165" w:rsidP="007B3355">
      <w:pPr>
        <w:pStyle w:val="FootnoteText"/>
      </w:pPr>
      <w:r>
        <w:rPr>
          <w:rStyle w:val="FootnoteReference"/>
        </w:rPr>
        <w:footnoteRef/>
      </w:r>
      <w:r>
        <w:t xml:space="preserve"> </w:t>
      </w:r>
      <w:r>
        <w:tab/>
        <w:t>NEL, s. 7.</w:t>
      </w:r>
    </w:p>
  </w:footnote>
  <w:footnote w:id="64">
    <w:p w:rsidR="008A5165" w:rsidRDefault="008A5165" w:rsidP="00170478">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8A5165" w:rsidRDefault="008A5165" w:rsidP="00170478">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8A5165" w:rsidRDefault="008A5165" w:rsidP="00170478">
      <w:pPr>
        <w:pStyle w:val="FootnoteText"/>
      </w:pPr>
      <w:r>
        <w:tab/>
        <w:t xml:space="preserve">Hansard, </w:t>
      </w:r>
      <w:r w:rsidRPr="00A12D0C">
        <w:rPr>
          <w:rStyle w:val="AERtextitalic"/>
        </w:rPr>
        <w:t>SA House of Assembly</w:t>
      </w:r>
      <w:r>
        <w:t>, 26 September 2013, pp. 7171</w:t>
      </w:r>
      <w:r>
        <w:rPr>
          <w:rFonts w:cs="Gautami"/>
        </w:rPr>
        <w:t>–</w:t>
      </w:r>
      <w:r>
        <w:t>7176.</w:t>
      </w:r>
    </w:p>
  </w:footnote>
  <w:footnote w:id="65">
    <w:p w:rsidR="008A5165" w:rsidRDefault="008A5165" w:rsidP="00170478">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66">
    <w:p w:rsidR="008A5165" w:rsidRDefault="008A5165" w:rsidP="00170478">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67">
    <w:p w:rsidR="008A5165" w:rsidRPr="001114AA" w:rsidRDefault="008A5165" w:rsidP="00170478">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8A5165" w:rsidRDefault="008A5165" w:rsidP="00170478">
      <w:pPr>
        <w:pStyle w:val="FootnoteText"/>
      </w:pPr>
      <w:r>
        <w:tab/>
        <w:t>Energy Ministers also accept this view – see Hansard, SA House of Assembly, 26 September 2013 p. 7172.</w:t>
      </w:r>
    </w:p>
    <w:p w:rsidR="008A5165" w:rsidRDefault="008A5165" w:rsidP="00170478">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68">
    <w:p w:rsidR="008A5165" w:rsidRDefault="008A5165" w:rsidP="00170478">
      <w:pPr>
        <w:pStyle w:val="FootnoteText"/>
      </w:pPr>
      <w:r>
        <w:rPr>
          <w:rStyle w:val="FootnoteReference"/>
        </w:rPr>
        <w:footnoteRef/>
      </w:r>
      <w:r>
        <w:t xml:space="preserve"> </w:t>
      </w:r>
      <w:r>
        <w:tab/>
        <w:t>NEL, s. 7A(7).</w:t>
      </w:r>
    </w:p>
  </w:footnote>
  <w:footnote w:id="69">
    <w:p w:rsidR="008A5165" w:rsidRDefault="008A5165" w:rsidP="00170478">
      <w:pPr>
        <w:pStyle w:val="FootnoteText"/>
      </w:pPr>
      <w:r>
        <w:rPr>
          <w:rStyle w:val="FootnoteReference"/>
        </w:rPr>
        <w:footnoteRef/>
      </w:r>
      <w:r>
        <w:t xml:space="preserve"> </w:t>
      </w:r>
      <w:r>
        <w:tab/>
        <w:t>NEL, s. 7A(6).</w:t>
      </w:r>
    </w:p>
  </w:footnote>
  <w:footnote w:id="70">
    <w:p w:rsidR="008A5165" w:rsidRDefault="008A5165" w:rsidP="007B3355">
      <w:pPr>
        <w:pStyle w:val="FootnoteText"/>
      </w:pPr>
      <w:r>
        <w:rPr>
          <w:rStyle w:val="FootnoteReference"/>
        </w:rPr>
        <w:footnoteRef/>
      </w:r>
      <w:r>
        <w:t xml:space="preserve"> </w:t>
      </w:r>
      <w:r>
        <w:tab/>
        <w:t>NEL, s. 7A.</w:t>
      </w:r>
    </w:p>
  </w:footnote>
  <w:footnote w:id="71">
    <w:p w:rsidR="008A5165" w:rsidRDefault="008A5165" w:rsidP="007B3355">
      <w:pPr>
        <w:pStyle w:val="FootnoteText"/>
      </w:pPr>
      <w:r>
        <w:rPr>
          <w:rStyle w:val="FootnoteReference"/>
        </w:rPr>
        <w:footnoteRef/>
      </w:r>
      <w:r>
        <w:t xml:space="preserve"> </w:t>
      </w:r>
      <w:r>
        <w:tab/>
        <w:t>NEL, s. 16(2).</w:t>
      </w:r>
    </w:p>
  </w:footnote>
  <w:footnote w:id="72">
    <w:p w:rsidR="008A5165" w:rsidRDefault="008A5165" w:rsidP="007B3355">
      <w:pPr>
        <w:pStyle w:val="FootnoteText"/>
      </w:pPr>
      <w:r>
        <w:rPr>
          <w:rStyle w:val="FootnoteReference"/>
        </w:rPr>
        <w:footnoteRef/>
      </w:r>
      <w:r>
        <w:t xml:space="preserve"> </w:t>
      </w:r>
      <w:r>
        <w:tab/>
        <w:t xml:space="preserve">Hansard, </w:t>
      </w:r>
      <w:r w:rsidRPr="000B7E38">
        <w:rPr>
          <w:rStyle w:val="AERtextitalic"/>
        </w:rPr>
        <w:t>SA House of Assembly</w:t>
      </w:r>
      <w:r>
        <w:t xml:space="preserve">, 27 September 2007, p. 965; Hansard, </w:t>
      </w:r>
      <w:r w:rsidRPr="000B7E38">
        <w:rPr>
          <w:rStyle w:val="AERtextitalic"/>
        </w:rPr>
        <w:t>SA House of Assembly</w:t>
      </w:r>
      <w:r>
        <w:t>, 26 September 2013, p. 7173.</w:t>
      </w:r>
    </w:p>
  </w:footnote>
  <w:footnote w:id="73">
    <w:p w:rsidR="008A5165" w:rsidRDefault="008A5165" w:rsidP="00F32711">
      <w:pPr>
        <w:pStyle w:val="FootnoteText"/>
      </w:pPr>
      <w:r>
        <w:rPr>
          <w:rStyle w:val="FootnoteReference"/>
        </w:rPr>
        <w:footnoteRef/>
      </w:r>
      <w:r>
        <w:t xml:space="preserve"> </w:t>
      </w:r>
      <w:r>
        <w:tab/>
      </w:r>
      <w:r w:rsidRPr="008A5165">
        <w:t xml:space="preserve">AEMC, </w:t>
      </w:r>
      <w:r w:rsidRPr="008A5165">
        <w:rPr>
          <w:rStyle w:val="AERtextitalic"/>
        </w:rPr>
        <w:t>Rule Determination, National Electricity Amendment (Economic Regulation of Transmission Services) Rule 2006 No. 18,</w:t>
      </w:r>
      <w:r w:rsidRPr="008A5165">
        <w:t xml:space="preserve"> 16 November 2016, p. 52</w:t>
      </w:r>
      <w:r>
        <w:t>.</w:t>
      </w:r>
    </w:p>
  </w:footnote>
  <w:footnote w:id="74">
    <w:p w:rsidR="008A5165" w:rsidRDefault="008A5165" w:rsidP="00C35ABA">
      <w:pPr>
        <w:pStyle w:val="FootnoteText"/>
        <w:tabs>
          <w:tab w:val="left" w:pos="5685"/>
        </w:tabs>
      </w:pPr>
      <w:r>
        <w:rPr>
          <w:rStyle w:val="FootnoteReference"/>
        </w:rPr>
        <w:footnoteRef/>
      </w:r>
      <w:r>
        <w:t xml:space="preserve"> </w:t>
      </w:r>
      <w:r>
        <w:tab/>
        <w:t>NEL, s. 88.</w:t>
      </w:r>
      <w:r>
        <w:tab/>
      </w:r>
    </w:p>
    <w:p w:rsidR="008A5165" w:rsidRDefault="008A5165" w:rsidP="007B3355">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75">
    <w:p w:rsidR="008A5165" w:rsidRDefault="008A5165">
      <w:pPr>
        <w:pStyle w:val="FootnoteText"/>
      </w:pPr>
      <w:r>
        <w:rPr>
          <w:rStyle w:val="FootnoteReference"/>
        </w:rPr>
        <w:footnoteRef/>
      </w:r>
      <w:r>
        <w:t xml:space="preserve"> </w:t>
      </w:r>
      <w:r>
        <w:tab/>
        <w:t>NEL, s. 16(1)(d).</w:t>
      </w:r>
    </w:p>
  </w:footnote>
  <w:footnote w:id="76">
    <w:p w:rsidR="008A5165" w:rsidRDefault="008A5165" w:rsidP="001B39F5">
      <w:pPr>
        <w:pStyle w:val="FootnoteText"/>
      </w:pPr>
      <w:r>
        <w:rPr>
          <w:rStyle w:val="FootnoteReference"/>
        </w:rPr>
        <w:footnoteRef/>
      </w:r>
      <w:r>
        <w:t xml:space="preserve"> </w:t>
      </w:r>
      <w:r>
        <w:tab/>
      </w:r>
      <w:r w:rsidRPr="00A34B93">
        <w:t xml:space="preserve">SCER, </w:t>
      </w:r>
      <w:r w:rsidRPr="00A34B93">
        <w:rPr>
          <w:rStyle w:val="AERtextitalic"/>
        </w:rPr>
        <w:t>Regulation Impact Statement: Limited Merits Review of Decision-Making in the Electricity and Gas Regulatory Frameworks – Decision Paper</w:t>
      </w:r>
      <w:r w:rsidRPr="00A34B93">
        <w:t>, 6 June 2013, p. 6.</w:t>
      </w:r>
    </w:p>
  </w:footnote>
  <w:footnote w:id="77">
    <w:p w:rsidR="008A5165" w:rsidRDefault="008A5165" w:rsidP="004112FD">
      <w:pPr>
        <w:pStyle w:val="FootnoteText"/>
      </w:pPr>
      <w:r>
        <w:rPr>
          <w:rStyle w:val="FootnoteReference"/>
        </w:rPr>
        <w:footnoteRef/>
      </w:r>
      <w:r>
        <w:t xml:space="preserve"> </w:t>
      </w:r>
      <w:r>
        <w:tab/>
      </w:r>
      <w:r w:rsidRPr="004112FD">
        <w:rPr>
          <w:rStyle w:val="AERbody"/>
          <w:sz w:val="16"/>
        </w:rPr>
        <w:t xml:space="preserve">Energex, </w:t>
      </w:r>
      <w:r w:rsidRPr="004112FD">
        <w:rPr>
          <w:rStyle w:val="AERtextitalic"/>
        </w:rPr>
        <w:t>Regulatory proposal</w:t>
      </w:r>
      <w:r w:rsidRPr="004112FD">
        <w:rPr>
          <w:rStyle w:val="AERbody"/>
          <w:sz w:val="16"/>
        </w:rPr>
        <w:t>, October 2014, p. 45</w:t>
      </w:r>
      <w:r>
        <w:rPr>
          <w:rStyle w:val="AERbody"/>
        </w:rPr>
        <w:t>.</w:t>
      </w:r>
    </w:p>
  </w:footnote>
  <w:footnote w:id="78">
    <w:p w:rsidR="008A5165" w:rsidRDefault="008A5165" w:rsidP="00C35ABA">
      <w:pPr>
        <w:pStyle w:val="FootnoteText"/>
      </w:pPr>
      <w:r>
        <w:rPr>
          <w:rStyle w:val="FootnoteReference"/>
        </w:rPr>
        <w:footnoteRef/>
      </w:r>
      <w:r>
        <w:t xml:space="preserve"> </w:t>
      </w:r>
      <w:r>
        <w:tab/>
        <w:t xml:space="preserve">Energex, </w:t>
      </w:r>
      <w:r w:rsidRPr="00975598">
        <w:rPr>
          <w:rStyle w:val="AERtextitalic"/>
        </w:rPr>
        <w:t>Regulatory Proposal</w:t>
      </w:r>
      <w:r>
        <w:t>, October 2014, Appendix 4 – Customer engagement research synopsis prepared by Colmar Brunton.</w:t>
      </w:r>
    </w:p>
  </w:footnote>
  <w:footnote w:id="79">
    <w:p w:rsidR="008A5165" w:rsidRPr="004112FD" w:rsidRDefault="008A5165" w:rsidP="004112FD">
      <w:pPr>
        <w:pStyle w:val="FootnoteText"/>
      </w:pPr>
      <w:r>
        <w:rPr>
          <w:rStyle w:val="FootnoteReference"/>
        </w:rPr>
        <w:footnoteRef/>
      </w:r>
      <w:r>
        <w:t xml:space="preserve"> </w:t>
      </w:r>
      <w:r>
        <w:tab/>
      </w:r>
      <w:r w:rsidRPr="00037240">
        <w:rPr>
          <w:rStyle w:val="AERbody"/>
          <w:sz w:val="16"/>
        </w:rPr>
        <w:t xml:space="preserve">Energex, </w:t>
      </w:r>
      <w:r w:rsidRPr="004112FD">
        <w:rPr>
          <w:rStyle w:val="AERtextitalic"/>
        </w:rPr>
        <w:t>Regulatory proposal</w:t>
      </w:r>
      <w:r w:rsidRPr="00037240">
        <w:rPr>
          <w:rStyle w:val="AERbody"/>
          <w:sz w:val="16"/>
        </w:rPr>
        <w:t>, October 2014, p. 45.</w:t>
      </w:r>
    </w:p>
  </w:footnote>
  <w:footnote w:id="80">
    <w:p w:rsidR="008A5165" w:rsidRDefault="008A5165" w:rsidP="00C35ABA">
      <w:pPr>
        <w:pStyle w:val="FootnoteText"/>
      </w:pPr>
      <w:r>
        <w:rPr>
          <w:rStyle w:val="FootnoteReference"/>
        </w:rPr>
        <w:footnoteRef/>
      </w:r>
      <w:r>
        <w:t xml:space="preserve"> </w:t>
      </w:r>
      <w:r>
        <w:tab/>
        <w:t xml:space="preserve">Energex </w:t>
      </w:r>
      <w:r w:rsidRPr="00725147">
        <w:rPr>
          <w:rStyle w:val="AERtextitalic"/>
        </w:rPr>
        <w:t>Regulatory proposal, Confidentiality claims</w:t>
      </w:r>
      <w:r>
        <w:t xml:space="preserve">, October 2014, Of the 2697 page regulatory proposal, 2633 pages were available publicly. The remaining 64 pages were subject to confidentiality claims. </w:t>
      </w:r>
    </w:p>
  </w:footnote>
  <w:footnote w:id="81">
    <w:p w:rsidR="008A5165" w:rsidRDefault="008A5165" w:rsidP="00C35ABA">
      <w:pPr>
        <w:pStyle w:val="FootnoteText"/>
      </w:pPr>
      <w:r>
        <w:rPr>
          <w:rStyle w:val="FootnoteReference"/>
        </w:rPr>
        <w:footnoteRef/>
      </w:r>
      <w:r>
        <w:t xml:space="preserve"> </w:t>
      </w:r>
      <w:r>
        <w:tab/>
        <w:t xml:space="preserve">Energex, </w:t>
      </w:r>
      <w:r w:rsidRPr="00333A02">
        <w:rPr>
          <w:rStyle w:val="AERtextitalic"/>
        </w:rPr>
        <w:t>Revised regulatory proposal, Confidentiality claim</w:t>
      </w:r>
      <w:r>
        <w:t xml:space="preserve">, July 2015. Of the 1410 page revised regulatory, proposal, 1306 pages were available publicly. The remaining 104 pages were subject to confidentiality claims. </w:t>
      </w:r>
    </w:p>
  </w:footnote>
  <w:footnote w:id="82">
    <w:p w:rsidR="00E43ADD" w:rsidRDefault="00E43ADD" w:rsidP="00E43ADD">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w:t>
      </w:r>
      <w:r>
        <w:rPr>
          <w:rStyle w:val="AERtextitalic"/>
        </w:rPr>
        <w:t xml:space="preserve">n of Network Service Providers) </w:t>
      </w:r>
      <w:r w:rsidRPr="00810F51">
        <w:rPr>
          <w:rStyle w:val="AERtextitalic"/>
        </w:rPr>
        <w:t>Rule 2012</w:t>
      </w:r>
      <w:r>
        <w:t>.</w:t>
      </w:r>
    </w:p>
  </w:footnote>
  <w:footnote w:id="83">
    <w:p w:rsidR="00E43ADD" w:rsidRDefault="00E43ADD" w:rsidP="00E43ADD">
      <w:pPr>
        <w:pStyle w:val="FootnoteText"/>
      </w:pPr>
      <w:r>
        <w:rPr>
          <w:rStyle w:val="FootnoteReference"/>
        </w:rPr>
        <w:footnoteRef/>
      </w:r>
      <w:r>
        <w:t xml:space="preserve"> </w:t>
      </w:r>
      <w:r>
        <w:tab/>
      </w:r>
      <w:r w:rsidRPr="001D4E9D">
        <w:t>NER, cll. 6.8.2(c1)(2).</w:t>
      </w:r>
    </w:p>
  </w:footnote>
  <w:footnote w:id="84">
    <w:p w:rsidR="00E43ADD" w:rsidRDefault="00E43ADD" w:rsidP="00E43ADD">
      <w:pPr>
        <w:pStyle w:val="FootnoteText"/>
      </w:pPr>
      <w:r>
        <w:rPr>
          <w:rStyle w:val="FootnoteReference"/>
        </w:rPr>
        <w:footnoteRef/>
      </w:r>
      <w:r>
        <w:t xml:space="preserve"> </w:t>
      </w:r>
      <w:r>
        <w:tab/>
        <w:t>NER, cll. 6.5.6(e)(5A) and 6.5.7(e)(5A).</w:t>
      </w:r>
    </w:p>
  </w:footnote>
  <w:footnote w:id="85">
    <w:p w:rsidR="00E43ADD" w:rsidRDefault="00E43ADD" w:rsidP="00E43ADD">
      <w:pPr>
        <w:pStyle w:val="FootnoteText"/>
      </w:pPr>
      <w:r>
        <w:rPr>
          <w:rStyle w:val="FootnoteReference"/>
        </w:rPr>
        <w:footnoteRef/>
      </w:r>
      <w:r>
        <w:t xml:space="preserve"> </w:t>
      </w:r>
      <w:r>
        <w:tab/>
        <w:t xml:space="preserve">NER, cll. 6.5.6(c)(1) to (3) and 6.5.7(c)(1) to (3) and </w:t>
      </w:r>
      <w:r w:rsidRPr="002C6721">
        <w:t xml:space="preserve"> </w:t>
      </w:r>
      <w:r>
        <w:t>cll. 6.5.6(a) and 6.5.7(a).</w:t>
      </w:r>
    </w:p>
  </w:footnote>
  <w:footnote w:id="86">
    <w:p w:rsidR="008A5165" w:rsidRDefault="008A5165" w:rsidP="00C35ABA">
      <w:pPr>
        <w:pStyle w:val="FootnoteText"/>
      </w:pPr>
      <w:r>
        <w:rPr>
          <w:rStyle w:val="FootnoteReference"/>
        </w:rPr>
        <w:footnoteRef/>
      </w:r>
      <w:r>
        <w:t xml:space="preserve"> </w:t>
      </w:r>
      <w:r>
        <w:tab/>
        <w:t xml:space="preserve">See our website for the guideline, </w:t>
      </w:r>
      <w:hyperlink r:id="rId3" w:history="1">
        <w:r w:rsidRPr="00810F51">
          <w:t>https://www.aer.gov.au/node/18894</w:t>
        </w:r>
      </w:hyperlink>
      <w:r w:rsidRPr="007A0855">
        <w:t>.</w:t>
      </w:r>
      <w:r>
        <w:t xml:space="preserve"> </w:t>
      </w:r>
    </w:p>
  </w:footnote>
  <w:footnote w:id="87">
    <w:p w:rsidR="008A5165" w:rsidRDefault="008A5165" w:rsidP="00C35ABA">
      <w:pPr>
        <w:pStyle w:val="FootnoteText"/>
      </w:pPr>
      <w:r>
        <w:rPr>
          <w:rStyle w:val="FootnoteReference"/>
        </w:rPr>
        <w:footnoteRef/>
      </w:r>
      <w:r>
        <w:t xml:space="preserve"> </w:t>
      </w:r>
      <w:r>
        <w:tab/>
        <w:t xml:space="preserve">Energex, </w:t>
      </w:r>
      <w:r>
        <w:rPr>
          <w:rStyle w:val="AERtextitalic"/>
        </w:rPr>
        <w:t>R</w:t>
      </w:r>
      <w:r w:rsidRPr="00DB6E64">
        <w:rPr>
          <w:rStyle w:val="AERtextitalic"/>
        </w:rPr>
        <w:t>egulatory proposal</w:t>
      </w:r>
      <w:r>
        <w:t>, October 2014, p. 2.</w:t>
      </w:r>
    </w:p>
  </w:footnote>
  <w:footnote w:id="88">
    <w:p w:rsidR="008A5165" w:rsidRDefault="008A5165" w:rsidP="00C35ABA">
      <w:pPr>
        <w:pStyle w:val="FootnoteText"/>
      </w:pPr>
      <w:r>
        <w:rPr>
          <w:rStyle w:val="FootnoteReference"/>
        </w:rPr>
        <w:footnoteRef/>
      </w:r>
      <w:r>
        <w:t xml:space="preserve"> </w:t>
      </w:r>
      <w:r>
        <w:tab/>
        <w:t xml:space="preserve">Canegrowers, </w:t>
      </w:r>
      <w:r w:rsidRPr="00913644">
        <w:rPr>
          <w:i/>
        </w:rPr>
        <w:t>Submission on Energex and Ergon Energy regulatory proposals</w:t>
      </w:r>
      <w:r>
        <w:t>, January 2015, p. 6.</w:t>
      </w:r>
    </w:p>
  </w:footnote>
  <w:footnote w:id="89">
    <w:p w:rsidR="008A5165" w:rsidRDefault="008A5165" w:rsidP="00C35ABA">
      <w:pPr>
        <w:pStyle w:val="FootnoteText"/>
      </w:pPr>
      <w:r>
        <w:rPr>
          <w:rStyle w:val="FootnoteReference"/>
        </w:rPr>
        <w:footnoteRef/>
      </w:r>
      <w:r>
        <w:t xml:space="preserve"> </w:t>
      </w:r>
      <w:r>
        <w:tab/>
        <w:t xml:space="preserve">QCOSS, </w:t>
      </w:r>
      <w:r w:rsidRPr="00913644">
        <w:rPr>
          <w:i/>
        </w:rPr>
        <w:t>Submission on Energex and Ergon Energy regulatory proposals</w:t>
      </w:r>
      <w:r>
        <w:t>, January 2015, p. 14.</w:t>
      </w:r>
    </w:p>
  </w:footnote>
  <w:footnote w:id="90">
    <w:p w:rsidR="008A5165" w:rsidRDefault="008A5165" w:rsidP="00C35ABA">
      <w:pPr>
        <w:pStyle w:val="FootnoteText"/>
      </w:pPr>
      <w:r>
        <w:rPr>
          <w:rStyle w:val="FootnoteReference"/>
        </w:rPr>
        <w:footnoteRef/>
      </w:r>
      <w:r>
        <w:t xml:space="preserve"> </w:t>
      </w:r>
      <w:r>
        <w:tab/>
        <w:t xml:space="preserve">Total Environment Centre, </w:t>
      </w:r>
      <w:r w:rsidRPr="00913644">
        <w:rPr>
          <w:i/>
        </w:rPr>
        <w:t>Submission on Energy and Ergon Energy regulatory proposals</w:t>
      </w:r>
      <w:r>
        <w:t>, January 2015, p. 19.</w:t>
      </w:r>
    </w:p>
  </w:footnote>
  <w:footnote w:id="91">
    <w:p w:rsidR="008A5165" w:rsidRDefault="008A5165" w:rsidP="007B3355">
      <w:pPr>
        <w:pStyle w:val="FootnoteText"/>
      </w:pPr>
      <w:r>
        <w:rPr>
          <w:rStyle w:val="FootnoteReference"/>
        </w:rPr>
        <w:footnoteRef/>
      </w:r>
      <w:r>
        <w:t xml:space="preserve"> </w:t>
      </w:r>
      <w:r>
        <w:tab/>
        <w:t>NER, cl. 6.12.1.</w:t>
      </w:r>
    </w:p>
  </w:footnote>
  <w:footnote w:id="92">
    <w:p w:rsidR="008A5165" w:rsidRDefault="008A5165" w:rsidP="00C35ABA">
      <w:pPr>
        <w:pStyle w:val="FootnoteText"/>
      </w:pPr>
      <w:r>
        <w:rPr>
          <w:rStyle w:val="FootnoteReference"/>
        </w:rPr>
        <w:footnoteRef/>
      </w:r>
      <w:r>
        <w:t xml:space="preserve"> </w:t>
      </w:r>
      <w:r>
        <w:tab/>
        <w:t>NEL, s. 16 (1)(b).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1DF39F0"/>
    <w:multiLevelType w:val="hybridMultilevel"/>
    <w:tmpl w:val="BB6228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2C3C7D"/>
    <w:multiLevelType w:val="hybridMultilevel"/>
    <w:tmpl w:val="9042D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1569" w:hanging="576"/>
      </w:pPr>
    </w:lvl>
    <w:lvl w:ilvl="2">
      <w:start w:val="1"/>
      <w:numFmt w:val="decimal"/>
      <w:pStyle w:val="Heading3"/>
      <w:lvlText w:val="%1.%2.%3"/>
      <w:lvlJc w:val="left"/>
      <w:pPr>
        <w:ind w:left="3272" w:hanging="720"/>
      </w:pPr>
    </w:lvl>
    <w:lvl w:ilvl="3">
      <w:start w:val="1"/>
      <w:numFmt w:val="decimal"/>
      <w:pStyle w:val="Heading4"/>
      <w:lvlText w:val="%1.%2.%3.%4"/>
      <w:lvlJc w:val="left"/>
      <w:pPr>
        <w:ind w:left="3133"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60D81340"/>
    <w:multiLevelType w:val="multilevel"/>
    <w:tmpl w:val="950A1C52"/>
    <w:numStyleLink w:val="AERHeadings"/>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1C5121"/>
    <w:multiLevelType w:val="multilevel"/>
    <w:tmpl w:val="950A1C52"/>
    <w:numStyleLink w:val="AERHeadings"/>
  </w:abstractNum>
  <w:abstractNum w:abstractNumId="37">
    <w:nsid w:val="79D70DEA"/>
    <w:multiLevelType w:val="multilevel"/>
    <w:tmpl w:val="39D4CB02"/>
    <w:lvl w:ilvl="0">
      <w:start w:val="1"/>
      <w:numFmt w:val="none"/>
      <w:lvlText w:val="%1"/>
      <w:lvlJc w:val="left"/>
      <w:pPr>
        <w:tabs>
          <w:tab w:val="num" w:pos="0"/>
        </w:tabs>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decimal"/>
      <w:lvlRestart w:val="1"/>
      <w:lvlText w:val="(%5)"/>
      <w:lvlJc w:val="left"/>
      <w:pPr>
        <w:tabs>
          <w:tab w:val="num" w:pos="454"/>
        </w:tabs>
        <w:ind w:left="454" w:hanging="454"/>
      </w:pPr>
    </w:lvl>
    <w:lvl w:ilvl="5">
      <w:start w:val="1"/>
      <w:numFmt w:val="lowerLetter"/>
      <w:lvlText w:val="(%6)"/>
      <w:lvlJc w:val="left"/>
      <w:pPr>
        <w:tabs>
          <w:tab w:val="num" w:pos="811"/>
        </w:tabs>
        <w:ind w:left="811" w:hanging="357"/>
      </w:pPr>
    </w:lvl>
    <w:lvl w:ilvl="6">
      <w:start w:val="1"/>
      <w:numFmt w:val="lowerRoman"/>
      <w:lvlText w:val="(%7)"/>
      <w:lvlJc w:val="left"/>
      <w:pPr>
        <w:tabs>
          <w:tab w:val="num" w:pos="1446"/>
        </w:tabs>
        <w:ind w:left="1446" w:hanging="635"/>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1"/>
  </w:num>
  <w:num w:numId="14">
    <w:abstractNumId w:val="10"/>
  </w:num>
  <w:num w:numId="15">
    <w:abstractNumId w:val="13"/>
  </w:num>
  <w:num w:numId="16">
    <w:abstractNumId w:val="24"/>
  </w:num>
  <w:num w:numId="17">
    <w:abstractNumId w:val="9"/>
  </w:num>
  <w:num w:numId="18">
    <w:abstractNumId w:val="17"/>
  </w:num>
  <w:num w:numId="19">
    <w:abstractNumId w:val="25"/>
  </w:num>
  <w:num w:numId="20">
    <w:abstractNumId w:val="34"/>
  </w:num>
  <w:num w:numId="21">
    <w:abstractNumId w:val="14"/>
  </w:num>
  <w:num w:numId="22">
    <w:abstractNumId w:val="29"/>
  </w:num>
  <w:num w:numId="23">
    <w:abstractNumId w:val="26"/>
  </w:num>
  <w:num w:numId="24">
    <w:abstractNumId w:val="19"/>
  </w:num>
  <w:num w:numId="25">
    <w:abstractNumId w:val="27"/>
  </w:num>
  <w:num w:numId="26">
    <w:abstractNumId w:val="30"/>
  </w:num>
  <w:num w:numId="27">
    <w:abstractNumId w:val="20"/>
  </w:num>
  <w:num w:numId="28">
    <w:abstractNumId w:val="18"/>
  </w:num>
  <w:num w:numId="29">
    <w:abstractNumId w:val="16"/>
  </w:num>
  <w:num w:numId="30">
    <w:abstractNumId w:val="35"/>
  </w:num>
  <w:num w:numId="31">
    <w:abstractNumId w:val="15"/>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36"/>
  </w:num>
  <w:num w:numId="38">
    <w:abstractNumId w:val="31"/>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3"/>
  </w:num>
  <w:num w:numId="45">
    <w:abstractNumId w:val="28"/>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MngHmcWwnyP+oU/eaJfZxCMf2YAuv1GaJV3gDKF6aYQ=" w:saltValue="HW7iU0Lsl0qKNz2CINi8nw==" w:algorithmName="SHA-256"/>
  <w:defaultTabStop w:val="340"/>
  <w:characterSpacingControl w:val="doNotCompress"/>
  <w:hdrShapeDefaults>
    <o:shapedefaults v:ext="edit" spidmax="616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764\AER15 200  DOC FINAL - no CHANGE Energex - Overview - Preliminary decision.DOCX"/>
  </w:docVars>
  <w:rsids>
    <w:rsidRoot w:val="00961A4A"/>
    <w:rsid w:val="000018D1"/>
    <w:rsid w:val="00004C26"/>
    <w:rsid w:val="000051BC"/>
    <w:rsid w:val="00006B6D"/>
    <w:rsid w:val="00010F0B"/>
    <w:rsid w:val="00012781"/>
    <w:rsid w:val="00014240"/>
    <w:rsid w:val="000159CA"/>
    <w:rsid w:val="000201AB"/>
    <w:rsid w:val="00021189"/>
    <w:rsid w:val="00021202"/>
    <w:rsid w:val="00023DDF"/>
    <w:rsid w:val="0002517F"/>
    <w:rsid w:val="00027580"/>
    <w:rsid w:val="00030A6E"/>
    <w:rsid w:val="00030CF1"/>
    <w:rsid w:val="000324FE"/>
    <w:rsid w:val="00032540"/>
    <w:rsid w:val="0003578C"/>
    <w:rsid w:val="00035C0B"/>
    <w:rsid w:val="00037240"/>
    <w:rsid w:val="00040537"/>
    <w:rsid w:val="00040EEA"/>
    <w:rsid w:val="000412C3"/>
    <w:rsid w:val="00043E5B"/>
    <w:rsid w:val="00044412"/>
    <w:rsid w:val="0004462F"/>
    <w:rsid w:val="00047514"/>
    <w:rsid w:val="00054EE5"/>
    <w:rsid w:val="00055080"/>
    <w:rsid w:val="0005724F"/>
    <w:rsid w:val="00057FC6"/>
    <w:rsid w:val="00060A92"/>
    <w:rsid w:val="00061095"/>
    <w:rsid w:val="000616A1"/>
    <w:rsid w:val="00063247"/>
    <w:rsid w:val="00066BEC"/>
    <w:rsid w:val="00066CB3"/>
    <w:rsid w:val="00070F9F"/>
    <w:rsid w:val="0007137B"/>
    <w:rsid w:val="00071AA7"/>
    <w:rsid w:val="00074404"/>
    <w:rsid w:val="00075F48"/>
    <w:rsid w:val="00076893"/>
    <w:rsid w:val="0007738D"/>
    <w:rsid w:val="00081FB6"/>
    <w:rsid w:val="00082EA6"/>
    <w:rsid w:val="00083C24"/>
    <w:rsid w:val="00084AD3"/>
    <w:rsid w:val="00085663"/>
    <w:rsid w:val="00085EBF"/>
    <w:rsid w:val="000878F9"/>
    <w:rsid w:val="00090C83"/>
    <w:rsid w:val="00092EC9"/>
    <w:rsid w:val="00093C1F"/>
    <w:rsid w:val="00093E91"/>
    <w:rsid w:val="000976F1"/>
    <w:rsid w:val="00097F4C"/>
    <w:rsid w:val="000A06BC"/>
    <w:rsid w:val="000A3020"/>
    <w:rsid w:val="000A6C7B"/>
    <w:rsid w:val="000B049A"/>
    <w:rsid w:val="000B49AC"/>
    <w:rsid w:val="000B63A0"/>
    <w:rsid w:val="000B6AA9"/>
    <w:rsid w:val="000B78BF"/>
    <w:rsid w:val="000B7E38"/>
    <w:rsid w:val="000C668B"/>
    <w:rsid w:val="000C6C4B"/>
    <w:rsid w:val="000C786A"/>
    <w:rsid w:val="000C7D19"/>
    <w:rsid w:val="000D122C"/>
    <w:rsid w:val="000D1E4D"/>
    <w:rsid w:val="000D257F"/>
    <w:rsid w:val="000D3DFE"/>
    <w:rsid w:val="000D6233"/>
    <w:rsid w:val="000D667E"/>
    <w:rsid w:val="000D71A8"/>
    <w:rsid w:val="000E0C66"/>
    <w:rsid w:val="000E0EF9"/>
    <w:rsid w:val="000E159F"/>
    <w:rsid w:val="000E1819"/>
    <w:rsid w:val="000E2FF2"/>
    <w:rsid w:val="000E4821"/>
    <w:rsid w:val="000E5EA1"/>
    <w:rsid w:val="000E675B"/>
    <w:rsid w:val="000E6C72"/>
    <w:rsid w:val="000E71C4"/>
    <w:rsid w:val="000F04A8"/>
    <w:rsid w:val="000F4042"/>
    <w:rsid w:val="000F5060"/>
    <w:rsid w:val="000F5B95"/>
    <w:rsid w:val="000F6084"/>
    <w:rsid w:val="000F7BAC"/>
    <w:rsid w:val="00105CD8"/>
    <w:rsid w:val="0011101A"/>
    <w:rsid w:val="00112BF8"/>
    <w:rsid w:val="00112D17"/>
    <w:rsid w:val="00113E76"/>
    <w:rsid w:val="00115D44"/>
    <w:rsid w:val="00116EB2"/>
    <w:rsid w:val="00117925"/>
    <w:rsid w:val="00120218"/>
    <w:rsid w:val="0012170B"/>
    <w:rsid w:val="00122724"/>
    <w:rsid w:val="00124609"/>
    <w:rsid w:val="001259D9"/>
    <w:rsid w:val="00126A4C"/>
    <w:rsid w:val="00127187"/>
    <w:rsid w:val="00130632"/>
    <w:rsid w:val="00135AC3"/>
    <w:rsid w:val="001364D6"/>
    <w:rsid w:val="00136EC9"/>
    <w:rsid w:val="00136F74"/>
    <w:rsid w:val="00137A33"/>
    <w:rsid w:val="001422C3"/>
    <w:rsid w:val="00143594"/>
    <w:rsid w:val="0014471B"/>
    <w:rsid w:val="00144760"/>
    <w:rsid w:val="0014573B"/>
    <w:rsid w:val="001509E6"/>
    <w:rsid w:val="00151620"/>
    <w:rsid w:val="00152479"/>
    <w:rsid w:val="00152A06"/>
    <w:rsid w:val="00152A16"/>
    <w:rsid w:val="00154127"/>
    <w:rsid w:val="00155B30"/>
    <w:rsid w:val="00155F61"/>
    <w:rsid w:val="001573E4"/>
    <w:rsid w:val="00160756"/>
    <w:rsid w:val="001667ED"/>
    <w:rsid w:val="00170478"/>
    <w:rsid w:val="0017232E"/>
    <w:rsid w:val="00174102"/>
    <w:rsid w:val="00174D8E"/>
    <w:rsid w:val="00180157"/>
    <w:rsid w:val="00182B02"/>
    <w:rsid w:val="001841A8"/>
    <w:rsid w:val="00185CB9"/>
    <w:rsid w:val="00186632"/>
    <w:rsid w:val="00186C43"/>
    <w:rsid w:val="00186F77"/>
    <w:rsid w:val="0019142D"/>
    <w:rsid w:val="001926A4"/>
    <w:rsid w:val="00192AD5"/>
    <w:rsid w:val="0019347D"/>
    <w:rsid w:val="00194984"/>
    <w:rsid w:val="00194C8B"/>
    <w:rsid w:val="00197404"/>
    <w:rsid w:val="001A2140"/>
    <w:rsid w:val="001A2CE1"/>
    <w:rsid w:val="001A4033"/>
    <w:rsid w:val="001A5A80"/>
    <w:rsid w:val="001A6379"/>
    <w:rsid w:val="001B39F5"/>
    <w:rsid w:val="001B45A0"/>
    <w:rsid w:val="001B7D4A"/>
    <w:rsid w:val="001C18E8"/>
    <w:rsid w:val="001C2560"/>
    <w:rsid w:val="001C2963"/>
    <w:rsid w:val="001C661F"/>
    <w:rsid w:val="001D055E"/>
    <w:rsid w:val="001D0D81"/>
    <w:rsid w:val="001D2287"/>
    <w:rsid w:val="001D27DE"/>
    <w:rsid w:val="001D6ED8"/>
    <w:rsid w:val="001D72DD"/>
    <w:rsid w:val="001E07C4"/>
    <w:rsid w:val="001E147F"/>
    <w:rsid w:val="001E65EA"/>
    <w:rsid w:val="001F3ED8"/>
    <w:rsid w:val="001F492E"/>
    <w:rsid w:val="001F5917"/>
    <w:rsid w:val="001F5A30"/>
    <w:rsid w:val="001F6DA3"/>
    <w:rsid w:val="001F7AC7"/>
    <w:rsid w:val="001F7CFF"/>
    <w:rsid w:val="0020091D"/>
    <w:rsid w:val="002010BC"/>
    <w:rsid w:val="00201DAD"/>
    <w:rsid w:val="00201E14"/>
    <w:rsid w:val="00201F77"/>
    <w:rsid w:val="00202514"/>
    <w:rsid w:val="002025EF"/>
    <w:rsid w:val="00202A23"/>
    <w:rsid w:val="00202E03"/>
    <w:rsid w:val="002034C3"/>
    <w:rsid w:val="0020492C"/>
    <w:rsid w:val="0020501F"/>
    <w:rsid w:val="002053FB"/>
    <w:rsid w:val="002056BD"/>
    <w:rsid w:val="00212034"/>
    <w:rsid w:val="00214944"/>
    <w:rsid w:val="00215265"/>
    <w:rsid w:val="00221724"/>
    <w:rsid w:val="00222367"/>
    <w:rsid w:val="0022407A"/>
    <w:rsid w:val="00224CF5"/>
    <w:rsid w:val="00224D7E"/>
    <w:rsid w:val="00224DB9"/>
    <w:rsid w:val="00230630"/>
    <w:rsid w:val="00230876"/>
    <w:rsid w:val="00232769"/>
    <w:rsid w:val="00233503"/>
    <w:rsid w:val="00233775"/>
    <w:rsid w:val="0023463A"/>
    <w:rsid w:val="0024313A"/>
    <w:rsid w:val="0024336B"/>
    <w:rsid w:val="00246315"/>
    <w:rsid w:val="00246470"/>
    <w:rsid w:val="00246FA6"/>
    <w:rsid w:val="002507E5"/>
    <w:rsid w:val="00250F95"/>
    <w:rsid w:val="00251745"/>
    <w:rsid w:val="00251CA7"/>
    <w:rsid w:val="00255A8A"/>
    <w:rsid w:val="00256833"/>
    <w:rsid w:val="00256C7D"/>
    <w:rsid w:val="00257529"/>
    <w:rsid w:val="0025769C"/>
    <w:rsid w:val="0026327F"/>
    <w:rsid w:val="00263AC0"/>
    <w:rsid w:val="00264264"/>
    <w:rsid w:val="00265447"/>
    <w:rsid w:val="00266224"/>
    <w:rsid w:val="0026772D"/>
    <w:rsid w:val="00270BDF"/>
    <w:rsid w:val="00273F94"/>
    <w:rsid w:val="00275FED"/>
    <w:rsid w:val="002775DC"/>
    <w:rsid w:val="00277707"/>
    <w:rsid w:val="00280505"/>
    <w:rsid w:val="00280EA6"/>
    <w:rsid w:val="00285D19"/>
    <w:rsid w:val="00286874"/>
    <w:rsid w:val="00287533"/>
    <w:rsid w:val="00290C63"/>
    <w:rsid w:val="00291625"/>
    <w:rsid w:val="00291C14"/>
    <w:rsid w:val="00292E79"/>
    <w:rsid w:val="00293DD1"/>
    <w:rsid w:val="00294887"/>
    <w:rsid w:val="00295EA7"/>
    <w:rsid w:val="00296B65"/>
    <w:rsid w:val="00297DD0"/>
    <w:rsid w:val="002A0806"/>
    <w:rsid w:val="002A2382"/>
    <w:rsid w:val="002A247F"/>
    <w:rsid w:val="002A76E6"/>
    <w:rsid w:val="002A7DEF"/>
    <w:rsid w:val="002B0BC3"/>
    <w:rsid w:val="002B0CE0"/>
    <w:rsid w:val="002B1A95"/>
    <w:rsid w:val="002B27CA"/>
    <w:rsid w:val="002B45BD"/>
    <w:rsid w:val="002C12D8"/>
    <w:rsid w:val="002C5F40"/>
    <w:rsid w:val="002C6D16"/>
    <w:rsid w:val="002C74C3"/>
    <w:rsid w:val="002D2020"/>
    <w:rsid w:val="002D6523"/>
    <w:rsid w:val="002E09AD"/>
    <w:rsid w:val="002E49BE"/>
    <w:rsid w:val="002E7B22"/>
    <w:rsid w:val="002F3024"/>
    <w:rsid w:val="002F6952"/>
    <w:rsid w:val="002F7986"/>
    <w:rsid w:val="002F7B85"/>
    <w:rsid w:val="0030183E"/>
    <w:rsid w:val="00301B40"/>
    <w:rsid w:val="003029EE"/>
    <w:rsid w:val="00305485"/>
    <w:rsid w:val="0030578E"/>
    <w:rsid w:val="00305CC8"/>
    <w:rsid w:val="00307F6D"/>
    <w:rsid w:val="00311762"/>
    <w:rsid w:val="003166C0"/>
    <w:rsid w:val="003177A2"/>
    <w:rsid w:val="00322007"/>
    <w:rsid w:val="00324442"/>
    <w:rsid w:val="00326AD3"/>
    <w:rsid w:val="00326AFB"/>
    <w:rsid w:val="003271B5"/>
    <w:rsid w:val="00327A1E"/>
    <w:rsid w:val="00330587"/>
    <w:rsid w:val="00331264"/>
    <w:rsid w:val="00334C8D"/>
    <w:rsid w:val="003353D6"/>
    <w:rsid w:val="00335A42"/>
    <w:rsid w:val="00336DDD"/>
    <w:rsid w:val="00343122"/>
    <w:rsid w:val="00343A18"/>
    <w:rsid w:val="003478C2"/>
    <w:rsid w:val="003518B3"/>
    <w:rsid w:val="00353A77"/>
    <w:rsid w:val="00353F6D"/>
    <w:rsid w:val="003549C7"/>
    <w:rsid w:val="003549E1"/>
    <w:rsid w:val="00355076"/>
    <w:rsid w:val="0036083B"/>
    <w:rsid w:val="003615A5"/>
    <w:rsid w:val="00362D59"/>
    <w:rsid w:val="003636EE"/>
    <w:rsid w:val="00366D90"/>
    <w:rsid w:val="00370058"/>
    <w:rsid w:val="00371DEF"/>
    <w:rsid w:val="00376832"/>
    <w:rsid w:val="00380015"/>
    <w:rsid w:val="00383762"/>
    <w:rsid w:val="003846F1"/>
    <w:rsid w:val="00387580"/>
    <w:rsid w:val="00391D7C"/>
    <w:rsid w:val="003A0AFB"/>
    <w:rsid w:val="003A0E03"/>
    <w:rsid w:val="003A2766"/>
    <w:rsid w:val="003A40E9"/>
    <w:rsid w:val="003A4383"/>
    <w:rsid w:val="003B1B6D"/>
    <w:rsid w:val="003B267C"/>
    <w:rsid w:val="003B31C2"/>
    <w:rsid w:val="003B3CCA"/>
    <w:rsid w:val="003B484F"/>
    <w:rsid w:val="003C0DD3"/>
    <w:rsid w:val="003C24C9"/>
    <w:rsid w:val="003C574C"/>
    <w:rsid w:val="003D134B"/>
    <w:rsid w:val="003D4915"/>
    <w:rsid w:val="003D4FA5"/>
    <w:rsid w:val="003E0F17"/>
    <w:rsid w:val="003E1FE9"/>
    <w:rsid w:val="003E3022"/>
    <w:rsid w:val="003E3873"/>
    <w:rsid w:val="003E3EF3"/>
    <w:rsid w:val="003E5E70"/>
    <w:rsid w:val="003E6E87"/>
    <w:rsid w:val="003F0BCB"/>
    <w:rsid w:val="003F100A"/>
    <w:rsid w:val="003F174D"/>
    <w:rsid w:val="003F1CB6"/>
    <w:rsid w:val="003F1F4A"/>
    <w:rsid w:val="003F4666"/>
    <w:rsid w:val="003F4E82"/>
    <w:rsid w:val="00402401"/>
    <w:rsid w:val="00402568"/>
    <w:rsid w:val="004031DB"/>
    <w:rsid w:val="00407DAA"/>
    <w:rsid w:val="00410D57"/>
    <w:rsid w:val="004112FD"/>
    <w:rsid w:val="00412B65"/>
    <w:rsid w:val="004206D2"/>
    <w:rsid w:val="00421F4A"/>
    <w:rsid w:val="00422016"/>
    <w:rsid w:val="004301E6"/>
    <w:rsid w:val="00430AE8"/>
    <w:rsid w:val="00434C1D"/>
    <w:rsid w:val="0043514F"/>
    <w:rsid w:val="0043616E"/>
    <w:rsid w:val="00441888"/>
    <w:rsid w:val="00441C7B"/>
    <w:rsid w:val="00442D75"/>
    <w:rsid w:val="004532F9"/>
    <w:rsid w:val="00454940"/>
    <w:rsid w:val="00455BD7"/>
    <w:rsid w:val="0045777E"/>
    <w:rsid w:val="00464D89"/>
    <w:rsid w:val="00464DE5"/>
    <w:rsid w:val="00470A5C"/>
    <w:rsid w:val="004739C0"/>
    <w:rsid w:val="00477310"/>
    <w:rsid w:val="00480B4B"/>
    <w:rsid w:val="00482F94"/>
    <w:rsid w:val="00483883"/>
    <w:rsid w:val="004838BA"/>
    <w:rsid w:val="00484482"/>
    <w:rsid w:val="0048540C"/>
    <w:rsid w:val="00485DC4"/>
    <w:rsid w:val="0049148C"/>
    <w:rsid w:val="0049346B"/>
    <w:rsid w:val="004940A1"/>
    <w:rsid w:val="00495155"/>
    <w:rsid w:val="00497480"/>
    <w:rsid w:val="00497F95"/>
    <w:rsid w:val="004A01A6"/>
    <w:rsid w:val="004A21E1"/>
    <w:rsid w:val="004A2AF6"/>
    <w:rsid w:val="004A3051"/>
    <w:rsid w:val="004A3E31"/>
    <w:rsid w:val="004A3E59"/>
    <w:rsid w:val="004A43D1"/>
    <w:rsid w:val="004A43FC"/>
    <w:rsid w:val="004A44C5"/>
    <w:rsid w:val="004A4D49"/>
    <w:rsid w:val="004A4FA9"/>
    <w:rsid w:val="004A6E68"/>
    <w:rsid w:val="004B1187"/>
    <w:rsid w:val="004B4412"/>
    <w:rsid w:val="004C088B"/>
    <w:rsid w:val="004C348C"/>
    <w:rsid w:val="004C3879"/>
    <w:rsid w:val="004D2343"/>
    <w:rsid w:val="004D28B4"/>
    <w:rsid w:val="004D4160"/>
    <w:rsid w:val="004D55BA"/>
    <w:rsid w:val="004D5835"/>
    <w:rsid w:val="004D65F6"/>
    <w:rsid w:val="004E1C2E"/>
    <w:rsid w:val="004E207F"/>
    <w:rsid w:val="004E22EC"/>
    <w:rsid w:val="004E2E7E"/>
    <w:rsid w:val="004E4912"/>
    <w:rsid w:val="004E4F12"/>
    <w:rsid w:val="004E671A"/>
    <w:rsid w:val="004E7168"/>
    <w:rsid w:val="004E75A8"/>
    <w:rsid w:val="004F0601"/>
    <w:rsid w:val="004F37A8"/>
    <w:rsid w:val="004F50F6"/>
    <w:rsid w:val="004F5B62"/>
    <w:rsid w:val="004F66C0"/>
    <w:rsid w:val="004F6B34"/>
    <w:rsid w:val="004F6D48"/>
    <w:rsid w:val="004F77EF"/>
    <w:rsid w:val="004F78A3"/>
    <w:rsid w:val="004F7E7D"/>
    <w:rsid w:val="005023EA"/>
    <w:rsid w:val="00503E74"/>
    <w:rsid w:val="0050513A"/>
    <w:rsid w:val="0051364F"/>
    <w:rsid w:val="00513D64"/>
    <w:rsid w:val="00515970"/>
    <w:rsid w:val="00516168"/>
    <w:rsid w:val="00516708"/>
    <w:rsid w:val="00521204"/>
    <w:rsid w:val="00521A22"/>
    <w:rsid w:val="00521ECD"/>
    <w:rsid w:val="00522723"/>
    <w:rsid w:val="00523FE1"/>
    <w:rsid w:val="00525367"/>
    <w:rsid w:val="00526442"/>
    <w:rsid w:val="0052789A"/>
    <w:rsid w:val="00527B44"/>
    <w:rsid w:val="00527E2D"/>
    <w:rsid w:val="00530128"/>
    <w:rsid w:val="00532467"/>
    <w:rsid w:val="00533FB7"/>
    <w:rsid w:val="00537405"/>
    <w:rsid w:val="00537E8B"/>
    <w:rsid w:val="00537FFA"/>
    <w:rsid w:val="005405D0"/>
    <w:rsid w:val="00541E07"/>
    <w:rsid w:val="0054283A"/>
    <w:rsid w:val="00542A0C"/>
    <w:rsid w:val="005434DE"/>
    <w:rsid w:val="005467BD"/>
    <w:rsid w:val="00550BC6"/>
    <w:rsid w:val="00552CEC"/>
    <w:rsid w:val="00553AC4"/>
    <w:rsid w:val="00553D45"/>
    <w:rsid w:val="00554360"/>
    <w:rsid w:val="005567A0"/>
    <w:rsid w:val="00557821"/>
    <w:rsid w:val="005621F6"/>
    <w:rsid w:val="00563FF9"/>
    <w:rsid w:val="0056451C"/>
    <w:rsid w:val="00564A4D"/>
    <w:rsid w:val="00567BA5"/>
    <w:rsid w:val="0057058F"/>
    <w:rsid w:val="00571B35"/>
    <w:rsid w:val="00571D57"/>
    <w:rsid w:val="00577A09"/>
    <w:rsid w:val="005828D2"/>
    <w:rsid w:val="005829C2"/>
    <w:rsid w:val="00584D8F"/>
    <w:rsid w:val="00584E68"/>
    <w:rsid w:val="00584F3E"/>
    <w:rsid w:val="0058687D"/>
    <w:rsid w:val="00587506"/>
    <w:rsid w:val="00592DF6"/>
    <w:rsid w:val="00592E02"/>
    <w:rsid w:val="00595234"/>
    <w:rsid w:val="00596985"/>
    <w:rsid w:val="005A1BEF"/>
    <w:rsid w:val="005A2DF9"/>
    <w:rsid w:val="005A36EE"/>
    <w:rsid w:val="005A404D"/>
    <w:rsid w:val="005A5983"/>
    <w:rsid w:val="005A6432"/>
    <w:rsid w:val="005B1E3C"/>
    <w:rsid w:val="005B3631"/>
    <w:rsid w:val="005B3663"/>
    <w:rsid w:val="005B3766"/>
    <w:rsid w:val="005B7031"/>
    <w:rsid w:val="005B7C12"/>
    <w:rsid w:val="005C03C3"/>
    <w:rsid w:val="005C19DC"/>
    <w:rsid w:val="005C26CC"/>
    <w:rsid w:val="005C33AB"/>
    <w:rsid w:val="005C389D"/>
    <w:rsid w:val="005C44BA"/>
    <w:rsid w:val="005C7210"/>
    <w:rsid w:val="005C797B"/>
    <w:rsid w:val="005D113D"/>
    <w:rsid w:val="005D3EF8"/>
    <w:rsid w:val="005D44B3"/>
    <w:rsid w:val="005D7BA2"/>
    <w:rsid w:val="005E0DE6"/>
    <w:rsid w:val="005E12E1"/>
    <w:rsid w:val="005E15A1"/>
    <w:rsid w:val="005E36C2"/>
    <w:rsid w:val="005E4919"/>
    <w:rsid w:val="005E6437"/>
    <w:rsid w:val="005E6D4D"/>
    <w:rsid w:val="005F6C07"/>
    <w:rsid w:val="00602539"/>
    <w:rsid w:val="00606164"/>
    <w:rsid w:val="00613DFE"/>
    <w:rsid w:val="006158DA"/>
    <w:rsid w:val="00615C6B"/>
    <w:rsid w:val="0062119B"/>
    <w:rsid w:val="0062178F"/>
    <w:rsid w:val="00621DCE"/>
    <w:rsid w:val="00621E44"/>
    <w:rsid w:val="00623BB0"/>
    <w:rsid w:val="00625169"/>
    <w:rsid w:val="006268E3"/>
    <w:rsid w:val="00630BB1"/>
    <w:rsid w:val="00632D6D"/>
    <w:rsid w:val="00634477"/>
    <w:rsid w:val="00636476"/>
    <w:rsid w:val="00642C3E"/>
    <w:rsid w:val="00646D93"/>
    <w:rsid w:val="006507D9"/>
    <w:rsid w:val="00650825"/>
    <w:rsid w:val="00655A96"/>
    <w:rsid w:val="00655BEA"/>
    <w:rsid w:val="0065639C"/>
    <w:rsid w:val="006563DF"/>
    <w:rsid w:val="00656E18"/>
    <w:rsid w:val="00657811"/>
    <w:rsid w:val="0066104A"/>
    <w:rsid w:val="00663DAD"/>
    <w:rsid w:val="00670E6B"/>
    <w:rsid w:val="00671269"/>
    <w:rsid w:val="0067159E"/>
    <w:rsid w:val="0067447D"/>
    <w:rsid w:val="00675E20"/>
    <w:rsid w:val="00676679"/>
    <w:rsid w:val="00683192"/>
    <w:rsid w:val="00683C89"/>
    <w:rsid w:val="00683CA1"/>
    <w:rsid w:val="00687F34"/>
    <w:rsid w:val="00691DE8"/>
    <w:rsid w:val="00694591"/>
    <w:rsid w:val="00695995"/>
    <w:rsid w:val="00696DB0"/>
    <w:rsid w:val="006A135A"/>
    <w:rsid w:val="006A2559"/>
    <w:rsid w:val="006A52CE"/>
    <w:rsid w:val="006A7ABB"/>
    <w:rsid w:val="006B1D1A"/>
    <w:rsid w:val="006B2395"/>
    <w:rsid w:val="006B269A"/>
    <w:rsid w:val="006B4CF9"/>
    <w:rsid w:val="006B4DEF"/>
    <w:rsid w:val="006B521B"/>
    <w:rsid w:val="006B6D5C"/>
    <w:rsid w:val="006B7AC8"/>
    <w:rsid w:val="006C2381"/>
    <w:rsid w:val="006C4F1C"/>
    <w:rsid w:val="006C78C4"/>
    <w:rsid w:val="006D10A0"/>
    <w:rsid w:val="006D1478"/>
    <w:rsid w:val="006D43BB"/>
    <w:rsid w:val="006D550F"/>
    <w:rsid w:val="006E01A2"/>
    <w:rsid w:val="006E067B"/>
    <w:rsid w:val="006E0F7B"/>
    <w:rsid w:val="006E43DB"/>
    <w:rsid w:val="006E55EF"/>
    <w:rsid w:val="006E5A4D"/>
    <w:rsid w:val="006F49FB"/>
    <w:rsid w:val="006F559A"/>
    <w:rsid w:val="0070010C"/>
    <w:rsid w:val="00700D98"/>
    <w:rsid w:val="00701CAB"/>
    <w:rsid w:val="007048AC"/>
    <w:rsid w:val="007066BB"/>
    <w:rsid w:val="007070F0"/>
    <w:rsid w:val="00707563"/>
    <w:rsid w:val="00711B99"/>
    <w:rsid w:val="00715413"/>
    <w:rsid w:val="00715575"/>
    <w:rsid w:val="00717EFB"/>
    <w:rsid w:val="00717FAA"/>
    <w:rsid w:val="0072348C"/>
    <w:rsid w:val="0072383D"/>
    <w:rsid w:val="00724778"/>
    <w:rsid w:val="00724A37"/>
    <w:rsid w:val="00724D0A"/>
    <w:rsid w:val="007303C3"/>
    <w:rsid w:val="00734C32"/>
    <w:rsid w:val="007364C8"/>
    <w:rsid w:val="00736D91"/>
    <w:rsid w:val="00736F78"/>
    <w:rsid w:val="00737799"/>
    <w:rsid w:val="007429BE"/>
    <w:rsid w:val="00743223"/>
    <w:rsid w:val="00744175"/>
    <w:rsid w:val="00746A76"/>
    <w:rsid w:val="00746E01"/>
    <w:rsid w:val="00750525"/>
    <w:rsid w:val="007549D9"/>
    <w:rsid w:val="007560AB"/>
    <w:rsid w:val="0075793A"/>
    <w:rsid w:val="00757BDF"/>
    <w:rsid w:val="00760CB5"/>
    <w:rsid w:val="0076152D"/>
    <w:rsid w:val="00763E5D"/>
    <w:rsid w:val="007656DF"/>
    <w:rsid w:val="00765770"/>
    <w:rsid w:val="00765773"/>
    <w:rsid w:val="00765FEE"/>
    <w:rsid w:val="00766D86"/>
    <w:rsid w:val="007673C7"/>
    <w:rsid w:val="007675AE"/>
    <w:rsid w:val="00767740"/>
    <w:rsid w:val="00767B13"/>
    <w:rsid w:val="007722D0"/>
    <w:rsid w:val="007766EA"/>
    <w:rsid w:val="00776F49"/>
    <w:rsid w:val="00777595"/>
    <w:rsid w:val="00777EE6"/>
    <w:rsid w:val="00782D6A"/>
    <w:rsid w:val="00782EEA"/>
    <w:rsid w:val="00782F62"/>
    <w:rsid w:val="00785438"/>
    <w:rsid w:val="00785863"/>
    <w:rsid w:val="00790C92"/>
    <w:rsid w:val="0079150E"/>
    <w:rsid w:val="00791BAB"/>
    <w:rsid w:val="00791C96"/>
    <w:rsid w:val="0079381D"/>
    <w:rsid w:val="0079705C"/>
    <w:rsid w:val="007A0129"/>
    <w:rsid w:val="007A18FD"/>
    <w:rsid w:val="007A3171"/>
    <w:rsid w:val="007A408F"/>
    <w:rsid w:val="007A57C1"/>
    <w:rsid w:val="007A64F2"/>
    <w:rsid w:val="007A6630"/>
    <w:rsid w:val="007A7A96"/>
    <w:rsid w:val="007B1B37"/>
    <w:rsid w:val="007B2C72"/>
    <w:rsid w:val="007B2E13"/>
    <w:rsid w:val="007B3355"/>
    <w:rsid w:val="007B3A54"/>
    <w:rsid w:val="007B54CE"/>
    <w:rsid w:val="007B5B7D"/>
    <w:rsid w:val="007C0C0D"/>
    <w:rsid w:val="007C18C5"/>
    <w:rsid w:val="007C1C53"/>
    <w:rsid w:val="007C4F6D"/>
    <w:rsid w:val="007C5EBB"/>
    <w:rsid w:val="007C6BE8"/>
    <w:rsid w:val="007C74BB"/>
    <w:rsid w:val="007D1506"/>
    <w:rsid w:val="007D5573"/>
    <w:rsid w:val="007D76CE"/>
    <w:rsid w:val="007E002D"/>
    <w:rsid w:val="007E0756"/>
    <w:rsid w:val="007E0E08"/>
    <w:rsid w:val="007E4904"/>
    <w:rsid w:val="007E4CB5"/>
    <w:rsid w:val="007E623F"/>
    <w:rsid w:val="007E7FD8"/>
    <w:rsid w:val="007F0339"/>
    <w:rsid w:val="007F066B"/>
    <w:rsid w:val="007F3EA4"/>
    <w:rsid w:val="007F4080"/>
    <w:rsid w:val="007F419C"/>
    <w:rsid w:val="007F476E"/>
    <w:rsid w:val="007F7294"/>
    <w:rsid w:val="008033C4"/>
    <w:rsid w:val="00805AC1"/>
    <w:rsid w:val="00805FB3"/>
    <w:rsid w:val="00806C88"/>
    <w:rsid w:val="00807FC3"/>
    <w:rsid w:val="0081005F"/>
    <w:rsid w:val="0081034E"/>
    <w:rsid w:val="008150B7"/>
    <w:rsid w:val="0081552D"/>
    <w:rsid w:val="0082311A"/>
    <w:rsid w:val="00830A66"/>
    <w:rsid w:val="00830DE2"/>
    <w:rsid w:val="008310EE"/>
    <w:rsid w:val="008323F9"/>
    <w:rsid w:val="00833CA5"/>
    <w:rsid w:val="008340EB"/>
    <w:rsid w:val="008344F6"/>
    <w:rsid w:val="0083510F"/>
    <w:rsid w:val="00835762"/>
    <w:rsid w:val="008405DF"/>
    <w:rsid w:val="00851209"/>
    <w:rsid w:val="00851357"/>
    <w:rsid w:val="00854231"/>
    <w:rsid w:val="008614FA"/>
    <w:rsid w:val="008628A8"/>
    <w:rsid w:val="0086573C"/>
    <w:rsid w:val="0087039D"/>
    <w:rsid w:val="008712FA"/>
    <w:rsid w:val="00872451"/>
    <w:rsid w:val="0087323D"/>
    <w:rsid w:val="0087397F"/>
    <w:rsid w:val="00873E9B"/>
    <w:rsid w:val="0087418F"/>
    <w:rsid w:val="00880096"/>
    <w:rsid w:val="00882B95"/>
    <w:rsid w:val="008837AC"/>
    <w:rsid w:val="00884BA8"/>
    <w:rsid w:val="00884C67"/>
    <w:rsid w:val="00885180"/>
    <w:rsid w:val="00891DF8"/>
    <w:rsid w:val="00892912"/>
    <w:rsid w:val="00893040"/>
    <w:rsid w:val="008957B5"/>
    <w:rsid w:val="00895856"/>
    <w:rsid w:val="00895CE0"/>
    <w:rsid w:val="008964E9"/>
    <w:rsid w:val="008A12AA"/>
    <w:rsid w:val="008A5165"/>
    <w:rsid w:val="008A587D"/>
    <w:rsid w:val="008A5EDF"/>
    <w:rsid w:val="008B35CD"/>
    <w:rsid w:val="008B5FCC"/>
    <w:rsid w:val="008C1410"/>
    <w:rsid w:val="008C330F"/>
    <w:rsid w:val="008C3676"/>
    <w:rsid w:val="008C38A3"/>
    <w:rsid w:val="008C3C95"/>
    <w:rsid w:val="008C45BE"/>
    <w:rsid w:val="008C4BAE"/>
    <w:rsid w:val="008C5486"/>
    <w:rsid w:val="008C62B8"/>
    <w:rsid w:val="008C7D78"/>
    <w:rsid w:val="008D1661"/>
    <w:rsid w:val="008D2009"/>
    <w:rsid w:val="008D3900"/>
    <w:rsid w:val="008E006D"/>
    <w:rsid w:val="008E09DC"/>
    <w:rsid w:val="008E6FCD"/>
    <w:rsid w:val="008E7031"/>
    <w:rsid w:val="008E77DE"/>
    <w:rsid w:val="008F075D"/>
    <w:rsid w:val="008F07A3"/>
    <w:rsid w:val="008F1982"/>
    <w:rsid w:val="008F1BE2"/>
    <w:rsid w:val="008F2EB9"/>
    <w:rsid w:val="008F3574"/>
    <w:rsid w:val="00900E1B"/>
    <w:rsid w:val="009015B4"/>
    <w:rsid w:val="00902CE5"/>
    <w:rsid w:val="00903F4E"/>
    <w:rsid w:val="0090524C"/>
    <w:rsid w:val="0090672D"/>
    <w:rsid w:val="00910E2D"/>
    <w:rsid w:val="00913904"/>
    <w:rsid w:val="00915ABF"/>
    <w:rsid w:val="00920E0B"/>
    <w:rsid w:val="009233EE"/>
    <w:rsid w:val="0092775B"/>
    <w:rsid w:val="00931EEC"/>
    <w:rsid w:val="00931F98"/>
    <w:rsid w:val="009330F9"/>
    <w:rsid w:val="0093325D"/>
    <w:rsid w:val="00933E00"/>
    <w:rsid w:val="009353DA"/>
    <w:rsid w:val="009400D3"/>
    <w:rsid w:val="009460AA"/>
    <w:rsid w:val="009461C2"/>
    <w:rsid w:val="0094704D"/>
    <w:rsid w:val="009470BC"/>
    <w:rsid w:val="00947873"/>
    <w:rsid w:val="009501CC"/>
    <w:rsid w:val="00951978"/>
    <w:rsid w:val="00952285"/>
    <w:rsid w:val="00954A98"/>
    <w:rsid w:val="00955B6A"/>
    <w:rsid w:val="00961A4A"/>
    <w:rsid w:val="0096433A"/>
    <w:rsid w:val="00964B6B"/>
    <w:rsid w:val="009652BA"/>
    <w:rsid w:val="0096565C"/>
    <w:rsid w:val="00965B7C"/>
    <w:rsid w:val="009661DE"/>
    <w:rsid w:val="00971B28"/>
    <w:rsid w:val="00972B92"/>
    <w:rsid w:val="0097492C"/>
    <w:rsid w:val="009749B8"/>
    <w:rsid w:val="009761DD"/>
    <w:rsid w:val="00981848"/>
    <w:rsid w:val="009819F8"/>
    <w:rsid w:val="00983C25"/>
    <w:rsid w:val="009856B7"/>
    <w:rsid w:val="00985C86"/>
    <w:rsid w:val="009970C9"/>
    <w:rsid w:val="009976CF"/>
    <w:rsid w:val="009978DA"/>
    <w:rsid w:val="009A26A2"/>
    <w:rsid w:val="009A2F00"/>
    <w:rsid w:val="009A5FC3"/>
    <w:rsid w:val="009B0EDD"/>
    <w:rsid w:val="009B135B"/>
    <w:rsid w:val="009B5008"/>
    <w:rsid w:val="009B74B0"/>
    <w:rsid w:val="009C07C2"/>
    <w:rsid w:val="009C0E07"/>
    <w:rsid w:val="009C4B00"/>
    <w:rsid w:val="009C59A9"/>
    <w:rsid w:val="009D060D"/>
    <w:rsid w:val="009D0B74"/>
    <w:rsid w:val="009D1304"/>
    <w:rsid w:val="009D29BC"/>
    <w:rsid w:val="009D30F6"/>
    <w:rsid w:val="009D3504"/>
    <w:rsid w:val="009D59AF"/>
    <w:rsid w:val="009D652D"/>
    <w:rsid w:val="009D6B46"/>
    <w:rsid w:val="009E11D9"/>
    <w:rsid w:val="009E38C2"/>
    <w:rsid w:val="009E4305"/>
    <w:rsid w:val="009E494C"/>
    <w:rsid w:val="009F00D2"/>
    <w:rsid w:val="009F0BCD"/>
    <w:rsid w:val="009F2482"/>
    <w:rsid w:val="009F393E"/>
    <w:rsid w:val="009F4940"/>
    <w:rsid w:val="009F5983"/>
    <w:rsid w:val="009F5BA1"/>
    <w:rsid w:val="009F5C1D"/>
    <w:rsid w:val="009F7C27"/>
    <w:rsid w:val="00A01941"/>
    <w:rsid w:val="00A02A88"/>
    <w:rsid w:val="00A04BDC"/>
    <w:rsid w:val="00A0562E"/>
    <w:rsid w:val="00A05DF7"/>
    <w:rsid w:val="00A0726D"/>
    <w:rsid w:val="00A112B9"/>
    <w:rsid w:val="00A1204C"/>
    <w:rsid w:val="00A12D0C"/>
    <w:rsid w:val="00A14FB0"/>
    <w:rsid w:val="00A156A2"/>
    <w:rsid w:val="00A2318E"/>
    <w:rsid w:val="00A24ACB"/>
    <w:rsid w:val="00A26F36"/>
    <w:rsid w:val="00A313D6"/>
    <w:rsid w:val="00A32FBB"/>
    <w:rsid w:val="00A371F7"/>
    <w:rsid w:val="00A372BD"/>
    <w:rsid w:val="00A424B1"/>
    <w:rsid w:val="00A42626"/>
    <w:rsid w:val="00A428EE"/>
    <w:rsid w:val="00A42C94"/>
    <w:rsid w:val="00A44270"/>
    <w:rsid w:val="00A4466A"/>
    <w:rsid w:val="00A4478A"/>
    <w:rsid w:val="00A44852"/>
    <w:rsid w:val="00A50919"/>
    <w:rsid w:val="00A5494D"/>
    <w:rsid w:val="00A549C8"/>
    <w:rsid w:val="00A565B2"/>
    <w:rsid w:val="00A57D04"/>
    <w:rsid w:val="00A607F9"/>
    <w:rsid w:val="00A60A26"/>
    <w:rsid w:val="00A61598"/>
    <w:rsid w:val="00A61682"/>
    <w:rsid w:val="00A6175D"/>
    <w:rsid w:val="00A638CE"/>
    <w:rsid w:val="00A703FE"/>
    <w:rsid w:val="00A7120D"/>
    <w:rsid w:val="00A718A6"/>
    <w:rsid w:val="00A7380A"/>
    <w:rsid w:val="00A82B1D"/>
    <w:rsid w:val="00A834D1"/>
    <w:rsid w:val="00A8481E"/>
    <w:rsid w:val="00A84A99"/>
    <w:rsid w:val="00A84F46"/>
    <w:rsid w:val="00A84FB8"/>
    <w:rsid w:val="00A852AA"/>
    <w:rsid w:val="00A871F4"/>
    <w:rsid w:val="00A87E03"/>
    <w:rsid w:val="00A904D8"/>
    <w:rsid w:val="00A92C50"/>
    <w:rsid w:val="00AA0CA5"/>
    <w:rsid w:val="00AA7B08"/>
    <w:rsid w:val="00AA7CEE"/>
    <w:rsid w:val="00AB17B4"/>
    <w:rsid w:val="00AB561F"/>
    <w:rsid w:val="00AB5A36"/>
    <w:rsid w:val="00AB68E8"/>
    <w:rsid w:val="00AC1B2C"/>
    <w:rsid w:val="00AC2D34"/>
    <w:rsid w:val="00AC3264"/>
    <w:rsid w:val="00AC667E"/>
    <w:rsid w:val="00AD00E5"/>
    <w:rsid w:val="00AD4710"/>
    <w:rsid w:val="00AD58C9"/>
    <w:rsid w:val="00AD58D2"/>
    <w:rsid w:val="00AD5B12"/>
    <w:rsid w:val="00AD6E88"/>
    <w:rsid w:val="00AE1875"/>
    <w:rsid w:val="00AE1BF1"/>
    <w:rsid w:val="00AE249B"/>
    <w:rsid w:val="00AE31B5"/>
    <w:rsid w:val="00AE4D23"/>
    <w:rsid w:val="00AE5345"/>
    <w:rsid w:val="00AE666E"/>
    <w:rsid w:val="00AE735C"/>
    <w:rsid w:val="00AF046B"/>
    <w:rsid w:val="00AF0DD2"/>
    <w:rsid w:val="00AF1F6F"/>
    <w:rsid w:val="00AF551C"/>
    <w:rsid w:val="00AF63D6"/>
    <w:rsid w:val="00AF7513"/>
    <w:rsid w:val="00AF762B"/>
    <w:rsid w:val="00B00D02"/>
    <w:rsid w:val="00B1183E"/>
    <w:rsid w:val="00B13048"/>
    <w:rsid w:val="00B14255"/>
    <w:rsid w:val="00B1644A"/>
    <w:rsid w:val="00B1716D"/>
    <w:rsid w:val="00B172FD"/>
    <w:rsid w:val="00B17A1D"/>
    <w:rsid w:val="00B207A0"/>
    <w:rsid w:val="00B21852"/>
    <w:rsid w:val="00B22ACB"/>
    <w:rsid w:val="00B25EEF"/>
    <w:rsid w:val="00B27595"/>
    <w:rsid w:val="00B276EF"/>
    <w:rsid w:val="00B30218"/>
    <w:rsid w:val="00B308B0"/>
    <w:rsid w:val="00B32F62"/>
    <w:rsid w:val="00B33869"/>
    <w:rsid w:val="00B4033D"/>
    <w:rsid w:val="00B405AC"/>
    <w:rsid w:val="00B4396D"/>
    <w:rsid w:val="00B43C5F"/>
    <w:rsid w:val="00B44946"/>
    <w:rsid w:val="00B452D8"/>
    <w:rsid w:val="00B45B99"/>
    <w:rsid w:val="00B4790E"/>
    <w:rsid w:val="00B514DD"/>
    <w:rsid w:val="00B525C6"/>
    <w:rsid w:val="00B52AF0"/>
    <w:rsid w:val="00B53798"/>
    <w:rsid w:val="00B561BD"/>
    <w:rsid w:val="00B56E03"/>
    <w:rsid w:val="00B6037E"/>
    <w:rsid w:val="00B6162F"/>
    <w:rsid w:val="00B662EF"/>
    <w:rsid w:val="00B701E6"/>
    <w:rsid w:val="00B72136"/>
    <w:rsid w:val="00B73126"/>
    <w:rsid w:val="00B76672"/>
    <w:rsid w:val="00B8080B"/>
    <w:rsid w:val="00B82780"/>
    <w:rsid w:val="00B854FC"/>
    <w:rsid w:val="00B87993"/>
    <w:rsid w:val="00B87A88"/>
    <w:rsid w:val="00B87BA5"/>
    <w:rsid w:val="00B87C39"/>
    <w:rsid w:val="00B94B88"/>
    <w:rsid w:val="00B97E80"/>
    <w:rsid w:val="00BA4665"/>
    <w:rsid w:val="00BA5AB7"/>
    <w:rsid w:val="00BA68F3"/>
    <w:rsid w:val="00BA7669"/>
    <w:rsid w:val="00BB274C"/>
    <w:rsid w:val="00BB2FB2"/>
    <w:rsid w:val="00BB317C"/>
    <w:rsid w:val="00BB3304"/>
    <w:rsid w:val="00BB5142"/>
    <w:rsid w:val="00BB741E"/>
    <w:rsid w:val="00BB7CD2"/>
    <w:rsid w:val="00BC07C3"/>
    <w:rsid w:val="00BC29F9"/>
    <w:rsid w:val="00BC623B"/>
    <w:rsid w:val="00BD1E7C"/>
    <w:rsid w:val="00BD3446"/>
    <w:rsid w:val="00BD6A5B"/>
    <w:rsid w:val="00BE0E73"/>
    <w:rsid w:val="00BE1F1B"/>
    <w:rsid w:val="00BE3DC9"/>
    <w:rsid w:val="00BE47B5"/>
    <w:rsid w:val="00BF0231"/>
    <w:rsid w:val="00BF2111"/>
    <w:rsid w:val="00BF419C"/>
    <w:rsid w:val="00BF7A91"/>
    <w:rsid w:val="00C00A11"/>
    <w:rsid w:val="00C016B9"/>
    <w:rsid w:val="00C0488B"/>
    <w:rsid w:val="00C05551"/>
    <w:rsid w:val="00C07631"/>
    <w:rsid w:val="00C0768C"/>
    <w:rsid w:val="00C07FA6"/>
    <w:rsid w:val="00C13649"/>
    <w:rsid w:val="00C16F28"/>
    <w:rsid w:val="00C179B7"/>
    <w:rsid w:val="00C17E66"/>
    <w:rsid w:val="00C22030"/>
    <w:rsid w:val="00C23E33"/>
    <w:rsid w:val="00C24EBE"/>
    <w:rsid w:val="00C24F71"/>
    <w:rsid w:val="00C25536"/>
    <w:rsid w:val="00C25592"/>
    <w:rsid w:val="00C25FA6"/>
    <w:rsid w:val="00C26B70"/>
    <w:rsid w:val="00C31090"/>
    <w:rsid w:val="00C323B5"/>
    <w:rsid w:val="00C32AD2"/>
    <w:rsid w:val="00C33D9C"/>
    <w:rsid w:val="00C34597"/>
    <w:rsid w:val="00C35ABA"/>
    <w:rsid w:val="00C37435"/>
    <w:rsid w:val="00C4309E"/>
    <w:rsid w:val="00C43224"/>
    <w:rsid w:val="00C4341A"/>
    <w:rsid w:val="00C43E71"/>
    <w:rsid w:val="00C46EBD"/>
    <w:rsid w:val="00C470B9"/>
    <w:rsid w:val="00C511A0"/>
    <w:rsid w:val="00C51472"/>
    <w:rsid w:val="00C538A9"/>
    <w:rsid w:val="00C53B5A"/>
    <w:rsid w:val="00C54F5A"/>
    <w:rsid w:val="00C551F2"/>
    <w:rsid w:val="00C569B4"/>
    <w:rsid w:val="00C60118"/>
    <w:rsid w:val="00C62A8E"/>
    <w:rsid w:val="00C645BD"/>
    <w:rsid w:val="00C66082"/>
    <w:rsid w:val="00C67A92"/>
    <w:rsid w:val="00C7027B"/>
    <w:rsid w:val="00C74434"/>
    <w:rsid w:val="00C74AC0"/>
    <w:rsid w:val="00C76E44"/>
    <w:rsid w:val="00C776D3"/>
    <w:rsid w:val="00C8222B"/>
    <w:rsid w:val="00C83285"/>
    <w:rsid w:val="00C842E8"/>
    <w:rsid w:val="00C86679"/>
    <w:rsid w:val="00C9360F"/>
    <w:rsid w:val="00C960AF"/>
    <w:rsid w:val="00CA1D52"/>
    <w:rsid w:val="00CA3411"/>
    <w:rsid w:val="00CA489E"/>
    <w:rsid w:val="00CB0279"/>
    <w:rsid w:val="00CB461E"/>
    <w:rsid w:val="00CB666B"/>
    <w:rsid w:val="00CB6BA8"/>
    <w:rsid w:val="00CB723D"/>
    <w:rsid w:val="00CB72B2"/>
    <w:rsid w:val="00CB7F2E"/>
    <w:rsid w:val="00CC02E9"/>
    <w:rsid w:val="00CC5DB6"/>
    <w:rsid w:val="00CC5FB5"/>
    <w:rsid w:val="00CC7F1D"/>
    <w:rsid w:val="00CD4C19"/>
    <w:rsid w:val="00CD4C1B"/>
    <w:rsid w:val="00CD6433"/>
    <w:rsid w:val="00CD74DD"/>
    <w:rsid w:val="00CE0819"/>
    <w:rsid w:val="00CE0869"/>
    <w:rsid w:val="00CE3FA2"/>
    <w:rsid w:val="00CF054B"/>
    <w:rsid w:val="00CF1635"/>
    <w:rsid w:val="00CF5010"/>
    <w:rsid w:val="00D006AE"/>
    <w:rsid w:val="00D014AE"/>
    <w:rsid w:val="00D01CF0"/>
    <w:rsid w:val="00D02D6C"/>
    <w:rsid w:val="00D03A7B"/>
    <w:rsid w:val="00D0442A"/>
    <w:rsid w:val="00D114C1"/>
    <w:rsid w:val="00D114FC"/>
    <w:rsid w:val="00D14A09"/>
    <w:rsid w:val="00D14E73"/>
    <w:rsid w:val="00D203D2"/>
    <w:rsid w:val="00D239C8"/>
    <w:rsid w:val="00D261DC"/>
    <w:rsid w:val="00D27650"/>
    <w:rsid w:val="00D27B2A"/>
    <w:rsid w:val="00D33326"/>
    <w:rsid w:val="00D33E7C"/>
    <w:rsid w:val="00D355BB"/>
    <w:rsid w:val="00D358B7"/>
    <w:rsid w:val="00D406DD"/>
    <w:rsid w:val="00D41158"/>
    <w:rsid w:val="00D416FE"/>
    <w:rsid w:val="00D431A9"/>
    <w:rsid w:val="00D53784"/>
    <w:rsid w:val="00D54AC1"/>
    <w:rsid w:val="00D5634F"/>
    <w:rsid w:val="00D60A9B"/>
    <w:rsid w:val="00D61388"/>
    <w:rsid w:val="00D61A54"/>
    <w:rsid w:val="00D64DEA"/>
    <w:rsid w:val="00D65F52"/>
    <w:rsid w:val="00D7168E"/>
    <w:rsid w:val="00D71E57"/>
    <w:rsid w:val="00D75329"/>
    <w:rsid w:val="00D768A9"/>
    <w:rsid w:val="00D77A66"/>
    <w:rsid w:val="00D77C73"/>
    <w:rsid w:val="00D80893"/>
    <w:rsid w:val="00D8099B"/>
    <w:rsid w:val="00D80AD6"/>
    <w:rsid w:val="00D81E5A"/>
    <w:rsid w:val="00D82CE6"/>
    <w:rsid w:val="00D83B11"/>
    <w:rsid w:val="00D84854"/>
    <w:rsid w:val="00D906B3"/>
    <w:rsid w:val="00D915DD"/>
    <w:rsid w:val="00D921D3"/>
    <w:rsid w:val="00D92CF1"/>
    <w:rsid w:val="00D92D38"/>
    <w:rsid w:val="00D941D2"/>
    <w:rsid w:val="00D950F5"/>
    <w:rsid w:val="00D969B4"/>
    <w:rsid w:val="00D979E8"/>
    <w:rsid w:val="00DA1C52"/>
    <w:rsid w:val="00DA473E"/>
    <w:rsid w:val="00DA4752"/>
    <w:rsid w:val="00DA4B7A"/>
    <w:rsid w:val="00DA4E2D"/>
    <w:rsid w:val="00DA61F3"/>
    <w:rsid w:val="00DA626E"/>
    <w:rsid w:val="00DA695C"/>
    <w:rsid w:val="00DB0F93"/>
    <w:rsid w:val="00DB1A67"/>
    <w:rsid w:val="00DB1C15"/>
    <w:rsid w:val="00DB23EF"/>
    <w:rsid w:val="00DB41A7"/>
    <w:rsid w:val="00DB43F3"/>
    <w:rsid w:val="00DB5074"/>
    <w:rsid w:val="00DB5133"/>
    <w:rsid w:val="00DC043E"/>
    <w:rsid w:val="00DC3CC8"/>
    <w:rsid w:val="00DC4EE8"/>
    <w:rsid w:val="00DC62BF"/>
    <w:rsid w:val="00DC7981"/>
    <w:rsid w:val="00DD02C9"/>
    <w:rsid w:val="00DD0BA1"/>
    <w:rsid w:val="00DD3919"/>
    <w:rsid w:val="00DD50D2"/>
    <w:rsid w:val="00DE0799"/>
    <w:rsid w:val="00DE1093"/>
    <w:rsid w:val="00DE1EA5"/>
    <w:rsid w:val="00DE3B43"/>
    <w:rsid w:val="00DE4EFA"/>
    <w:rsid w:val="00DE5520"/>
    <w:rsid w:val="00DE563D"/>
    <w:rsid w:val="00DE57B0"/>
    <w:rsid w:val="00DE5EE5"/>
    <w:rsid w:val="00DF5D0A"/>
    <w:rsid w:val="00DF7CCA"/>
    <w:rsid w:val="00E030B5"/>
    <w:rsid w:val="00E031AA"/>
    <w:rsid w:val="00E04818"/>
    <w:rsid w:val="00E06442"/>
    <w:rsid w:val="00E06971"/>
    <w:rsid w:val="00E06D02"/>
    <w:rsid w:val="00E105E6"/>
    <w:rsid w:val="00E145FB"/>
    <w:rsid w:val="00E20B76"/>
    <w:rsid w:val="00E21286"/>
    <w:rsid w:val="00E232CE"/>
    <w:rsid w:val="00E23993"/>
    <w:rsid w:val="00E252E8"/>
    <w:rsid w:val="00E25B8C"/>
    <w:rsid w:val="00E25C88"/>
    <w:rsid w:val="00E2728A"/>
    <w:rsid w:val="00E32658"/>
    <w:rsid w:val="00E32BE8"/>
    <w:rsid w:val="00E34D08"/>
    <w:rsid w:val="00E35A69"/>
    <w:rsid w:val="00E36607"/>
    <w:rsid w:val="00E412EC"/>
    <w:rsid w:val="00E419A2"/>
    <w:rsid w:val="00E426A2"/>
    <w:rsid w:val="00E427CE"/>
    <w:rsid w:val="00E43ADD"/>
    <w:rsid w:val="00E47542"/>
    <w:rsid w:val="00E475B1"/>
    <w:rsid w:val="00E53FB8"/>
    <w:rsid w:val="00E54A59"/>
    <w:rsid w:val="00E55C2A"/>
    <w:rsid w:val="00E56E73"/>
    <w:rsid w:val="00E65C85"/>
    <w:rsid w:val="00E66199"/>
    <w:rsid w:val="00E71D7A"/>
    <w:rsid w:val="00E75311"/>
    <w:rsid w:val="00E755EC"/>
    <w:rsid w:val="00E7576C"/>
    <w:rsid w:val="00E7624D"/>
    <w:rsid w:val="00E810C8"/>
    <w:rsid w:val="00E828F4"/>
    <w:rsid w:val="00E840BD"/>
    <w:rsid w:val="00E845AB"/>
    <w:rsid w:val="00E8768B"/>
    <w:rsid w:val="00E9135F"/>
    <w:rsid w:val="00E91B74"/>
    <w:rsid w:val="00E91BD7"/>
    <w:rsid w:val="00E934D3"/>
    <w:rsid w:val="00E94FB6"/>
    <w:rsid w:val="00E964CE"/>
    <w:rsid w:val="00E96C7D"/>
    <w:rsid w:val="00E97837"/>
    <w:rsid w:val="00EA030E"/>
    <w:rsid w:val="00EA123D"/>
    <w:rsid w:val="00EA2027"/>
    <w:rsid w:val="00EA3D42"/>
    <w:rsid w:val="00EA44F0"/>
    <w:rsid w:val="00EA5934"/>
    <w:rsid w:val="00EA6B1B"/>
    <w:rsid w:val="00EA77BF"/>
    <w:rsid w:val="00EB1E0F"/>
    <w:rsid w:val="00EB297A"/>
    <w:rsid w:val="00EB3C21"/>
    <w:rsid w:val="00EB41C0"/>
    <w:rsid w:val="00EC451C"/>
    <w:rsid w:val="00EC606B"/>
    <w:rsid w:val="00ED0CF3"/>
    <w:rsid w:val="00ED1E8E"/>
    <w:rsid w:val="00ED59B2"/>
    <w:rsid w:val="00ED7323"/>
    <w:rsid w:val="00EE09BA"/>
    <w:rsid w:val="00EE28F3"/>
    <w:rsid w:val="00EE50C7"/>
    <w:rsid w:val="00EE6B16"/>
    <w:rsid w:val="00EF223E"/>
    <w:rsid w:val="00EF22EF"/>
    <w:rsid w:val="00EF29FC"/>
    <w:rsid w:val="00EF5110"/>
    <w:rsid w:val="00EF616C"/>
    <w:rsid w:val="00EF7A35"/>
    <w:rsid w:val="00F0054B"/>
    <w:rsid w:val="00F00F5D"/>
    <w:rsid w:val="00F030C3"/>
    <w:rsid w:val="00F07C30"/>
    <w:rsid w:val="00F10411"/>
    <w:rsid w:val="00F1079B"/>
    <w:rsid w:val="00F1167F"/>
    <w:rsid w:val="00F12D72"/>
    <w:rsid w:val="00F12EA2"/>
    <w:rsid w:val="00F15882"/>
    <w:rsid w:val="00F162DF"/>
    <w:rsid w:val="00F171E0"/>
    <w:rsid w:val="00F179ED"/>
    <w:rsid w:val="00F20BD3"/>
    <w:rsid w:val="00F21296"/>
    <w:rsid w:val="00F21A3A"/>
    <w:rsid w:val="00F225E3"/>
    <w:rsid w:val="00F24687"/>
    <w:rsid w:val="00F2786E"/>
    <w:rsid w:val="00F27E69"/>
    <w:rsid w:val="00F30D3D"/>
    <w:rsid w:val="00F3122D"/>
    <w:rsid w:val="00F32711"/>
    <w:rsid w:val="00F34D06"/>
    <w:rsid w:val="00F373A5"/>
    <w:rsid w:val="00F42262"/>
    <w:rsid w:val="00F42A9B"/>
    <w:rsid w:val="00F47559"/>
    <w:rsid w:val="00F47DD3"/>
    <w:rsid w:val="00F52509"/>
    <w:rsid w:val="00F54B82"/>
    <w:rsid w:val="00F566BD"/>
    <w:rsid w:val="00F639DE"/>
    <w:rsid w:val="00F644B3"/>
    <w:rsid w:val="00F64C7B"/>
    <w:rsid w:val="00F6603A"/>
    <w:rsid w:val="00F676DD"/>
    <w:rsid w:val="00F7104C"/>
    <w:rsid w:val="00F71977"/>
    <w:rsid w:val="00F73B92"/>
    <w:rsid w:val="00F74B90"/>
    <w:rsid w:val="00F75251"/>
    <w:rsid w:val="00F75A26"/>
    <w:rsid w:val="00F76706"/>
    <w:rsid w:val="00F77C2C"/>
    <w:rsid w:val="00F80F3F"/>
    <w:rsid w:val="00F81DE9"/>
    <w:rsid w:val="00F837F4"/>
    <w:rsid w:val="00F83FAD"/>
    <w:rsid w:val="00F86A91"/>
    <w:rsid w:val="00F92D46"/>
    <w:rsid w:val="00F952A0"/>
    <w:rsid w:val="00F95B36"/>
    <w:rsid w:val="00FA00DD"/>
    <w:rsid w:val="00FA3C7F"/>
    <w:rsid w:val="00FA52BB"/>
    <w:rsid w:val="00FA68B9"/>
    <w:rsid w:val="00FA6D21"/>
    <w:rsid w:val="00FA751C"/>
    <w:rsid w:val="00FB267E"/>
    <w:rsid w:val="00FB29D4"/>
    <w:rsid w:val="00FB69D7"/>
    <w:rsid w:val="00FB6B2D"/>
    <w:rsid w:val="00FB6BA0"/>
    <w:rsid w:val="00FB70B5"/>
    <w:rsid w:val="00FB74E2"/>
    <w:rsid w:val="00FC10C4"/>
    <w:rsid w:val="00FC15FE"/>
    <w:rsid w:val="00FC5502"/>
    <w:rsid w:val="00FC6F26"/>
    <w:rsid w:val="00FD07A4"/>
    <w:rsid w:val="00FD10D2"/>
    <w:rsid w:val="00FD138B"/>
    <w:rsid w:val="00FD284E"/>
    <w:rsid w:val="00FD5614"/>
    <w:rsid w:val="00FE0BE1"/>
    <w:rsid w:val="00FE169C"/>
    <w:rsid w:val="00FE17C4"/>
    <w:rsid w:val="00FE1DE9"/>
    <w:rsid w:val="00FE36AF"/>
    <w:rsid w:val="00FE39C2"/>
    <w:rsid w:val="00FE3C32"/>
    <w:rsid w:val="00FE64AE"/>
    <w:rsid w:val="00FE7FBE"/>
    <w:rsid w:val="00FF1863"/>
    <w:rsid w:val="00FF1D25"/>
    <w:rsid w:val="00FF3688"/>
    <w:rsid w:val="00FF40A5"/>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6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uiPriority="0"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C574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8C3676"/>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8C3676"/>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8C3676"/>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8C3676"/>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8C3676"/>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uiPriority="0"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C574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8C3676"/>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8C3676"/>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8C3676"/>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8C3676"/>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8C3676"/>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16397">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77200915">
      <w:bodyDiv w:val="1"/>
      <w:marLeft w:val="0"/>
      <w:marRight w:val="0"/>
      <w:marTop w:val="0"/>
      <w:marBottom w:val="0"/>
      <w:divBdr>
        <w:top w:val="none" w:sz="0" w:space="0" w:color="auto"/>
        <w:left w:val="none" w:sz="0" w:space="0" w:color="auto"/>
        <w:bottom w:val="none" w:sz="0" w:space="0" w:color="auto"/>
        <w:right w:val="none" w:sz="0" w:space="0" w:color="auto"/>
      </w:divBdr>
    </w:div>
    <w:div w:id="97040059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37409902">
      <w:bodyDiv w:val="1"/>
      <w:marLeft w:val="0"/>
      <w:marRight w:val="0"/>
      <w:marTop w:val="0"/>
      <w:marBottom w:val="0"/>
      <w:divBdr>
        <w:top w:val="none" w:sz="0" w:space="0" w:color="auto"/>
        <w:left w:val="none" w:sz="0" w:space="0" w:color="auto"/>
        <w:bottom w:val="none" w:sz="0" w:space="0" w:color="auto"/>
        <w:right w:val="none" w:sz="0" w:space="0" w:color="auto"/>
      </w:divBdr>
    </w:div>
    <w:div w:id="1851525272">
      <w:bodyDiv w:val="1"/>
      <w:marLeft w:val="0"/>
      <w:marRight w:val="0"/>
      <w:marTop w:val="0"/>
      <w:marBottom w:val="0"/>
      <w:divBdr>
        <w:top w:val="none" w:sz="0" w:space="0" w:color="auto"/>
        <w:left w:val="none" w:sz="0" w:space="0" w:color="auto"/>
        <w:bottom w:val="none" w:sz="0" w:space="0" w:color="auto"/>
        <w:right w:val="none" w:sz="0" w:space="0" w:color="auto"/>
      </w:divBdr>
    </w:div>
    <w:div w:id="195890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chart" Target="charts/chart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cid:image001.png@01D10B24.DED9D100" TargetMode="Externa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energymadeeasy.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node/18894" TargetMode="External"/><Relationship Id="rId2" Type="http://schemas.openxmlformats.org/officeDocument/2006/relationships/hyperlink" Target="https://www.business.qld.gov.au/__data/assets/pdf_file/0018/9117/ENCAP_Review_Final_Report_3_new.pdf" TargetMode="External"/><Relationship Id="rId1" Type="http://schemas.openxmlformats.org/officeDocument/2006/relationships/hyperlink" Target="https://www.dews.qld.gov.au/__data/assets/pdf_file/0013/30622/IDC-terms-of-reference.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chnas-evs01\BusData\AER\CARIN\Capex%20Benchmarks\QLD%20revised%20capex%20charts%20for%20final%20decision.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809135939177967"/>
          <c:y val="2.2272866451630759E-2"/>
          <c:w val="0.8185983211513379"/>
          <c:h val="0.74207081257699925"/>
        </c:manualLayout>
      </c:layout>
      <c:barChart>
        <c:barDir val="col"/>
        <c:grouping val="stacked"/>
        <c:varyColors val="0"/>
        <c:ser>
          <c:idx val="0"/>
          <c:order val="0"/>
          <c:tx>
            <c:strRef>
              <c:f>'ERP (4)'!$B$4</c:f>
              <c:strCache>
                <c:ptCount val="1"/>
                <c:pt idx="0">
                  <c:v>lower bound</c:v>
                </c:pt>
              </c:strCache>
            </c:strRef>
          </c:tx>
          <c:spPr>
            <a:noFill/>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(4)'!$B$5:$B$14</c:f>
              <c:numCache>
                <c:formatCode>_(* #,##0.00_);_(* \(#,##0.00\);_(* "-"??_);_(@_)</c:formatCode>
                <c:ptCount val="10"/>
                <c:pt idx="0">
                  <c:v>6.3904695945945997</c:v>
                </c:pt>
                <c:pt idx="1">
                  <c:v>2.04</c:v>
                </c:pt>
                <c:pt idx="2">
                  <c:v>2.8239999999999998</c:v>
                </c:pt>
                <c:pt idx="3" formatCode="General">
                  <c:v>0</c:v>
                </c:pt>
                <c:pt idx="4" formatCode="General">
                  <c:v>3.5</c:v>
                </c:pt>
                <c:pt idx="5" formatCode="General">
                  <c:v>3.5999999999999996</c:v>
                </c:pt>
                <c:pt idx="6" formatCode="General">
                  <c:v>3.3</c:v>
                </c:pt>
              </c:numCache>
            </c:numRef>
          </c:val>
        </c:ser>
        <c:ser>
          <c:idx val="1"/>
          <c:order val="1"/>
          <c:tx>
            <c:strRef>
              <c:f>'ERP (4)'!$C$4</c:f>
              <c:strCache>
                <c:ptCount val="1"/>
                <c:pt idx="0">
                  <c:v>upper bound</c:v>
                </c:pt>
              </c:strCache>
            </c:strRef>
          </c:tx>
          <c:spPr>
            <a:solidFill>
              <a:schemeClr val="accent1">
                <a:lumMod val="60000"/>
                <a:lumOff val="40000"/>
              </a:schemeClr>
            </a:solidFill>
          </c:spPr>
          <c:invertIfNegative val="0"/>
          <c:dPt>
            <c:idx val="0"/>
            <c:invertIfNegative val="0"/>
            <c:bubble3D val="0"/>
            <c:spPr>
              <a:solidFill>
                <a:schemeClr val="accent2"/>
              </a:solidFill>
            </c:spPr>
          </c:dPt>
          <c:dPt>
            <c:idx val="1"/>
            <c:invertIfNegative val="0"/>
            <c:bubble3D val="0"/>
            <c:spPr>
              <a:solidFill>
                <a:schemeClr val="accent3">
                  <a:lumMod val="60000"/>
                  <a:lumOff val="40000"/>
                </a:schemeClr>
              </a:solidFill>
            </c:spPr>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(4)'!$C$5:$C$14</c:f>
              <c:numCache>
                <c:formatCode>_(* #,##0.00_);_(* \(#,##0.00\);_(* "-"??_);_(@_)</c:formatCode>
                <c:ptCount val="10"/>
                <c:pt idx="0">
                  <c:v>0.84952437367277334</c:v>
                </c:pt>
                <c:pt idx="1">
                  <c:v>3.952</c:v>
                </c:pt>
                <c:pt idx="2">
                  <c:v>3.987000000000001</c:v>
                </c:pt>
                <c:pt idx="3" formatCode="General">
                  <c:v>4.55</c:v>
                </c:pt>
                <c:pt idx="4" formatCode="General">
                  <c:v>1.7</c:v>
                </c:pt>
                <c:pt idx="5" formatCode="General">
                  <c:v>1.6714285714285735</c:v>
                </c:pt>
                <c:pt idx="6" formatCode="General">
                  <c:v>4.17</c:v>
                </c:pt>
              </c:numCache>
            </c:numRef>
          </c:val>
        </c:ser>
        <c:ser>
          <c:idx val="2"/>
          <c:order val="2"/>
          <c:spPr>
            <a:pattFill prst="wdUpDiag">
              <a:fgClr>
                <a:schemeClr val="bg1"/>
              </a:fgClr>
              <a:bgClr>
                <a:schemeClr val="accent1">
                  <a:lumMod val="60000"/>
                  <a:lumOff val="40000"/>
                </a:schemeClr>
              </a:bgClr>
            </a:pattFill>
            <a:ln w="28575">
              <a:noFill/>
            </a:ln>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(4)'!$D$5:$D$14</c:f>
              <c:numCache>
                <c:formatCode>General</c:formatCode>
                <c:ptCount val="10"/>
                <c:pt idx="5">
                  <c:v>0.88857142857142613</c:v>
                </c:pt>
                <c:pt idx="6">
                  <c:v>4.83</c:v>
                </c:pt>
              </c:numCache>
            </c:numRef>
          </c:val>
        </c:ser>
        <c:ser>
          <c:idx val="5"/>
          <c:order val="5"/>
          <c:tx>
            <c:strRef>
              <c:f>'ERP (4)'!$G$4</c:f>
              <c:strCache>
                <c:ptCount val="1"/>
              </c:strCache>
            </c:strRef>
          </c:tx>
          <c:spPr>
            <a:solidFill>
              <a:schemeClr val="tx2">
                <a:lumMod val="20000"/>
                <a:lumOff val="80000"/>
              </a:schemeClr>
            </a:solidFill>
            <a:ln w="28575">
              <a:noFill/>
            </a:ln>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(4)'!$G$6:$G$13</c:f>
              <c:numCache>
                <c:formatCode>General</c:formatCode>
                <c:ptCount val="8"/>
              </c:numCache>
            </c:numRef>
          </c:val>
        </c:ser>
        <c:dLbls>
          <c:showLegendKey val="0"/>
          <c:showVal val="0"/>
          <c:showCatName val="0"/>
          <c:showSerName val="0"/>
          <c:showPercent val="0"/>
          <c:showBubbleSize val="0"/>
        </c:dLbls>
        <c:gapWidth val="150"/>
        <c:overlap val="100"/>
        <c:axId val="41070976"/>
        <c:axId val="41072512"/>
      </c:barChart>
      <c:lineChart>
        <c:grouping val="standard"/>
        <c:varyColors val="0"/>
        <c:ser>
          <c:idx val="3"/>
          <c:order val="3"/>
          <c:tx>
            <c:strRef>
              <c:f>'ERP (4)'!$E$4</c:f>
              <c:strCache>
                <c:ptCount val="1"/>
                <c:pt idx="0">
                  <c:v>DRP</c:v>
                </c:pt>
              </c:strCache>
            </c:strRef>
          </c:tx>
          <c:spPr>
            <a:ln w="19050">
              <a:noFill/>
            </a:ln>
          </c:spPr>
          <c:marker>
            <c:symbol val="x"/>
            <c:size val="11"/>
            <c:spPr>
              <a:noFill/>
              <a:ln w="19050">
                <a:solidFill>
                  <a:schemeClr val="accent1">
                    <a:lumMod val="60000"/>
                    <a:lumOff val="40000"/>
                  </a:schemeClr>
                </a:solidFill>
              </a:ln>
            </c:spPr>
          </c:marker>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(4)'!$E$5:$E$14</c:f>
              <c:numCache>
                <c:formatCode>General</c:formatCode>
                <c:ptCount val="10"/>
                <c:pt idx="7">
                  <c:v>2.0806999999999998</c:v>
                </c:pt>
                <c:pt idx="8">
                  <c:v>1.9239601471927008</c:v>
                </c:pt>
                <c:pt idx="9">
                  <c:v>2.3447893695321751</c:v>
                </c:pt>
              </c:numCache>
            </c:numRef>
          </c:val>
          <c:smooth val="0"/>
        </c:ser>
        <c:ser>
          <c:idx val="4"/>
          <c:order val="4"/>
          <c:tx>
            <c:strRef>
              <c:f>'ERP (4)'!$F$4</c:f>
              <c:strCache>
                <c:ptCount val="1"/>
                <c:pt idx="0">
                  <c:v>AER point estimate</c:v>
                </c:pt>
              </c:strCache>
            </c:strRef>
          </c:tx>
          <c:spPr>
            <a:ln>
              <a:solidFill>
                <a:schemeClr val="accent3">
                  <a:lumMod val="50000"/>
                </a:schemeClr>
              </a:solidFill>
            </a:ln>
          </c:spPr>
          <c:marker>
            <c:symbol val="none"/>
          </c:marker>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(4)'!$F$5:$F$14</c:f>
              <c:numCache>
                <c:formatCode>General</c:formatCode>
                <c:ptCount val="10"/>
                <c:pt idx="0">
                  <c:v>4.55</c:v>
                </c:pt>
                <c:pt idx="1">
                  <c:v>4.55</c:v>
                </c:pt>
                <c:pt idx="2">
                  <c:v>4.55</c:v>
                </c:pt>
                <c:pt idx="3">
                  <c:v>4.55</c:v>
                </c:pt>
                <c:pt idx="4">
                  <c:v>4.55</c:v>
                </c:pt>
                <c:pt idx="5">
                  <c:v>4.55</c:v>
                </c:pt>
                <c:pt idx="6">
                  <c:v>4.55</c:v>
                </c:pt>
                <c:pt idx="7">
                  <c:v>4.55</c:v>
                </c:pt>
                <c:pt idx="8">
                  <c:v>4.55</c:v>
                </c:pt>
                <c:pt idx="9">
                  <c:v>4.55</c:v>
                </c:pt>
              </c:numCache>
            </c:numRef>
          </c:val>
          <c:smooth val="0"/>
        </c:ser>
        <c:dLbls>
          <c:showLegendKey val="0"/>
          <c:showVal val="0"/>
          <c:showCatName val="0"/>
          <c:showSerName val="0"/>
          <c:showPercent val="0"/>
          <c:showBubbleSize val="0"/>
        </c:dLbls>
        <c:marker val="1"/>
        <c:smooth val="0"/>
        <c:axId val="41070976"/>
        <c:axId val="41072512"/>
      </c:lineChart>
      <c:catAx>
        <c:axId val="41070976"/>
        <c:scaling>
          <c:orientation val="minMax"/>
        </c:scaling>
        <c:delete val="0"/>
        <c:axPos val="b"/>
        <c:majorTickMark val="out"/>
        <c:minorTickMark val="none"/>
        <c:tickLblPos val="nextTo"/>
        <c:txPr>
          <a:bodyPr rot="-1260000" vert="horz" anchor="t" anchorCtr="0"/>
          <a:lstStyle/>
          <a:p>
            <a:pPr>
              <a:defRPr>
                <a:cs typeface="Gautami" panose="02000500000000000000" pitchFamily="2"/>
              </a:defRPr>
            </a:pPr>
            <a:endParaRPr lang="en-US"/>
          </a:p>
        </c:txPr>
        <c:crossAx val="41072512"/>
        <c:crosses val="autoZero"/>
        <c:auto val="1"/>
        <c:lblAlgn val="ctr"/>
        <c:lblOffset val="100"/>
        <c:noMultiLvlLbl val="0"/>
      </c:catAx>
      <c:valAx>
        <c:axId val="41072512"/>
        <c:scaling>
          <c:orientation val="minMax"/>
        </c:scaling>
        <c:delete val="0"/>
        <c:axPos val="l"/>
        <c:majorGridlines>
          <c:spPr>
            <a:ln>
              <a:solidFill>
                <a:schemeClr val="bg1">
                  <a:lumMod val="75000"/>
                </a:schemeClr>
              </a:solidFill>
            </a:ln>
          </c:spPr>
        </c:majorGridlines>
        <c:title>
          <c:tx>
            <c:rich>
              <a:bodyPr rot="0" vert="horz"/>
              <a:lstStyle/>
              <a:p>
                <a:pPr>
                  <a:defRPr sz="1000"/>
                </a:pPr>
                <a:r>
                  <a:rPr lang="en-AU" sz="1000"/>
                  <a:t>Equity</a:t>
                </a:r>
              </a:p>
              <a:p>
                <a:pPr>
                  <a:defRPr sz="1000"/>
                </a:pPr>
                <a:r>
                  <a:rPr lang="en-AU" sz="1000"/>
                  <a:t>risk</a:t>
                </a:r>
              </a:p>
              <a:p>
                <a:pPr>
                  <a:defRPr sz="1000"/>
                </a:pPr>
                <a:r>
                  <a:rPr lang="en-AU" sz="1000"/>
                  <a:t>premium</a:t>
                </a:r>
              </a:p>
              <a:p>
                <a:pPr>
                  <a:defRPr sz="1000"/>
                </a:pPr>
                <a:r>
                  <a:rPr lang="en-AU" sz="1000"/>
                  <a:t>(%) </a:t>
                </a:r>
              </a:p>
            </c:rich>
          </c:tx>
          <c:layout>
            <c:manualLayout>
              <c:xMode val="edge"/>
              <c:yMode val="edge"/>
              <c:x val="1.8550159106217917E-3"/>
              <c:y val="0.31756425809437316"/>
            </c:manualLayout>
          </c:layout>
          <c:overlay val="0"/>
        </c:title>
        <c:numFmt formatCode="#,##0.0" sourceLinked="0"/>
        <c:majorTickMark val="out"/>
        <c:minorTickMark val="none"/>
        <c:tickLblPos val="nextTo"/>
        <c:crossAx val="41070976"/>
        <c:crosses val="autoZero"/>
        <c:crossBetween val="between"/>
        <c:majorUnit val="1"/>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Energex!$A$2</c:f>
              <c:strCache>
                <c:ptCount val="1"/>
                <c:pt idx="0">
                  <c:v>actual capex</c:v>
                </c:pt>
              </c:strCache>
            </c:strRef>
          </c:tx>
          <c:spPr>
            <a:pattFill prst="dkUpDiag">
              <a:fgClr>
                <a:schemeClr val="accent1"/>
              </a:fgClr>
              <a:bgClr>
                <a:schemeClr val="bg1"/>
              </a:bgClr>
            </a:pattFill>
          </c:spPr>
          <c:invertIfNegative val="0"/>
          <c:cat>
            <c:strRef>
              <c:f>Energex!$B$1:$K$1</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Energex!$B$2:$K$2</c:f>
              <c:numCache>
                <c:formatCode>General</c:formatCode>
                <c:ptCount val="10"/>
                <c:pt idx="0">
                  <c:v>880.28952316001653</c:v>
                </c:pt>
                <c:pt idx="1">
                  <c:v>843.89347164604601</c:v>
                </c:pt>
                <c:pt idx="2">
                  <c:v>797.52826215428456</c:v>
                </c:pt>
                <c:pt idx="3">
                  <c:v>667.81562922833007</c:v>
                </c:pt>
                <c:pt idx="4">
                  <c:v>731.90907939873114</c:v>
                </c:pt>
              </c:numCache>
            </c:numRef>
          </c:val>
        </c:ser>
        <c:ser>
          <c:idx val="4"/>
          <c:order val="4"/>
          <c:tx>
            <c:strRef>
              <c:f>Energex!$A$6</c:f>
              <c:strCache>
                <c:ptCount val="1"/>
                <c:pt idx="0">
                  <c:v>revised proposal</c:v>
                </c:pt>
              </c:strCache>
            </c:strRef>
          </c:tx>
          <c:spPr>
            <a:pattFill prst="dkUpDiag">
              <a:fgClr>
                <a:srgbClr val="C00000"/>
              </a:fgClr>
              <a:bgClr>
                <a:schemeClr val="bg1"/>
              </a:bgClr>
            </a:pattFill>
          </c:spPr>
          <c:invertIfNegative val="0"/>
          <c:cat>
            <c:strRef>
              <c:f>Energex!$B$1:$K$1</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Energex!$B$6:$K$6</c:f>
              <c:numCache>
                <c:formatCode>General</c:formatCode>
                <c:ptCount val="10"/>
                <c:pt idx="5" formatCode="_(* #,##0.00_);_(* \(#,##0.00\);_(* &quot;-&quot;??_);_(@_)">
                  <c:v>605.05196319620427</c:v>
                </c:pt>
                <c:pt idx="6" formatCode="_(* #,##0.00_);_(* \(#,##0.00\);_(* &quot;-&quot;??_);_(@_)">
                  <c:v>624.66600590516498</c:v>
                </c:pt>
                <c:pt idx="7" formatCode="_(* #,##0.00_);_(* \(#,##0.00\);_(* &quot;-&quot;??_);_(@_)">
                  <c:v>574.96931566870342</c:v>
                </c:pt>
                <c:pt idx="8" formatCode="_(* #,##0.00_);_(* \(#,##0.00\);_(* &quot;-&quot;??_);_(@_)">
                  <c:v>546.4924583104098</c:v>
                </c:pt>
                <c:pt idx="9" formatCode="_(* #,##0.00_);_(* \(#,##0.00\);_(* &quot;-&quot;??_);_(@_)">
                  <c:v>538.52578459562983</c:v>
                </c:pt>
              </c:numCache>
            </c:numRef>
          </c:val>
        </c:ser>
        <c:dLbls>
          <c:showLegendKey val="0"/>
          <c:showVal val="0"/>
          <c:showCatName val="0"/>
          <c:showSerName val="0"/>
          <c:showPercent val="0"/>
          <c:showBubbleSize val="0"/>
        </c:dLbls>
        <c:gapWidth val="150"/>
        <c:overlap val="100"/>
        <c:axId val="43558400"/>
        <c:axId val="43559936"/>
      </c:barChart>
      <c:lineChart>
        <c:grouping val="standard"/>
        <c:varyColors val="0"/>
        <c:ser>
          <c:idx val="1"/>
          <c:order val="1"/>
          <c:tx>
            <c:strRef>
              <c:f>Energex!$A$3</c:f>
              <c:strCache>
                <c:ptCount val="1"/>
                <c:pt idx="0">
                  <c:v>AER preliminary decision</c:v>
                </c:pt>
              </c:strCache>
            </c:strRef>
          </c:tx>
          <c:marker>
            <c:symbol val="none"/>
          </c:marker>
          <c:cat>
            <c:strRef>
              <c:f>Energex!$B$1:$K$1</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Energex!$B$3:$K$3</c:f>
              <c:numCache>
                <c:formatCode>General</c:formatCode>
                <c:ptCount val="10"/>
                <c:pt idx="5">
                  <c:v>498.47539405420946</c:v>
                </c:pt>
                <c:pt idx="6">
                  <c:v>513.57572931796949</c:v>
                </c:pt>
                <c:pt idx="7">
                  <c:v>465.50302577423992</c:v>
                </c:pt>
                <c:pt idx="8">
                  <c:v>446.18763712462129</c:v>
                </c:pt>
                <c:pt idx="9">
                  <c:v>437.79729275331169</c:v>
                </c:pt>
              </c:numCache>
            </c:numRef>
          </c:val>
          <c:smooth val="0"/>
        </c:ser>
        <c:ser>
          <c:idx val="2"/>
          <c:order val="2"/>
          <c:tx>
            <c:strRef>
              <c:f>Energex!$A$4</c:f>
              <c:strCache>
                <c:ptCount val="1"/>
                <c:pt idx="0">
                  <c:v>AER allowance</c:v>
                </c:pt>
              </c:strCache>
            </c:strRef>
          </c:tx>
          <c:spPr>
            <a:ln>
              <a:solidFill>
                <a:schemeClr val="tx1"/>
              </a:solidFill>
            </a:ln>
          </c:spPr>
          <c:marker>
            <c:symbol val="none"/>
          </c:marker>
          <c:cat>
            <c:strRef>
              <c:f>Energex!$B$1:$K$1</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Energex!$B$4:$K$4</c:f>
              <c:numCache>
                <c:formatCode>General</c:formatCode>
                <c:ptCount val="10"/>
                <c:pt idx="0">
                  <c:v>1260.9878072050167</c:v>
                </c:pt>
                <c:pt idx="1">
                  <c:v>1248.7125569690475</c:v>
                </c:pt>
                <c:pt idx="2">
                  <c:v>1205.4303002260301</c:v>
                </c:pt>
                <c:pt idx="3">
                  <c:v>1143.6318273462759</c:v>
                </c:pt>
                <c:pt idx="4">
                  <c:v>1180.651483930247</c:v>
                </c:pt>
              </c:numCache>
            </c:numRef>
          </c:val>
          <c:smooth val="0"/>
        </c:ser>
        <c:ser>
          <c:idx val="3"/>
          <c:order val="3"/>
          <c:tx>
            <c:strRef>
              <c:f>Energex!$A$5</c:f>
              <c:strCache>
                <c:ptCount val="1"/>
                <c:pt idx="0">
                  <c:v>initial proposal</c:v>
                </c:pt>
              </c:strCache>
            </c:strRef>
          </c:tx>
          <c:spPr>
            <a:ln>
              <a:solidFill>
                <a:schemeClr val="accent1"/>
              </a:solidFill>
            </a:ln>
          </c:spPr>
          <c:marker>
            <c:symbol val="none"/>
          </c:marker>
          <c:cat>
            <c:strRef>
              <c:f>Energex!$B$1:$K$1</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Energex!$B$5:$K$5</c:f>
              <c:numCache>
                <c:formatCode>General</c:formatCode>
                <c:ptCount val="10"/>
                <c:pt idx="5">
                  <c:v>670.34401256624983</c:v>
                </c:pt>
                <c:pt idx="6">
                  <c:v>688.53525062442225</c:v>
                </c:pt>
                <c:pt idx="7">
                  <c:v>629.03389573342827</c:v>
                </c:pt>
                <c:pt idx="8">
                  <c:v>613.28512635769607</c:v>
                </c:pt>
                <c:pt idx="9">
                  <c:v>638.42898775872118</c:v>
                </c:pt>
              </c:numCache>
            </c:numRef>
          </c:val>
          <c:smooth val="0"/>
        </c:ser>
        <c:ser>
          <c:idx val="5"/>
          <c:order val="5"/>
          <c:tx>
            <c:strRef>
              <c:f>Energex!$A$7</c:f>
              <c:strCache>
                <c:ptCount val="1"/>
                <c:pt idx="0">
                  <c:v>AER final decision</c:v>
                </c:pt>
              </c:strCache>
            </c:strRef>
          </c:tx>
          <c:spPr>
            <a:ln>
              <a:solidFill>
                <a:schemeClr val="tx1"/>
              </a:solidFill>
            </a:ln>
          </c:spPr>
          <c:marker>
            <c:symbol val="none"/>
          </c:marker>
          <c:cat>
            <c:strRef>
              <c:f>Energex!$B$1:$K$1</c:f>
              <c:strCache>
                <c:ptCount val="10"/>
                <c:pt idx="0">
                  <c:v>2010-11</c:v>
                </c:pt>
                <c:pt idx="1">
                  <c:v>2011-12</c:v>
                </c:pt>
                <c:pt idx="2">
                  <c:v>2012-13</c:v>
                </c:pt>
                <c:pt idx="3">
                  <c:v>2013-14</c:v>
                </c:pt>
                <c:pt idx="4">
                  <c:v>2014-15</c:v>
                </c:pt>
                <c:pt idx="5">
                  <c:v>2015-16</c:v>
                </c:pt>
                <c:pt idx="6">
                  <c:v>2016-17</c:v>
                </c:pt>
                <c:pt idx="7">
                  <c:v>2017-18</c:v>
                </c:pt>
                <c:pt idx="8">
                  <c:v>2018-19</c:v>
                </c:pt>
                <c:pt idx="9">
                  <c:v>2019-20</c:v>
                </c:pt>
              </c:strCache>
            </c:strRef>
          </c:cat>
          <c:val>
            <c:numRef>
              <c:f>Energex!$B$7:$K$7</c:f>
              <c:numCache>
                <c:formatCode>General</c:formatCode>
                <c:ptCount val="10"/>
                <c:pt idx="5">
                  <c:v>573.4</c:v>
                </c:pt>
                <c:pt idx="6">
                  <c:v>591.1</c:v>
                </c:pt>
                <c:pt idx="7">
                  <c:v>540.70000000000005</c:v>
                </c:pt>
                <c:pt idx="8">
                  <c:v>534.1</c:v>
                </c:pt>
                <c:pt idx="9">
                  <c:v>526.70000000000005</c:v>
                </c:pt>
              </c:numCache>
            </c:numRef>
          </c:val>
          <c:smooth val="0"/>
        </c:ser>
        <c:dLbls>
          <c:showLegendKey val="0"/>
          <c:showVal val="0"/>
          <c:showCatName val="0"/>
          <c:showSerName val="0"/>
          <c:showPercent val="0"/>
          <c:showBubbleSize val="0"/>
        </c:dLbls>
        <c:marker val="1"/>
        <c:smooth val="0"/>
        <c:axId val="43558400"/>
        <c:axId val="43559936"/>
      </c:lineChart>
      <c:catAx>
        <c:axId val="43558400"/>
        <c:scaling>
          <c:orientation val="minMax"/>
        </c:scaling>
        <c:delete val="0"/>
        <c:axPos val="b"/>
        <c:majorTickMark val="out"/>
        <c:minorTickMark val="none"/>
        <c:tickLblPos val="nextTo"/>
        <c:txPr>
          <a:bodyPr/>
          <a:lstStyle/>
          <a:p>
            <a:pPr>
              <a:defRPr sz="900"/>
            </a:pPr>
            <a:endParaRPr lang="en-US"/>
          </a:p>
        </c:txPr>
        <c:crossAx val="43559936"/>
        <c:crosses val="autoZero"/>
        <c:auto val="1"/>
        <c:lblAlgn val="ctr"/>
        <c:lblOffset val="100"/>
        <c:noMultiLvlLbl val="0"/>
      </c:catAx>
      <c:valAx>
        <c:axId val="43559936"/>
        <c:scaling>
          <c:orientation val="minMax"/>
        </c:scaling>
        <c:delete val="0"/>
        <c:axPos val="l"/>
        <c:majorGridlines/>
        <c:title>
          <c:tx>
            <c:rich>
              <a:bodyPr rot="0" vert="horz"/>
              <a:lstStyle/>
              <a:p>
                <a:pPr>
                  <a:defRPr/>
                </a:pPr>
                <a:r>
                  <a:rPr lang="en-US"/>
                  <a:t>$ m </a:t>
                </a:r>
              </a:p>
              <a:p>
                <a:pPr>
                  <a:defRPr/>
                </a:pPr>
                <a:r>
                  <a:rPr lang="en-US"/>
                  <a:t>real </a:t>
                </a:r>
              </a:p>
              <a:p>
                <a:pPr>
                  <a:defRPr/>
                </a:pPr>
                <a:r>
                  <a:rPr lang="en-US"/>
                  <a:t>2014/15</a:t>
                </a:r>
              </a:p>
            </c:rich>
          </c:tx>
          <c:layout/>
          <c:overlay val="0"/>
        </c:title>
        <c:numFmt formatCode="General" sourceLinked="1"/>
        <c:majorTickMark val="out"/>
        <c:minorTickMark val="none"/>
        <c:tickLblPos val="nextTo"/>
        <c:txPr>
          <a:bodyPr/>
          <a:lstStyle/>
          <a:p>
            <a:pPr>
              <a:defRPr sz="900"/>
            </a:pPr>
            <a:endParaRPr lang="en-US"/>
          </a:p>
        </c:txPr>
        <c:crossAx val="43558400"/>
        <c:crosses val="autoZero"/>
        <c:crossBetween val="between"/>
      </c:valAx>
    </c:plotArea>
    <c:legend>
      <c:legendPos val="b"/>
      <c:legendEntry>
        <c:idx val="3"/>
        <c:delete val="1"/>
      </c:legendEntry>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F277A-801E-4822-A832-080C2D4B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92FBB81</Template>
  <TotalTime>0</TotalTime>
  <Pages>64</Pages>
  <Words>19609</Words>
  <Characters>111773</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2015-10-27T05:33:00Z</dcterms:created>
  <dcterms:modified xsi:type="dcterms:W3CDTF">2015-10-27T05:34:00Z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8427775</vt:lpwstr>
  </property>
  <property fmtid="{D5CDD505-2E9C-101B-9397-08002B2CF9AE}" pid="3" name="_MarkAsFinal">
    <vt:bool>true</vt:bool>
  </property>
</Properties>
</file>