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14A6D45" wp14:editId="4F4EEFA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4D0898" w:rsidP="008F07A3">
          <w:pPr>
            <w:pStyle w:val="ReportSubtitle"/>
          </w:pPr>
          <w:r>
            <w:t>FINAL</w:t>
          </w:r>
          <w:r w:rsidR="00DA4752">
            <w:t xml:space="preserve"> DECISION</w:t>
          </w:r>
        </w:p>
        <w:p w:rsidR="000A6C7B" w:rsidRDefault="001201F1" w:rsidP="008F07A3">
          <w:pPr>
            <w:pStyle w:val="ReportSubtitle"/>
          </w:pPr>
          <w:r>
            <w:t>E</w:t>
          </w:r>
          <w:r w:rsidR="00AE2021">
            <w:t>rgon Energy</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 xml:space="preserve">Attachment 1 </w:t>
          </w:r>
          <w:r>
            <w:rPr>
              <w:rFonts w:cs="Arial"/>
            </w:rPr>
            <w:t>−</w:t>
          </w:r>
          <w:r>
            <w:t xml:space="preserve"> </w:t>
          </w:r>
          <w:r w:rsidR="00971CD8">
            <w:t>Annual revenue requirement</w:t>
          </w:r>
        </w:p>
        <w:p w:rsidR="000A6C7B" w:rsidRPr="00327A1E" w:rsidRDefault="004D0898"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33022737"/>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w:t>
      </w:r>
      <w:r w:rsidR="004D0898">
        <w:t>final</w:t>
      </w:r>
      <w:r>
        <w:t xml:space="preserve"> decision on </w:t>
      </w:r>
      <w:r w:rsidR="001201F1">
        <w:t>E</w:t>
      </w:r>
      <w:r w:rsidR="00AE2021">
        <w:t>rgon Energy</w:t>
      </w:r>
      <w:r w:rsidR="001201F1">
        <w:t>'s</w:t>
      </w:r>
      <w:r>
        <w:t xml:space="preserve"> 2015–20 distribution determination. It should be read with </w:t>
      </w:r>
      <w:r w:rsidR="00CA0753">
        <w:t xml:space="preserve">all </w:t>
      </w:r>
      <w:r>
        <w:t xml:space="preserve">other parts of the </w:t>
      </w:r>
      <w:r w:rsidR="004D0898">
        <w:t xml:space="preserve">final </w:t>
      </w:r>
      <w:r>
        <w:t>decision.</w:t>
      </w:r>
    </w:p>
    <w:p w:rsidR="008F07A3" w:rsidRDefault="008F07A3" w:rsidP="008F07A3">
      <w:pPr>
        <w:numPr>
          <w:ilvl w:val="0"/>
          <w:numId w:val="25"/>
        </w:numPr>
      </w:pPr>
      <w:r>
        <w:t xml:space="preserve">The </w:t>
      </w:r>
      <w:r w:rsidR="004D0898">
        <w:t>final</w:t>
      </w:r>
      <w:r>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5441D3">
        <w:t>policy</w:t>
      </w:r>
    </w:p>
    <w:p w:rsidR="008F07A3" w:rsidRPr="008F07A3" w:rsidRDefault="008F07A3" w:rsidP="008F07A3">
      <w:pPr>
        <w:sectPr w:rsidR="008F07A3" w:rsidRPr="008F07A3" w:rsidSect="0008113D">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33022738"/>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91355E"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33022737" w:history="1">
            <w:r w:rsidR="0091355E" w:rsidRPr="00244CA8">
              <w:rPr>
                <w:rStyle w:val="Hyperlink"/>
              </w:rPr>
              <w:t>Note</w:t>
            </w:r>
            <w:r w:rsidR="0091355E">
              <w:rPr>
                <w:webHidden/>
              </w:rPr>
              <w:tab/>
            </w:r>
            <w:r w:rsidR="0091355E">
              <w:rPr>
                <w:webHidden/>
              </w:rPr>
              <w:fldChar w:fldCharType="begin"/>
            </w:r>
            <w:r w:rsidR="0091355E">
              <w:rPr>
                <w:webHidden/>
              </w:rPr>
              <w:instrText xml:space="preserve"> PAGEREF _Toc433022737 \h </w:instrText>
            </w:r>
            <w:r w:rsidR="0091355E">
              <w:rPr>
                <w:webHidden/>
              </w:rPr>
            </w:r>
            <w:r w:rsidR="0091355E">
              <w:rPr>
                <w:webHidden/>
              </w:rPr>
              <w:fldChar w:fldCharType="separate"/>
            </w:r>
            <w:r w:rsidR="00863939">
              <w:rPr>
                <w:webHidden/>
              </w:rPr>
              <w:t>1-2</w:t>
            </w:r>
            <w:r w:rsidR="0091355E">
              <w:rPr>
                <w:webHidden/>
              </w:rPr>
              <w:fldChar w:fldCharType="end"/>
            </w:r>
          </w:hyperlink>
        </w:p>
        <w:p w:rsidR="0091355E" w:rsidRDefault="008079C8">
          <w:pPr>
            <w:pStyle w:val="TOC1"/>
            <w:rPr>
              <w:rFonts w:asciiTheme="minorHAnsi" w:eastAsiaTheme="minorEastAsia" w:hAnsiTheme="minorHAnsi"/>
              <w:b w:val="0"/>
              <w:color w:val="auto"/>
              <w:sz w:val="22"/>
              <w:lang w:val="en-AU" w:eastAsia="en-AU"/>
            </w:rPr>
          </w:pPr>
          <w:hyperlink w:anchor="_Toc433022738" w:history="1">
            <w:r w:rsidR="0091355E" w:rsidRPr="00244CA8">
              <w:rPr>
                <w:rStyle w:val="Hyperlink"/>
              </w:rPr>
              <w:t>Contents</w:t>
            </w:r>
            <w:r w:rsidR="0091355E">
              <w:rPr>
                <w:webHidden/>
              </w:rPr>
              <w:tab/>
            </w:r>
            <w:r w:rsidR="0091355E">
              <w:rPr>
                <w:webHidden/>
              </w:rPr>
              <w:fldChar w:fldCharType="begin"/>
            </w:r>
            <w:r w:rsidR="0091355E">
              <w:rPr>
                <w:webHidden/>
              </w:rPr>
              <w:instrText xml:space="preserve"> PAGEREF _Toc433022738 \h </w:instrText>
            </w:r>
            <w:r w:rsidR="0091355E">
              <w:rPr>
                <w:webHidden/>
              </w:rPr>
            </w:r>
            <w:r w:rsidR="0091355E">
              <w:rPr>
                <w:webHidden/>
              </w:rPr>
              <w:fldChar w:fldCharType="separate"/>
            </w:r>
            <w:r w:rsidR="00863939">
              <w:rPr>
                <w:webHidden/>
              </w:rPr>
              <w:t>1-3</w:t>
            </w:r>
            <w:r w:rsidR="0091355E">
              <w:rPr>
                <w:webHidden/>
              </w:rPr>
              <w:fldChar w:fldCharType="end"/>
            </w:r>
          </w:hyperlink>
        </w:p>
        <w:p w:rsidR="0091355E" w:rsidRDefault="008079C8">
          <w:pPr>
            <w:pStyle w:val="TOC1"/>
            <w:rPr>
              <w:rFonts w:asciiTheme="minorHAnsi" w:eastAsiaTheme="minorEastAsia" w:hAnsiTheme="minorHAnsi"/>
              <w:b w:val="0"/>
              <w:color w:val="auto"/>
              <w:sz w:val="22"/>
              <w:lang w:val="en-AU" w:eastAsia="en-AU"/>
            </w:rPr>
          </w:pPr>
          <w:hyperlink w:anchor="_Toc433022739" w:history="1">
            <w:r w:rsidR="0091355E" w:rsidRPr="00244CA8">
              <w:rPr>
                <w:rStyle w:val="Hyperlink"/>
              </w:rPr>
              <w:t>Shortened forms</w:t>
            </w:r>
            <w:r w:rsidR="0091355E">
              <w:rPr>
                <w:webHidden/>
              </w:rPr>
              <w:tab/>
            </w:r>
            <w:r w:rsidR="0091355E">
              <w:rPr>
                <w:webHidden/>
              </w:rPr>
              <w:fldChar w:fldCharType="begin"/>
            </w:r>
            <w:r w:rsidR="0091355E">
              <w:rPr>
                <w:webHidden/>
              </w:rPr>
              <w:instrText xml:space="preserve"> PAGEREF _Toc433022739 \h </w:instrText>
            </w:r>
            <w:r w:rsidR="0091355E">
              <w:rPr>
                <w:webHidden/>
              </w:rPr>
            </w:r>
            <w:r w:rsidR="0091355E">
              <w:rPr>
                <w:webHidden/>
              </w:rPr>
              <w:fldChar w:fldCharType="separate"/>
            </w:r>
            <w:r w:rsidR="00863939">
              <w:rPr>
                <w:webHidden/>
              </w:rPr>
              <w:t>1-4</w:t>
            </w:r>
            <w:r w:rsidR="0091355E">
              <w:rPr>
                <w:webHidden/>
              </w:rPr>
              <w:fldChar w:fldCharType="end"/>
            </w:r>
          </w:hyperlink>
        </w:p>
        <w:p w:rsidR="0091355E" w:rsidRDefault="008079C8">
          <w:pPr>
            <w:pStyle w:val="TOC1"/>
            <w:rPr>
              <w:rFonts w:asciiTheme="minorHAnsi" w:eastAsiaTheme="minorEastAsia" w:hAnsiTheme="minorHAnsi"/>
              <w:b w:val="0"/>
              <w:color w:val="auto"/>
              <w:sz w:val="22"/>
              <w:lang w:val="en-AU" w:eastAsia="en-AU"/>
            </w:rPr>
          </w:pPr>
          <w:hyperlink w:anchor="_Toc433022740" w:history="1">
            <w:r w:rsidR="0091355E" w:rsidRPr="00244CA8">
              <w:rPr>
                <w:rStyle w:val="Hyperlink"/>
              </w:rPr>
              <w:t>1</w:t>
            </w:r>
            <w:r w:rsidR="0091355E">
              <w:rPr>
                <w:rFonts w:asciiTheme="minorHAnsi" w:eastAsiaTheme="minorEastAsia" w:hAnsiTheme="minorHAnsi"/>
                <w:b w:val="0"/>
                <w:color w:val="auto"/>
                <w:sz w:val="22"/>
                <w:lang w:val="en-AU" w:eastAsia="en-AU"/>
              </w:rPr>
              <w:tab/>
            </w:r>
            <w:r w:rsidR="0091355E" w:rsidRPr="00244CA8">
              <w:rPr>
                <w:rStyle w:val="Hyperlink"/>
              </w:rPr>
              <w:t>Annual revenue requirement</w:t>
            </w:r>
            <w:r w:rsidR="0091355E">
              <w:rPr>
                <w:webHidden/>
              </w:rPr>
              <w:tab/>
            </w:r>
            <w:r w:rsidR="0091355E">
              <w:rPr>
                <w:webHidden/>
              </w:rPr>
              <w:fldChar w:fldCharType="begin"/>
            </w:r>
            <w:r w:rsidR="0091355E">
              <w:rPr>
                <w:webHidden/>
              </w:rPr>
              <w:instrText xml:space="preserve"> PAGEREF _Toc433022740 \h </w:instrText>
            </w:r>
            <w:r w:rsidR="0091355E">
              <w:rPr>
                <w:webHidden/>
              </w:rPr>
            </w:r>
            <w:r w:rsidR="0091355E">
              <w:rPr>
                <w:webHidden/>
              </w:rPr>
              <w:fldChar w:fldCharType="separate"/>
            </w:r>
            <w:r w:rsidR="00863939">
              <w:rPr>
                <w:webHidden/>
              </w:rPr>
              <w:t>1-6</w:t>
            </w:r>
            <w:r w:rsidR="0091355E">
              <w:rPr>
                <w:webHidden/>
              </w:rPr>
              <w:fldChar w:fldCharType="end"/>
            </w:r>
          </w:hyperlink>
        </w:p>
        <w:p w:rsidR="0091355E" w:rsidRDefault="008079C8">
          <w:pPr>
            <w:pStyle w:val="TOC2"/>
            <w:rPr>
              <w:rFonts w:asciiTheme="minorHAnsi" w:eastAsiaTheme="minorEastAsia" w:hAnsiTheme="minorHAnsi"/>
              <w:b w:val="0"/>
              <w:color w:val="auto"/>
              <w:sz w:val="22"/>
              <w:lang w:eastAsia="en-AU"/>
            </w:rPr>
          </w:pPr>
          <w:hyperlink w:anchor="_Toc433022741" w:history="1">
            <w:r w:rsidR="0091355E" w:rsidRPr="00244CA8">
              <w:rPr>
                <w:rStyle w:val="Hyperlink"/>
              </w:rPr>
              <w:t>1.1</w:t>
            </w:r>
            <w:r w:rsidR="0091355E">
              <w:rPr>
                <w:rFonts w:asciiTheme="minorHAnsi" w:eastAsiaTheme="minorEastAsia" w:hAnsiTheme="minorHAnsi"/>
                <w:b w:val="0"/>
                <w:color w:val="auto"/>
                <w:sz w:val="22"/>
                <w:lang w:eastAsia="en-AU"/>
              </w:rPr>
              <w:tab/>
            </w:r>
            <w:r w:rsidR="0091355E" w:rsidRPr="00244CA8">
              <w:rPr>
                <w:rStyle w:val="Hyperlink"/>
              </w:rPr>
              <w:t>Final decision</w:t>
            </w:r>
            <w:r w:rsidR="0091355E">
              <w:rPr>
                <w:webHidden/>
              </w:rPr>
              <w:tab/>
            </w:r>
            <w:r w:rsidR="0091355E">
              <w:rPr>
                <w:webHidden/>
              </w:rPr>
              <w:fldChar w:fldCharType="begin"/>
            </w:r>
            <w:r w:rsidR="0091355E">
              <w:rPr>
                <w:webHidden/>
              </w:rPr>
              <w:instrText xml:space="preserve"> PAGEREF _Toc433022741 \h </w:instrText>
            </w:r>
            <w:r w:rsidR="0091355E">
              <w:rPr>
                <w:webHidden/>
              </w:rPr>
            </w:r>
            <w:r w:rsidR="0091355E">
              <w:rPr>
                <w:webHidden/>
              </w:rPr>
              <w:fldChar w:fldCharType="separate"/>
            </w:r>
            <w:r w:rsidR="00863939">
              <w:rPr>
                <w:webHidden/>
              </w:rPr>
              <w:t>1-6</w:t>
            </w:r>
            <w:r w:rsidR="0091355E">
              <w:rPr>
                <w:webHidden/>
              </w:rPr>
              <w:fldChar w:fldCharType="end"/>
            </w:r>
          </w:hyperlink>
        </w:p>
        <w:p w:rsidR="0091355E" w:rsidRDefault="008079C8">
          <w:pPr>
            <w:pStyle w:val="TOC2"/>
            <w:rPr>
              <w:rFonts w:asciiTheme="minorHAnsi" w:eastAsiaTheme="minorEastAsia" w:hAnsiTheme="minorHAnsi"/>
              <w:b w:val="0"/>
              <w:color w:val="auto"/>
              <w:sz w:val="22"/>
              <w:lang w:eastAsia="en-AU"/>
            </w:rPr>
          </w:pPr>
          <w:hyperlink w:anchor="_Toc433022742" w:history="1">
            <w:r w:rsidR="0091355E" w:rsidRPr="00244CA8">
              <w:rPr>
                <w:rStyle w:val="Hyperlink"/>
              </w:rPr>
              <w:t>1.2</w:t>
            </w:r>
            <w:r w:rsidR="0091355E">
              <w:rPr>
                <w:rFonts w:asciiTheme="minorHAnsi" w:eastAsiaTheme="minorEastAsia" w:hAnsiTheme="minorHAnsi"/>
                <w:b w:val="0"/>
                <w:color w:val="auto"/>
                <w:sz w:val="22"/>
                <w:lang w:eastAsia="en-AU"/>
              </w:rPr>
              <w:tab/>
            </w:r>
            <w:r w:rsidR="0091355E" w:rsidRPr="00244CA8">
              <w:rPr>
                <w:rStyle w:val="Hyperlink"/>
              </w:rPr>
              <w:t>Ergon Energy's revised proposal</w:t>
            </w:r>
            <w:r w:rsidR="0091355E">
              <w:rPr>
                <w:webHidden/>
              </w:rPr>
              <w:tab/>
            </w:r>
            <w:r w:rsidR="0091355E">
              <w:rPr>
                <w:webHidden/>
              </w:rPr>
              <w:fldChar w:fldCharType="begin"/>
            </w:r>
            <w:r w:rsidR="0091355E">
              <w:rPr>
                <w:webHidden/>
              </w:rPr>
              <w:instrText xml:space="preserve"> PAGEREF _Toc433022742 \h </w:instrText>
            </w:r>
            <w:r w:rsidR="0091355E">
              <w:rPr>
                <w:webHidden/>
              </w:rPr>
            </w:r>
            <w:r w:rsidR="0091355E">
              <w:rPr>
                <w:webHidden/>
              </w:rPr>
              <w:fldChar w:fldCharType="separate"/>
            </w:r>
            <w:r w:rsidR="00863939">
              <w:rPr>
                <w:webHidden/>
              </w:rPr>
              <w:t>1-8</w:t>
            </w:r>
            <w:r w:rsidR="0091355E">
              <w:rPr>
                <w:webHidden/>
              </w:rPr>
              <w:fldChar w:fldCharType="end"/>
            </w:r>
          </w:hyperlink>
        </w:p>
        <w:p w:rsidR="0091355E" w:rsidRDefault="008079C8">
          <w:pPr>
            <w:pStyle w:val="TOC2"/>
            <w:rPr>
              <w:rFonts w:asciiTheme="minorHAnsi" w:eastAsiaTheme="minorEastAsia" w:hAnsiTheme="minorHAnsi"/>
              <w:b w:val="0"/>
              <w:color w:val="auto"/>
              <w:sz w:val="22"/>
              <w:lang w:eastAsia="en-AU"/>
            </w:rPr>
          </w:pPr>
          <w:hyperlink w:anchor="_Toc433022743" w:history="1">
            <w:r w:rsidR="0091355E" w:rsidRPr="00244CA8">
              <w:rPr>
                <w:rStyle w:val="Hyperlink"/>
              </w:rPr>
              <w:t>1.3</w:t>
            </w:r>
            <w:r w:rsidR="0091355E">
              <w:rPr>
                <w:rFonts w:asciiTheme="minorHAnsi" w:eastAsiaTheme="minorEastAsia" w:hAnsiTheme="minorHAnsi"/>
                <w:b w:val="0"/>
                <w:color w:val="auto"/>
                <w:sz w:val="22"/>
                <w:lang w:eastAsia="en-AU"/>
              </w:rPr>
              <w:tab/>
            </w:r>
            <w:r w:rsidR="0091355E" w:rsidRPr="00244CA8">
              <w:rPr>
                <w:rStyle w:val="Hyperlink"/>
              </w:rPr>
              <w:t>AER’s assessment approach</w:t>
            </w:r>
            <w:r w:rsidR="0091355E">
              <w:rPr>
                <w:webHidden/>
              </w:rPr>
              <w:tab/>
            </w:r>
            <w:r w:rsidR="0091355E">
              <w:rPr>
                <w:webHidden/>
              </w:rPr>
              <w:fldChar w:fldCharType="begin"/>
            </w:r>
            <w:r w:rsidR="0091355E">
              <w:rPr>
                <w:webHidden/>
              </w:rPr>
              <w:instrText xml:space="preserve"> PAGEREF _Toc433022743 \h </w:instrText>
            </w:r>
            <w:r w:rsidR="0091355E">
              <w:rPr>
                <w:webHidden/>
              </w:rPr>
            </w:r>
            <w:r w:rsidR="0091355E">
              <w:rPr>
                <w:webHidden/>
              </w:rPr>
              <w:fldChar w:fldCharType="separate"/>
            </w:r>
            <w:r w:rsidR="00863939">
              <w:rPr>
                <w:webHidden/>
              </w:rPr>
              <w:t>1-9</w:t>
            </w:r>
            <w:r w:rsidR="0091355E">
              <w:rPr>
                <w:webHidden/>
              </w:rPr>
              <w:fldChar w:fldCharType="end"/>
            </w:r>
          </w:hyperlink>
        </w:p>
        <w:p w:rsidR="0091355E" w:rsidRDefault="008079C8">
          <w:pPr>
            <w:pStyle w:val="TOC2"/>
            <w:rPr>
              <w:rFonts w:asciiTheme="minorHAnsi" w:eastAsiaTheme="minorEastAsia" w:hAnsiTheme="minorHAnsi"/>
              <w:b w:val="0"/>
              <w:color w:val="auto"/>
              <w:sz w:val="22"/>
              <w:lang w:eastAsia="en-AU"/>
            </w:rPr>
          </w:pPr>
          <w:hyperlink w:anchor="_Toc433022744" w:history="1">
            <w:r w:rsidR="0091355E" w:rsidRPr="00244CA8">
              <w:rPr>
                <w:rStyle w:val="Hyperlink"/>
              </w:rPr>
              <w:t>1.4</w:t>
            </w:r>
            <w:r w:rsidR="0091355E">
              <w:rPr>
                <w:rFonts w:asciiTheme="minorHAnsi" w:eastAsiaTheme="minorEastAsia" w:hAnsiTheme="minorHAnsi"/>
                <w:b w:val="0"/>
                <w:color w:val="auto"/>
                <w:sz w:val="22"/>
                <w:lang w:eastAsia="en-AU"/>
              </w:rPr>
              <w:tab/>
            </w:r>
            <w:r w:rsidR="0091355E" w:rsidRPr="00244CA8">
              <w:rPr>
                <w:rStyle w:val="Hyperlink"/>
              </w:rPr>
              <w:t>Reasons for final decision</w:t>
            </w:r>
            <w:r w:rsidR="0091355E">
              <w:rPr>
                <w:webHidden/>
              </w:rPr>
              <w:tab/>
            </w:r>
            <w:r w:rsidR="0091355E">
              <w:rPr>
                <w:webHidden/>
              </w:rPr>
              <w:fldChar w:fldCharType="begin"/>
            </w:r>
            <w:r w:rsidR="0091355E">
              <w:rPr>
                <w:webHidden/>
              </w:rPr>
              <w:instrText xml:space="preserve"> PAGEREF _Toc433022744 \h </w:instrText>
            </w:r>
            <w:r w:rsidR="0091355E">
              <w:rPr>
                <w:webHidden/>
              </w:rPr>
            </w:r>
            <w:r w:rsidR="0091355E">
              <w:rPr>
                <w:webHidden/>
              </w:rPr>
              <w:fldChar w:fldCharType="separate"/>
            </w:r>
            <w:r w:rsidR="00863939">
              <w:rPr>
                <w:webHidden/>
              </w:rPr>
              <w:t>1-9</w:t>
            </w:r>
            <w:r w:rsidR="0091355E">
              <w:rPr>
                <w:webHidden/>
              </w:rPr>
              <w:fldChar w:fldCharType="end"/>
            </w:r>
          </w:hyperlink>
        </w:p>
        <w:p w:rsidR="0091355E" w:rsidRDefault="008079C8">
          <w:pPr>
            <w:pStyle w:val="TOC3"/>
            <w:rPr>
              <w:rFonts w:asciiTheme="minorHAnsi" w:eastAsiaTheme="minorEastAsia" w:hAnsiTheme="minorHAnsi"/>
              <w:lang w:eastAsia="en-AU"/>
            </w:rPr>
          </w:pPr>
          <w:hyperlink w:anchor="_Toc433022745" w:history="1">
            <w:r w:rsidR="0091355E" w:rsidRPr="00244CA8">
              <w:rPr>
                <w:rStyle w:val="Hyperlink"/>
              </w:rPr>
              <w:t>1.4.1</w:t>
            </w:r>
            <w:r w:rsidR="0091355E">
              <w:rPr>
                <w:rFonts w:asciiTheme="minorHAnsi" w:eastAsiaTheme="minorEastAsia" w:hAnsiTheme="minorHAnsi"/>
                <w:lang w:eastAsia="en-AU"/>
              </w:rPr>
              <w:tab/>
            </w:r>
            <w:r w:rsidR="0091355E" w:rsidRPr="00244CA8">
              <w:rPr>
                <w:rStyle w:val="Hyperlink"/>
              </w:rPr>
              <w:t>Revenue true-up for 2015–16</w:t>
            </w:r>
            <w:r w:rsidR="0091355E">
              <w:rPr>
                <w:webHidden/>
              </w:rPr>
              <w:tab/>
            </w:r>
            <w:r w:rsidR="0091355E">
              <w:rPr>
                <w:webHidden/>
              </w:rPr>
              <w:fldChar w:fldCharType="begin"/>
            </w:r>
            <w:r w:rsidR="0091355E">
              <w:rPr>
                <w:webHidden/>
              </w:rPr>
              <w:instrText xml:space="preserve"> PAGEREF _Toc433022745 \h </w:instrText>
            </w:r>
            <w:r w:rsidR="0091355E">
              <w:rPr>
                <w:webHidden/>
              </w:rPr>
            </w:r>
            <w:r w:rsidR="0091355E">
              <w:rPr>
                <w:webHidden/>
              </w:rPr>
              <w:fldChar w:fldCharType="separate"/>
            </w:r>
            <w:r w:rsidR="00863939">
              <w:rPr>
                <w:webHidden/>
              </w:rPr>
              <w:t>1-10</w:t>
            </w:r>
            <w:r w:rsidR="0091355E">
              <w:rPr>
                <w:webHidden/>
              </w:rPr>
              <w:fldChar w:fldCharType="end"/>
            </w:r>
          </w:hyperlink>
        </w:p>
        <w:p w:rsidR="0091355E" w:rsidRDefault="008079C8">
          <w:pPr>
            <w:pStyle w:val="TOC3"/>
            <w:rPr>
              <w:rFonts w:asciiTheme="minorHAnsi" w:eastAsiaTheme="minorEastAsia" w:hAnsiTheme="minorHAnsi"/>
              <w:lang w:eastAsia="en-AU"/>
            </w:rPr>
          </w:pPr>
          <w:hyperlink w:anchor="_Toc433022746" w:history="1">
            <w:r w:rsidR="0091355E" w:rsidRPr="00244CA8">
              <w:rPr>
                <w:rStyle w:val="Hyperlink"/>
              </w:rPr>
              <w:t>1.4.2</w:t>
            </w:r>
            <w:r w:rsidR="0091355E">
              <w:rPr>
                <w:rFonts w:asciiTheme="minorHAnsi" w:eastAsiaTheme="minorEastAsia" w:hAnsiTheme="minorHAnsi"/>
                <w:lang w:eastAsia="en-AU"/>
              </w:rPr>
              <w:tab/>
            </w:r>
            <w:r w:rsidR="0091355E" w:rsidRPr="00244CA8">
              <w:rPr>
                <w:rStyle w:val="Hyperlink"/>
              </w:rPr>
              <w:t>Revenue smoothing</w:t>
            </w:r>
            <w:r w:rsidR="0091355E">
              <w:rPr>
                <w:webHidden/>
              </w:rPr>
              <w:tab/>
            </w:r>
            <w:r w:rsidR="0091355E">
              <w:rPr>
                <w:webHidden/>
              </w:rPr>
              <w:fldChar w:fldCharType="begin"/>
            </w:r>
            <w:r w:rsidR="0091355E">
              <w:rPr>
                <w:webHidden/>
              </w:rPr>
              <w:instrText xml:space="preserve"> PAGEREF _Toc433022746 \h </w:instrText>
            </w:r>
            <w:r w:rsidR="0091355E">
              <w:rPr>
                <w:webHidden/>
              </w:rPr>
            </w:r>
            <w:r w:rsidR="0091355E">
              <w:rPr>
                <w:webHidden/>
              </w:rPr>
              <w:fldChar w:fldCharType="separate"/>
            </w:r>
            <w:r w:rsidR="00863939">
              <w:rPr>
                <w:webHidden/>
              </w:rPr>
              <w:t>1-11</w:t>
            </w:r>
            <w:r w:rsidR="0091355E">
              <w:rPr>
                <w:webHidden/>
              </w:rPr>
              <w:fldChar w:fldCharType="end"/>
            </w:r>
          </w:hyperlink>
        </w:p>
        <w:p w:rsidR="0091355E" w:rsidRDefault="008079C8">
          <w:pPr>
            <w:pStyle w:val="TOC3"/>
            <w:rPr>
              <w:rFonts w:asciiTheme="minorHAnsi" w:eastAsiaTheme="minorEastAsia" w:hAnsiTheme="minorHAnsi"/>
              <w:lang w:eastAsia="en-AU"/>
            </w:rPr>
          </w:pPr>
          <w:hyperlink w:anchor="_Toc433022747" w:history="1">
            <w:r w:rsidR="0091355E" w:rsidRPr="00244CA8">
              <w:rPr>
                <w:rStyle w:val="Hyperlink"/>
              </w:rPr>
              <w:t>1.4.3</w:t>
            </w:r>
            <w:r w:rsidR="0091355E">
              <w:rPr>
                <w:rFonts w:asciiTheme="minorHAnsi" w:eastAsiaTheme="minorEastAsia" w:hAnsiTheme="minorHAnsi"/>
                <w:lang w:eastAsia="en-AU"/>
              </w:rPr>
              <w:tab/>
            </w:r>
            <w:r w:rsidR="0091355E" w:rsidRPr="00244CA8">
              <w:rPr>
                <w:rStyle w:val="Hyperlink"/>
              </w:rPr>
              <w:t>Revenue increments or decrements</w:t>
            </w:r>
            <w:r w:rsidR="0091355E">
              <w:rPr>
                <w:webHidden/>
              </w:rPr>
              <w:tab/>
            </w:r>
            <w:r w:rsidR="0091355E">
              <w:rPr>
                <w:webHidden/>
              </w:rPr>
              <w:fldChar w:fldCharType="begin"/>
            </w:r>
            <w:r w:rsidR="0091355E">
              <w:rPr>
                <w:webHidden/>
              </w:rPr>
              <w:instrText xml:space="preserve"> PAGEREF _Toc433022747 \h </w:instrText>
            </w:r>
            <w:r w:rsidR="0091355E">
              <w:rPr>
                <w:webHidden/>
              </w:rPr>
            </w:r>
            <w:r w:rsidR="0091355E">
              <w:rPr>
                <w:webHidden/>
              </w:rPr>
              <w:fldChar w:fldCharType="separate"/>
            </w:r>
            <w:r w:rsidR="00863939">
              <w:rPr>
                <w:webHidden/>
              </w:rPr>
              <w:t>1-14</w:t>
            </w:r>
            <w:r w:rsidR="0091355E">
              <w:rPr>
                <w:webHidden/>
              </w:rPr>
              <w:fldChar w:fldCharType="end"/>
            </w:r>
          </w:hyperlink>
        </w:p>
        <w:p w:rsidR="0091355E" w:rsidRDefault="008079C8">
          <w:pPr>
            <w:pStyle w:val="TOC3"/>
            <w:rPr>
              <w:rFonts w:asciiTheme="minorHAnsi" w:eastAsiaTheme="minorEastAsia" w:hAnsiTheme="minorHAnsi"/>
              <w:lang w:eastAsia="en-AU"/>
            </w:rPr>
          </w:pPr>
          <w:hyperlink w:anchor="_Toc433022749" w:history="1">
            <w:r w:rsidR="0091355E" w:rsidRPr="00244CA8">
              <w:rPr>
                <w:rStyle w:val="Hyperlink"/>
              </w:rPr>
              <w:t>1.4.4</w:t>
            </w:r>
            <w:r w:rsidR="0091355E">
              <w:rPr>
                <w:rFonts w:asciiTheme="minorHAnsi" w:eastAsiaTheme="minorEastAsia" w:hAnsiTheme="minorHAnsi"/>
                <w:lang w:eastAsia="en-AU"/>
              </w:rPr>
              <w:tab/>
            </w:r>
            <w:r w:rsidR="0091355E" w:rsidRPr="00244CA8">
              <w:rPr>
                <w:rStyle w:val="Hyperlink"/>
              </w:rPr>
              <w:t>Indicative average distribution price impact</w:t>
            </w:r>
            <w:r w:rsidR="0091355E">
              <w:rPr>
                <w:webHidden/>
              </w:rPr>
              <w:tab/>
            </w:r>
            <w:r w:rsidR="0091355E">
              <w:rPr>
                <w:webHidden/>
              </w:rPr>
              <w:fldChar w:fldCharType="begin"/>
            </w:r>
            <w:r w:rsidR="0091355E">
              <w:rPr>
                <w:webHidden/>
              </w:rPr>
              <w:instrText xml:space="preserve"> PAGEREF _Toc433022749 \h </w:instrText>
            </w:r>
            <w:r w:rsidR="0091355E">
              <w:rPr>
                <w:webHidden/>
              </w:rPr>
            </w:r>
            <w:r w:rsidR="0091355E">
              <w:rPr>
                <w:webHidden/>
              </w:rPr>
              <w:fldChar w:fldCharType="separate"/>
            </w:r>
            <w:r w:rsidR="00863939">
              <w:rPr>
                <w:webHidden/>
              </w:rPr>
              <w:t>1-18</w:t>
            </w:r>
            <w:r w:rsidR="0091355E">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33022739"/>
      <w:r>
        <w:lastRenderedPageBreak/>
        <w:t>Shortened forms</w:t>
      </w:r>
      <w:bookmarkEnd w:id="8"/>
      <w:bookmarkEnd w:id="9"/>
    </w:p>
    <w:tbl>
      <w:tblPr>
        <w:tblStyle w:val="AERtable-numbers"/>
        <w:tblW w:w="0" w:type="auto"/>
        <w:tblLook w:val="04A0" w:firstRow="1" w:lastRow="0" w:firstColumn="1" w:lastColumn="0" w:noHBand="0" w:noVBand="1"/>
      </w:tblPr>
      <w:tblGrid>
        <w:gridCol w:w="4346"/>
        <w:gridCol w:w="4347"/>
      </w:tblGrid>
      <w:tr w:rsidR="00DE563D" w:rsidTr="00140C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Shortened form</w:t>
            </w:r>
          </w:p>
        </w:tc>
        <w:tc>
          <w:tcPr>
            <w:tcW w:w="4347"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AEMC</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AEMO</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AER</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proofErr w:type="spellStart"/>
            <w:r>
              <w:t>augex</w:t>
            </w:r>
            <w:proofErr w:type="spellEnd"/>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capex</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CCP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CESS</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CPI</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DRP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DMIA</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DMIS</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distributor</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proofErr w:type="spellStart"/>
            <w:r>
              <w:t>DUoS</w:t>
            </w:r>
            <w:proofErr w:type="spellEnd"/>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EBSS</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ERP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B95998" w:rsidP="00B95998">
            <w:pPr>
              <w:pStyle w:val="AERtabletextleft"/>
            </w:pPr>
            <w:r>
              <w:t>E</w:t>
            </w:r>
            <w:r w:rsidR="00DE563D">
              <w:t xml:space="preserve">xpenditure </w:t>
            </w:r>
            <w:r>
              <w:t>A</w:t>
            </w:r>
            <w:r w:rsidR="00DE563D">
              <w:t xml:space="preserve">ssessment </w:t>
            </w:r>
            <w:r>
              <w:t>G</w:t>
            </w:r>
            <w:r w:rsidR="00DE563D">
              <w:t>uideline</w:t>
            </w:r>
          </w:p>
        </w:tc>
        <w:tc>
          <w:tcPr>
            <w:tcW w:w="4347" w:type="dxa"/>
          </w:tcPr>
          <w:p w:rsidR="00DE563D" w:rsidRDefault="00CA0753" w:rsidP="00B95998">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B95998">
              <w:t>G</w:t>
            </w:r>
            <w:r w:rsidR="00DE563D">
              <w:t>uideline for electricity distribution</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F&amp;A</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MRP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NEL</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NEO</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NER</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NSP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proofErr w:type="spellStart"/>
            <w:r>
              <w:t>opex</w:t>
            </w:r>
            <w:proofErr w:type="spellEnd"/>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PPI</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lastRenderedPageBreak/>
              <w:t>PTRM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RAB</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RBA</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proofErr w:type="spellStart"/>
            <w:r>
              <w:t>repex</w:t>
            </w:r>
            <w:proofErr w:type="spellEnd"/>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RFM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RIN</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RPP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B95998">
              <w:t xml:space="preserve">and </w:t>
            </w:r>
            <w:r>
              <w:t>pricing principles</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SAIDI</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SAIFI</w:t>
            </w:r>
          </w:p>
        </w:tc>
        <w:tc>
          <w:tcPr>
            <w:tcW w:w="4347" w:type="dxa"/>
          </w:tcPr>
          <w:p w:rsidR="00DE563D" w:rsidRDefault="00DE563D" w:rsidP="0008113D">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SLCAPM</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STPIS</w:t>
            </w:r>
          </w:p>
        </w:tc>
        <w:tc>
          <w:tcPr>
            <w:tcW w:w="4347" w:type="dxa"/>
          </w:tcPr>
          <w:p w:rsidR="00DE563D" w:rsidRDefault="00DE563D" w:rsidP="0008113D">
            <w:pPr>
              <w:pStyle w:val="AERtabletextleft"/>
              <w:jc w:val="lef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WACC</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971CD8" w:rsidP="00961F06">
      <w:pPr>
        <w:pStyle w:val="Heading1"/>
      </w:pPr>
      <w:bookmarkStart w:id="10" w:name="_Toc433022740"/>
      <w:r w:rsidRPr="00961F06">
        <w:lastRenderedPageBreak/>
        <w:t>Annual revenue requirement</w:t>
      </w:r>
      <w:bookmarkEnd w:id="10"/>
    </w:p>
    <w:p w:rsidR="00F51835" w:rsidRPr="00F51835" w:rsidRDefault="00F51835" w:rsidP="00F51835">
      <w:r>
        <w:t xml:space="preserve">The </w:t>
      </w:r>
      <w:r w:rsidRPr="0094506C">
        <w:t>annual revenue requirement (ARR) is the sum of the various building block costs for each year of th</w:t>
      </w:r>
      <w:r>
        <w:t>e regulatory control</w:t>
      </w:r>
      <w:r w:rsidRPr="0094506C">
        <w:t xml:space="preserve"> period before smoothing. The ARRs are smoothed across the period to reduce fluctuations between years and to determine expected revenues for each year. The expected revenues are the amounts that </w:t>
      </w:r>
      <w:r>
        <w:t>Ergon Energy</w:t>
      </w:r>
      <w:r w:rsidRPr="0094506C">
        <w:t xml:space="preserve"> will target for annual pricing purposes</w:t>
      </w:r>
      <w:r w:rsidRPr="003A41F3">
        <w:t xml:space="preserve"> </w:t>
      </w:r>
      <w:r>
        <w:t xml:space="preserve">and </w:t>
      </w:r>
      <w:r w:rsidRPr="00F95B9F">
        <w:t xml:space="preserve">recover from </w:t>
      </w:r>
      <w:r>
        <w:t xml:space="preserve">customers for </w:t>
      </w:r>
      <w:r w:rsidRPr="00F95B9F">
        <w:t>the provision of standard control services for each year of the regulatory control period</w:t>
      </w:r>
      <w:r w:rsidRPr="0094506C">
        <w:t xml:space="preserve">. This attachment sets out our </w:t>
      </w:r>
      <w:r>
        <w:t xml:space="preserve">final </w:t>
      </w:r>
      <w:r w:rsidRPr="0094506C">
        <w:t xml:space="preserve">decision on </w:t>
      </w:r>
      <w:r>
        <w:t>Ergon Energy's</w:t>
      </w:r>
      <w:r w:rsidRPr="0094506C">
        <w:t xml:space="preserve"> ARRs and expected revenues for the 201</w:t>
      </w:r>
      <w:r>
        <w:t>5–20</w:t>
      </w:r>
      <w:r w:rsidRPr="0094506C">
        <w:t xml:space="preserve"> </w:t>
      </w:r>
      <w:r>
        <w:t xml:space="preserve">regulatory control </w:t>
      </w:r>
      <w:proofErr w:type="gramStart"/>
      <w:r w:rsidRPr="0094506C">
        <w:t>period</w:t>
      </w:r>
      <w:proofErr w:type="gramEnd"/>
      <w:r w:rsidRPr="0094506C">
        <w:t>.</w:t>
      </w:r>
    </w:p>
    <w:p w:rsidR="00DE563D" w:rsidRDefault="004D0898" w:rsidP="006F28A8">
      <w:pPr>
        <w:pStyle w:val="Heading2"/>
      </w:pPr>
      <w:bookmarkStart w:id="11" w:name="_Toc403144136"/>
      <w:bookmarkStart w:id="12" w:name="_Toc433022741"/>
      <w:r>
        <w:t>Final</w:t>
      </w:r>
      <w:r w:rsidR="00DE563D" w:rsidRPr="00CC783D">
        <w:t xml:space="preserve"> decision</w:t>
      </w:r>
      <w:bookmarkEnd w:id="11"/>
      <w:bookmarkEnd w:id="12"/>
    </w:p>
    <w:p w:rsidR="00F51835" w:rsidRPr="002B52F6" w:rsidRDefault="00F51835" w:rsidP="00F51835">
      <w:pPr>
        <w:numPr>
          <w:ilvl w:val="0"/>
          <w:numId w:val="25"/>
        </w:numPr>
      </w:pPr>
      <w:r>
        <w:t xml:space="preserve">We </w:t>
      </w:r>
      <w:r w:rsidRPr="0094506C">
        <w:t xml:space="preserve">do not accept </w:t>
      </w:r>
      <w:r>
        <w:t>Ergon Energy's revised</w:t>
      </w:r>
      <w:r w:rsidRPr="0094506C">
        <w:t xml:space="preserve"> proposed total revenue requirement</w:t>
      </w:r>
      <w:r>
        <w:t xml:space="preserve">s </w:t>
      </w:r>
      <w:r w:rsidRPr="0094506C">
        <w:t>of $</w:t>
      </w:r>
      <w:r>
        <w:t>7728.4 </w:t>
      </w:r>
      <w:r w:rsidRPr="0094506C">
        <w:t>million over the 201</w:t>
      </w:r>
      <w:r>
        <w:t>5</w:t>
      </w:r>
      <w:r w:rsidRPr="0094506C">
        <w:t>–</w:t>
      </w:r>
      <w:r>
        <w:t>20</w:t>
      </w:r>
      <w:r w:rsidRPr="0094506C">
        <w:t xml:space="preserve"> </w:t>
      </w:r>
      <w:r>
        <w:t xml:space="preserve">regulatory control </w:t>
      </w:r>
      <w:proofErr w:type="gramStart"/>
      <w:r w:rsidRPr="0094506C">
        <w:t>period</w:t>
      </w:r>
      <w:proofErr w:type="gramEnd"/>
      <w:r w:rsidRPr="0094506C">
        <w:t xml:space="preserve">. </w:t>
      </w:r>
      <w:r>
        <w:t>This is because we have not accepted the building block costs in Ergon Energy's revised proposal.</w:t>
      </w:r>
      <w:r w:rsidRPr="0094506C">
        <w:t xml:space="preserve"> We determine a total revenue requirement</w:t>
      </w:r>
      <w:r>
        <w:t xml:space="preserve"> (excluding </w:t>
      </w:r>
      <w:proofErr w:type="spellStart"/>
      <w:r>
        <w:t>additionals</w:t>
      </w:r>
      <w:proofErr w:type="spellEnd"/>
      <w:r>
        <w:t>)</w:t>
      </w:r>
      <w:r w:rsidR="00134217">
        <w:rPr>
          <w:rStyle w:val="FootnoteReference"/>
        </w:rPr>
        <w:footnoteReference w:id="1"/>
      </w:r>
      <w:r w:rsidRPr="0094506C">
        <w:t xml:space="preserve"> </w:t>
      </w:r>
      <w:r>
        <w:t xml:space="preserve">of </w:t>
      </w:r>
      <w:r w:rsidR="00134217">
        <w:t>$</w:t>
      </w:r>
      <w:r w:rsidR="00FD1562">
        <w:t>62</w:t>
      </w:r>
      <w:r w:rsidR="00655324">
        <w:t>66</w:t>
      </w:r>
      <w:r w:rsidR="00FD1562">
        <w:t>.0</w:t>
      </w:r>
      <w:r w:rsidR="00FD1562" w:rsidRPr="002B52F6">
        <w:t xml:space="preserve"> </w:t>
      </w:r>
      <w:r w:rsidRPr="002B52F6">
        <w:t>million ($</w:t>
      </w:r>
      <w:r w:rsidR="00134217">
        <w:t> </w:t>
      </w:r>
      <w:r w:rsidRPr="002B52F6">
        <w:t xml:space="preserve">nominal) for </w:t>
      </w:r>
      <w:r>
        <w:t>Ergon Energy</w:t>
      </w:r>
      <w:r w:rsidRPr="0094506C">
        <w:t xml:space="preserve"> for </w:t>
      </w:r>
      <w:r>
        <w:t xml:space="preserve">the 2015–20 regulatory control period, reflecting our </w:t>
      </w:r>
      <w:r w:rsidR="00134217">
        <w:t>final</w:t>
      </w:r>
      <w:r>
        <w:t xml:space="preserve"> decision on the various building block costs</w:t>
      </w:r>
      <w:r w:rsidRPr="002B52F6">
        <w:t>. This is a reduction of $</w:t>
      </w:r>
      <w:r w:rsidR="00655324">
        <w:t>1462</w:t>
      </w:r>
      <w:r w:rsidR="00FD1562">
        <w:t>.4</w:t>
      </w:r>
      <w:r w:rsidR="00134217">
        <w:t> million ($ n</w:t>
      </w:r>
      <w:r w:rsidRPr="002B52F6">
        <w:t xml:space="preserve">ominal) or </w:t>
      </w:r>
      <w:r w:rsidR="00FD1562">
        <w:t>18.9</w:t>
      </w:r>
      <w:r w:rsidR="00FD1562" w:rsidRPr="002B52F6">
        <w:t xml:space="preserve"> </w:t>
      </w:r>
      <w:r w:rsidRPr="002B52F6">
        <w:t xml:space="preserve">per cent to </w:t>
      </w:r>
      <w:r>
        <w:t>Ergon Energy's</w:t>
      </w:r>
      <w:r w:rsidRPr="002B52F6">
        <w:t xml:space="preserve"> proposal.</w:t>
      </w:r>
    </w:p>
    <w:p w:rsidR="00134217" w:rsidRDefault="00134217" w:rsidP="00FD1562">
      <w:pPr>
        <w:numPr>
          <w:ilvl w:val="0"/>
          <w:numId w:val="25"/>
        </w:numPr>
      </w:pPr>
      <w:r>
        <w:t>We approved in our preliminary decision the expected revenue for 2015–16 of $1137.7 million for Ergon Energy.</w:t>
      </w:r>
      <w:r>
        <w:rPr>
          <w:rStyle w:val="FootnoteReference"/>
        </w:rPr>
        <w:footnoteReference w:id="2"/>
      </w:r>
      <w:r>
        <w:t xml:space="preserve"> Under the transitional rules, we are required to determine the ARR for 2015–16 as part of this final </w:t>
      </w:r>
      <w:r w:rsidR="0008113D">
        <w:t xml:space="preserve">decision </w:t>
      </w:r>
      <w:r>
        <w:t xml:space="preserve">process and </w:t>
      </w:r>
      <w:r w:rsidR="0008113D">
        <w:t>adjust</w:t>
      </w:r>
      <w:r>
        <w:t xml:space="preserve"> for the difference between the preliminary decision revenue and the ARR for 2015–16. We have now determined the ARR for 2015–16 of $</w:t>
      </w:r>
      <w:r w:rsidR="00FD1562" w:rsidRPr="00FD1562">
        <w:t>1267.4</w:t>
      </w:r>
      <w:r>
        <w:t xml:space="preserve"> million for Ergon Energy. The difference is therefore $</w:t>
      </w:r>
      <w:r w:rsidR="00FD1562">
        <w:t xml:space="preserve">129.7 </w:t>
      </w:r>
      <w:r>
        <w:t xml:space="preserve">million. We have applied this difference as part of the smoothing process to establish the annual expected revenue for the remaining four years of the 2015–20 regulatory control </w:t>
      </w:r>
      <w:proofErr w:type="gramStart"/>
      <w:r>
        <w:t>period</w:t>
      </w:r>
      <w:proofErr w:type="gramEnd"/>
      <w:r>
        <w:t>.</w:t>
      </w:r>
    </w:p>
    <w:p w:rsidR="00F51835" w:rsidRDefault="00F51835" w:rsidP="001E19DB">
      <w:pPr>
        <w:numPr>
          <w:ilvl w:val="0"/>
          <w:numId w:val="25"/>
        </w:numPr>
      </w:pPr>
      <w:r w:rsidRPr="00AC0E54">
        <w:t xml:space="preserve">As a result of our smoothing of the ARRs, our </w:t>
      </w:r>
      <w:r w:rsidR="00134217">
        <w:t>final</w:t>
      </w:r>
      <w:r w:rsidRPr="00AC0E54">
        <w:t xml:space="preserve"> decision </w:t>
      </w:r>
      <w:r>
        <w:t xml:space="preserve">on the annual expected revenue and X factor for each regulatory year of the 2015–20 regulatory control </w:t>
      </w:r>
      <w:proofErr w:type="gramStart"/>
      <w:r>
        <w:t>period</w:t>
      </w:r>
      <w:proofErr w:type="gramEnd"/>
      <w:r>
        <w:t xml:space="preserve"> is set out in</w:t>
      </w:r>
      <w:r w:rsidR="002C3A72">
        <w:t xml:space="preserve"> table 1.1</w:t>
      </w:r>
      <w:r>
        <w:t xml:space="preserve">. Our </w:t>
      </w:r>
      <w:r w:rsidR="00134217">
        <w:t>final</w:t>
      </w:r>
      <w:r>
        <w:t xml:space="preserve"> decision </w:t>
      </w:r>
      <w:r w:rsidRPr="00AC0E54">
        <w:t>is to approve total expected revenues (</w:t>
      </w:r>
      <w:r>
        <w:t xml:space="preserve">excluding </w:t>
      </w:r>
      <w:proofErr w:type="spellStart"/>
      <w:r>
        <w:t>additionals</w:t>
      </w:r>
      <w:proofErr w:type="spellEnd"/>
      <w:r w:rsidRPr="00AC0E54">
        <w:t>) of $</w:t>
      </w:r>
      <w:r w:rsidR="00655324">
        <w:t>6295.4</w:t>
      </w:r>
      <w:r w:rsidRPr="00AC0E54">
        <w:t xml:space="preserve"> million ($ nominal) for the 201</w:t>
      </w:r>
      <w:r>
        <w:t>5</w:t>
      </w:r>
      <w:r w:rsidRPr="00AC0E54">
        <w:t>–</w:t>
      </w:r>
      <w:r>
        <w:t>20</w:t>
      </w:r>
      <w:r w:rsidRPr="00AC0E54">
        <w:t xml:space="preserve"> </w:t>
      </w:r>
      <w:r>
        <w:t xml:space="preserve">regulatory control </w:t>
      </w:r>
      <w:r w:rsidRPr="00AC0E54">
        <w:t>period.</w:t>
      </w:r>
    </w:p>
    <w:p w:rsidR="00F51835" w:rsidRDefault="00F51835" w:rsidP="00F51835">
      <w:pPr>
        <w:numPr>
          <w:ilvl w:val="0"/>
          <w:numId w:val="25"/>
        </w:numPr>
      </w:pPr>
      <w:r>
        <w:fldChar w:fldCharType="begin"/>
      </w:r>
      <w:r>
        <w:instrText xml:space="preserve"> REF _Ref417484585 \h </w:instrText>
      </w:r>
      <w:r>
        <w:fldChar w:fldCharType="separate"/>
      </w:r>
      <w:r w:rsidR="00863939">
        <w:t xml:space="preserve">Figure </w:t>
      </w:r>
      <w:r w:rsidR="00863939">
        <w:rPr>
          <w:noProof/>
        </w:rPr>
        <w:t>1</w:t>
      </w:r>
      <w:r w:rsidR="00863939">
        <w:t>.</w:t>
      </w:r>
      <w:r w:rsidR="00863939">
        <w:rPr>
          <w:noProof/>
        </w:rPr>
        <w:t>1</w:t>
      </w:r>
      <w:r>
        <w:fldChar w:fldCharType="end"/>
      </w:r>
      <w:r>
        <w:t xml:space="preserve"> </w:t>
      </w:r>
      <w:r w:rsidRPr="0094506C">
        <w:t>show</w:t>
      </w:r>
      <w:r>
        <w:t>s</w:t>
      </w:r>
      <w:r w:rsidRPr="0094506C">
        <w:t xml:space="preserve"> the difference between </w:t>
      </w:r>
      <w:r>
        <w:t>Ergon Energy's</w:t>
      </w:r>
      <w:r w:rsidRPr="0094506C">
        <w:t xml:space="preserve"> </w:t>
      </w:r>
      <w:r w:rsidR="00134217">
        <w:t xml:space="preserve">revised </w:t>
      </w:r>
      <w:r w:rsidRPr="0094506C">
        <w:t xml:space="preserve">proposal and our </w:t>
      </w:r>
      <w:r>
        <w:t>decision</w:t>
      </w:r>
      <w:r w:rsidR="00134217">
        <w:t xml:space="preserve"> (preliminary and final)</w:t>
      </w:r>
      <w:r w:rsidRPr="0094506C">
        <w:t>.</w:t>
      </w:r>
      <w:r w:rsidRPr="00EF29B4">
        <w:t xml:space="preserve"> </w:t>
      </w:r>
    </w:p>
    <w:p w:rsidR="00F51835" w:rsidRDefault="00F51835" w:rsidP="00F51835">
      <w:pPr>
        <w:numPr>
          <w:ilvl w:val="0"/>
          <w:numId w:val="25"/>
        </w:numPr>
      </w:pPr>
      <w:r>
        <w:fldChar w:fldCharType="begin"/>
      </w:r>
      <w:r>
        <w:instrText xml:space="preserve"> REF _Ref417484575 \h </w:instrText>
      </w:r>
      <w:r>
        <w:fldChar w:fldCharType="separate"/>
      </w:r>
      <w:r w:rsidR="00863939">
        <w:t xml:space="preserve">Table </w:t>
      </w:r>
      <w:r w:rsidR="00863939">
        <w:rPr>
          <w:noProof/>
        </w:rPr>
        <w:t>1</w:t>
      </w:r>
      <w:r w:rsidR="00863939">
        <w:t>.</w:t>
      </w:r>
      <w:r w:rsidR="00863939">
        <w:rPr>
          <w:noProof/>
        </w:rPr>
        <w:t>1</w:t>
      </w:r>
      <w:r>
        <w:fldChar w:fldCharType="end"/>
      </w:r>
      <w:r w:rsidR="00134217">
        <w:t xml:space="preserve"> shows our final</w:t>
      </w:r>
      <w:r>
        <w:t xml:space="preserve"> decision on the building block costs, the ARR, annual expected revenue and X factor for each year of the 2015–20 regulatory control </w:t>
      </w:r>
      <w:proofErr w:type="gramStart"/>
      <w:r>
        <w:t>period</w:t>
      </w:r>
      <w:proofErr w:type="gramEnd"/>
      <w:r>
        <w:t>.</w:t>
      </w:r>
    </w:p>
    <w:p w:rsidR="00F51835" w:rsidRDefault="00F51835" w:rsidP="00F51835">
      <w:pPr>
        <w:pStyle w:val="Caption"/>
      </w:pPr>
      <w:bookmarkStart w:id="13" w:name="_Ref417484585"/>
      <w:proofErr w:type="gramStart"/>
      <w:r>
        <w:lastRenderedPageBreak/>
        <w:t xml:space="preserve">Figure </w:t>
      </w:r>
      <w:r w:rsidR="008079C8">
        <w:fldChar w:fldCharType="begin"/>
      </w:r>
      <w:r w:rsidR="008079C8">
        <w:instrText xml:space="preserve"> STYLEREF 1 \s </w:instrText>
      </w:r>
      <w:r w:rsidR="008079C8">
        <w:fldChar w:fldCharType="separate"/>
      </w:r>
      <w:r w:rsidR="00863939">
        <w:rPr>
          <w:noProof/>
        </w:rPr>
        <w:t>1</w:t>
      </w:r>
      <w:r w:rsidR="008079C8">
        <w:rPr>
          <w:noProof/>
        </w:rPr>
        <w:fldChar w:fldCharType="end"/>
      </w:r>
      <w:r w:rsidR="003F3D78">
        <w:t>.</w:t>
      </w:r>
      <w:proofErr w:type="gramEnd"/>
      <w:r w:rsidR="008079C8">
        <w:fldChar w:fldCharType="begin"/>
      </w:r>
      <w:r w:rsidR="008079C8">
        <w:instrText xml:space="preserve"> SEQ Figure \* ARABIC \s 1 </w:instrText>
      </w:r>
      <w:r w:rsidR="008079C8">
        <w:fldChar w:fldCharType="separate"/>
      </w:r>
      <w:r w:rsidR="00863939">
        <w:rPr>
          <w:noProof/>
        </w:rPr>
        <w:t>1</w:t>
      </w:r>
      <w:r w:rsidR="008079C8">
        <w:rPr>
          <w:noProof/>
        </w:rPr>
        <w:fldChar w:fldCharType="end"/>
      </w:r>
      <w:bookmarkEnd w:id="13"/>
      <w:r>
        <w:tab/>
      </w:r>
      <w:r w:rsidRPr="002B52F6">
        <w:t xml:space="preserve">AER's </w:t>
      </w:r>
      <w:r w:rsidR="00134217">
        <w:t>final</w:t>
      </w:r>
      <w:r w:rsidRPr="002B52F6">
        <w:t xml:space="preserve"> decision </w:t>
      </w:r>
      <w:r>
        <w:t>o</w:t>
      </w:r>
      <w:r w:rsidRPr="002B52F6">
        <w:t xml:space="preserve">n </w:t>
      </w:r>
      <w:r>
        <w:t>Ergon Energy</w:t>
      </w:r>
      <w:r w:rsidRPr="002B52F6">
        <w:t>'s revenues for the 201</w:t>
      </w:r>
      <w:r>
        <w:t>5</w:t>
      </w:r>
      <w:r w:rsidRPr="002B52F6">
        <w:t>–</w:t>
      </w:r>
      <w:r>
        <w:t>20</w:t>
      </w:r>
      <w:r w:rsidRPr="002B52F6">
        <w:t xml:space="preserve"> </w:t>
      </w:r>
      <w:r>
        <w:t xml:space="preserve">regulatory control </w:t>
      </w:r>
      <w:r w:rsidRPr="002B52F6">
        <w:t>period ($million, nominal)</w:t>
      </w:r>
    </w:p>
    <w:p w:rsidR="00F51835" w:rsidRDefault="001E19DB" w:rsidP="00F51835">
      <w:r>
        <w:rPr>
          <w:noProof/>
          <w:lang w:eastAsia="en-AU"/>
        </w:rPr>
        <w:drawing>
          <wp:inline distT="0" distB="0" distL="0" distR="0" wp14:anchorId="794A3FE8" wp14:editId="30829AE6">
            <wp:extent cx="5462270" cy="3084830"/>
            <wp:effectExtent l="0" t="0" r="508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2270" cy="3084830"/>
                    </a:xfrm>
                    <a:prstGeom prst="rect">
                      <a:avLst/>
                    </a:prstGeom>
                    <a:noFill/>
                  </pic:spPr>
                </pic:pic>
              </a:graphicData>
            </a:graphic>
          </wp:inline>
        </w:drawing>
      </w:r>
    </w:p>
    <w:p w:rsidR="00F51835" w:rsidRDefault="00F51835" w:rsidP="00F51835">
      <w:pPr>
        <w:pStyle w:val="AERtablesource"/>
        <w:numPr>
          <w:ilvl w:val="0"/>
          <w:numId w:val="25"/>
        </w:numPr>
      </w:pPr>
      <w:r>
        <w:t>Source:</w:t>
      </w:r>
      <w:r>
        <w:tab/>
      </w:r>
      <w:r w:rsidR="00134217">
        <w:t xml:space="preserve">AER analysis. </w:t>
      </w:r>
      <w:r>
        <w:t xml:space="preserve">Ergon </w:t>
      </w:r>
      <w:proofErr w:type="gramStart"/>
      <w:r>
        <w:t>Energy,</w:t>
      </w:r>
      <w:proofErr w:type="gramEnd"/>
      <w:r>
        <w:t xml:space="preserve"> </w:t>
      </w:r>
      <w:r w:rsidRPr="00845B6F">
        <w:rPr>
          <w:rStyle w:val="AERtextitalic"/>
        </w:rPr>
        <w:t>R</w:t>
      </w:r>
      <w:r w:rsidR="00134217">
        <w:rPr>
          <w:rStyle w:val="AERtextitalic"/>
        </w:rPr>
        <w:t>evised r</w:t>
      </w:r>
      <w:r w:rsidRPr="00845B6F">
        <w:rPr>
          <w:rStyle w:val="AERtextitalic"/>
        </w:rPr>
        <w:t xml:space="preserve">egulatory </w:t>
      </w:r>
      <w:r w:rsidR="00134217">
        <w:rPr>
          <w:rStyle w:val="AERtextitalic"/>
        </w:rPr>
        <w:t>p</w:t>
      </w:r>
      <w:r w:rsidRPr="00845B6F">
        <w:rPr>
          <w:rStyle w:val="AERtextitalic"/>
        </w:rPr>
        <w:t>roposal</w:t>
      </w:r>
      <w:r>
        <w:t xml:space="preserve">, </w:t>
      </w:r>
      <w:r w:rsidR="00134217">
        <w:t>July</w:t>
      </w:r>
      <w:r>
        <w:t xml:space="preserve"> 201</w:t>
      </w:r>
      <w:r w:rsidR="00134217">
        <w:t>5</w:t>
      </w:r>
      <w:r w:rsidRPr="00845B6F">
        <w:t>,</w:t>
      </w:r>
      <w:r>
        <w:t xml:space="preserve"> </w:t>
      </w:r>
      <w:r w:rsidR="00134217">
        <w:t xml:space="preserve">Attachment 03.01.04 SCPTRM data </w:t>
      </w:r>
      <w:r w:rsidR="00134217">
        <w:tab/>
        <w:t>model</w:t>
      </w:r>
      <w:r>
        <w:t>.</w:t>
      </w:r>
    </w:p>
    <w:p w:rsidR="00F51835" w:rsidRDefault="00F51835" w:rsidP="00F51835">
      <w:pPr>
        <w:pStyle w:val="Caption"/>
      </w:pPr>
      <w:bookmarkStart w:id="14" w:name="_Ref417484575"/>
      <w:proofErr w:type="gramStart"/>
      <w:r>
        <w:t xml:space="preserve">Table </w:t>
      </w:r>
      <w:r w:rsidR="008079C8">
        <w:fldChar w:fldCharType="begin"/>
      </w:r>
      <w:r w:rsidR="008079C8">
        <w:instrText xml:space="preserve"> STYLEREF 1 \s </w:instrText>
      </w:r>
      <w:r w:rsidR="008079C8">
        <w:fldChar w:fldCharType="separate"/>
      </w:r>
      <w:r w:rsidR="00863939">
        <w:rPr>
          <w:noProof/>
        </w:rPr>
        <w:t>1</w:t>
      </w:r>
      <w:r w:rsidR="008079C8">
        <w:rPr>
          <w:noProof/>
        </w:rPr>
        <w:fldChar w:fldCharType="end"/>
      </w:r>
      <w:r w:rsidR="004224C3">
        <w:t>.</w:t>
      </w:r>
      <w:proofErr w:type="gramEnd"/>
      <w:r w:rsidR="008079C8">
        <w:fldChar w:fldCharType="begin"/>
      </w:r>
      <w:r w:rsidR="008079C8">
        <w:instrText xml:space="preserve"> SEQ Table \* ARABIC \s 1 </w:instrText>
      </w:r>
      <w:r w:rsidR="008079C8">
        <w:fldChar w:fldCharType="separate"/>
      </w:r>
      <w:r w:rsidR="00863939">
        <w:rPr>
          <w:noProof/>
        </w:rPr>
        <w:t>1</w:t>
      </w:r>
      <w:r w:rsidR="008079C8">
        <w:rPr>
          <w:noProof/>
        </w:rPr>
        <w:fldChar w:fldCharType="end"/>
      </w:r>
      <w:bookmarkEnd w:id="14"/>
      <w:r>
        <w:tab/>
        <w:t xml:space="preserve">AER's </w:t>
      </w:r>
      <w:r w:rsidR="00134217">
        <w:t>final</w:t>
      </w:r>
      <w:r>
        <w:t xml:space="preserve"> decision on Ergon Energy's revenues for</w:t>
      </w:r>
      <w:r w:rsidR="00134217">
        <w:t xml:space="preserve"> the</w:t>
      </w:r>
      <w:r>
        <w:t xml:space="preserve"> 2015–20 regulatory control period ($million, nominal)</w:t>
      </w:r>
    </w:p>
    <w:tbl>
      <w:tblPr>
        <w:tblStyle w:val="AERtable-numbers"/>
        <w:tblW w:w="8755" w:type="dxa"/>
        <w:tblLayout w:type="fixed"/>
        <w:tblLook w:val="04A0" w:firstRow="1" w:lastRow="0" w:firstColumn="1" w:lastColumn="0" w:noHBand="0" w:noVBand="1"/>
      </w:tblPr>
      <w:tblGrid>
        <w:gridCol w:w="3369"/>
        <w:gridCol w:w="897"/>
        <w:gridCol w:w="898"/>
        <w:gridCol w:w="898"/>
        <w:gridCol w:w="897"/>
        <w:gridCol w:w="898"/>
        <w:gridCol w:w="898"/>
      </w:tblGrid>
      <w:tr w:rsidR="00F51835" w:rsidRPr="00A75D48" w:rsidTr="00AF1F29">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F51835" w:rsidRPr="00F51835" w:rsidRDefault="00F51835" w:rsidP="00F51835">
            <w:r w:rsidRPr="00A75D48">
              <w:t> </w:t>
            </w:r>
          </w:p>
        </w:tc>
        <w:tc>
          <w:tcPr>
            <w:tcW w:w="897" w:type="dxa"/>
            <w:noWrap/>
            <w:hideMark/>
          </w:tcPr>
          <w:p w:rsidR="00F51835" w:rsidRPr="00F51835" w:rsidRDefault="00F51835" w:rsidP="00F51835">
            <w:pPr>
              <w:cnfStyle w:val="100000000000" w:firstRow="1" w:lastRow="0" w:firstColumn="0" w:lastColumn="0" w:oddVBand="0" w:evenVBand="0" w:oddHBand="0" w:evenHBand="0" w:firstRowFirstColumn="0" w:firstRowLastColumn="0" w:lastRowFirstColumn="0" w:lastRowLastColumn="0"/>
            </w:pPr>
            <w:r w:rsidRPr="00A75D48">
              <w:t>201</w:t>
            </w:r>
            <w:r w:rsidRPr="00F51835">
              <w:t>5–16</w:t>
            </w:r>
          </w:p>
        </w:tc>
        <w:tc>
          <w:tcPr>
            <w:tcW w:w="898" w:type="dxa"/>
            <w:noWrap/>
            <w:hideMark/>
          </w:tcPr>
          <w:p w:rsidR="00F51835" w:rsidRPr="00F51835" w:rsidRDefault="00F51835" w:rsidP="00F51835">
            <w:pPr>
              <w:cnfStyle w:val="100000000000" w:firstRow="1" w:lastRow="0" w:firstColumn="0" w:lastColumn="0" w:oddVBand="0" w:evenVBand="0" w:oddHBand="0" w:evenHBand="0" w:firstRowFirstColumn="0" w:firstRowLastColumn="0" w:lastRowFirstColumn="0" w:lastRowLastColumn="0"/>
            </w:pPr>
            <w:r w:rsidRPr="00A75D48">
              <w:t>201</w:t>
            </w:r>
            <w:r w:rsidRPr="00F51835">
              <w:t>6–17</w:t>
            </w:r>
          </w:p>
        </w:tc>
        <w:tc>
          <w:tcPr>
            <w:tcW w:w="898" w:type="dxa"/>
          </w:tcPr>
          <w:p w:rsidR="00F51835" w:rsidRPr="00F51835" w:rsidRDefault="00F51835" w:rsidP="00F51835">
            <w:pPr>
              <w:cnfStyle w:val="100000000000" w:firstRow="1" w:lastRow="0" w:firstColumn="0" w:lastColumn="0" w:oddVBand="0" w:evenVBand="0" w:oddHBand="0" w:evenHBand="0" w:firstRowFirstColumn="0" w:firstRowLastColumn="0" w:lastRowFirstColumn="0" w:lastRowLastColumn="0"/>
            </w:pPr>
            <w:r w:rsidRPr="00A75D48">
              <w:t>201</w:t>
            </w:r>
            <w:r w:rsidRPr="00F51835">
              <w:t>7–18</w:t>
            </w:r>
          </w:p>
        </w:tc>
        <w:tc>
          <w:tcPr>
            <w:tcW w:w="897" w:type="dxa"/>
          </w:tcPr>
          <w:p w:rsidR="00F51835" w:rsidRPr="00F51835" w:rsidRDefault="00F51835" w:rsidP="00F51835">
            <w:pPr>
              <w:cnfStyle w:val="100000000000" w:firstRow="1" w:lastRow="0" w:firstColumn="0" w:lastColumn="0" w:oddVBand="0" w:evenVBand="0" w:oddHBand="0" w:evenHBand="0" w:firstRowFirstColumn="0" w:firstRowLastColumn="0" w:lastRowFirstColumn="0" w:lastRowLastColumn="0"/>
            </w:pPr>
            <w:r w:rsidRPr="00A75D48">
              <w:t>201</w:t>
            </w:r>
            <w:r w:rsidRPr="00F51835">
              <w:t>8–19</w:t>
            </w:r>
          </w:p>
        </w:tc>
        <w:tc>
          <w:tcPr>
            <w:tcW w:w="898" w:type="dxa"/>
          </w:tcPr>
          <w:p w:rsidR="00F51835" w:rsidRPr="00F51835" w:rsidRDefault="00F51835" w:rsidP="00F51835">
            <w:pPr>
              <w:cnfStyle w:val="100000000000" w:firstRow="1" w:lastRow="0" w:firstColumn="0" w:lastColumn="0" w:oddVBand="0" w:evenVBand="0" w:oddHBand="0" w:evenHBand="0" w:firstRowFirstColumn="0" w:firstRowLastColumn="0" w:lastRowFirstColumn="0" w:lastRowLastColumn="0"/>
            </w:pPr>
            <w:r w:rsidRPr="00A75D48">
              <w:t>201</w:t>
            </w:r>
            <w:r w:rsidRPr="00F51835">
              <w:t>9–20</w:t>
            </w:r>
          </w:p>
        </w:tc>
        <w:tc>
          <w:tcPr>
            <w:tcW w:w="898" w:type="dxa"/>
          </w:tcPr>
          <w:p w:rsidR="00F51835" w:rsidRPr="00F51835" w:rsidRDefault="00F51835" w:rsidP="00F51835">
            <w:pPr>
              <w:cnfStyle w:val="100000000000" w:firstRow="1" w:lastRow="0" w:firstColumn="0" w:lastColumn="0" w:oddVBand="0" w:evenVBand="0" w:oddHBand="0" w:evenHBand="0" w:firstRowFirstColumn="0" w:firstRowLastColumn="0" w:lastRowFirstColumn="0" w:lastRowLastColumn="0"/>
            </w:pPr>
            <w:r w:rsidRPr="00A75D48">
              <w:t>Total</w:t>
            </w:r>
          </w:p>
        </w:tc>
      </w:tr>
      <w:tr w:rsidR="00655324" w:rsidRPr="00A75D48" w:rsidTr="008F42E9">
        <w:trPr>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655324" w:rsidRPr="00655324" w:rsidRDefault="00655324" w:rsidP="00655324">
            <w:r w:rsidRPr="00655324">
              <w:t>Return on capital</w:t>
            </w:r>
          </w:p>
        </w:tc>
        <w:tc>
          <w:tcPr>
            <w:tcW w:w="897" w:type="dxa"/>
            <w:noWrap/>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593.2</w:t>
            </w:r>
          </w:p>
        </w:tc>
        <w:tc>
          <w:tcPr>
            <w:tcW w:w="898" w:type="dxa"/>
            <w:noWrap/>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622.9</w:t>
            </w:r>
          </w:p>
        </w:tc>
        <w:tc>
          <w:tcPr>
            <w:tcW w:w="898" w:type="dxa"/>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652.9</w:t>
            </w:r>
          </w:p>
        </w:tc>
        <w:tc>
          <w:tcPr>
            <w:tcW w:w="897" w:type="dxa"/>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680.8</w:t>
            </w:r>
          </w:p>
        </w:tc>
        <w:tc>
          <w:tcPr>
            <w:tcW w:w="898" w:type="dxa"/>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706.5</w:t>
            </w:r>
          </w:p>
        </w:tc>
        <w:tc>
          <w:tcPr>
            <w:tcW w:w="898" w:type="dxa"/>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3256.4</w:t>
            </w:r>
          </w:p>
        </w:tc>
      </w:tr>
      <w:tr w:rsidR="00655324" w:rsidRPr="00A75D48" w:rsidTr="008F42E9">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655324" w:rsidRPr="00655324" w:rsidRDefault="00655324" w:rsidP="00655324">
            <w:r w:rsidRPr="00655324">
              <w:t>Regulatory depreciation</w:t>
            </w:r>
          </w:p>
        </w:tc>
        <w:tc>
          <w:tcPr>
            <w:tcW w:w="897" w:type="dxa"/>
            <w:noWrap/>
            <w:vAlign w:val="top"/>
          </w:tcPr>
          <w:p w:rsidR="00655324" w:rsidRPr="00655324" w:rsidRDefault="00655324" w:rsidP="00655324">
            <w:pPr>
              <w:cnfStyle w:val="000000010000" w:firstRow="0" w:lastRow="0" w:firstColumn="0" w:lastColumn="0" w:oddVBand="0" w:evenVBand="0" w:oddHBand="0" w:evenHBand="1" w:firstRowFirstColumn="0" w:firstRowLastColumn="0" w:lastRowFirstColumn="0" w:lastRowLastColumn="0"/>
            </w:pPr>
            <w:r w:rsidRPr="00655324">
              <w:t>192.3</w:t>
            </w:r>
          </w:p>
        </w:tc>
        <w:tc>
          <w:tcPr>
            <w:tcW w:w="898" w:type="dxa"/>
            <w:noWrap/>
            <w:vAlign w:val="top"/>
          </w:tcPr>
          <w:p w:rsidR="00655324" w:rsidRPr="00655324" w:rsidRDefault="00655324" w:rsidP="00655324">
            <w:pPr>
              <w:cnfStyle w:val="000000010000" w:firstRow="0" w:lastRow="0" w:firstColumn="0" w:lastColumn="0" w:oddVBand="0" w:evenVBand="0" w:oddHBand="0" w:evenHBand="1" w:firstRowFirstColumn="0" w:firstRowLastColumn="0" w:lastRowFirstColumn="0" w:lastRowLastColumn="0"/>
            </w:pPr>
            <w:r w:rsidRPr="00655324">
              <w:t>136.1</w:t>
            </w:r>
          </w:p>
        </w:tc>
        <w:tc>
          <w:tcPr>
            <w:tcW w:w="898" w:type="dxa"/>
            <w:vAlign w:val="top"/>
          </w:tcPr>
          <w:p w:rsidR="00655324" w:rsidRPr="00655324" w:rsidRDefault="00655324" w:rsidP="00655324">
            <w:pPr>
              <w:cnfStyle w:val="000000010000" w:firstRow="0" w:lastRow="0" w:firstColumn="0" w:lastColumn="0" w:oddVBand="0" w:evenVBand="0" w:oddHBand="0" w:evenHBand="1" w:firstRowFirstColumn="0" w:firstRowLastColumn="0" w:lastRowFirstColumn="0" w:lastRowLastColumn="0"/>
            </w:pPr>
            <w:r w:rsidRPr="00655324">
              <w:t>133.7</w:t>
            </w:r>
          </w:p>
        </w:tc>
        <w:tc>
          <w:tcPr>
            <w:tcW w:w="897" w:type="dxa"/>
            <w:vAlign w:val="top"/>
          </w:tcPr>
          <w:p w:rsidR="00655324" w:rsidRPr="00655324" w:rsidRDefault="00655324" w:rsidP="00655324">
            <w:pPr>
              <w:cnfStyle w:val="000000010000" w:firstRow="0" w:lastRow="0" w:firstColumn="0" w:lastColumn="0" w:oddVBand="0" w:evenVBand="0" w:oddHBand="0" w:evenHBand="1" w:firstRowFirstColumn="0" w:firstRowLastColumn="0" w:lastRowFirstColumn="0" w:lastRowLastColumn="0"/>
            </w:pPr>
            <w:r w:rsidRPr="00655324">
              <w:t>141.2</w:t>
            </w:r>
          </w:p>
        </w:tc>
        <w:tc>
          <w:tcPr>
            <w:tcW w:w="898" w:type="dxa"/>
            <w:vAlign w:val="top"/>
          </w:tcPr>
          <w:p w:rsidR="00655324" w:rsidRPr="00655324" w:rsidRDefault="00655324" w:rsidP="00655324">
            <w:pPr>
              <w:cnfStyle w:val="000000010000" w:firstRow="0" w:lastRow="0" w:firstColumn="0" w:lastColumn="0" w:oddVBand="0" w:evenVBand="0" w:oddHBand="0" w:evenHBand="1" w:firstRowFirstColumn="0" w:firstRowLastColumn="0" w:lastRowFirstColumn="0" w:lastRowLastColumn="0"/>
            </w:pPr>
            <w:r w:rsidRPr="00655324">
              <w:t>147.9</w:t>
            </w:r>
          </w:p>
        </w:tc>
        <w:tc>
          <w:tcPr>
            <w:tcW w:w="898" w:type="dxa"/>
            <w:vAlign w:val="top"/>
          </w:tcPr>
          <w:p w:rsidR="00655324" w:rsidRPr="00655324" w:rsidRDefault="00655324" w:rsidP="00655324">
            <w:pPr>
              <w:cnfStyle w:val="000000010000" w:firstRow="0" w:lastRow="0" w:firstColumn="0" w:lastColumn="0" w:oddVBand="0" w:evenVBand="0" w:oddHBand="0" w:evenHBand="1" w:firstRowFirstColumn="0" w:firstRowLastColumn="0" w:lastRowFirstColumn="0" w:lastRowLastColumn="0"/>
            </w:pPr>
            <w:r w:rsidRPr="00655324">
              <w:t>751.2</w:t>
            </w:r>
          </w:p>
        </w:tc>
      </w:tr>
      <w:tr w:rsidR="00655324" w:rsidRPr="00A75D48" w:rsidTr="008F42E9">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655324" w:rsidRPr="00655324" w:rsidRDefault="00655324" w:rsidP="00655324">
            <w:r w:rsidRPr="00655324">
              <w:t>Operating expenditure</w:t>
            </w:r>
          </w:p>
        </w:tc>
        <w:tc>
          <w:tcPr>
            <w:tcW w:w="897" w:type="dxa"/>
            <w:noWrap/>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347.7</w:t>
            </w:r>
          </w:p>
        </w:tc>
        <w:tc>
          <w:tcPr>
            <w:tcW w:w="898" w:type="dxa"/>
            <w:noWrap/>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362.5</w:t>
            </w:r>
          </w:p>
        </w:tc>
        <w:tc>
          <w:tcPr>
            <w:tcW w:w="898" w:type="dxa"/>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377.8</w:t>
            </w:r>
          </w:p>
        </w:tc>
        <w:tc>
          <w:tcPr>
            <w:tcW w:w="897" w:type="dxa"/>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395.2</w:t>
            </w:r>
          </w:p>
        </w:tc>
        <w:tc>
          <w:tcPr>
            <w:tcW w:w="898" w:type="dxa"/>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412.7</w:t>
            </w:r>
          </w:p>
        </w:tc>
        <w:tc>
          <w:tcPr>
            <w:tcW w:w="898" w:type="dxa"/>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1896.0</w:t>
            </w:r>
          </w:p>
        </w:tc>
      </w:tr>
      <w:tr w:rsidR="00655324" w:rsidRPr="00A75D48" w:rsidTr="008F42E9">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655324" w:rsidRPr="00655324" w:rsidRDefault="00655324" w:rsidP="00655324">
            <w:r w:rsidRPr="00655324">
              <w:t xml:space="preserve">Revenue </w:t>
            </w:r>
            <w:proofErr w:type="spellStart"/>
            <w:r w:rsidRPr="00655324">
              <w:t>adjustments</w:t>
            </w:r>
            <w:r w:rsidRPr="00655324">
              <w:rPr>
                <w:rStyle w:val="AERsuperscript"/>
              </w:rPr>
              <w:t>a</w:t>
            </w:r>
            <w:proofErr w:type="spellEnd"/>
          </w:p>
        </w:tc>
        <w:tc>
          <w:tcPr>
            <w:tcW w:w="897" w:type="dxa"/>
            <w:noWrap/>
            <w:vAlign w:val="top"/>
          </w:tcPr>
          <w:p w:rsidR="00655324" w:rsidRPr="00655324" w:rsidRDefault="00655324" w:rsidP="00655324">
            <w:pPr>
              <w:cnfStyle w:val="000000010000" w:firstRow="0" w:lastRow="0" w:firstColumn="0" w:lastColumn="0" w:oddVBand="0" w:evenVBand="0" w:oddHBand="0" w:evenHBand="1" w:firstRowFirstColumn="0" w:firstRowLastColumn="0" w:lastRowFirstColumn="0" w:lastRowLastColumn="0"/>
            </w:pPr>
            <w:r w:rsidRPr="00655324">
              <w:t>90.5</w:t>
            </w:r>
          </w:p>
        </w:tc>
        <w:tc>
          <w:tcPr>
            <w:tcW w:w="898" w:type="dxa"/>
            <w:noWrap/>
            <w:vAlign w:val="top"/>
          </w:tcPr>
          <w:p w:rsidR="00655324" w:rsidRPr="00655324" w:rsidRDefault="00655324" w:rsidP="00655324">
            <w:pPr>
              <w:cnfStyle w:val="000000010000" w:firstRow="0" w:lastRow="0" w:firstColumn="0" w:lastColumn="0" w:oddVBand="0" w:evenVBand="0" w:oddHBand="0" w:evenHBand="1" w:firstRowFirstColumn="0" w:firstRowLastColumn="0" w:lastRowFirstColumn="0" w:lastRowLastColumn="0"/>
            </w:pPr>
            <w:r w:rsidRPr="00655324">
              <w:t>46.3</w:t>
            </w:r>
          </w:p>
        </w:tc>
        <w:tc>
          <w:tcPr>
            <w:tcW w:w="898" w:type="dxa"/>
            <w:vAlign w:val="top"/>
          </w:tcPr>
          <w:p w:rsidR="00655324" w:rsidRPr="00655324" w:rsidRDefault="00655324" w:rsidP="00655324">
            <w:pPr>
              <w:cnfStyle w:val="000000010000" w:firstRow="0" w:lastRow="0" w:firstColumn="0" w:lastColumn="0" w:oddVBand="0" w:evenVBand="0" w:oddHBand="0" w:evenHBand="1" w:firstRowFirstColumn="0" w:firstRowLastColumn="0" w:lastRowFirstColumn="0" w:lastRowLastColumn="0"/>
            </w:pPr>
            <w:r w:rsidRPr="00655324">
              <w:t>66.8</w:t>
            </w:r>
          </w:p>
        </w:tc>
        <w:tc>
          <w:tcPr>
            <w:tcW w:w="897" w:type="dxa"/>
            <w:vAlign w:val="top"/>
          </w:tcPr>
          <w:p w:rsidR="00655324" w:rsidRPr="00655324" w:rsidRDefault="00655324" w:rsidP="00655324">
            <w:pPr>
              <w:cnfStyle w:val="000000010000" w:firstRow="0" w:lastRow="0" w:firstColumn="0" w:lastColumn="0" w:oddVBand="0" w:evenVBand="0" w:oddHBand="0" w:evenHBand="1" w:firstRowFirstColumn="0" w:firstRowLastColumn="0" w:lastRowFirstColumn="0" w:lastRowLastColumn="0"/>
            </w:pPr>
            <w:r w:rsidRPr="00655324">
              <w:t>-18.0</w:t>
            </w:r>
          </w:p>
        </w:tc>
        <w:tc>
          <w:tcPr>
            <w:tcW w:w="898" w:type="dxa"/>
            <w:vAlign w:val="top"/>
          </w:tcPr>
          <w:p w:rsidR="00655324" w:rsidRPr="00655324" w:rsidRDefault="00655324" w:rsidP="00655324">
            <w:pPr>
              <w:cnfStyle w:val="000000010000" w:firstRow="0" w:lastRow="0" w:firstColumn="0" w:lastColumn="0" w:oddVBand="0" w:evenVBand="0" w:oddHBand="0" w:evenHBand="1" w:firstRowFirstColumn="0" w:firstRowLastColumn="0" w:lastRowFirstColumn="0" w:lastRowLastColumn="0"/>
            </w:pPr>
            <w:r w:rsidRPr="00655324">
              <w:t>-2.9</w:t>
            </w:r>
          </w:p>
        </w:tc>
        <w:tc>
          <w:tcPr>
            <w:tcW w:w="898" w:type="dxa"/>
            <w:vAlign w:val="top"/>
          </w:tcPr>
          <w:p w:rsidR="00655324" w:rsidRPr="00655324" w:rsidRDefault="00655324" w:rsidP="00655324">
            <w:pPr>
              <w:cnfStyle w:val="000000010000" w:firstRow="0" w:lastRow="0" w:firstColumn="0" w:lastColumn="0" w:oddVBand="0" w:evenVBand="0" w:oddHBand="0" w:evenHBand="1" w:firstRowFirstColumn="0" w:firstRowLastColumn="0" w:lastRowFirstColumn="0" w:lastRowLastColumn="0"/>
            </w:pPr>
            <w:r w:rsidRPr="00655324">
              <w:t>182.8</w:t>
            </w:r>
          </w:p>
        </w:tc>
      </w:tr>
      <w:tr w:rsidR="00655324" w:rsidRPr="00A75D48" w:rsidTr="008F42E9">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655324" w:rsidRPr="00655324" w:rsidRDefault="00655324" w:rsidP="00655324">
            <w:r w:rsidRPr="00655324">
              <w:t>Net tax allowance</w:t>
            </w:r>
          </w:p>
        </w:tc>
        <w:tc>
          <w:tcPr>
            <w:tcW w:w="897" w:type="dxa"/>
            <w:noWrap/>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43.7</w:t>
            </w:r>
          </w:p>
        </w:tc>
        <w:tc>
          <w:tcPr>
            <w:tcW w:w="898" w:type="dxa"/>
            <w:noWrap/>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30.6</w:t>
            </w:r>
          </w:p>
        </w:tc>
        <w:tc>
          <w:tcPr>
            <w:tcW w:w="898" w:type="dxa"/>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29.0</w:t>
            </w:r>
          </w:p>
        </w:tc>
        <w:tc>
          <w:tcPr>
            <w:tcW w:w="897" w:type="dxa"/>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36.2</w:t>
            </w:r>
          </w:p>
        </w:tc>
        <w:tc>
          <w:tcPr>
            <w:tcW w:w="898" w:type="dxa"/>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40.0</w:t>
            </w:r>
          </w:p>
        </w:tc>
        <w:tc>
          <w:tcPr>
            <w:tcW w:w="898" w:type="dxa"/>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179.6</w:t>
            </w:r>
          </w:p>
        </w:tc>
      </w:tr>
      <w:tr w:rsidR="00655324" w:rsidRPr="00A75D48" w:rsidTr="008F42E9">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655324" w:rsidRPr="00655324" w:rsidRDefault="00655324" w:rsidP="00655324">
            <w:r w:rsidRPr="00655324">
              <w:t>Annual revenue requirement (unsmoothed)</w:t>
            </w:r>
          </w:p>
        </w:tc>
        <w:tc>
          <w:tcPr>
            <w:tcW w:w="897" w:type="dxa"/>
            <w:noWrap/>
            <w:vAlign w:val="top"/>
          </w:tcPr>
          <w:p w:rsidR="00655324" w:rsidRPr="00655324" w:rsidRDefault="00655324" w:rsidP="00655324">
            <w:pPr>
              <w:cnfStyle w:val="000000010000" w:firstRow="0" w:lastRow="0" w:firstColumn="0" w:lastColumn="0" w:oddVBand="0" w:evenVBand="0" w:oddHBand="0" w:evenHBand="1" w:firstRowFirstColumn="0" w:firstRowLastColumn="0" w:lastRowFirstColumn="0" w:lastRowLastColumn="0"/>
            </w:pPr>
            <w:r w:rsidRPr="00655324">
              <w:t>1267.4</w:t>
            </w:r>
          </w:p>
        </w:tc>
        <w:tc>
          <w:tcPr>
            <w:tcW w:w="898" w:type="dxa"/>
            <w:noWrap/>
            <w:vAlign w:val="top"/>
          </w:tcPr>
          <w:p w:rsidR="00655324" w:rsidRPr="00655324" w:rsidRDefault="00655324" w:rsidP="00655324">
            <w:pPr>
              <w:cnfStyle w:val="000000010000" w:firstRow="0" w:lastRow="0" w:firstColumn="0" w:lastColumn="0" w:oddVBand="0" w:evenVBand="0" w:oddHBand="0" w:evenHBand="1" w:firstRowFirstColumn="0" w:firstRowLastColumn="0" w:lastRowFirstColumn="0" w:lastRowLastColumn="0"/>
            </w:pPr>
            <w:r w:rsidRPr="00655324">
              <w:t>1198.4</w:t>
            </w:r>
          </w:p>
        </w:tc>
        <w:tc>
          <w:tcPr>
            <w:tcW w:w="898" w:type="dxa"/>
            <w:vAlign w:val="top"/>
          </w:tcPr>
          <w:p w:rsidR="00655324" w:rsidRPr="00655324" w:rsidRDefault="00655324" w:rsidP="00655324">
            <w:pPr>
              <w:cnfStyle w:val="000000010000" w:firstRow="0" w:lastRow="0" w:firstColumn="0" w:lastColumn="0" w:oddVBand="0" w:evenVBand="0" w:oddHBand="0" w:evenHBand="1" w:firstRowFirstColumn="0" w:firstRowLastColumn="0" w:lastRowFirstColumn="0" w:lastRowLastColumn="0"/>
            </w:pPr>
            <w:r w:rsidRPr="00655324">
              <w:t>1260.3</w:t>
            </w:r>
          </w:p>
        </w:tc>
        <w:tc>
          <w:tcPr>
            <w:tcW w:w="897" w:type="dxa"/>
            <w:vAlign w:val="top"/>
          </w:tcPr>
          <w:p w:rsidR="00655324" w:rsidRPr="00655324" w:rsidRDefault="00655324" w:rsidP="00655324">
            <w:pPr>
              <w:cnfStyle w:val="000000010000" w:firstRow="0" w:lastRow="0" w:firstColumn="0" w:lastColumn="0" w:oddVBand="0" w:evenVBand="0" w:oddHBand="0" w:evenHBand="1" w:firstRowFirstColumn="0" w:firstRowLastColumn="0" w:lastRowFirstColumn="0" w:lastRowLastColumn="0"/>
            </w:pPr>
            <w:r w:rsidRPr="00655324">
              <w:t>1235.5</w:t>
            </w:r>
          </w:p>
        </w:tc>
        <w:tc>
          <w:tcPr>
            <w:tcW w:w="898" w:type="dxa"/>
            <w:vAlign w:val="top"/>
          </w:tcPr>
          <w:p w:rsidR="00655324" w:rsidRPr="00655324" w:rsidRDefault="00655324" w:rsidP="00655324">
            <w:pPr>
              <w:cnfStyle w:val="000000010000" w:firstRow="0" w:lastRow="0" w:firstColumn="0" w:lastColumn="0" w:oddVBand="0" w:evenVBand="0" w:oddHBand="0" w:evenHBand="1" w:firstRowFirstColumn="0" w:firstRowLastColumn="0" w:lastRowFirstColumn="0" w:lastRowLastColumn="0"/>
            </w:pPr>
            <w:r w:rsidRPr="00655324">
              <w:t>1304.4</w:t>
            </w:r>
          </w:p>
        </w:tc>
        <w:tc>
          <w:tcPr>
            <w:tcW w:w="898" w:type="dxa"/>
            <w:vAlign w:val="top"/>
          </w:tcPr>
          <w:p w:rsidR="00655324" w:rsidRPr="00655324" w:rsidRDefault="00655324" w:rsidP="00655324">
            <w:pPr>
              <w:cnfStyle w:val="000000010000" w:firstRow="0" w:lastRow="0" w:firstColumn="0" w:lastColumn="0" w:oddVBand="0" w:evenVBand="0" w:oddHBand="0" w:evenHBand="1" w:firstRowFirstColumn="0" w:firstRowLastColumn="0" w:lastRowFirstColumn="0" w:lastRowLastColumn="0"/>
            </w:pPr>
            <w:r w:rsidRPr="00655324">
              <w:t>6266.0</w:t>
            </w:r>
          </w:p>
        </w:tc>
      </w:tr>
      <w:tr w:rsidR="00655324" w:rsidRPr="00D90C1F" w:rsidTr="008F42E9">
        <w:trPr>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655324" w:rsidRPr="00655324" w:rsidRDefault="00655324" w:rsidP="00655324">
            <w:pPr>
              <w:rPr>
                <w:rStyle w:val="Strong"/>
              </w:rPr>
            </w:pPr>
            <w:r w:rsidRPr="00655324">
              <w:rPr>
                <w:rStyle w:val="Strong"/>
              </w:rPr>
              <w:t xml:space="preserve">Annual expected revenue </w:t>
            </w:r>
            <w:r w:rsidRPr="00655324">
              <w:rPr>
                <w:rStyle w:val="Strong"/>
              </w:rPr>
              <w:br/>
              <w:t xml:space="preserve">(exc. </w:t>
            </w:r>
            <w:proofErr w:type="spellStart"/>
            <w:r w:rsidRPr="00655324">
              <w:rPr>
                <w:rStyle w:val="Strong"/>
              </w:rPr>
              <w:t>additionals</w:t>
            </w:r>
            <w:proofErr w:type="spellEnd"/>
            <w:r w:rsidRPr="00655324">
              <w:rPr>
                <w:rStyle w:val="Strong"/>
              </w:rPr>
              <w:t>)</w:t>
            </w:r>
          </w:p>
        </w:tc>
        <w:tc>
          <w:tcPr>
            <w:tcW w:w="897" w:type="dxa"/>
            <w:noWrap/>
            <w:vAlign w:val="top"/>
          </w:tcPr>
          <w:p w:rsidR="00655324" w:rsidRPr="008F42E9" w:rsidRDefault="00655324" w:rsidP="00655324">
            <w:pPr>
              <w:cnfStyle w:val="000000000000" w:firstRow="0" w:lastRow="0" w:firstColumn="0" w:lastColumn="0" w:oddVBand="0" w:evenVBand="0" w:oddHBand="0" w:evenHBand="0" w:firstRowFirstColumn="0" w:firstRowLastColumn="0" w:lastRowFirstColumn="0" w:lastRowLastColumn="0"/>
              <w:rPr>
                <w:rStyle w:val="Strong"/>
              </w:rPr>
            </w:pPr>
            <w:r w:rsidRPr="008F42E9">
              <w:rPr>
                <w:rStyle w:val="Strong"/>
              </w:rPr>
              <w:t>1137.7</w:t>
            </w:r>
          </w:p>
        </w:tc>
        <w:tc>
          <w:tcPr>
            <w:tcW w:w="898" w:type="dxa"/>
            <w:noWrap/>
            <w:vAlign w:val="top"/>
          </w:tcPr>
          <w:p w:rsidR="00655324" w:rsidRPr="008F42E9" w:rsidRDefault="00655324" w:rsidP="00655324">
            <w:pPr>
              <w:cnfStyle w:val="000000000000" w:firstRow="0" w:lastRow="0" w:firstColumn="0" w:lastColumn="0" w:oddVBand="0" w:evenVBand="0" w:oddHBand="0" w:evenHBand="0" w:firstRowFirstColumn="0" w:firstRowLastColumn="0" w:lastRowFirstColumn="0" w:lastRowLastColumn="0"/>
              <w:rPr>
                <w:rStyle w:val="Strong"/>
              </w:rPr>
            </w:pPr>
            <w:r w:rsidRPr="008F42E9">
              <w:rPr>
                <w:rStyle w:val="Strong"/>
              </w:rPr>
              <w:t>1142.6</w:t>
            </w:r>
          </w:p>
        </w:tc>
        <w:tc>
          <w:tcPr>
            <w:tcW w:w="898" w:type="dxa"/>
            <w:vAlign w:val="top"/>
          </w:tcPr>
          <w:p w:rsidR="00655324" w:rsidRPr="008F42E9" w:rsidRDefault="00655324" w:rsidP="00655324">
            <w:pPr>
              <w:cnfStyle w:val="000000000000" w:firstRow="0" w:lastRow="0" w:firstColumn="0" w:lastColumn="0" w:oddVBand="0" w:evenVBand="0" w:oddHBand="0" w:evenHBand="0" w:firstRowFirstColumn="0" w:firstRowLastColumn="0" w:lastRowFirstColumn="0" w:lastRowLastColumn="0"/>
              <w:rPr>
                <w:rStyle w:val="Strong"/>
              </w:rPr>
            </w:pPr>
            <w:r w:rsidRPr="008F42E9">
              <w:rPr>
                <w:rStyle w:val="Strong"/>
              </w:rPr>
              <w:t>1335.1</w:t>
            </w:r>
          </w:p>
        </w:tc>
        <w:tc>
          <w:tcPr>
            <w:tcW w:w="897" w:type="dxa"/>
            <w:vAlign w:val="top"/>
          </w:tcPr>
          <w:p w:rsidR="00655324" w:rsidRPr="008F42E9" w:rsidRDefault="00655324" w:rsidP="00655324">
            <w:pPr>
              <w:cnfStyle w:val="000000000000" w:firstRow="0" w:lastRow="0" w:firstColumn="0" w:lastColumn="0" w:oddVBand="0" w:evenVBand="0" w:oddHBand="0" w:evenHBand="0" w:firstRowFirstColumn="0" w:firstRowLastColumn="0" w:lastRowFirstColumn="0" w:lastRowLastColumn="0"/>
              <w:rPr>
                <w:rStyle w:val="Strong"/>
              </w:rPr>
            </w:pPr>
            <w:r w:rsidRPr="008F42E9">
              <w:rPr>
                <w:rStyle w:val="Strong"/>
              </w:rPr>
              <w:t>1337.0</w:t>
            </w:r>
          </w:p>
        </w:tc>
        <w:tc>
          <w:tcPr>
            <w:tcW w:w="898" w:type="dxa"/>
            <w:vAlign w:val="top"/>
          </w:tcPr>
          <w:p w:rsidR="00655324" w:rsidRPr="008F42E9" w:rsidRDefault="00655324" w:rsidP="00655324">
            <w:pPr>
              <w:cnfStyle w:val="000000000000" w:firstRow="0" w:lastRow="0" w:firstColumn="0" w:lastColumn="0" w:oddVBand="0" w:evenVBand="0" w:oddHBand="0" w:evenHBand="0" w:firstRowFirstColumn="0" w:firstRowLastColumn="0" w:lastRowFirstColumn="0" w:lastRowLastColumn="0"/>
              <w:rPr>
                <w:rStyle w:val="Strong"/>
              </w:rPr>
            </w:pPr>
            <w:r w:rsidRPr="008F42E9">
              <w:rPr>
                <w:rStyle w:val="Strong"/>
              </w:rPr>
              <w:t>1343.0</w:t>
            </w:r>
          </w:p>
        </w:tc>
        <w:tc>
          <w:tcPr>
            <w:tcW w:w="898" w:type="dxa"/>
            <w:vAlign w:val="top"/>
          </w:tcPr>
          <w:p w:rsidR="00655324" w:rsidRPr="008F42E9" w:rsidRDefault="00655324" w:rsidP="00655324">
            <w:pPr>
              <w:cnfStyle w:val="000000000000" w:firstRow="0" w:lastRow="0" w:firstColumn="0" w:lastColumn="0" w:oddVBand="0" w:evenVBand="0" w:oddHBand="0" w:evenHBand="0" w:firstRowFirstColumn="0" w:firstRowLastColumn="0" w:lastRowFirstColumn="0" w:lastRowLastColumn="0"/>
              <w:rPr>
                <w:rStyle w:val="Strong"/>
              </w:rPr>
            </w:pPr>
            <w:r w:rsidRPr="008F42E9">
              <w:rPr>
                <w:rStyle w:val="Strong"/>
              </w:rPr>
              <w:t>6295.4</w:t>
            </w:r>
          </w:p>
        </w:tc>
      </w:tr>
      <w:tr w:rsidR="00F51835" w:rsidRPr="00A75D48" w:rsidTr="00AF1F29">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F51835" w:rsidRPr="00F51835" w:rsidRDefault="00F51835" w:rsidP="00F51835">
            <w:r w:rsidRPr="00D90C1F">
              <w:t xml:space="preserve">X </w:t>
            </w:r>
            <w:proofErr w:type="spellStart"/>
            <w:r w:rsidRPr="00D90C1F">
              <w:t>factor</w:t>
            </w:r>
            <w:r w:rsidRPr="00F51835">
              <w:rPr>
                <w:rStyle w:val="AERsuperscript"/>
              </w:rPr>
              <w:t>b</w:t>
            </w:r>
            <w:proofErr w:type="spellEnd"/>
          </w:p>
        </w:tc>
        <w:tc>
          <w:tcPr>
            <w:tcW w:w="897" w:type="dxa"/>
            <w:noWrap/>
          </w:tcPr>
          <w:p w:rsidR="00F51835" w:rsidRPr="00EE71FB" w:rsidRDefault="008C1E79" w:rsidP="00F51835">
            <w:pPr>
              <w:cnfStyle w:val="000000010000" w:firstRow="0" w:lastRow="0" w:firstColumn="0" w:lastColumn="0" w:oddVBand="0" w:evenVBand="0" w:oddHBand="0" w:evenHBand="1" w:firstRowFirstColumn="0" w:firstRowLastColumn="0" w:lastRowFirstColumn="0" w:lastRowLastColumn="0"/>
              <w:rPr>
                <w:rStyle w:val="AERsuperscript"/>
              </w:rPr>
            </w:pPr>
            <w:r>
              <w:t>n/a</w:t>
            </w:r>
            <w:r w:rsidR="00EE71FB">
              <w:rPr>
                <w:rStyle w:val="AERsuperscript"/>
              </w:rPr>
              <w:t>d</w:t>
            </w:r>
          </w:p>
        </w:tc>
        <w:tc>
          <w:tcPr>
            <w:tcW w:w="898" w:type="dxa"/>
            <w:noWrap/>
          </w:tcPr>
          <w:p w:rsidR="00F51835" w:rsidRPr="00F51835" w:rsidRDefault="001E19DB" w:rsidP="00F51835">
            <w:pPr>
              <w:cnfStyle w:val="000000010000" w:firstRow="0" w:lastRow="0" w:firstColumn="0" w:lastColumn="0" w:oddVBand="0" w:evenVBand="0" w:oddHBand="0" w:evenHBand="1" w:firstRowFirstColumn="0" w:firstRowLastColumn="0" w:lastRowFirstColumn="0" w:lastRowLastColumn="0"/>
            </w:pPr>
            <w:r>
              <w:t>2.0</w:t>
            </w:r>
            <w:r w:rsidR="00655324">
              <w:t>2</w:t>
            </w:r>
            <w:r w:rsidR="00F51835" w:rsidRPr="00D90C1F">
              <w:t>%</w:t>
            </w:r>
          </w:p>
        </w:tc>
        <w:tc>
          <w:tcPr>
            <w:tcW w:w="898" w:type="dxa"/>
          </w:tcPr>
          <w:p w:rsidR="00F51835" w:rsidRPr="00F51835" w:rsidRDefault="00F51835" w:rsidP="00F51835">
            <w:pPr>
              <w:cnfStyle w:val="000000010000" w:firstRow="0" w:lastRow="0" w:firstColumn="0" w:lastColumn="0" w:oddVBand="0" w:evenVBand="0" w:oddHBand="0" w:evenHBand="1" w:firstRowFirstColumn="0" w:firstRowLastColumn="0" w:lastRowFirstColumn="0" w:lastRowLastColumn="0"/>
            </w:pPr>
            <w:r>
              <w:t>–</w:t>
            </w:r>
            <w:r w:rsidRPr="00F51835">
              <w:t>14.00%</w:t>
            </w:r>
          </w:p>
        </w:tc>
        <w:tc>
          <w:tcPr>
            <w:tcW w:w="897" w:type="dxa"/>
          </w:tcPr>
          <w:p w:rsidR="00F51835" w:rsidRPr="00F51835" w:rsidRDefault="001E19DB" w:rsidP="00F51835">
            <w:pPr>
              <w:cnfStyle w:val="000000010000" w:firstRow="0" w:lastRow="0" w:firstColumn="0" w:lastColumn="0" w:oddVBand="0" w:evenVBand="0" w:oddHBand="0" w:evenHBand="1" w:firstRowFirstColumn="0" w:firstRowLastColumn="0" w:lastRowFirstColumn="0" w:lastRowLastColumn="0"/>
            </w:pPr>
            <w:r>
              <w:t>2.</w:t>
            </w:r>
            <w:r w:rsidR="00655324">
              <w:t>3</w:t>
            </w:r>
            <w:r w:rsidR="00F51835" w:rsidRPr="00D90C1F">
              <w:t>0%</w:t>
            </w:r>
          </w:p>
        </w:tc>
        <w:tc>
          <w:tcPr>
            <w:tcW w:w="898" w:type="dxa"/>
          </w:tcPr>
          <w:p w:rsidR="00F51835" w:rsidRPr="00F51835" w:rsidRDefault="001E19DB" w:rsidP="00F51835">
            <w:pPr>
              <w:cnfStyle w:val="000000010000" w:firstRow="0" w:lastRow="0" w:firstColumn="0" w:lastColumn="0" w:oddVBand="0" w:evenVBand="0" w:oddHBand="0" w:evenHBand="1" w:firstRowFirstColumn="0" w:firstRowLastColumn="0" w:lastRowFirstColumn="0" w:lastRowLastColumn="0"/>
            </w:pPr>
            <w:r>
              <w:t>2</w:t>
            </w:r>
            <w:r w:rsidR="00F51835" w:rsidRPr="00D90C1F">
              <w:t>.00%</w:t>
            </w:r>
          </w:p>
        </w:tc>
        <w:tc>
          <w:tcPr>
            <w:tcW w:w="898" w:type="dxa"/>
          </w:tcPr>
          <w:p w:rsidR="00F51835" w:rsidRPr="00F51835" w:rsidRDefault="00F51835" w:rsidP="00F51835">
            <w:pPr>
              <w:cnfStyle w:val="000000010000" w:firstRow="0" w:lastRow="0" w:firstColumn="0" w:lastColumn="0" w:oddVBand="0" w:evenVBand="0" w:oddHBand="0" w:evenHBand="1" w:firstRowFirstColumn="0" w:firstRowLastColumn="0" w:lastRowFirstColumn="0" w:lastRowLastColumn="0"/>
            </w:pPr>
            <w:r w:rsidRPr="00D90C1F">
              <w:t>n/a</w:t>
            </w:r>
          </w:p>
        </w:tc>
      </w:tr>
      <w:tr w:rsidR="00655324" w:rsidRPr="00A75D48" w:rsidTr="008F42E9">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655324" w:rsidRPr="00655324" w:rsidRDefault="00655324" w:rsidP="00655324">
            <w:r w:rsidRPr="00655324">
              <w:t xml:space="preserve">Additional amounts in </w:t>
            </w:r>
            <w:proofErr w:type="spellStart"/>
            <w:r w:rsidRPr="00655324">
              <w:t>DUoS</w:t>
            </w:r>
            <w:r w:rsidRPr="00655324">
              <w:rPr>
                <w:rStyle w:val="AERsuperscript"/>
              </w:rPr>
              <w:t>c</w:t>
            </w:r>
            <w:proofErr w:type="spellEnd"/>
          </w:p>
        </w:tc>
        <w:tc>
          <w:tcPr>
            <w:tcW w:w="897" w:type="dxa"/>
            <w:noWrap/>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420.6</w:t>
            </w:r>
          </w:p>
        </w:tc>
        <w:tc>
          <w:tcPr>
            <w:tcW w:w="898" w:type="dxa"/>
            <w:noWrap/>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341.6</w:t>
            </w:r>
          </w:p>
        </w:tc>
        <w:tc>
          <w:tcPr>
            <w:tcW w:w="898" w:type="dxa"/>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114.3</w:t>
            </w:r>
          </w:p>
        </w:tc>
        <w:tc>
          <w:tcPr>
            <w:tcW w:w="897" w:type="dxa"/>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114.0</w:t>
            </w:r>
          </w:p>
        </w:tc>
        <w:tc>
          <w:tcPr>
            <w:tcW w:w="898" w:type="dxa"/>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113.8</w:t>
            </w:r>
          </w:p>
        </w:tc>
        <w:tc>
          <w:tcPr>
            <w:tcW w:w="898" w:type="dxa"/>
            <w:vAlign w:val="top"/>
          </w:tcPr>
          <w:p w:rsidR="00655324" w:rsidRPr="00655324" w:rsidRDefault="00655324" w:rsidP="00655324">
            <w:pPr>
              <w:cnfStyle w:val="000000000000" w:firstRow="0" w:lastRow="0" w:firstColumn="0" w:lastColumn="0" w:oddVBand="0" w:evenVBand="0" w:oddHBand="0" w:evenHBand="0" w:firstRowFirstColumn="0" w:firstRowLastColumn="0" w:lastRowFirstColumn="0" w:lastRowLastColumn="0"/>
            </w:pPr>
            <w:r w:rsidRPr="00655324">
              <w:t>1104.3</w:t>
            </w:r>
          </w:p>
        </w:tc>
      </w:tr>
      <w:tr w:rsidR="00655324" w:rsidRPr="00D90C1F" w:rsidTr="008F42E9">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655324" w:rsidRPr="00655324" w:rsidRDefault="00655324" w:rsidP="00655324">
            <w:pPr>
              <w:rPr>
                <w:rStyle w:val="Strong"/>
              </w:rPr>
            </w:pPr>
            <w:r w:rsidRPr="00655324">
              <w:rPr>
                <w:rStyle w:val="Strong"/>
              </w:rPr>
              <w:t xml:space="preserve">Annual expected revenue </w:t>
            </w:r>
            <w:r w:rsidRPr="00655324">
              <w:rPr>
                <w:rStyle w:val="Strong"/>
              </w:rPr>
              <w:br/>
              <w:t xml:space="preserve">(smoothed – </w:t>
            </w:r>
            <w:proofErr w:type="spellStart"/>
            <w:r w:rsidRPr="00655324">
              <w:rPr>
                <w:rStyle w:val="Strong"/>
              </w:rPr>
              <w:t>inc.</w:t>
            </w:r>
            <w:proofErr w:type="spellEnd"/>
            <w:r w:rsidRPr="00655324">
              <w:rPr>
                <w:rStyle w:val="Strong"/>
              </w:rPr>
              <w:t xml:space="preserve"> </w:t>
            </w:r>
            <w:proofErr w:type="spellStart"/>
            <w:r w:rsidRPr="00655324">
              <w:rPr>
                <w:rStyle w:val="Strong"/>
              </w:rPr>
              <w:t>additionals</w:t>
            </w:r>
            <w:proofErr w:type="spellEnd"/>
            <w:r w:rsidRPr="00655324">
              <w:rPr>
                <w:rStyle w:val="Strong"/>
              </w:rPr>
              <w:t>)</w:t>
            </w:r>
          </w:p>
        </w:tc>
        <w:tc>
          <w:tcPr>
            <w:tcW w:w="897" w:type="dxa"/>
            <w:noWrap/>
            <w:vAlign w:val="top"/>
          </w:tcPr>
          <w:p w:rsidR="00655324" w:rsidRPr="008F42E9" w:rsidRDefault="00655324" w:rsidP="00655324">
            <w:pPr>
              <w:cnfStyle w:val="000000010000" w:firstRow="0" w:lastRow="0" w:firstColumn="0" w:lastColumn="0" w:oddVBand="0" w:evenVBand="0" w:oddHBand="0" w:evenHBand="1" w:firstRowFirstColumn="0" w:firstRowLastColumn="0" w:lastRowFirstColumn="0" w:lastRowLastColumn="0"/>
              <w:rPr>
                <w:rStyle w:val="Strong"/>
              </w:rPr>
            </w:pPr>
            <w:r w:rsidRPr="008F42E9">
              <w:rPr>
                <w:rStyle w:val="Strong"/>
              </w:rPr>
              <w:t>1558.3</w:t>
            </w:r>
          </w:p>
        </w:tc>
        <w:tc>
          <w:tcPr>
            <w:tcW w:w="898" w:type="dxa"/>
            <w:noWrap/>
            <w:vAlign w:val="top"/>
          </w:tcPr>
          <w:p w:rsidR="00655324" w:rsidRPr="008F42E9" w:rsidRDefault="00655324" w:rsidP="00655324">
            <w:pPr>
              <w:cnfStyle w:val="000000010000" w:firstRow="0" w:lastRow="0" w:firstColumn="0" w:lastColumn="0" w:oddVBand="0" w:evenVBand="0" w:oddHBand="0" w:evenHBand="1" w:firstRowFirstColumn="0" w:firstRowLastColumn="0" w:lastRowFirstColumn="0" w:lastRowLastColumn="0"/>
              <w:rPr>
                <w:rStyle w:val="Strong"/>
              </w:rPr>
            </w:pPr>
            <w:r w:rsidRPr="008F42E9">
              <w:rPr>
                <w:rStyle w:val="Strong"/>
              </w:rPr>
              <w:t>1484.2</w:t>
            </w:r>
          </w:p>
        </w:tc>
        <w:tc>
          <w:tcPr>
            <w:tcW w:w="898" w:type="dxa"/>
            <w:vAlign w:val="top"/>
          </w:tcPr>
          <w:p w:rsidR="00655324" w:rsidRPr="008F42E9" w:rsidRDefault="00655324" w:rsidP="00655324">
            <w:pPr>
              <w:cnfStyle w:val="000000010000" w:firstRow="0" w:lastRow="0" w:firstColumn="0" w:lastColumn="0" w:oddVBand="0" w:evenVBand="0" w:oddHBand="0" w:evenHBand="1" w:firstRowFirstColumn="0" w:firstRowLastColumn="0" w:lastRowFirstColumn="0" w:lastRowLastColumn="0"/>
              <w:rPr>
                <w:rStyle w:val="Strong"/>
              </w:rPr>
            </w:pPr>
            <w:r w:rsidRPr="008F42E9">
              <w:rPr>
                <w:rStyle w:val="Strong"/>
              </w:rPr>
              <w:t>1449.4</w:t>
            </w:r>
          </w:p>
        </w:tc>
        <w:tc>
          <w:tcPr>
            <w:tcW w:w="897" w:type="dxa"/>
            <w:vAlign w:val="top"/>
          </w:tcPr>
          <w:p w:rsidR="00655324" w:rsidRPr="008F42E9" w:rsidRDefault="00655324" w:rsidP="00655324">
            <w:pPr>
              <w:cnfStyle w:val="000000010000" w:firstRow="0" w:lastRow="0" w:firstColumn="0" w:lastColumn="0" w:oddVBand="0" w:evenVBand="0" w:oddHBand="0" w:evenHBand="1" w:firstRowFirstColumn="0" w:firstRowLastColumn="0" w:lastRowFirstColumn="0" w:lastRowLastColumn="0"/>
              <w:rPr>
                <w:rStyle w:val="Strong"/>
              </w:rPr>
            </w:pPr>
            <w:r w:rsidRPr="008F42E9">
              <w:rPr>
                <w:rStyle w:val="Strong"/>
              </w:rPr>
              <w:t>1451.0</w:t>
            </w:r>
          </w:p>
        </w:tc>
        <w:tc>
          <w:tcPr>
            <w:tcW w:w="898" w:type="dxa"/>
            <w:vAlign w:val="top"/>
          </w:tcPr>
          <w:p w:rsidR="00655324" w:rsidRPr="008F42E9" w:rsidRDefault="00655324" w:rsidP="00655324">
            <w:pPr>
              <w:cnfStyle w:val="000000010000" w:firstRow="0" w:lastRow="0" w:firstColumn="0" w:lastColumn="0" w:oddVBand="0" w:evenVBand="0" w:oddHBand="0" w:evenHBand="1" w:firstRowFirstColumn="0" w:firstRowLastColumn="0" w:lastRowFirstColumn="0" w:lastRowLastColumn="0"/>
              <w:rPr>
                <w:rStyle w:val="Strong"/>
              </w:rPr>
            </w:pPr>
            <w:r w:rsidRPr="008F42E9">
              <w:rPr>
                <w:rStyle w:val="Strong"/>
              </w:rPr>
              <w:t>1456.8</w:t>
            </w:r>
          </w:p>
        </w:tc>
        <w:tc>
          <w:tcPr>
            <w:tcW w:w="898" w:type="dxa"/>
            <w:vAlign w:val="top"/>
          </w:tcPr>
          <w:p w:rsidR="00655324" w:rsidRPr="008F42E9" w:rsidRDefault="00655324" w:rsidP="00655324">
            <w:pPr>
              <w:cnfStyle w:val="000000010000" w:firstRow="0" w:lastRow="0" w:firstColumn="0" w:lastColumn="0" w:oddVBand="0" w:evenVBand="0" w:oddHBand="0" w:evenHBand="1" w:firstRowFirstColumn="0" w:firstRowLastColumn="0" w:lastRowFirstColumn="0" w:lastRowLastColumn="0"/>
              <w:rPr>
                <w:rStyle w:val="Strong"/>
              </w:rPr>
            </w:pPr>
            <w:r w:rsidRPr="008F42E9">
              <w:rPr>
                <w:rStyle w:val="Strong"/>
              </w:rPr>
              <w:t>7399.7</w:t>
            </w:r>
          </w:p>
        </w:tc>
      </w:tr>
      <w:tr w:rsidR="00F51835" w:rsidRPr="00A75D48" w:rsidTr="00AF1F29">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F51835" w:rsidRPr="00F51835" w:rsidRDefault="00F51835" w:rsidP="00AF1F29">
            <w:r w:rsidRPr="00D90C1F">
              <w:t>Annual change in revenue</w:t>
            </w:r>
            <w:r w:rsidR="00AF1F29">
              <w:t xml:space="preserve"> (</w:t>
            </w:r>
            <w:proofErr w:type="spellStart"/>
            <w:r w:rsidRPr="00D90C1F">
              <w:t>inc.</w:t>
            </w:r>
            <w:proofErr w:type="spellEnd"/>
            <w:r w:rsidRPr="00D90C1F">
              <w:t xml:space="preserve"> </w:t>
            </w:r>
            <w:proofErr w:type="spellStart"/>
            <w:r w:rsidRPr="00D90C1F">
              <w:t>additionals</w:t>
            </w:r>
            <w:proofErr w:type="spellEnd"/>
            <w:r w:rsidR="00AF1F29">
              <w:t>)</w:t>
            </w:r>
          </w:p>
        </w:tc>
        <w:tc>
          <w:tcPr>
            <w:tcW w:w="897" w:type="dxa"/>
            <w:noWrap/>
          </w:tcPr>
          <w:p w:rsidR="00F51835" w:rsidRPr="00F51835" w:rsidRDefault="008C1E79" w:rsidP="00F51835">
            <w:pPr>
              <w:cnfStyle w:val="000000000000" w:firstRow="0" w:lastRow="0" w:firstColumn="0" w:lastColumn="0" w:oddVBand="0" w:evenVBand="0" w:oddHBand="0" w:evenHBand="0" w:firstRowFirstColumn="0" w:firstRowLastColumn="0" w:lastRowFirstColumn="0" w:lastRowLastColumn="0"/>
            </w:pPr>
            <w:r>
              <w:t>n/a</w:t>
            </w:r>
          </w:p>
        </w:tc>
        <w:tc>
          <w:tcPr>
            <w:tcW w:w="898" w:type="dxa"/>
            <w:noWrap/>
          </w:tcPr>
          <w:p w:rsidR="00F51835" w:rsidRPr="00F51835" w:rsidRDefault="00F51835" w:rsidP="001E19DB">
            <w:pPr>
              <w:cnfStyle w:val="000000000000" w:firstRow="0" w:lastRow="0" w:firstColumn="0" w:lastColumn="0" w:oddVBand="0" w:evenVBand="0" w:oddHBand="0" w:evenHBand="0" w:firstRowFirstColumn="0" w:firstRowLastColumn="0" w:lastRowFirstColumn="0" w:lastRowLastColumn="0"/>
            </w:pPr>
            <w:r w:rsidRPr="00D90C1F">
              <w:t>–</w:t>
            </w:r>
            <w:r w:rsidR="001E19DB">
              <w:t>4.8</w:t>
            </w:r>
            <w:r w:rsidRPr="00F51835">
              <w:t>%</w:t>
            </w:r>
          </w:p>
        </w:tc>
        <w:tc>
          <w:tcPr>
            <w:tcW w:w="898" w:type="dxa"/>
          </w:tcPr>
          <w:p w:rsidR="00F51835" w:rsidRPr="00F51835" w:rsidRDefault="00F51835" w:rsidP="00F51835">
            <w:pPr>
              <w:cnfStyle w:val="000000000000" w:firstRow="0" w:lastRow="0" w:firstColumn="0" w:lastColumn="0" w:oddVBand="0" w:evenVBand="0" w:oddHBand="0" w:evenHBand="0" w:firstRowFirstColumn="0" w:firstRowLastColumn="0" w:lastRowFirstColumn="0" w:lastRowLastColumn="0"/>
            </w:pPr>
            <w:r w:rsidRPr="00D90C1F">
              <w:t>–2.</w:t>
            </w:r>
            <w:r w:rsidR="001E19DB">
              <w:t>3</w:t>
            </w:r>
            <w:r w:rsidRPr="00D90C1F">
              <w:t>%</w:t>
            </w:r>
          </w:p>
        </w:tc>
        <w:tc>
          <w:tcPr>
            <w:tcW w:w="897" w:type="dxa"/>
          </w:tcPr>
          <w:p w:rsidR="00F51835" w:rsidRPr="00F51835" w:rsidRDefault="001E19DB" w:rsidP="00F51835">
            <w:pPr>
              <w:cnfStyle w:val="000000000000" w:firstRow="0" w:lastRow="0" w:firstColumn="0" w:lastColumn="0" w:oddVBand="0" w:evenVBand="0" w:oddHBand="0" w:evenHBand="0" w:firstRowFirstColumn="0" w:firstRowLastColumn="0" w:lastRowFirstColumn="0" w:lastRowLastColumn="0"/>
            </w:pPr>
            <w:r>
              <w:t>0.</w:t>
            </w:r>
            <w:r w:rsidR="00655324">
              <w:t>1</w:t>
            </w:r>
            <w:r w:rsidR="00F51835" w:rsidRPr="00D90C1F">
              <w:t>%</w:t>
            </w:r>
          </w:p>
        </w:tc>
        <w:tc>
          <w:tcPr>
            <w:tcW w:w="898" w:type="dxa"/>
          </w:tcPr>
          <w:p w:rsidR="00F51835" w:rsidRPr="00F51835" w:rsidRDefault="001E19DB" w:rsidP="00F51835">
            <w:pPr>
              <w:cnfStyle w:val="000000000000" w:firstRow="0" w:lastRow="0" w:firstColumn="0" w:lastColumn="0" w:oddVBand="0" w:evenVBand="0" w:oddHBand="0" w:evenHBand="0" w:firstRowFirstColumn="0" w:firstRowLastColumn="0" w:lastRowFirstColumn="0" w:lastRowLastColumn="0"/>
            </w:pPr>
            <w:r>
              <w:t>0.4</w:t>
            </w:r>
            <w:r w:rsidR="00F51835" w:rsidRPr="00D90C1F">
              <w:t>%</w:t>
            </w:r>
          </w:p>
        </w:tc>
        <w:tc>
          <w:tcPr>
            <w:tcW w:w="898" w:type="dxa"/>
          </w:tcPr>
          <w:p w:rsidR="00F51835" w:rsidRPr="00F51835" w:rsidRDefault="00F51835" w:rsidP="00F51835">
            <w:pPr>
              <w:cnfStyle w:val="000000000000" w:firstRow="0" w:lastRow="0" w:firstColumn="0" w:lastColumn="0" w:oddVBand="0" w:evenVBand="0" w:oddHBand="0" w:evenHBand="0" w:firstRowFirstColumn="0" w:firstRowLastColumn="0" w:lastRowFirstColumn="0" w:lastRowLastColumn="0"/>
            </w:pPr>
            <w:r w:rsidRPr="00D90C1F">
              <w:t>n/a</w:t>
            </w:r>
          </w:p>
        </w:tc>
      </w:tr>
    </w:tbl>
    <w:p w:rsidR="00F51835" w:rsidRPr="00A75D48" w:rsidRDefault="00F51835" w:rsidP="00F51835">
      <w:pPr>
        <w:pStyle w:val="AERtablesource"/>
      </w:pPr>
      <w:r w:rsidRPr="00A75D48">
        <w:t xml:space="preserve">Source: </w:t>
      </w:r>
      <w:r w:rsidRPr="00A75D48">
        <w:tab/>
        <w:t xml:space="preserve">AER analysis. </w:t>
      </w:r>
    </w:p>
    <w:p w:rsidR="00F51835" w:rsidRDefault="00F51835" w:rsidP="00F51835">
      <w:pPr>
        <w:pStyle w:val="AERtablesource"/>
      </w:pPr>
      <w:r>
        <w:lastRenderedPageBreak/>
        <w:t>(a</w:t>
      </w:r>
      <w:r w:rsidRPr="00A75D48">
        <w:t>)</w:t>
      </w:r>
      <w:r w:rsidRPr="00A75D48">
        <w:tab/>
      </w:r>
      <w:r>
        <w:t>Revenue adjustments include efficiency benefit sharing schem</w:t>
      </w:r>
      <w:r w:rsidR="00644A70">
        <w:t xml:space="preserve">e carry-overs, forecast DMIA, </w:t>
      </w:r>
      <w:proofErr w:type="spellStart"/>
      <w:r>
        <w:t>DUoS</w:t>
      </w:r>
      <w:proofErr w:type="spellEnd"/>
      <w:r>
        <w:t xml:space="preserve"> under</w:t>
      </w:r>
      <w:r w:rsidR="00134217">
        <w:t>-</w:t>
      </w:r>
      <w:r>
        <w:t>recoveries</w:t>
      </w:r>
      <w:r w:rsidR="00644A70">
        <w:t xml:space="preserve"> and shared asset adjustments</w:t>
      </w:r>
      <w:r>
        <w:t>.</w:t>
      </w:r>
    </w:p>
    <w:p w:rsidR="00F51835" w:rsidRDefault="00F51835" w:rsidP="00F51835">
      <w:pPr>
        <w:pStyle w:val="AERtablesource"/>
      </w:pPr>
      <w:r>
        <w:t>(b)</w:t>
      </w:r>
      <w:r>
        <w:tab/>
      </w:r>
      <w:r w:rsidRPr="00A75D48">
        <w:t>The X factor</w:t>
      </w:r>
      <w:r>
        <w:t>s</w:t>
      </w:r>
      <w:r w:rsidRPr="00A75D48">
        <w:t xml:space="preserve"> </w:t>
      </w:r>
      <w:r>
        <w:t xml:space="preserve">from 2016–17 to 2019–20 </w:t>
      </w:r>
      <w:r w:rsidRPr="00A75D48">
        <w:t>will be revised to reflect the annual return on debt update.</w:t>
      </w:r>
      <w:r w:rsidRPr="00A351D6">
        <w:t xml:space="preserve"> </w:t>
      </w:r>
      <w:r>
        <w:t xml:space="preserve">Under the CPI–X framework, the X factor measures the real rate of change in annual expected revenue from one year to the next. A negative X factor represents a real increase in revenue. Conversely, a positive X factor represents a real decrease in revenue. </w:t>
      </w:r>
    </w:p>
    <w:p w:rsidR="00F51835" w:rsidRDefault="00F51835" w:rsidP="00AF06C7">
      <w:pPr>
        <w:pStyle w:val="AERtablesource"/>
      </w:pPr>
      <w:r>
        <w:t>(c)</w:t>
      </w:r>
      <w:r>
        <w:tab/>
        <w:t xml:space="preserve">Additional amounts in </w:t>
      </w:r>
      <w:proofErr w:type="spellStart"/>
      <w:r>
        <w:t>DUoS</w:t>
      </w:r>
      <w:proofErr w:type="spellEnd"/>
      <w:r>
        <w:t xml:space="preserve"> include s</w:t>
      </w:r>
      <w:r w:rsidRPr="00355EBC">
        <w:t>olar bonus scheme forecasts (jurisdictional scheme</w:t>
      </w:r>
      <w:r>
        <w:t xml:space="preserve"> obligation for </w:t>
      </w:r>
      <w:proofErr w:type="spellStart"/>
      <w:r>
        <w:t>FiT</w:t>
      </w:r>
      <w:proofErr w:type="spellEnd"/>
      <w:r>
        <w:t>) for 2015–20, e</w:t>
      </w:r>
      <w:r w:rsidRPr="00355EBC">
        <w:t>stimated solar bonus scheme pass throughs for 2015–16 and 2016–</w:t>
      </w:r>
      <w:r>
        <w:t>1</w:t>
      </w:r>
      <w:r w:rsidRPr="00355EBC">
        <w:t>7 relating to under-recoveries in 2013–14 and 2014–15</w:t>
      </w:r>
      <w:r>
        <w:t>,</w:t>
      </w:r>
      <w:r w:rsidRPr="00BF2F5F">
        <w:t xml:space="preserve"> </w:t>
      </w:r>
      <w:r>
        <w:t>e</w:t>
      </w:r>
      <w:r w:rsidRPr="00BF2F5F">
        <w:t xml:space="preserve">stimated </w:t>
      </w:r>
      <w:proofErr w:type="spellStart"/>
      <w:r w:rsidRPr="00BF2F5F">
        <w:t>DUoS</w:t>
      </w:r>
      <w:proofErr w:type="spellEnd"/>
      <w:r w:rsidRPr="00BF2F5F">
        <w:t xml:space="preserve"> under</w:t>
      </w:r>
      <w:r w:rsidR="00AF06C7">
        <w:t>-</w:t>
      </w:r>
      <w:r w:rsidRPr="00BF2F5F">
        <w:t>recovery for 2013–14</w:t>
      </w:r>
      <w:r>
        <w:t>, t</w:t>
      </w:r>
      <w:r w:rsidRPr="00BF2F5F">
        <w:t xml:space="preserve">ransitional capital contribution </w:t>
      </w:r>
      <w:r>
        <w:t xml:space="preserve">and shared assets </w:t>
      </w:r>
      <w:r w:rsidRPr="00BF2F5F">
        <w:t>under/over recovery from 2010–15</w:t>
      </w:r>
      <w:r>
        <w:t xml:space="preserve">, </w:t>
      </w:r>
      <w:r w:rsidRPr="00BF2F5F">
        <w:t>STPIS allowance from 2010–15</w:t>
      </w:r>
      <w:r>
        <w:t xml:space="preserve"> and </w:t>
      </w:r>
      <w:r w:rsidR="00AF06C7">
        <w:t>DMIA over-</w:t>
      </w:r>
      <w:r w:rsidRPr="00BF2F5F">
        <w:t>recovery from 2010–15</w:t>
      </w:r>
      <w:r>
        <w:t>.</w:t>
      </w:r>
    </w:p>
    <w:p w:rsidR="00EE71FB" w:rsidRPr="00EE71FB" w:rsidRDefault="00EE71FB" w:rsidP="00EE71FB">
      <w:pPr>
        <w:pStyle w:val="AERtablesource"/>
      </w:pPr>
      <w:r>
        <w:t>(d)</w:t>
      </w:r>
      <w:r>
        <w:tab/>
        <w:t>In our preliminary decision, we determined the expected revenue and associated X factor for 2015–16. In this final decision to update the 2015–16 revenue for our assessment of efficient costs, we maintained the preliminary decision expected revenue for 2015–16 and determined X factors for the final four years of the 2015–20 regulatory control period. This is to adjust Ergon Energy's total expected revenue requirement for the remaining four years in the 2015–20 regulatory control period for the difference between the preliminary decision revenue and our final decision on Ergon Energy's efficient costs for 2015–16.</w:t>
      </w:r>
    </w:p>
    <w:p w:rsidR="00DE563D" w:rsidRDefault="001201F1" w:rsidP="00961F06">
      <w:pPr>
        <w:pStyle w:val="Heading2"/>
      </w:pPr>
      <w:bookmarkStart w:id="15" w:name="_Toc403144137"/>
      <w:bookmarkStart w:id="16" w:name="_Toc433022742"/>
      <w:r>
        <w:t>E</w:t>
      </w:r>
      <w:r w:rsidR="00AE2021">
        <w:t>rgon Energy</w:t>
      </w:r>
      <w:r>
        <w:t>'s</w:t>
      </w:r>
      <w:r w:rsidR="00DE563D">
        <w:t xml:space="preserve"> </w:t>
      </w:r>
      <w:r w:rsidR="004D0898">
        <w:t xml:space="preserve">revised </w:t>
      </w:r>
      <w:r w:rsidR="00DE563D">
        <w:t>proposal</w:t>
      </w:r>
      <w:bookmarkEnd w:id="15"/>
      <w:bookmarkEnd w:id="16"/>
    </w:p>
    <w:p w:rsidR="00AF06C7" w:rsidRDefault="00AF06C7" w:rsidP="00AF06C7">
      <w:r>
        <w:t xml:space="preserve">Ergon Energy's revised proposal included a total expected revenue (excluding </w:t>
      </w:r>
      <w:proofErr w:type="spellStart"/>
      <w:r>
        <w:t>additionals</w:t>
      </w:r>
      <w:proofErr w:type="spellEnd"/>
      <w:r>
        <w:t>) of $7728.4 million ($ nominal) for the 2015–20 regulatory control period.</w:t>
      </w:r>
    </w:p>
    <w:p w:rsidR="00AF06C7" w:rsidRDefault="00AF06C7" w:rsidP="00AF06C7">
      <w:r>
        <w:fldChar w:fldCharType="begin"/>
      </w:r>
      <w:r>
        <w:instrText xml:space="preserve"> REF _Ref401571489 \h </w:instrText>
      </w:r>
      <w:r>
        <w:fldChar w:fldCharType="separate"/>
      </w:r>
      <w:r w:rsidR="00863939">
        <w:t xml:space="preserve">Table </w:t>
      </w:r>
      <w:r w:rsidR="00863939">
        <w:rPr>
          <w:noProof/>
        </w:rPr>
        <w:t>1</w:t>
      </w:r>
      <w:r w:rsidR="00863939">
        <w:t>.</w:t>
      </w:r>
      <w:r w:rsidR="00863939">
        <w:rPr>
          <w:noProof/>
        </w:rPr>
        <w:t>2</w:t>
      </w:r>
      <w:r>
        <w:fldChar w:fldCharType="end"/>
      </w:r>
      <w:r>
        <w:t xml:space="preserve"> shows Ergon Energy's revised proposed building block costs, the ARR, expected revenue and X factor for each year of the 2015–20 regulatory control period.</w:t>
      </w:r>
    </w:p>
    <w:p w:rsidR="00AF06C7" w:rsidRDefault="00AF06C7" w:rsidP="00AF06C7">
      <w:pPr>
        <w:pStyle w:val="Caption"/>
      </w:pPr>
      <w:bookmarkStart w:id="17" w:name="_Ref401571489"/>
      <w:proofErr w:type="gramStart"/>
      <w:r>
        <w:t xml:space="preserve">Table </w:t>
      </w:r>
      <w:r w:rsidR="008079C8">
        <w:fldChar w:fldCharType="begin"/>
      </w:r>
      <w:r w:rsidR="008079C8">
        <w:instrText xml:space="preserve"> STYLEREF 1 </w:instrText>
      </w:r>
      <w:r w:rsidR="008079C8">
        <w:instrText xml:space="preserve">\s </w:instrText>
      </w:r>
      <w:r w:rsidR="008079C8">
        <w:fldChar w:fldCharType="separate"/>
      </w:r>
      <w:r w:rsidR="00863939">
        <w:rPr>
          <w:noProof/>
        </w:rPr>
        <w:t>1</w:t>
      </w:r>
      <w:r w:rsidR="008079C8">
        <w:rPr>
          <w:noProof/>
        </w:rPr>
        <w:fldChar w:fldCharType="end"/>
      </w:r>
      <w:r w:rsidR="004224C3">
        <w:t>.</w:t>
      </w:r>
      <w:proofErr w:type="gramEnd"/>
      <w:r w:rsidR="008079C8">
        <w:fldChar w:fldCharType="begin"/>
      </w:r>
      <w:r w:rsidR="008079C8">
        <w:instrText xml:space="preserve"> SEQ Table \* ARABIC \s 1 </w:instrText>
      </w:r>
      <w:r w:rsidR="008079C8">
        <w:fldChar w:fldCharType="separate"/>
      </w:r>
      <w:r w:rsidR="00863939">
        <w:rPr>
          <w:noProof/>
        </w:rPr>
        <w:t>2</w:t>
      </w:r>
      <w:r w:rsidR="008079C8">
        <w:rPr>
          <w:noProof/>
        </w:rPr>
        <w:fldChar w:fldCharType="end"/>
      </w:r>
      <w:bookmarkEnd w:id="17"/>
      <w:r>
        <w:tab/>
        <w:t xml:space="preserve">Ergon Energy's </w:t>
      </w:r>
      <w:r w:rsidR="00AF1F29">
        <w:t xml:space="preserve">revised </w:t>
      </w:r>
      <w:r>
        <w:t xml:space="preserve">proposed revenues for the 2015–20 regulatory control period ($million, nominal) </w:t>
      </w:r>
    </w:p>
    <w:tbl>
      <w:tblPr>
        <w:tblStyle w:val="AERtable-numbers"/>
        <w:tblW w:w="8755" w:type="dxa"/>
        <w:tblLayout w:type="fixed"/>
        <w:tblLook w:val="04A0" w:firstRow="1" w:lastRow="0" w:firstColumn="1" w:lastColumn="0" w:noHBand="0" w:noVBand="1"/>
      </w:tblPr>
      <w:tblGrid>
        <w:gridCol w:w="3369"/>
        <w:gridCol w:w="897"/>
        <w:gridCol w:w="898"/>
        <w:gridCol w:w="898"/>
        <w:gridCol w:w="897"/>
        <w:gridCol w:w="898"/>
        <w:gridCol w:w="898"/>
      </w:tblGrid>
      <w:tr w:rsidR="00AF06C7" w:rsidRPr="00356B64" w:rsidTr="00AF1F29">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AF06C7" w:rsidRPr="00AF06C7" w:rsidRDefault="00AF06C7" w:rsidP="00AF06C7">
            <w:r w:rsidRPr="00EB10DA">
              <w:t> </w:t>
            </w:r>
          </w:p>
        </w:tc>
        <w:tc>
          <w:tcPr>
            <w:tcW w:w="897" w:type="dxa"/>
            <w:noWrap/>
            <w:hideMark/>
          </w:tcPr>
          <w:p w:rsidR="00AF06C7" w:rsidRPr="00AF06C7" w:rsidRDefault="00AF06C7" w:rsidP="00AF06C7">
            <w:pPr>
              <w:cnfStyle w:val="100000000000" w:firstRow="1" w:lastRow="0" w:firstColumn="0" w:lastColumn="0" w:oddVBand="0" w:evenVBand="0" w:oddHBand="0" w:evenHBand="0" w:firstRowFirstColumn="0" w:firstRowLastColumn="0" w:lastRowFirstColumn="0" w:lastRowLastColumn="0"/>
            </w:pPr>
            <w:r w:rsidRPr="00EB10DA">
              <w:t>201</w:t>
            </w:r>
            <w:r w:rsidRPr="00AF06C7">
              <w:t>5–16</w:t>
            </w:r>
          </w:p>
        </w:tc>
        <w:tc>
          <w:tcPr>
            <w:tcW w:w="898" w:type="dxa"/>
            <w:noWrap/>
            <w:hideMark/>
          </w:tcPr>
          <w:p w:rsidR="00AF06C7" w:rsidRPr="00AF06C7" w:rsidRDefault="00AF06C7" w:rsidP="00AF06C7">
            <w:pPr>
              <w:cnfStyle w:val="100000000000" w:firstRow="1" w:lastRow="0" w:firstColumn="0" w:lastColumn="0" w:oddVBand="0" w:evenVBand="0" w:oddHBand="0" w:evenHBand="0" w:firstRowFirstColumn="0" w:firstRowLastColumn="0" w:lastRowFirstColumn="0" w:lastRowLastColumn="0"/>
            </w:pPr>
            <w:r w:rsidRPr="00EB10DA">
              <w:t>201</w:t>
            </w:r>
            <w:r w:rsidRPr="00AF06C7">
              <w:t>6–17</w:t>
            </w:r>
          </w:p>
        </w:tc>
        <w:tc>
          <w:tcPr>
            <w:tcW w:w="898" w:type="dxa"/>
          </w:tcPr>
          <w:p w:rsidR="00AF06C7" w:rsidRPr="00AF06C7" w:rsidRDefault="00AF06C7" w:rsidP="00AF06C7">
            <w:pPr>
              <w:cnfStyle w:val="100000000000" w:firstRow="1" w:lastRow="0" w:firstColumn="0" w:lastColumn="0" w:oddVBand="0" w:evenVBand="0" w:oddHBand="0" w:evenHBand="0" w:firstRowFirstColumn="0" w:firstRowLastColumn="0" w:lastRowFirstColumn="0" w:lastRowLastColumn="0"/>
            </w:pPr>
            <w:r w:rsidRPr="00EB10DA">
              <w:t>201</w:t>
            </w:r>
            <w:r w:rsidRPr="00AF06C7">
              <w:t>7–18</w:t>
            </w:r>
          </w:p>
        </w:tc>
        <w:tc>
          <w:tcPr>
            <w:tcW w:w="897" w:type="dxa"/>
          </w:tcPr>
          <w:p w:rsidR="00AF06C7" w:rsidRPr="00AF06C7" w:rsidRDefault="00AF06C7" w:rsidP="00AF06C7">
            <w:pPr>
              <w:cnfStyle w:val="100000000000" w:firstRow="1" w:lastRow="0" w:firstColumn="0" w:lastColumn="0" w:oddVBand="0" w:evenVBand="0" w:oddHBand="0" w:evenHBand="0" w:firstRowFirstColumn="0" w:firstRowLastColumn="0" w:lastRowFirstColumn="0" w:lastRowLastColumn="0"/>
            </w:pPr>
            <w:r w:rsidRPr="00EB10DA">
              <w:t>201</w:t>
            </w:r>
            <w:r w:rsidRPr="00AF06C7">
              <w:t>8–19</w:t>
            </w:r>
          </w:p>
        </w:tc>
        <w:tc>
          <w:tcPr>
            <w:tcW w:w="898" w:type="dxa"/>
          </w:tcPr>
          <w:p w:rsidR="00AF06C7" w:rsidRPr="00AF06C7" w:rsidRDefault="00AF06C7" w:rsidP="00AF06C7">
            <w:pPr>
              <w:cnfStyle w:val="100000000000" w:firstRow="1" w:lastRow="0" w:firstColumn="0" w:lastColumn="0" w:oddVBand="0" w:evenVBand="0" w:oddHBand="0" w:evenHBand="0" w:firstRowFirstColumn="0" w:firstRowLastColumn="0" w:lastRowFirstColumn="0" w:lastRowLastColumn="0"/>
            </w:pPr>
            <w:r w:rsidRPr="00EB10DA">
              <w:t>201</w:t>
            </w:r>
            <w:r w:rsidRPr="00AF06C7">
              <w:t>9–20</w:t>
            </w:r>
          </w:p>
        </w:tc>
        <w:tc>
          <w:tcPr>
            <w:tcW w:w="898" w:type="dxa"/>
          </w:tcPr>
          <w:p w:rsidR="00AF06C7" w:rsidRPr="00AF06C7" w:rsidRDefault="00AF06C7" w:rsidP="00AF06C7">
            <w:pPr>
              <w:cnfStyle w:val="100000000000" w:firstRow="1" w:lastRow="0" w:firstColumn="0" w:lastColumn="0" w:oddVBand="0" w:evenVBand="0" w:oddHBand="0" w:evenHBand="0" w:firstRowFirstColumn="0" w:firstRowLastColumn="0" w:lastRowFirstColumn="0" w:lastRowLastColumn="0"/>
            </w:pPr>
            <w:r w:rsidRPr="00EB10DA">
              <w:t>Total</w:t>
            </w:r>
          </w:p>
        </w:tc>
      </w:tr>
      <w:tr w:rsidR="00AF06C7" w:rsidRPr="00356B64" w:rsidTr="00AF1F29">
        <w:trPr>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AF06C7" w:rsidRPr="00AF06C7" w:rsidRDefault="00AF06C7" w:rsidP="00AF06C7">
            <w:r w:rsidRPr="00C21C2F">
              <w:t>Return on capital</w:t>
            </w:r>
          </w:p>
        </w:tc>
        <w:tc>
          <w:tcPr>
            <w:tcW w:w="897" w:type="dxa"/>
            <w:noWrap/>
          </w:tcPr>
          <w:p w:rsidR="00AF06C7" w:rsidRPr="00AF06C7" w:rsidRDefault="0072076C" w:rsidP="00AF06C7">
            <w:pPr>
              <w:cnfStyle w:val="000000000000" w:firstRow="0" w:lastRow="0" w:firstColumn="0" w:lastColumn="0" w:oddVBand="0" w:evenVBand="0" w:oddHBand="0" w:evenHBand="0" w:firstRowFirstColumn="0" w:firstRowLastColumn="0" w:lastRowFirstColumn="0" w:lastRowLastColumn="0"/>
            </w:pPr>
            <w:r>
              <w:t>744.9</w:t>
            </w:r>
          </w:p>
        </w:tc>
        <w:tc>
          <w:tcPr>
            <w:tcW w:w="898" w:type="dxa"/>
            <w:noWrap/>
          </w:tcPr>
          <w:p w:rsidR="00AF06C7" w:rsidRPr="00AF06C7" w:rsidRDefault="0072076C" w:rsidP="0072076C">
            <w:pPr>
              <w:cnfStyle w:val="000000000000" w:firstRow="0" w:lastRow="0" w:firstColumn="0" w:lastColumn="0" w:oddVBand="0" w:evenVBand="0" w:oddHBand="0" w:evenHBand="0" w:firstRowFirstColumn="0" w:firstRowLastColumn="0" w:lastRowFirstColumn="0" w:lastRowLastColumn="0"/>
            </w:pPr>
            <w:r>
              <w:t>790.8</w:t>
            </w:r>
          </w:p>
        </w:tc>
        <w:tc>
          <w:tcPr>
            <w:tcW w:w="898" w:type="dxa"/>
          </w:tcPr>
          <w:p w:rsidR="00AF06C7" w:rsidRPr="00AF06C7" w:rsidRDefault="0072076C" w:rsidP="0072076C">
            <w:pPr>
              <w:cnfStyle w:val="000000000000" w:firstRow="0" w:lastRow="0" w:firstColumn="0" w:lastColumn="0" w:oddVBand="0" w:evenVBand="0" w:oddHBand="0" w:evenHBand="0" w:firstRowFirstColumn="0" w:firstRowLastColumn="0" w:lastRowFirstColumn="0" w:lastRowLastColumn="0"/>
            </w:pPr>
            <w:r>
              <w:t>831.6</w:t>
            </w:r>
          </w:p>
        </w:tc>
        <w:tc>
          <w:tcPr>
            <w:tcW w:w="897" w:type="dxa"/>
          </w:tcPr>
          <w:p w:rsidR="00AF06C7" w:rsidRPr="00AF06C7" w:rsidRDefault="0072076C" w:rsidP="0072076C">
            <w:pPr>
              <w:cnfStyle w:val="000000000000" w:firstRow="0" w:lastRow="0" w:firstColumn="0" w:lastColumn="0" w:oddVBand="0" w:evenVBand="0" w:oddHBand="0" w:evenHBand="0" w:firstRowFirstColumn="0" w:firstRowLastColumn="0" w:lastRowFirstColumn="0" w:lastRowLastColumn="0"/>
            </w:pPr>
            <w:r>
              <w:t>870.4</w:t>
            </w:r>
          </w:p>
        </w:tc>
        <w:tc>
          <w:tcPr>
            <w:tcW w:w="898" w:type="dxa"/>
          </w:tcPr>
          <w:p w:rsidR="00AF06C7" w:rsidRPr="00AF06C7" w:rsidRDefault="00AF06C7" w:rsidP="0072076C">
            <w:pPr>
              <w:cnfStyle w:val="000000000000" w:firstRow="0" w:lastRow="0" w:firstColumn="0" w:lastColumn="0" w:oddVBand="0" w:evenVBand="0" w:oddHBand="0" w:evenHBand="0" w:firstRowFirstColumn="0" w:firstRowLastColumn="0" w:lastRowFirstColumn="0" w:lastRowLastColumn="0"/>
            </w:pPr>
            <w:r>
              <w:t>9</w:t>
            </w:r>
            <w:r w:rsidR="0072076C">
              <w:t>07.6</w:t>
            </w:r>
          </w:p>
        </w:tc>
        <w:tc>
          <w:tcPr>
            <w:tcW w:w="898" w:type="dxa"/>
          </w:tcPr>
          <w:p w:rsidR="00AF06C7" w:rsidRPr="00AF06C7" w:rsidRDefault="00AF06C7" w:rsidP="0072076C">
            <w:pPr>
              <w:cnfStyle w:val="000000000000" w:firstRow="0" w:lastRow="0" w:firstColumn="0" w:lastColumn="0" w:oddVBand="0" w:evenVBand="0" w:oddHBand="0" w:evenHBand="0" w:firstRowFirstColumn="0" w:firstRowLastColumn="0" w:lastRowFirstColumn="0" w:lastRowLastColumn="0"/>
            </w:pPr>
            <w:r>
              <w:t>4</w:t>
            </w:r>
            <w:r w:rsidR="0072076C">
              <w:t>1</w:t>
            </w:r>
            <w:r>
              <w:t>4</w:t>
            </w:r>
            <w:r w:rsidR="0072076C">
              <w:t>5.4</w:t>
            </w:r>
          </w:p>
        </w:tc>
      </w:tr>
      <w:tr w:rsidR="00AF06C7" w:rsidRPr="00356B64" w:rsidTr="00AF1F29">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AF06C7" w:rsidRPr="00022BCB" w:rsidRDefault="00AF06C7" w:rsidP="00AF06C7">
            <w:pPr>
              <w:rPr>
                <w:rStyle w:val="AERsuperscript"/>
              </w:rPr>
            </w:pPr>
            <w:r w:rsidRPr="00C21C2F">
              <w:t xml:space="preserve">Regulatory </w:t>
            </w:r>
            <w:proofErr w:type="spellStart"/>
            <w:r w:rsidRPr="00C21C2F">
              <w:t>depreciation</w:t>
            </w:r>
            <w:r w:rsidR="00022BCB">
              <w:rPr>
                <w:rStyle w:val="AERsuperscript"/>
              </w:rPr>
              <w:t>a</w:t>
            </w:r>
            <w:proofErr w:type="spellEnd"/>
          </w:p>
        </w:tc>
        <w:tc>
          <w:tcPr>
            <w:tcW w:w="897" w:type="dxa"/>
            <w:noWrap/>
          </w:tcPr>
          <w:p w:rsidR="00AF06C7" w:rsidRPr="00AF06C7" w:rsidRDefault="00AF06C7" w:rsidP="0072076C">
            <w:pPr>
              <w:cnfStyle w:val="000000010000" w:firstRow="0" w:lastRow="0" w:firstColumn="0" w:lastColumn="0" w:oddVBand="0" w:evenVBand="0" w:oddHBand="0" w:evenHBand="1" w:firstRowFirstColumn="0" w:firstRowLastColumn="0" w:lastRowFirstColumn="0" w:lastRowLastColumn="0"/>
            </w:pPr>
            <w:r w:rsidRPr="00C21C2F">
              <w:t>1</w:t>
            </w:r>
            <w:r w:rsidR="0072076C">
              <w:t>62.3</w:t>
            </w:r>
          </w:p>
        </w:tc>
        <w:tc>
          <w:tcPr>
            <w:tcW w:w="898" w:type="dxa"/>
            <w:noWrap/>
          </w:tcPr>
          <w:p w:rsidR="00AF06C7" w:rsidRPr="00AF06C7" w:rsidRDefault="00AF06C7" w:rsidP="0072076C">
            <w:pPr>
              <w:cnfStyle w:val="000000010000" w:firstRow="0" w:lastRow="0" w:firstColumn="0" w:lastColumn="0" w:oddVBand="0" w:evenVBand="0" w:oddHBand="0" w:evenHBand="1" w:firstRowFirstColumn="0" w:firstRowLastColumn="0" w:lastRowFirstColumn="0" w:lastRowLastColumn="0"/>
            </w:pPr>
            <w:r w:rsidRPr="00C21C2F">
              <w:t>1</w:t>
            </w:r>
            <w:r w:rsidR="0072076C">
              <w:t>7</w:t>
            </w:r>
            <w:r w:rsidRPr="00C21C2F">
              <w:t>9.</w:t>
            </w:r>
            <w:r w:rsidR="0072076C">
              <w:t>2</w:t>
            </w:r>
          </w:p>
        </w:tc>
        <w:tc>
          <w:tcPr>
            <w:tcW w:w="898" w:type="dxa"/>
          </w:tcPr>
          <w:p w:rsidR="00AF06C7" w:rsidRPr="00AF06C7" w:rsidRDefault="0072076C" w:rsidP="0072076C">
            <w:pPr>
              <w:cnfStyle w:val="000000010000" w:firstRow="0" w:lastRow="0" w:firstColumn="0" w:lastColumn="0" w:oddVBand="0" w:evenVBand="0" w:oddHBand="0" w:evenHBand="1" w:firstRowFirstColumn="0" w:firstRowLastColumn="0" w:lastRowFirstColumn="0" w:lastRowLastColumn="0"/>
            </w:pPr>
            <w:r>
              <w:t>168.0</w:t>
            </w:r>
          </w:p>
        </w:tc>
        <w:tc>
          <w:tcPr>
            <w:tcW w:w="897" w:type="dxa"/>
          </w:tcPr>
          <w:p w:rsidR="00AF06C7" w:rsidRPr="00AF06C7" w:rsidRDefault="00AF06C7" w:rsidP="0072076C">
            <w:pPr>
              <w:cnfStyle w:val="000000010000" w:firstRow="0" w:lastRow="0" w:firstColumn="0" w:lastColumn="0" w:oddVBand="0" w:evenVBand="0" w:oddHBand="0" w:evenHBand="1" w:firstRowFirstColumn="0" w:firstRowLastColumn="0" w:lastRowFirstColumn="0" w:lastRowLastColumn="0"/>
            </w:pPr>
            <w:r>
              <w:t>1</w:t>
            </w:r>
            <w:r w:rsidR="0072076C">
              <w:t>71.1</w:t>
            </w:r>
          </w:p>
        </w:tc>
        <w:tc>
          <w:tcPr>
            <w:tcW w:w="898" w:type="dxa"/>
          </w:tcPr>
          <w:p w:rsidR="00AF06C7" w:rsidRPr="00AF06C7" w:rsidRDefault="00AF06C7" w:rsidP="0072076C">
            <w:pPr>
              <w:cnfStyle w:val="000000010000" w:firstRow="0" w:lastRow="0" w:firstColumn="0" w:lastColumn="0" w:oddVBand="0" w:evenVBand="0" w:oddHBand="0" w:evenHBand="1" w:firstRowFirstColumn="0" w:firstRowLastColumn="0" w:lastRowFirstColumn="0" w:lastRowLastColumn="0"/>
            </w:pPr>
            <w:r w:rsidRPr="00C21C2F">
              <w:t>1</w:t>
            </w:r>
            <w:r w:rsidR="0072076C">
              <w:t>48.5</w:t>
            </w:r>
          </w:p>
        </w:tc>
        <w:tc>
          <w:tcPr>
            <w:tcW w:w="898" w:type="dxa"/>
          </w:tcPr>
          <w:p w:rsidR="00AF06C7" w:rsidRPr="00AF06C7" w:rsidRDefault="0072076C" w:rsidP="0072076C">
            <w:pPr>
              <w:cnfStyle w:val="000000010000" w:firstRow="0" w:lastRow="0" w:firstColumn="0" w:lastColumn="0" w:oddVBand="0" w:evenVBand="0" w:oddHBand="0" w:evenHBand="1" w:firstRowFirstColumn="0" w:firstRowLastColumn="0" w:lastRowFirstColumn="0" w:lastRowLastColumn="0"/>
            </w:pPr>
            <w:r>
              <w:t>82</w:t>
            </w:r>
            <w:r w:rsidR="00AF06C7" w:rsidRPr="00C21C2F">
              <w:t>9</w:t>
            </w:r>
            <w:r w:rsidR="00AF06C7" w:rsidRPr="00AF06C7">
              <w:t>.</w:t>
            </w:r>
            <w:r>
              <w:t>1</w:t>
            </w:r>
          </w:p>
        </w:tc>
      </w:tr>
      <w:tr w:rsidR="00AF06C7" w:rsidRPr="00356B64" w:rsidTr="00AF1F29">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AF06C7" w:rsidRPr="00AF06C7" w:rsidRDefault="00AF06C7" w:rsidP="00AF06C7">
            <w:r w:rsidRPr="00C21C2F">
              <w:t>Operating expenditure</w:t>
            </w:r>
          </w:p>
        </w:tc>
        <w:tc>
          <w:tcPr>
            <w:tcW w:w="897" w:type="dxa"/>
            <w:noWrap/>
          </w:tcPr>
          <w:p w:rsidR="00AF06C7" w:rsidRPr="00AF06C7" w:rsidRDefault="00AF06C7" w:rsidP="0072076C">
            <w:pPr>
              <w:cnfStyle w:val="000000000000" w:firstRow="0" w:lastRow="0" w:firstColumn="0" w:lastColumn="0" w:oddVBand="0" w:evenVBand="0" w:oddHBand="0" w:evenHBand="0" w:firstRowFirstColumn="0" w:firstRowLastColumn="0" w:lastRowFirstColumn="0" w:lastRowLastColumn="0"/>
            </w:pPr>
            <w:r>
              <w:t>3</w:t>
            </w:r>
            <w:r w:rsidR="0072076C">
              <w:t>54.7</w:t>
            </w:r>
          </w:p>
        </w:tc>
        <w:tc>
          <w:tcPr>
            <w:tcW w:w="898" w:type="dxa"/>
            <w:noWrap/>
          </w:tcPr>
          <w:p w:rsidR="00AF06C7" w:rsidRPr="00AF06C7" w:rsidRDefault="00AF06C7" w:rsidP="0072076C">
            <w:pPr>
              <w:cnfStyle w:val="000000000000" w:firstRow="0" w:lastRow="0" w:firstColumn="0" w:lastColumn="0" w:oddVBand="0" w:evenVBand="0" w:oddHBand="0" w:evenHBand="0" w:firstRowFirstColumn="0" w:firstRowLastColumn="0" w:lastRowFirstColumn="0" w:lastRowLastColumn="0"/>
            </w:pPr>
            <w:r w:rsidRPr="00C21C2F">
              <w:t>3</w:t>
            </w:r>
            <w:r w:rsidR="0072076C">
              <w:t>77.4</w:t>
            </w:r>
          </w:p>
        </w:tc>
        <w:tc>
          <w:tcPr>
            <w:tcW w:w="898" w:type="dxa"/>
          </w:tcPr>
          <w:p w:rsidR="00AF06C7" w:rsidRPr="00AF06C7" w:rsidRDefault="0072076C" w:rsidP="0072076C">
            <w:pPr>
              <w:cnfStyle w:val="000000000000" w:firstRow="0" w:lastRow="0" w:firstColumn="0" w:lastColumn="0" w:oddVBand="0" w:evenVBand="0" w:oddHBand="0" w:evenHBand="0" w:firstRowFirstColumn="0" w:firstRowLastColumn="0" w:lastRowFirstColumn="0" w:lastRowLastColumn="0"/>
            </w:pPr>
            <w:r>
              <w:t>399.9</w:t>
            </w:r>
          </w:p>
        </w:tc>
        <w:tc>
          <w:tcPr>
            <w:tcW w:w="897" w:type="dxa"/>
          </w:tcPr>
          <w:p w:rsidR="00AF06C7" w:rsidRPr="00AF06C7" w:rsidRDefault="00AF06C7" w:rsidP="0072076C">
            <w:pPr>
              <w:cnfStyle w:val="000000000000" w:firstRow="0" w:lastRow="0" w:firstColumn="0" w:lastColumn="0" w:oddVBand="0" w:evenVBand="0" w:oddHBand="0" w:evenHBand="0" w:firstRowFirstColumn="0" w:firstRowLastColumn="0" w:lastRowFirstColumn="0" w:lastRowLastColumn="0"/>
            </w:pPr>
            <w:r w:rsidRPr="00C21C2F">
              <w:t>4</w:t>
            </w:r>
            <w:r w:rsidR="0072076C">
              <w:t>18.9</w:t>
            </w:r>
          </w:p>
        </w:tc>
        <w:tc>
          <w:tcPr>
            <w:tcW w:w="898" w:type="dxa"/>
          </w:tcPr>
          <w:p w:rsidR="00AF06C7" w:rsidRPr="00AF06C7" w:rsidRDefault="00AF06C7" w:rsidP="0072076C">
            <w:pPr>
              <w:cnfStyle w:val="000000000000" w:firstRow="0" w:lastRow="0" w:firstColumn="0" w:lastColumn="0" w:oddVBand="0" w:evenVBand="0" w:oddHBand="0" w:evenHBand="0" w:firstRowFirstColumn="0" w:firstRowLastColumn="0" w:lastRowFirstColumn="0" w:lastRowLastColumn="0"/>
            </w:pPr>
            <w:r>
              <w:t>4</w:t>
            </w:r>
            <w:r w:rsidR="0072076C">
              <w:t>39.</w:t>
            </w:r>
            <w:r>
              <w:t>4</w:t>
            </w:r>
          </w:p>
        </w:tc>
        <w:tc>
          <w:tcPr>
            <w:tcW w:w="898" w:type="dxa"/>
          </w:tcPr>
          <w:p w:rsidR="00AF06C7" w:rsidRPr="00AF06C7" w:rsidRDefault="0072076C" w:rsidP="0072076C">
            <w:pPr>
              <w:cnfStyle w:val="000000000000" w:firstRow="0" w:lastRow="0" w:firstColumn="0" w:lastColumn="0" w:oddVBand="0" w:evenVBand="0" w:oddHBand="0" w:evenHBand="0" w:firstRowFirstColumn="0" w:firstRowLastColumn="0" w:lastRowFirstColumn="0" w:lastRowLastColumn="0"/>
            </w:pPr>
            <w:r>
              <w:t>1990.4</w:t>
            </w:r>
          </w:p>
        </w:tc>
      </w:tr>
      <w:tr w:rsidR="00AF06C7" w:rsidRPr="00356B64" w:rsidTr="00AF1F29">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AF06C7" w:rsidRPr="00AF1F29" w:rsidRDefault="00AF1F29" w:rsidP="00AF06C7">
            <w:pPr>
              <w:rPr>
                <w:rStyle w:val="AERsuperscript"/>
              </w:rPr>
            </w:pPr>
            <w:r>
              <w:t xml:space="preserve">Revenue </w:t>
            </w:r>
            <w:proofErr w:type="spellStart"/>
            <w:r>
              <w:t>adjustments</w:t>
            </w:r>
            <w:r w:rsidR="00022BCB">
              <w:rPr>
                <w:rStyle w:val="AERsuperscript"/>
              </w:rPr>
              <w:t>b</w:t>
            </w:r>
            <w:proofErr w:type="spellEnd"/>
          </w:p>
        </w:tc>
        <w:tc>
          <w:tcPr>
            <w:tcW w:w="897" w:type="dxa"/>
            <w:noWrap/>
          </w:tcPr>
          <w:p w:rsidR="00AF06C7" w:rsidRPr="00AF06C7" w:rsidRDefault="0072076C" w:rsidP="0072076C">
            <w:pPr>
              <w:cnfStyle w:val="000000010000" w:firstRow="0" w:lastRow="0" w:firstColumn="0" w:lastColumn="0" w:oddVBand="0" w:evenVBand="0" w:oddHBand="0" w:evenHBand="1" w:firstRowFirstColumn="0" w:firstRowLastColumn="0" w:lastRowFirstColumn="0" w:lastRowLastColumn="0"/>
            </w:pPr>
            <w:r>
              <w:t>87.5</w:t>
            </w:r>
          </w:p>
        </w:tc>
        <w:tc>
          <w:tcPr>
            <w:tcW w:w="898" w:type="dxa"/>
            <w:noWrap/>
          </w:tcPr>
          <w:p w:rsidR="00AF06C7" w:rsidRPr="00AF06C7" w:rsidRDefault="0072076C" w:rsidP="0072076C">
            <w:pPr>
              <w:cnfStyle w:val="000000010000" w:firstRow="0" w:lastRow="0" w:firstColumn="0" w:lastColumn="0" w:oddVBand="0" w:evenVBand="0" w:oddHBand="0" w:evenHBand="1" w:firstRowFirstColumn="0" w:firstRowLastColumn="0" w:lastRowFirstColumn="0" w:lastRowLastColumn="0"/>
            </w:pPr>
            <w:r>
              <w:t>44.6</w:t>
            </w:r>
          </w:p>
        </w:tc>
        <w:tc>
          <w:tcPr>
            <w:tcW w:w="898" w:type="dxa"/>
          </w:tcPr>
          <w:p w:rsidR="00AF06C7" w:rsidRPr="00AF06C7" w:rsidRDefault="0072076C" w:rsidP="0072076C">
            <w:pPr>
              <w:cnfStyle w:val="000000010000" w:firstRow="0" w:lastRow="0" w:firstColumn="0" w:lastColumn="0" w:oddVBand="0" w:evenVBand="0" w:oddHBand="0" w:evenHBand="1" w:firstRowFirstColumn="0" w:firstRowLastColumn="0" w:lastRowFirstColumn="0" w:lastRowLastColumn="0"/>
            </w:pPr>
            <w:r>
              <w:t>62.8</w:t>
            </w:r>
          </w:p>
        </w:tc>
        <w:tc>
          <w:tcPr>
            <w:tcW w:w="897" w:type="dxa"/>
          </w:tcPr>
          <w:p w:rsidR="00AF06C7" w:rsidRPr="00AF06C7" w:rsidRDefault="00AF06C7" w:rsidP="0072076C">
            <w:pPr>
              <w:cnfStyle w:val="000000010000" w:firstRow="0" w:lastRow="0" w:firstColumn="0" w:lastColumn="0" w:oddVBand="0" w:evenVBand="0" w:oddHBand="0" w:evenHBand="1" w:firstRowFirstColumn="0" w:firstRowLastColumn="0" w:lastRowFirstColumn="0" w:lastRowLastColumn="0"/>
            </w:pPr>
            <w:r>
              <w:t>–</w:t>
            </w:r>
            <w:r w:rsidR="0072076C">
              <w:t>26</w:t>
            </w:r>
            <w:r w:rsidRPr="00AF06C7">
              <w:t>.4</w:t>
            </w:r>
          </w:p>
        </w:tc>
        <w:tc>
          <w:tcPr>
            <w:tcW w:w="898" w:type="dxa"/>
          </w:tcPr>
          <w:p w:rsidR="00AF06C7" w:rsidRPr="00AF06C7" w:rsidRDefault="0072076C" w:rsidP="0072076C">
            <w:pPr>
              <w:cnfStyle w:val="000000010000" w:firstRow="0" w:lastRow="0" w:firstColumn="0" w:lastColumn="0" w:oddVBand="0" w:evenVBand="0" w:oddHBand="0" w:evenHBand="1" w:firstRowFirstColumn="0" w:firstRowLastColumn="0" w:lastRowFirstColumn="0" w:lastRowLastColumn="0"/>
            </w:pPr>
            <w:r>
              <w:t>–6.3</w:t>
            </w:r>
          </w:p>
        </w:tc>
        <w:tc>
          <w:tcPr>
            <w:tcW w:w="898" w:type="dxa"/>
          </w:tcPr>
          <w:p w:rsidR="00AF06C7" w:rsidRPr="00AF06C7" w:rsidRDefault="00AF06C7" w:rsidP="0072076C">
            <w:pPr>
              <w:cnfStyle w:val="000000010000" w:firstRow="0" w:lastRow="0" w:firstColumn="0" w:lastColumn="0" w:oddVBand="0" w:evenVBand="0" w:oddHBand="0" w:evenHBand="1" w:firstRowFirstColumn="0" w:firstRowLastColumn="0" w:lastRowFirstColumn="0" w:lastRowLastColumn="0"/>
            </w:pPr>
            <w:r w:rsidRPr="00C21C2F">
              <w:t>1</w:t>
            </w:r>
            <w:r w:rsidR="0072076C">
              <w:t>6</w:t>
            </w:r>
            <w:r w:rsidRPr="00C21C2F">
              <w:t>2.</w:t>
            </w:r>
            <w:r w:rsidR="0072076C">
              <w:t>2</w:t>
            </w:r>
          </w:p>
        </w:tc>
      </w:tr>
      <w:tr w:rsidR="00AF06C7" w:rsidRPr="00356B64" w:rsidTr="00AF1F29">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AF06C7" w:rsidRPr="00AF06C7" w:rsidRDefault="00AF06C7" w:rsidP="00AF06C7">
            <w:r w:rsidRPr="00C21C2F">
              <w:t>Net tax allowance</w:t>
            </w:r>
          </w:p>
        </w:tc>
        <w:tc>
          <w:tcPr>
            <w:tcW w:w="897" w:type="dxa"/>
            <w:noWrap/>
          </w:tcPr>
          <w:p w:rsidR="00AF06C7" w:rsidRPr="00AF06C7" w:rsidRDefault="00644A70" w:rsidP="00AF06C7">
            <w:pPr>
              <w:cnfStyle w:val="000000000000" w:firstRow="0" w:lastRow="0" w:firstColumn="0" w:lastColumn="0" w:oddVBand="0" w:evenVBand="0" w:oddHBand="0" w:evenHBand="0" w:firstRowFirstColumn="0" w:firstRowLastColumn="0" w:lastRowFirstColumn="0" w:lastRowLastColumn="0"/>
            </w:pPr>
            <w:r>
              <w:t>96.2</w:t>
            </w:r>
          </w:p>
        </w:tc>
        <w:tc>
          <w:tcPr>
            <w:tcW w:w="898" w:type="dxa"/>
            <w:noWrap/>
          </w:tcPr>
          <w:p w:rsidR="00AF06C7" w:rsidRPr="00AF06C7" w:rsidRDefault="00AF06C7" w:rsidP="00644A70">
            <w:pPr>
              <w:cnfStyle w:val="000000000000" w:firstRow="0" w:lastRow="0" w:firstColumn="0" w:lastColumn="0" w:oddVBand="0" w:evenVBand="0" w:oddHBand="0" w:evenHBand="0" w:firstRowFirstColumn="0" w:firstRowLastColumn="0" w:lastRowFirstColumn="0" w:lastRowLastColumn="0"/>
            </w:pPr>
            <w:r>
              <w:t>1</w:t>
            </w:r>
            <w:r w:rsidR="00644A70">
              <w:t>19.1</w:t>
            </w:r>
          </w:p>
        </w:tc>
        <w:tc>
          <w:tcPr>
            <w:tcW w:w="898" w:type="dxa"/>
          </w:tcPr>
          <w:p w:rsidR="00AF06C7" w:rsidRPr="00AF06C7" w:rsidRDefault="00AF06C7" w:rsidP="00644A70">
            <w:pPr>
              <w:cnfStyle w:val="000000000000" w:firstRow="0" w:lastRow="0" w:firstColumn="0" w:lastColumn="0" w:oddVBand="0" w:evenVBand="0" w:oddHBand="0" w:evenHBand="0" w:firstRowFirstColumn="0" w:firstRowLastColumn="0" w:lastRowFirstColumn="0" w:lastRowLastColumn="0"/>
            </w:pPr>
            <w:r w:rsidRPr="00C21C2F">
              <w:t>1</w:t>
            </w:r>
            <w:r w:rsidR="00644A70">
              <w:t>26.0</w:t>
            </w:r>
          </w:p>
        </w:tc>
        <w:tc>
          <w:tcPr>
            <w:tcW w:w="897" w:type="dxa"/>
          </w:tcPr>
          <w:p w:rsidR="00AF06C7" w:rsidRPr="00AF06C7" w:rsidRDefault="00AF06C7" w:rsidP="00644A70">
            <w:pPr>
              <w:cnfStyle w:val="000000000000" w:firstRow="0" w:lastRow="0" w:firstColumn="0" w:lastColumn="0" w:oddVBand="0" w:evenVBand="0" w:oddHBand="0" w:evenHBand="0" w:firstRowFirstColumn="0" w:firstRowLastColumn="0" w:lastRowFirstColumn="0" w:lastRowLastColumn="0"/>
            </w:pPr>
            <w:r w:rsidRPr="00C21C2F">
              <w:t>13</w:t>
            </w:r>
            <w:r w:rsidR="00644A70">
              <w:t>2</w:t>
            </w:r>
            <w:r w:rsidRPr="00C21C2F">
              <w:t>.</w:t>
            </w:r>
            <w:r w:rsidR="00644A70">
              <w:t>4</w:t>
            </w:r>
          </w:p>
        </w:tc>
        <w:tc>
          <w:tcPr>
            <w:tcW w:w="898" w:type="dxa"/>
          </w:tcPr>
          <w:p w:rsidR="00AF06C7" w:rsidRPr="00AF06C7" w:rsidRDefault="00AF06C7" w:rsidP="00644A70">
            <w:pPr>
              <w:cnfStyle w:val="000000000000" w:firstRow="0" w:lastRow="0" w:firstColumn="0" w:lastColumn="0" w:oddVBand="0" w:evenVBand="0" w:oddHBand="0" w:evenHBand="0" w:firstRowFirstColumn="0" w:firstRowLastColumn="0" w:lastRowFirstColumn="0" w:lastRowLastColumn="0"/>
            </w:pPr>
            <w:r w:rsidRPr="00C21C2F">
              <w:t>12</w:t>
            </w:r>
            <w:r w:rsidR="00644A70">
              <w:t>7</w:t>
            </w:r>
            <w:r w:rsidRPr="00C21C2F">
              <w:t>.</w:t>
            </w:r>
            <w:r w:rsidR="00644A70">
              <w:t>6</w:t>
            </w:r>
          </w:p>
        </w:tc>
        <w:tc>
          <w:tcPr>
            <w:tcW w:w="898" w:type="dxa"/>
          </w:tcPr>
          <w:p w:rsidR="00AF06C7" w:rsidRPr="00AF06C7" w:rsidRDefault="00AF06C7" w:rsidP="00644A70">
            <w:pPr>
              <w:cnfStyle w:val="000000000000" w:firstRow="0" w:lastRow="0" w:firstColumn="0" w:lastColumn="0" w:oddVBand="0" w:evenVBand="0" w:oddHBand="0" w:evenHBand="0" w:firstRowFirstColumn="0" w:firstRowLastColumn="0" w:lastRowFirstColumn="0" w:lastRowLastColumn="0"/>
            </w:pPr>
            <w:r w:rsidRPr="00C21C2F">
              <w:t>6</w:t>
            </w:r>
            <w:r w:rsidR="00644A70">
              <w:t>0</w:t>
            </w:r>
            <w:r w:rsidRPr="00C21C2F">
              <w:t>1.</w:t>
            </w:r>
            <w:r w:rsidR="00644A70">
              <w:t>3</w:t>
            </w:r>
          </w:p>
        </w:tc>
      </w:tr>
      <w:tr w:rsidR="00AF06C7" w:rsidRPr="00356B64" w:rsidTr="00AF1F29">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AF06C7" w:rsidRPr="00AF06C7" w:rsidRDefault="00AF06C7" w:rsidP="00AF1F29">
            <w:r w:rsidRPr="00C21C2F">
              <w:t xml:space="preserve">Annual revenue requirement </w:t>
            </w:r>
            <w:r w:rsidRPr="00AF06C7">
              <w:t>(unsmoothed)</w:t>
            </w:r>
          </w:p>
        </w:tc>
        <w:tc>
          <w:tcPr>
            <w:tcW w:w="897" w:type="dxa"/>
            <w:noWrap/>
          </w:tcPr>
          <w:p w:rsidR="00AF06C7" w:rsidRPr="00AF06C7" w:rsidRDefault="00AF06C7" w:rsidP="00644A70">
            <w:pPr>
              <w:cnfStyle w:val="000000010000" w:firstRow="0" w:lastRow="0" w:firstColumn="0" w:lastColumn="0" w:oddVBand="0" w:evenVBand="0" w:oddHBand="0" w:evenHBand="1" w:firstRowFirstColumn="0" w:firstRowLastColumn="0" w:lastRowFirstColumn="0" w:lastRowLastColumn="0"/>
            </w:pPr>
            <w:r w:rsidRPr="00C21C2F">
              <w:t>14</w:t>
            </w:r>
            <w:r w:rsidR="00644A70">
              <w:t>45</w:t>
            </w:r>
            <w:r w:rsidRPr="00C21C2F">
              <w:t>.</w:t>
            </w:r>
            <w:r w:rsidR="00644A70">
              <w:t>6</w:t>
            </w:r>
          </w:p>
        </w:tc>
        <w:tc>
          <w:tcPr>
            <w:tcW w:w="898" w:type="dxa"/>
            <w:noWrap/>
          </w:tcPr>
          <w:p w:rsidR="00AF06C7" w:rsidRPr="00AF06C7" w:rsidRDefault="00AF06C7" w:rsidP="00644A70">
            <w:pPr>
              <w:cnfStyle w:val="000000010000" w:firstRow="0" w:lastRow="0" w:firstColumn="0" w:lastColumn="0" w:oddVBand="0" w:evenVBand="0" w:oddHBand="0" w:evenHBand="1" w:firstRowFirstColumn="0" w:firstRowLastColumn="0" w:lastRowFirstColumn="0" w:lastRowLastColumn="0"/>
            </w:pPr>
            <w:r w:rsidRPr="00C21C2F">
              <w:t>1</w:t>
            </w:r>
            <w:r w:rsidR="00644A70">
              <w:t>511</w:t>
            </w:r>
            <w:r w:rsidRPr="00C21C2F">
              <w:t>.</w:t>
            </w:r>
            <w:r w:rsidR="00644A70">
              <w:t>0</w:t>
            </w:r>
          </w:p>
        </w:tc>
        <w:tc>
          <w:tcPr>
            <w:tcW w:w="898" w:type="dxa"/>
          </w:tcPr>
          <w:p w:rsidR="00AF06C7" w:rsidRPr="00AF06C7" w:rsidRDefault="00AF06C7" w:rsidP="00644A70">
            <w:pPr>
              <w:cnfStyle w:val="000000010000" w:firstRow="0" w:lastRow="0" w:firstColumn="0" w:lastColumn="0" w:oddVBand="0" w:evenVBand="0" w:oddHBand="0" w:evenHBand="1" w:firstRowFirstColumn="0" w:firstRowLastColumn="0" w:lastRowFirstColumn="0" w:lastRowLastColumn="0"/>
            </w:pPr>
            <w:r w:rsidRPr="00C21C2F">
              <w:t>1</w:t>
            </w:r>
            <w:r w:rsidR="00644A70">
              <w:t>588</w:t>
            </w:r>
            <w:r w:rsidRPr="00C21C2F">
              <w:t>.</w:t>
            </w:r>
            <w:r w:rsidR="00644A70">
              <w:t>4</w:t>
            </w:r>
          </w:p>
        </w:tc>
        <w:tc>
          <w:tcPr>
            <w:tcW w:w="897" w:type="dxa"/>
          </w:tcPr>
          <w:p w:rsidR="00AF06C7" w:rsidRPr="00AF06C7" w:rsidRDefault="00AF06C7" w:rsidP="00644A70">
            <w:pPr>
              <w:cnfStyle w:val="000000010000" w:firstRow="0" w:lastRow="0" w:firstColumn="0" w:lastColumn="0" w:oddVBand="0" w:evenVBand="0" w:oddHBand="0" w:evenHBand="1" w:firstRowFirstColumn="0" w:firstRowLastColumn="0" w:lastRowFirstColumn="0" w:lastRowLastColumn="0"/>
            </w:pPr>
            <w:r w:rsidRPr="00C21C2F">
              <w:t>1</w:t>
            </w:r>
            <w:r w:rsidR="00644A70">
              <w:t>566</w:t>
            </w:r>
            <w:r w:rsidRPr="00C21C2F">
              <w:t>.</w:t>
            </w:r>
            <w:r w:rsidR="00644A70">
              <w:t>5</w:t>
            </w:r>
          </w:p>
        </w:tc>
        <w:tc>
          <w:tcPr>
            <w:tcW w:w="898" w:type="dxa"/>
          </w:tcPr>
          <w:p w:rsidR="00AF06C7" w:rsidRPr="00AF06C7" w:rsidRDefault="00AF06C7" w:rsidP="00644A70">
            <w:pPr>
              <w:cnfStyle w:val="000000010000" w:firstRow="0" w:lastRow="0" w:firstColumn="0" w:lastColumn="0" w:oddVBand="0" w:evenVBand="0" w:oddHBand="0" w:evenHBand="1" w:firstRowFirstColumn="0" w:firstRowLastColumn="0" w:lastRowFirstColumn="0" w:lastRowLastColumn="0"/>
            </w:pPr>
            <w:r w:rsidRPr="00C21C2F">
              <w:t>1</w:t>
            </w:r>
            <w:r w:rsidR="00644A70">
              <w:t>616</w:t>
            </w:r>
            <w:r w:rsidRPr="00C21C2F">
              <w:t>.</w:t>
            </w:r>
            <w:r w:rsidR="00644A70">
              <w:t>9</w:t>
            </w:r>
          </w:p>
        </w:tc>
        <w:tc>
          <w:tcPr>
            <w:tcW w:w="898" w:type="dxa"/>
          </w:tcPr>
          <w:p w:rsidR="00AF06C7" w:rsidRPr="00AF06C7" w:rsidRDefault="00644A70" w:rsidP="00644A70">
            <w:pPr>
              <w:cnfStyle w:val="000000010000" w:firstRow="0" w:lastRow="0" w:firstColumn="0" w:lastColumn="0" w:oddVBand="0" w:evenVBand="0" w:oddHBand="0" w:evenHBand="1" w:firstRowFirstColumn="0" w:firstRowLastColumn="0" w:lastRowFirstColumn="0" w:lastRowLastColumn="0"/>
            </w:pPr>
            <w:r>
              <w:t>7728.4</w:t>
            </w:r>
          </w:p>
        </w:tc>
      </w:tr>
      <w:tr w:rsidR="00AF06C7" w:rsidRPr="000B0058" w:rsidTr="00AF1F29">
        <w:trPr>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AF06C7" w:rsidRPr="00AF06C7" w:rsidRDefault="00AF06C7" w:rsidP="00AF06C7">
            <w:pPr>
              <w:rPr>
                <w:rStyle w:val="Strong"/>
              </w:rPr>
            </w:pPr>
            <w:r w:rsidRPr="00D03746">
              <w:rPr>
                <w:rStyle w:val="Strong"/>
              </w:rPr>
              <w:t xml:space="preserve">Annual expected revenue </w:t>
            </w:r>
            <w:r w:rsidRPr="00AF06C7">
              <w:rPr>
                <w:rStyle w:val="Strong"/>
              </w:rPr>
              <w:br/>
              <w:t xml:space="preserve">(exc. </w:t>
            </w:r>
            <w:proofErr w:type="spellStart"/>
            <w:r w:rsidRPr="00AF06C7">
              <w:rPr>
                <w:rStyle w:val="Strong"/>
              </w:rPr>
              <w:t>additionals</w:t>
            </w:r>
            <w:proofErr w:type="spellEnd"/>
            <w:r w:rsidRPr="00AF06C7">
              <w:rPr>
                <w:rStyle w:val="Strong"/>
              </w:rPr>
              <w:t>)</w:t>
            </w:r>
          </w:p>
        </w:tc>
        <w:tc>
          <w:tcPr>
            <w:tcW w:w="897" w:type="dxa"/>
            <w:noWrap/>
          </w:tcPr>
          <w:p w:rsidR="00AF06C7" w:rsidRPr="00022BCB" w:rsidRDefault="00AF06C7" w:rsidP="00644A70">
            <w:pPr>
              <w:cnfStyle w:val="000000000000" w:firstRow="0" w:lastRow="0" w:firstColumn="0" w:lastColumn="0" w:oddVBand="0" w:evenVBand="0" w:oddHBand="0" w:evenHBand="0" w:firstRowFirstColumn="0" w:firstRowLastColumn="0" w:lastRowFirstColumn="0" w:lastRowLastColumn="0"/>
              <w:rPr>
                <w:rStyle w:val="AERsuperscript"/>
              </w:rPr>
            </w:pPr>
            <w:r w:rsidRPr="00D03746">
              <w:rPr>
                <w:rStyle w:val="Strong"/>
              </w:rPr>
              <w:t>1</w:t>
            </w:r>
            <w:r w:rsidR="00644A70">
              <w:rPr>
                <w:rStyle w:val="Strong"/>
              </w:rPr>
              <w:t>137.7</w:t>
            </w:r>
            <w:r w:rsidR="00022BCB">
              <w:rPr>
                <w:rStyle w:val="AERsuperscript"/>
              </w:rPr>
              <w:t>c</w:t>
            </w:r>
          </w:p>
        </w:tc>
        <w:tc>
          <w:tcPr>
            <w:tcW w:w="898" w:type="dxa"/>
            <w:noWrap/>
          </w:tcPr>
          <w:p w:rsidR="00AF06C7" w:rsidRPr="00AF06C7" w:rsidRDefault="00AF06C7" w:rsidP="00644A70">
            <w:pPr>
              <w:cnfStyle w:val="000000000000" w:firstRow="0" w:lastRow="0" w:firstColumn="0" w:lastColumn="0" w:oddVBand="0" w:evenVBand="0" w:oddHBand="0" w:evenHBand="0" w:firstRowFirstColumn="0" w:firstRowLastColumn="0" w:lastRowFirstColumn="0" w:lastRowLastColumn="0"/>
              <w:rPr>
                <w:rStyle w:val="Strong"/>
              </w:rPr>
            </w:pPr>
            <w:r w:rsidRPr="00D03746">
              <w:rPr>
                <w:rStyle w:val="Strong"/>
              </w:rPr>
              <w:t>15</w:t>
            </w:r>
            <w:r w:rsidR="00644A70">
              <w:rPr>
                <w:rStyle w:val="Strong"/>
              </w:rPr>
              <w:t>22</w:t>
            </w:r>
            <w:r w:rsidRPr="00D03746">
              <w:rPr>
                <w:rStyle w:val="Strong"/>
              </w:rPr>
              <w:t>.</w:t>
            </w:r>
            <w:r w:rsidR="00644A70">
              <w:rPr>
                <w:rStyle w:val="Strong"/>
              </w:rPr>
              <w:t>3</w:t>
            </w:r>
          </w:p>
        </w:tc>
        <w:tc>
          <w:tcPr>
            <w:tcW w:w="898" w:type="dxa"/>
          </w:tcPr>
          <w:p w:rsidR="00AF06C7" w:rsidRPr="00AF06C7" w:rsidRDefault="00AF06C7" w:rsidP="00644A70">
            <w:pPr>
              <w:cnfStyle w:val="000000000000" w:firstRow="0" w:lastRow="0" w:firstColumn="0" w:lastColumn="0" w:oddVBand="0" w:evenVBand="0" w:oddHBand="0" w:evenHBand="0" w:firstRowFirstColumn="0" w:firstRowLastColumn="0" w:lastRowFirstColumn="0" w:lastRowLastColumn="0"/>
              <w:rPr>
                <w:rStyle w:val="Strong"/>
              </w:rPr>
            </w:pPr>
            <w:r w:rsidRPr="00D03746">
              <w:rPr>
                <w:rStyle w:val="Strong"/>
              </w:rPr>
              <w:t>170</w:t>
            </w:r>
            <w:r w:rsidR="00644A70">
              <w:rPr>
                <w:rStyle w:val="Strong"/>
              </w:rPr>
              <w:t>9</w:t>
            </w:r>
            <w:r w:rsidRPr="00D03746">
              <w:rPr>
                <w:rStyle w:val="Strong"/>
              </w:rPr>
              <w:t>.</w:t>
            </w:r>
            <w:r w:rsidR="00644A70">
              <w:rPr>
                <w:rStyle w:val="Strong"/>
              </w:rPr>
              <w:t>1</w:t>
            </w:r>
          </w:p>
        </w:tc>
        <w:tc>
          <w:tcPr>
            <w:tcW w:w="897" w:type="dxa"/>
          </w:tcPr>
          <w:p w:rsidR="00AF06C7" w:rsidRPr="00AF06C7" w:rsidRDefault="00AF06C7" w:rsidP="00644A70">
            <w:pPr>
              <w:cnfStyle w:val="000000000000" w:firstRow="0" w:lastRow="0" w:firstColumn="0" w:lastColumn="0" w:oddVBand="0" w:evenVBand="0" w:oddHBand="0" w:evenHBand="0" w:firstRowFirstColumn="0" w:firstRowLastColumn="0" w:lastRowFirstColumn="0" w:lastRowLastColumn="0"/>
              <w:rPr>
                <w:rStyle w:val="Strong"/>
              </w:rPr>
            </w:pPr>
            <w:r w:rsidRPr="00D03746">
              <w:rPr>
                <w:rStyle w:val="Strong"/>
              </w:rPr>
              <w:t>171</w:t>
            </w:r>
            <w:r w:rsidR="00644A70">
              <w:rPr>
                <w:rStyle w:val="Strong"/>
              </w:rPr>
              <w:t>2</w:t>
            </w:r>
            <w:r w:rsidRPr="00D03746">
              <w:rPr>
                <w:rStyle w:val="Strong"/>
              </w:rPr>
              <w:t>.7</w:t>
            </w:r>
          </w:p>
        </w:tc>
        <w:tc>
          <w:tcPr>
            <w:tcW w:w="898" w:type="dxa"/>
          </w:tcPr>
          <w:p w:rsidR="00AF06C7" w:rsidRPr="00AF06C7" w:rsidRDefault="00AF06C7" w:rsidP="00644A70">
            <w:pPr>
              <w:cnfStyle w:val="000000000000" w:firstRow="0" w:lastRow="0" w:firstColumn="0" w:lastColumn="0" w:oddVBand="0" w:evenVBand="0" w:oddHBand="0" w:evenHBand="0" w:firstRowFirstColumn="0" w:firstRowLastColumn="0" w:lastRowFirstColumn="0" w:lastRowLastColumn="0"/>
              <w:rPr>
                <w:rStyle w:val="Strong"/>
              </w:rPr>
            </w:pPr>
            <w:r w:rsidRPr="00D03746">
              <w:rPr>
                <w:rStyle w:val="Strong"/>
              </w:rPr>
              <w:t>171</w:t>
            </w:r>
            <w:r w:rsidR="00644A70">
              <w:rPr>
                <w:rStyle w:val="Strong"/>
              </w:rPr>
              <w:t>6</w:t>
            </w:r>
            <w:r w:rsidRPr="00D03746">
              <w:rPr>
                <w:rStyle w:val="Strong"/>
              </w:rPr>
              <w:t>.</w:t>
            </w:r>
            <w:r w:rsidR="00644A70">
              <w:rPr>
                <w:rStyle w:val="Strong"/>
              </w:rPr>
              <w:t>3</w:t>
            </w:r>
          </w:p>
        </w:tc>
        <w:tc>
          <w:tcPr>
            <w:tcW w:w="898" w:type="dxa"/>
          </w:tcPr>
          <w:p w:rsidR="00AF06C7" w:rsidRPr="00AF06C7" w:rsidRDefault="00644A70" w:rsidP="00644A70">
            <w:pPr>
              <w:cnfStyle w:val="000000000000" w:firstRow="0" w:lastRow="0" w:firstColumn="0" w:lastColumn="0" w:oddVBand="0" w:evenVBand="0" w:oddHBand="0" w:evenHBand="0" w:firstRowFirstColumn="0" w:firstRowLastColumn="0" w:lastRowFirstColumn="0" w:lastRowLastColumn="0"/>
              <w:rPr>
                <w:rStyle w:val="Strong"/>
              </w:rPr>
            </w:pPr>
            <w:r>
              <w:rPr>
                <w:rStyle w:val="Strong"/>
              </w:rPr>
              <w:t>779</w:t>
            </w:r>
            <w:r w:rsidR="00AF06C7" w:rsidRPr="00D03746">
              <w:rPr>
                <w:rStyle w:val="Strong"/>
              </w:rPr>
              <w:t>8.</w:t>
            </w:r>
            <w:r>
              <w:rPr>
                <w:rStyle w:val="Strong"/>
              </w:rPr>
              <w:t>2</w:t>
            </w:r>
          </w:p>
        </w:tc>
      </w:tr>
      <w:tr w:rsidR="00AF06C7" w:rsidRPr="00356B64" w:rsidTr="00AF1F29">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AF06C7" w:rsidRPr="00AF06C7" w:rsidRDefault="00AF06C7" w:rsidP="00AF06C7">
            <w:r w:rsidRPr="005E391D">
              <w:t>X factor</w:t>
            </w:r>
          </w:p>
        </w:tc>
        <w:tc>
          <w:tcPr>
            <w:tcW w:w="897" w:type="dxa"/>
            <w:noWrap/>
          </w:tcPr>
          <w:p w:rsidR="00AF06C7" w:rsidRPr="00AF06C7" w:rsidRDefault="008C1E79" w:rsidP="00644A70">
            <w:pPr>
              <w:cnfStyle w:val="000000010000" w:firstRow="0" w:lastRow="0" w:firstColumn="0" w:lastColumn="0" w:oddVBand="0" w:evenVBand="0" w:oddHBand="0" w:evenHBand="1" w:firstRowFirstColumn="0" w:firstRowLastColumn="0" w:lastRowFirstColumn="0" w:lastRowLastColumn="0"/>
            </w:pPr>
            <w:r>
              <w:t>n/a</w:t>
            </w:r>
          </w:p>
        </w:tc>
        <w:tc>
          <w:tcPr>
            <w:tcW w:w="898" w:type="dxa"/>
            <w:noWrap/>
          </w:tcPr>
          <w:p w:rsidR="00AF06C7" w:rsidRPr="00AF06C7" w:rsidRDefault="00AF06C7" w:rsidP="00644A70">
            <w:pPr>
              <w:cnfStyle w:val="000000010000" w:firstRow="0" w:lastRow="0" w:firstColumn="0" w:lastColumn="0" w:oddVBand="0" w:evenVBand="0" w:oddHBand="0" w:evenHBand="1" w:firstRowFirstColumn="0" w:firstRowLastColumn="0" w:lastRowFirstColumn="0" w:lastRowLastColumn="0"/>
            </w:pPr>
            <w:r>
              <w:t>–</w:t>
            </w:r>
            <w:r w:rsidRPr="00AF06C7">
              <w:t>3</w:t>
            </w:r>
            <w:r w:rsidR="00644A70">
              <w:t>0.48</w:t>
            </w:r>
            <w:r w:rsidRPr="00AF06C7">
              <w:t>%</w:t>
            </w:r>
          </w:p>
        </w:tc>
        <w:tc>
          <w:tcPr>
            <w:tcW w:w="898" w:type="dxa"/>
          </w:tcPr>
          <w:p w:rsidR="00AF06C7" w:rsidRPr="00AF06C7" w:rsidRDefault="00AF06C7" w:rsidP="00644A70">
            <w:pPr>
              <w:cnfStyle w:val="000000010000" w:firstRow="0" w:lastRow="0" w:firstColumn="0" w:lastColumn="0" w:oddVBand="0" w:evenVBand="0" w:oddHBand="0" w:evenHBand="1" w:firstRowFirstColumn="0" w:firstRowLastColumn="0" w:lastRowFirstColumn="0" w:lastRowLastColumn="0"/>
            </w:pPr>
            <w:r>
              <w:t>–</w:t>
            </w:r>
            <w:r w:rsidR="00644A70">
              <w:t>9</w:t>
            </w:r>
            <w:r w:rsidRPr="00AF06C7">
              <w:t>.</w:t>
            </w:r>
            <w:r w:rsidR="00644A70">
              <w:t>48</w:t>
            </w:r>
            <w:r w:rsidRPr="00AF06C7">
              <w:t>%</w:t>
            </w:r>
          </w:p>
        </w:tc>
        <w:tc>
          <w:tcPr>
            <w:tcW w:w="897" w:type="dxa"/>
          </w:tcPr>
          <w:p w:rsidR="00AF06C7" w:rsidRPr="00AF06C7" w:rsidRDefault="00644A70" w:rsidP="00644A70">
            <w:pPr>
              <w:cnfStyle w:val="000000010000" w:firstRow="0" w:lastRow="0" w:firstColumn="0" w:lastColumn="0" w:oddVBand="0" w:evenVBand="0" w:oddHBand="0" w:evenHBand="1" w:firstRowFirstColumn="0" w:firstRowLastColumn="0" w:lastRowFirstColumn="0" w:lastRowLastColumn="0"/>
            </w:pPr>
            <w:r>
              <w:t>2</w:t>
            </w:r>
            <w:r w:rsidR="00AF06C7" w:rsidRPr="005E391D">
              <w:t>.</w:t>
            </w:r>
            <w:r>
              <w:t>28</w:t>
            </w:r>
            <w:r w:rsidR="00AF06C7" w:rsidRPr="005E391D">
              <w:t>%</w:t>
            </w:r>
          </w:p>
        </w:tc>
        <w:tc>
          <w:tcPr>
            <w:tcW w:w="898" w:type="dxa"/>
          </w:tcPr>
          <w:p w:rsidR="00AF06C7" w:rsidRPr="00AF06C7" w:rsidRDefault="00AF06C7" w:rsidP="00644A70">
            <w:pPr>
              <w:cnfStyle w:val="000000010000" w:firstRow="0" w:lastRow="0" w:firstColumn="0" w:lastColumn="0" w:oddVBand="0" w:evenVBand="0" w:oddHBand="0" w:evenHBand="1" w:firstRowFirstColumn="0" w:firstRowLastColumn="0" w:lastRowFirstColumn="0" w:lastRowLastColumn="0"/>
            </w:pPr>
            <w:r w:rsidRPr="005E391D">
              <w:t>2.</w:t>
            </w:r>
            <w:r w:rsidR="00644A70">
              <w:t>28</w:t>
            </w:r>
            <w:r w:rsidRPr="005E391D">
              <w:t>%</w:t>
            </w:r>
          </w:p>
        </w:tc>
        <w:tc>
          <w:tcPr>
            <w:tcW w:w="898" w:type="dxa"/>
          </w:tcPr>
          <w:p w:rsidR="00AF06C7" w:rsidRPr="00AF06C7" w:rsidRDefault="00AF06C7" w:rsidP="00AF06C7">
            <w:pPr>
              <w:cnfStyle w:val="000000010000" w:firstRow="0" w:lastRow="0" w:firstColumn="0" w:lastColumn="0" w:oddVBand="0" w:evenVBand="0" w:oddHBand="0" w:evenHBand="1" w:firstRowFirstColumn="0" w:firstRowLastColumn="0" w:lastRowFirstColumn="0" w:lastRowLastColumn="0"/>
            </w:pPr>
            <w:r w:rsidRPr="005E391D">
              <w:t>n/a</w:t>
            </w:r>
          </w:p>
        </w:tc>
      </w:tr>
      <w:tr w:rsidR="001E19DB" w:rsidRPr="00356B64" w:rsidTr="008F42E9">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1E19DB" w:rsidRPr="001E19DB" w:rsidRDefault="001E19DB" w:rsidP="001E19DB">
            <w:r w:rsidRPr="001E19DB">
              <w:t xml:space="preserve">Additional amounts in </w:t>
            </w:r>
            <w:proofErr w:type="spellStart"/>
            <w:r w:rsidRPr="001E19DB">
              <w:t>DUoS</w:t>
            </w:r>
            <w:r w:rsidR="00022BCB">
              <w:rPr>
                <w:rStyle w:val="AERsuperscript"/>
              </w:rPr>
              <w:t>d</w:t>
            </w:r>
            <w:proofErr w:type="spellEnd"/>
          </w:p>
        </w:tc>
        <w:tc>
          <w:tcPr>
            <w:tcW w:w="897" w:type="dxa"/>
            <w:noWrap/>
            <w:vAlign w:val="top"/>
          </w:tcPr>
          <w:p w:rsidR="001E19DB" w:rsidRPr="001E19DB" w:rsidRDefault="001E19DB" w:rsidP="001E19DB">
            <w:pPr>
              <w:cnfStyle w:val="000000000000" w:firstRow="0" w:lastRow="0" w:firstColumn="0" w:lastColumn="0" w:oddVBand="0" w:evenVBand="0" w:oddHBand="0" w:evenHBand="0" w:firstRowFirstColumn="0" w:firstRowLastColumn="0" w:lastRowFirstColumn="0" w:lastRowLastColumn="0"/>
            </w:pPr>
            <w:r w:rsidRPr="001E19DB">
              <w:t>420.6</w:t>
            </w:r>
          </w:p>
        </w:tc>
        <w:tc>
          <w:tcPr>
            <w:tcW w:w="898" w:type="dxa"/>
            <w:noWrap/>
            <w:vAlign w:val="top"/>
          </w:tcPr>
          <w:p w:rsidR="001E19DB" w:rsidRPr="001E19DB" w:rsidRDefault="001E19DB" w:rsidP="001E19DB">
            <w:pPr>
              <w:cnfStyle w:val="000000000000" w:firstRow="0" w:lastRow="0" w:firstColumn="0" w:lastColumn="0" w:oddVBand="0" w:evenVBand="0" w:oddHBand="0" w:evenHBand="0" w:firstRowFirstColumn="0" w:firstRowLastColumn="0" w:lastRowFirstColumn="0" w:lastRowLastColumn="0"/>
            </w:pPr>
            <w:r w:rsidRPr="001E19DB">
              <w:t>341.6</w:t>
            </w:r>
          </w:p>
        </w:tc>
        <w:tc>
          <w:tcPr>
            <w:tcW w:w="898" w:type="dxa"/>
            <w:vAlign w:val="top"/>
          </w:tcPr>
          <w:p w:rsidR="001E19DB" w:rsidRPr="001E19DB" w:rsidRDefault="001E19DB" w:rsidP="001E19DB">
            <w:pPr>
              <w:cnfStyle w:val="000000000000" w:firstRow="0" w:lastRow="0" w:firstColumn="0" w:lastColumn="0" w:oddVBand="0" w:evenVBand="0" w:oddHBand="0" w:evenHBand="0" w:firstRowFirstColumn="0" w:firstRowLastColumn="0" w:lastRowFirstColumn="0" w:lastRowLastColumn="0"/>
            </w:pPr>
            <w:r w:rsidRPr="001E19DB">
              <w:t>114.3</w:t>
            </w:r>
          </w:p>
        </w:tc>
        <w:tc>
          <w:tcPr>
            <w:tcW w:w="897" w:type="dxa"/>
            <w:vAlign w:val="top"/>
          </w:tcPr>
          <w:p w:rsidR="001E19DB" w:rsidRPr="001E19DB" w:rsidRDefault="001E19DB" w:rsidP="001E19DB">
            <w:pPr>
              <w:cnfStyle w:val="000000000000" w:firstRow="0" w:lastRow="0" w:firstColumn="0" w:lastColumn="0" w:oddVBand="0" w:evenVBand="0" w:oddHBand="0" w:evenHBand="0" w:firstRowFirstColumn="0" w:firstRowLastColumn="0" w:lastRowFirstColumn="0" w:lastRowLastColumn="0"/>
            </w:pPr>
            <w:r w:rsidRPr="001E19DB">
              <w:t>114.0</w:t>
            </w:r>
          </w:p>
        </w:tc>
        <w:tc>
          <w:tcPr>
            <w:tcW w:w="898" w:type="dxa"/>
            <w:vAlign w:val="top"/>
          </w:tcPr>
          <w:p w:rsidR="001E19DB" w:rsidRPr="001E19DB" w:rsidRDefault="001E19DB" w:rsidP="001E19DB">
            <w:pPr>
              <w:cnfStyle w:val="000000000000" w:firstRow="0" w:lastRow="0" w:firstColumn="0" w:lastColumn="0" w:oddVBand="0" w:evenVBand="0" w:oddHBand="0" w:evenHBand="0" w:firstRowFirstColumn="0" w:firstRowLastColumn="0" w:lastRowFirstColumn="0" w:lastRowLastColumn="0"/>
            </w:pPr>
            <w:r w:rsidRPr="001E19DB">
              <w:t>113.8</w:t>
            </w:r>
          </w:p>
        </w:tc>
        <w:tc>
          <w:tcPr>
            <w:tcW w:w="898" w:type="dxa"/>
            <w:vAlign w:val="top"/>
          </w:tcPr>
          <w:p w:rsidR="001E19DB" w:rsidRPr="001E19DB" w:rsidRDefault="001E19DB" w:rsidP="001E19DB">
            <w:pPr>
              <w:cnfStyle w:val="000000000000" w:firstRow="0" w:lastRow="0" w:firstColumn="0" w:lastColumn="0" w:oddVBand="0" w:evenVBand="0" w:oddHBand="0" w:evenHBand="0" w:firstRowFirstColumn="0" w:firstRowLastColumn="0" w:lastRowFirstColumn="0" w:lastRowLastColumn="0"/>
            </w:pPr>
            <w:r w:rsidRPr="001E19DB">
              <w:t>1104.3</w:t>
            </w:r>
          </w:p>
        </w:tc>
      </w:tr>
      <w:tr w:rsidR="001E19DB" w:rsidRPr="007750D6" w:rsidTr="008F42E9">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1E19DB" w:rsidRPr="001E19DB" w:rsidRDefault="001E19DB" w:rsidP="001E19DB">
            <w:pPr>
              <w:rPr>
                <w:rStyle w:val="Strong"/>
              </w:rPr>
            </w:pPr>
            <w:r w:rsidRPr="001E19DB">
              <w:rPr>
                <w:rStyle w:val="Strong"/>
              </w:rPr>
              <w:t xml:space="preserve">Annual expected revenue </w:t>
            </w:r>
            <w:r w:rsidRPr="001E19DB">
              <w:rPr>
                <w:rStyle w:val="Strong"/>
              </w:rPr>
              <w:br/>
              <w:t>(</w:t>
            </w:r>
            <w:proofErr w:type="spellStart"/>
            <w:r w:rsidRPr="001E19DB">
              <w:rPr>
                <w:rStyle w:val="Strong"/>
              </w:rPr>
              <w:t>inc.</w:t>
            </w:r>
            <w:proofErr w:type="spellEnd"/>
            <w:r w:rsidRPr="001E19DB">
              <w:rPr>
                <w:rStyle w:val="Strong"/>
              </w:rPr>
              <w:t xml:space="preserve"> </w:t>
            </w:r>
            <w:proofErr w:type="spellStart"/>
            <w:r w:rsidRPr="001E19DB">
              <w:rPr>
                <w:rStyle w:val="Strong"/>
              </w:rPr>
              <w:t>additionals</w:t>
            </w:r>
            <w:proofErr w:type="spellEnd"/>
            <w:r w:rsidRPr="001E19DB">
              <w:rPr>
                <w:rStyle w:val="Strong"/>
              </w:rPr>
              <w:t>)</w:t>
            </w:r>
          </w:p>
        </w:tc>
        <w:tc>
          <w:tcPr>
            <w:tcW w:w="897" w:type="dxa"/>
            <w:noWrap/>
            <w:vAlign w:val="top"/>
          </w:tcPr>
          <w:p w:rsidR="001E19DB" w:rsidRPr="00C6501F" w:rsidRDefault="001E19DB" w:rsidP="001E19DB">
            <w:pPr>
              <w:cnfStyle w:val="000000010000" w:firstRow="0" w:lastRow="0" w:firstColumn="0" w:lastColumn="0" w:oddVBand="0" w:evenVBand="0" w:oddHBand="0" w:evenHBand="1" w:firstRowFirstColumn="0" w:firstRowLastColumn="0" w:lastRowFirstColumn="0" w:lastRowLastColumn="0"/>
              <w:rPr>
                <w:rStyle w:val="Strong"/>
              </w:rPr>
            </w:pPr>
            <w:r w:rsidRPr="008F42E9">
              <w:rPr>
                <w:rStyle w:val="Strong"/>
              </w:rPr>
              <w:t>1562.0</w:t>
            </w:r>
          </w:p>
        </w:tc>
        <w:tc>
          <w:tcPr>
            <w:tcW w:w="898" w:type="dxa"/>
            <w:noWrap/>
            <w:vAlign w:val="top"/>
          </w:tcPr>
          <w:p w:rsidR="001E19DB" w:rsidRPr="00C6501F" w:rsidDel="00BC5D56" w:rsidRDefault="001E19DB" w:rsidP="001E19DB">
            <w:pPr>
              <w:cnfStyle w:val="000000010000" w:firstRow="0" w:lastRow="0" w:firstColumn="0" w:lastColumn="0" w:oddVBand="0" w:evenVBand="0" w:oddHBand="0" w:evenHBand="1" w:firstRowFirstColumn="0" w:firstRowLastColumn="0" w:lastRowFirstColumn="0" w:lastRowLastColumn="0"/>
              <w:rPr>
                <w:rStyle w:val="Strong"/>
              </w:rPr>
            </w:pPr>
            <w:r w:rsidRPr="008F42E9">
              <w:rPr>
                <w:rStyle w:val="Strong"/>
              </w:rPr>
              <w:t>1854.0</w:t>
            </w:r>
          </w:p>
        </w:tc>
        <w:tc>
          <w:tcPr>
            <w:tcW w:w="898" w:type="dxa"/>
            <w:vAlign w:val="top"/>
          </w:tcPr>
          <w:p w:rsidR="001E19DB" w:rsidRPr="00C6501F" w:rsidRDefault="001E19DB" w:rsidP="001E19DB">
            <w:pPr>
              <w:cnfStyle w:val="000000010000" w:firstRow="0" w:lastRow="0" w:firstColumn="0" w:lastColumn="0" w:oddVBand="0" w:evenVBand="0" w:oddHBand="0" w:evenHBand="1" w:firstRowFirstColumn="0" w:firstRowLastColumn="0" w:lastRowFirstColumn="0" w:lastRowLastColumn="0"/>
              <w:rPr>
                <w:rStyle w:val="Strong"/>
              </w:rPr>
            </w:pPr>
            <w:r w:rsidRPr="008F42E9">
              <w:rPr>
                <w:rStyle w:val="Strong"/>
              </w:rPr>
              <w:t>1814.0</w:t>
            </w:r>
          </w:p>
        </w:tc>
        <w:tc>
          <w:tcPr>
            <w:tcW w:w="897" w:type="dxa"/>
            <w:vAlign w:val="top"/>
          </w:tcPr>
          <w:p w:rsidR="001E19DB" w:rsidRPr="00C6501F" w:rsidRDefault="001E19DB" w:rsidP="001E19DB">
            <w:pPr>
              <w:cnfStyle w:val="000000010000" w:firstRow="0" w:lastRow="0" w:firstColumn="0" w:lastColumn="0" w:oddVBand="0" w:evenVBand="0" w:oddHBand="0" w:evenHBand="1" w:firstRowFirstColumn="0" w:firstRowLastColumn="0" w:lastRowFirstColumn="0" w:lastRowLastColumn="0"/>
              <w:rPr>
                <w:rStyle w:val="Strong"/>
              </w:rPr>
            </w:pPr>
            <w:r w:rsidRPr="008F42E9">
              <w:rPr>
                <w:rStyle w:val="Strong"/>
              </w:rPr>
              <w:t>1814.8</w:t>
            </w:r>
          </w:p>
        </w:tc>
        <w:tc>
          <w:tcPr>
            <w:tcW w:w="898" w:type="dxa"/>
            <w:vAlign w:val="top"/>
          </w:tcPr>
          <w:p w:rsidR="001E19DB" w:rsidRPr="00C6501F" w:rsidRDefault="001E19DB" w:rsidP="001E19DB">
            <w:pPr>
              <w:cnfStyle w:val="000000010000" w:firstRow="0" w:lastRow="0" w:firstColumn="0" w:lastColumn="0" w:oddVBand="0" w:evenVBand="0" w:oddHBand="0" w:evenHBand="1" w:firstRowFirstColumn="0" w:firstRowLastColumn="0" w:lastRowFirstColumn="0" w:lastRowLastColumn="0"/>
              <w:rPr>
                <w:rStyle w:val="Strong"/>
              </w:rPr>
            </w:pPr>
            <w:r w:rsidRPr="008F42E9">
              <w:rPr>
                <w:rStyle w:val="Strong"/>
              </w:rPr>
              <w:t>1815.5</w:t>
            </w:r>
          </w:p>
        </w:tc>
        <w:tc>
          <w:tcPr>
            <w:tcW w:w="898" w:type="dxa"/>
            <w:vAlign w:val="top"/>
          </w:tcPr>
          <w:p w:rsidR="001E19DB" w:rsidRPr="00C6501F" w:rsidRDefault="001E19DB" w:rsidP="001E19DB">
            <w:pPr>
              <w:cnfStyle w:val="000000010000" w:firstRow="0" w:lastRow="0" w:firstColumn="0" w:lastColumn="0" w:oddVBand="0" w:evenVBand="0" w:oddHBand="0" w:evenHBand="1" w:firstRowFirstColumn="0" w:firstRowLastColumn="0" w:lastRowFirstColumn="0" w:lastRowLastColumn="0"/>
              <w:rPr>
                <w:rStyle w:val="Strong"/>
              </w:rPr>
            </w:pPr>
            <w:r w:rsidRPr="008F42E9">
              <w:rPr>
                <w:rStyle w:val="Strong"/>
              </w:rPr>
              <w:t>8860.4</w:t>
            </w:r>
          </w:p>
        </w:tc>
      </w:tr>
      <w:tr w:rsidR="001E19DB" w:rsidRPr="007750D6" w:rsidTr="008F42E9">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1E19DB" w:rsidRPr="001E19DB" w:rsidRDefault="001E19DB" w:rsidP="001E19DB">
            <w:r w:rsidRPr="001E19DB">
              <w:t>Annual change in revenue (</w:t>
            </w:r>
            <w:proofErr w:type="spellStart"/>
            <w:r w:rsidRPr="001E19DB">
              <w:t>inc.</w:t>
            </w:r>
            <w:proofErr w:type="spellEnd"/>
            <w:r w:rsidRPr="001E19DB">
              <w:t xml:space="preserve"> </w:t>
            </w:r>
            <w:proofErr w:type="spellStart"/>
            <w:r w:rsidRPr="001E19DB">
              <w:t>additionals</w:t>
            </w:r>
            <w:proofErr w:type="spellEnd"/>
            <w:r w:rsidRPr="001E19DB">
              <w:t>)</w:t>
            </w:r>
          </w:p>
        </w:tc>
        <w:tc>
          <w:tcPr>
            <w:tcW w:w="897" w:type="dxa"/>
            <w:noWrap/>
            <w:vAlign w:val="top"/>
          </w:tcPr>
          <w:p w:rsidR="001E19DB" w:rsidRPr="001E19DB" w:rsidRDefault="001E19DB" w:rsidP="001E19DB">
            <w:pPr>
              <w:cnfStyle w:val="000000000000" w:firstRow="0" w:lastRow="0" w:firstColumn="0" w:lastColumn="0" w:oddVBand="0" w:evenVBand="0" w:oddHBand="0" w:evenHBand="0" w:firstRowFirstColumn="0" w:firstRowLastColumn="0" w:lastRowFirstColumn="0" w:lastRowLastColumn="0"/>
              <w:rPr>
                <w:rStyle w:val="Strong"/>
              </w:rPr>
            </w:pPr>
            <w:r w:rsidRPr="001E19DB">
              <w:t>n/a</w:t>
            </w:r>
          </w:p>
        </w:tc>
        <w:tc>
          <w:tcPr>
            <w:tcW w:w="898" w:type="dxa"/>
            <w:noWrap/>
            <w:vAlign w:val="top"/>
          </w:tcPr>
          <w:p w:rsidR="001E19DB" w:rsidRPr="001E19DB" w:rsidRDefault="001E19DB" w:rsidP="001E19DB">
            <w:pPr>
              <w:cnfStyle w:val="000000000000" w:firstRow="0" w:lastRow="0" w:firstColumn="0" w:lastColumn="0" w:oddVBand="0" w:evenVBand="0" w:oddHBand="0" w:evenHBand="0" w:firstRowFirstColumn="0" w:firstRowLastColumn="0" w:lastRowFirstColumn="0" w:lastRowLastColumn="0"/>
              <w:rPr>
                <w:rStyle w:val="Strong"/>
              </w:rPr>
            </w:pPr>
            <w:r w:rsidRPr="001E19DB">
              <w:t>18.7%</w:t>
            </w:r>
          </w:p>
        </w:tc>
        <w:tc>
          <w:tcPr>
            <w:tcW w:w="898" w:type="dxa"/>
            <w:vAlign w:val="top"/>
          </w:tcPr>
          <w:p w:rsidR="001E19DB" w:rsidRPr="001E19DB" w:rsidRDefault="00C6501F" w:rsidP="001E19DB">
            <w:pPr>
              <w:cnfStyle w:val="000000000000" w:firstRow="0" w:lastRow="0" w:firstColumn="0" w:lastColumn="0" w:oddVBand="0" w:evenVBand="0" w:oddHBand="0" w:evenHBand="0" w:firstRowFirstColumn="0" w:firstRowLastColumn="0" w:lastRowFirstColumn="0" w:lastRowLastColumn="0"/>
              <w:rPr>
                <w:rStyle w:val="Strong"/>
              </w:rPr>
            </w:pPr>
            <w:r>
              <w:t>–</w:t>
            </w:r>
            <w:r w:rsidR="001E19DB" w:rsidRPr="001E19DB">
              <w:t>2.2%</w:t>
            </w:r>
          </w:p>
        </w:tc>
        <w:tc>
          <w:tcPr>
            <w:tcW w:w="897" w:type="dxa"/>
            <w:vAlign w:val="top"/>
          </w:tcPr>
          <w:p w:rsidR="001E19DB" w:rsidRPr="001E19DB" w:rsidRDefault="001E19DB" w:rsidP="001E19DB">
            <w:pPr>
              <w:cnfStyle w:val="000000000000" w:firstRow="0" w:lastRow="0" w:firstColumn="0" w:lastColumn="0" w:oddVBand="0" w:evenVBand="0" w:oddHBand="0" w:evenHBand="0" w:firstRowFirstColumn="0" w:firstRowLastColumn="0" w:lastRowFirstColumn="0" w:lastRowLastColumn="0"/>
              <w:rPr>
                <w:rStyle w:val="Strong"/>
              </w:rPr>
            </w:pPr>
            <w:r w:rsidRPr="001E19DB">
              <w:t>0.0%</w:t>
            </w:r>
          </w:p>
        </w:tc>
        <w:tc>
          <w:tcPr>
            <w:tcW w:w="898" w:type="dxa"/>
            <w:vAlign w:val="top"/>
          </w:tcPr>
          <w:p w:rsidR="001E19DB" w:rsidRPr="001E19DB" w:rsidRDefault="001E19DB" w:rsidP="001E19DB">
            <w:pPr>
              <w:cnfStyle w:val="000000000000" w:firstRow="0" w:lastRow="0" w:firstColumn="0" w:lastColumn="0" w:oddVBand="0" w:evenVBand="0" w:oddHBand="0" w:evenHBand="0" w:firstRowFirstColumn="0" w:firstRowLastColumn="0" w:lastRowFirstColumn="0" w:lastRowLastColumn="0"/>
              <w:rPr>
                <w:rStyle w:val="Strong"/>
              </w:rPr>
            </w:pPr>
            <w:r w:rsidRPr="001E19DB">
              <w:t>0.0%</w:t>
            </w:r>
          </w:p>
        </w:tc>
        <w:tc>
          <w:tcPr>
            <w:tcW w:w="898" w:type="dxa"/>
            <w:vAlign w:val="top"/>
          </w:tcPr>
          <w:p w:rsidR="001E19DB" w:rsidRPr="001E19DB" w:rsidRDefault="001E19DB" w:rsidP="001E19DB">
            <w:pPr>
              <w:cnfStyle w:val="000000000000" w:firstRow="0" w:lastRow="0" w:firstColumn="0" w:lastColumn="0" w:oddVBand="0" w:evenVBand="0" w:oddHBand="0" w:evenHBand="0" w:firstRowFirstColumn="0" w:firstRowLastColumn="0" w:lastRowFirstColumn="0" w:lastRowLastColumn="0"/>
              <w:rPr>
                <w:rStyle w:val="Strong"/>
              </w:rPr>
            </w:pPr>
            <w:r w:rsidRPr="001E19DB">
              <w:t>n/a</w:t>
            </w:r>
          </w:p>
        </w:tc>
      </w:tr>
    </w:tbl>
    <w:p w:rsidR="00AF06C7" w:rsidRDefault="00AF06C7" w:rsidP="00AF06C7">
      <w:pPr>
        <w:pStyle w:val="AERtablesource"/>
      </w:pPr>
      <w:r>
        <w:lastRenderedPageBreak/>
        <w:t>Source:</w:t>
      </w:r>
      <w:r>
        <w:tab/>
        <w:t xml:space="preserve">Ergon Energy, </w:t>
      </w:r>
      <w:r w:rsidRPr="00845B6F">
        <w:rPr>
          <w:rStyle w:val="AERtextitalic"/>
        </w:rPr>
        <w:t xml:space="preserve">Regulatory </w:t>
      </w:r>
      <w:r w:rsidR="0072076C">
        <w:rPr>
          <w:rStyle w:val="AERtextitalic"/>
        </w:rPr>
        <w:t>revised p</w:t>
      </w:r>
      <w:r w:rsidRPr="00845B6F">
        <w:rPr>
          <w:rStyle w:val="AERtextitalic"/>
        </w:rPr>
        <w:t>roposal</w:t>
      </w:r>
      <w:r>
        <w:t xml:space="preserve">, </w:t>
      </w:r>
      <w:r w:rsidR="0072076C">
        <w:t xml:space="preserve">July </w:t>
      </w:r>
      <w:r>
        <w:t>201</w:t>
      </w:r>
      <w:r w:rsidR="0072076C">
        <w:t>5</w:t>
      </w:r>
      <w:r w:rsidRPr="00845B6F">
        <w:t>,</w:t>
      </w:r>
      <w:r>
        <w:t xml:space="preserve"> </w:t>
      </w:r>
      <w:r w:rsidR="0072076C">
        <w:t xml:space="preserve">Attachment 03.01.04 SCPTRM data </w:t>
      </w:r>
      <w:r w:rsidR="0072076C">
        <w:tab/>
        <w:t>model</w:t>
      </w:r>
      <w:r>
        <w:t>;</w:t>
      </w:r>
      <w:r w:rsidR="0072076C">
        <w:t xml:space="preserve"> </w:t>
      </w:r>
      <w:r>
        <w:t>AER</w:t>
      </w:r>
      <w:r w:rsidR="0072076C">
        <w:t> </w:t>
      </w:r>
      <w:r>
        <w:t>analysis.</w:t>
      </w:r>
    </w:p>
    <w:p w:rsidR="00022BCB" w:rsidRDefault="00AF06C7" w:rsidP="00AF06C7">
      <w:pPr>
        <w:pStyle w:val="AERtablesource"/>
      </w:pPr>
      <w:r>
        <w:t>(a)</w:t>
      </w:r>
      <w:r>
        <w:tab/>
      </w:r>
      <w:r w:rsidR="00022BCB">
        <w:t>Regulatory depreciation is straight-line depreciation net of the inflation indexation on the opening RAB.</w:t>
      </w:r>
    </w:p>
    <w:p w:rsidR="00AF06C7" w:rsidRDefault="00022BCB" w:rsidP="00AF06C7">
      <w:pPr>
        <w:pStyle w:val="AERtablesource"/>
      </w:pPr>
      <w:r>
        <w:t>(b)</w:t>
      </w:r>
      <w:r>
        <w:tab/>
      </w:r>
      <w:r w:rsidR="00644A70">
        <w:t xml:space="preserve">Revenue adjustments include proposed efficiency benefit sharing scheme carry-over, forecast DMIA, </w:t>
      </w:r>
      <w:proofErr w:type="spellStart"/>
      <w:r w:rsidR="00644A70">
        <w:t>DUoS</w:t>
      </w:r>
      <w:proofErr w:type="spellEnd"/>
      <w:r w:rsidR="00644A70">
        <w:t xml:space="preserve"> under-recoveries and shared asset adjustments.</w:t>
      </w:r>
    </w:p>
    <w:p w:rsidR="00022BCB" w:rsidRDefault="00AF06C7" w:rsidP="00AF06C7">
      <w:pPr>
        <w:pStyle w:val="AERtablesource"/>
      </w:pPr>
      <w:r>
        <w:t>(</w:t>
      </w:r>
      <w:r w:rsidR="00022BCB">
        <w:t>c</w:t>
      </w:r>
      <w:r>
        <w:t>)</w:t>
      </w:r>
      <w:r>
        <w:tab/>
      </w:r>
      <w:r w:rsidR="00022BCB">
        <w:t xml:space="preserve">Ergon Energy's revised proposal conducted a true-up for the difference between the preliminary decision revenue and its revised proposal revenue for 2015–16 by holding the 2015–16 preliminary decision revenue constant. This results in the difference being adjusted for in the expected revenue (via the X factor) for the remaining four years of the 2015–20 regulatory control </w:t>
      </w:r>
      <w:proofErr w:type="gramStart"/>
      <w:r w:rsidR="00022BCB">
        <w:t>period</w:t>
      </w:r>
      <w:proofErr w:type="gramEnd"/>
      <w:r w:rsidR="00022BCB">
        <w:t>.</w:t>
      </w:r>
    </w:p>
    <w:p w:rsidR="00AF06C7" w:rsidRDefault="00022BCB" w:rsidP="00AF06C7">
      <w:pPr>
        <w:pStyle w:val="AERtablesource"/>
      </w:pPr>
      <w:r>
        <w:t>(d)</w:t>
      </w:r>
      <w:r>
        <w:tab/>
      </w:r>
      <w:r w:rsidR="00AF06C7">
        <w:t>These amounts have been included based on information provided in Ergon Energy's</w:t>
      </w:r>
      <w:r w:rsidR="00644A70">
        <w:t xml:space="preserve"> revised</w:t>
      </w:r>
      <w:r w:rsidR="00AF06C7">
        <w:t xml:space="preserve"> proposal. Ergon Energy did not smooth its </w:t>
      </w:r>
      <w:r w:rsidR="00AF1F29">
        <w:t xml:space="preserve">revised proposed </w:t>
      </w:r>
      <w:r w:rsidR="00AF06C7">
        <w:t xml:space="preserve">revenue having regard to these amounts. In contrast, while the amounts are not in the underlying building block, we have had regard to their impact on total revenue while smoothing </w:t>
      </w:r>
      <w:r w:rsidR="006E6AB1">
        <w:t>expected revenues</w:t>
      </w:r>
      <w:r w:rsidR="00AF06C7">
        <w:t>.</w:t>
      </w:r>
      <w:r>
        <w:t xml:space="preserve"> </w:t>
      </w:r>
    </w:p>
    <w:p w:rsidR="00DE563D" w:rsidRDefault="00DE563D" w:rsidP="00961F06">
      <w:pPr>
        <w:pStyle w:val="Heading2"/>
      </w:pPr>
      <w:bookmarkStart w:id="18" w:name="_Toc403144138"/>
      <w:bookmarkStart w:id="19" w:name="_Toc433022743"/>
      <w:r>
        <w:t>AER’s assessment approach</w:t>
      </w:r>
      <w:bookmarkEnd w:id="18"/>
      <w:bookmarkEnd w:id="19"/>
    </w:p>
    <w:p w:rsidR="00A26B1C" w:rsidRPr="00A26B1C" w:rsidRDefault="00A26B1C" w:rsidP="00A26B1C">
      <w:r w:rsidRPr="00547F1A">
        <w:t xml:space="preserve">We </w:t>
      </w:r>
      <w:r w:rsidR="00F97705">
        <w:t xml:space="preserve">have </w:t>
      </w:r>
      <w:r w:rsidRPr="00547F1A">
        <w:t>not change</w:t>
      </w:r>
      <w:r w:rsidR="00F97705">
        <w:t>d</w:t>
      </w:r>
      <w:r w:rsidRPr="00547F1A">
        <w:t xml:space="preserve"> our assessment approach for the ARR from our </w:t>
      </w:r>
      <w:r>
        <w:t>preliminary</w:t>
      </w:r>
      <w:r w:rsidRPr="00547F1A">
        <w:t xml:space="preserve"> decision. Section 1.3 of our </w:t>
      </w:r>
      <w:r>
        <w:t>preliminary</w:t>
      </w:r>
      <w:r w:rsidRPr="00547F1A">
        <w:t xml:space="preserve"> decision details that approach.</w:t>
      </w:r>
      <w:r>
        <w:rPr>
          <w:rStyle w:val="FootnoteReference"/>
        </w:rPr>
        <w:footnoteReference w:id="3"/>
      </w:r>
      <w:r>
        <w:t xml:space="preserve"> </w:t>
      </w:r>
      <w:r w:rsidR="00D32D6D">
        <w:t xml:space="preserve">We have reviewed our revenue path for the final decision in light of the requirement to </w:t>
      </w:r>
      <w:r w:rsidR="0008113D">
        <w:t>perform an adjustment</w:t>
      </w:r>
      <w:r w:rsidR="00D32D6D">
        <w:t xml:space="preserve"> for 2015–16 and this is discussed further in </w:t>
      </w:r>
      <w:r w:rsidR="00D32D6D" w:rsidRPr="00967DBE">
        <w:rPr>
          <w:rStyle w:val="AERbody"/>
        </w:rPr>
        <w:t xml:space="preserve">section </w:t>
      </w:r>
      <w:r w:rsidR="00D32D6D">
        <w:rPr>
          <w:rStyle w:val="AERbody"/>
        </w:rPr>
        <w:t>1.4.1.</w:t>
      </w:r>
    </w:p>
    <w:p w:rsidR="00A26B1C" w:rsidRDefault="00DE563D" w:rsidP="00961F06">
      <w:pPr>
        <w:pStyle w:val="Heading2"/>
      </w:pPr>
      <w:bookmarkStart w:id="20" w:name="_Toc403144140"/>
      <w:bookmarkStart w:id="21" w:name="_Toc433022744"/>
      <w:r w:rsidRPr="00961F06">
        <w:t xml:space="preserve">Reasons for </w:t>
      </w:r>
      <w:r w:rsidR="004D0898">
        <w:t>final</w:t>
      </w:r>
      <w:r w:rsidRPr="00961F06">
        <w:t xml:space="preserve"> decision</w:t>
      </w:r>
      <w:bookmarkEnd w:id="20"/>
      <w:bookmarkEnd w:id="21"/>
    </w:p>
    <w:p w:rsidR="00863939" w:rsidRPr="00A26B1C" w:rsidRDefault="00A26B1C" w:rsidP="002577FD">
      <w:pPr>
        <w:pStyle w:val="ListParagraph"/>
        <w:numPr>
          <w:ilvl w:val="0"/>
          <w:numId w:val="25"/>
        </w:numPr>
      </w:pPr>
      <w:r>
        <w:t xml:space="preserve">For this final decision, we </w:t>
      </w:r>
      <w:r w:rsidRPr="009F3302">
        <w:t>determine a total revenue requirement of $</w:t>
      </w:r>
      <w:r w:rsidR="00655324">
        <w:t>6266</w:t>
      </w:r>
      <w:r w:rsidR="00C6501F" w:rsidRPr="00C6501F">
        <w:t xml:space="preserve">.0 </w:t>
      </w:r>
      <w:r>
        <w:t>million ($ </w:t>
      </w:r>
      <w:r w:rsidRPr="009F3302">
        <w:t xml:space="preserve">nominal) </w:t>
      </w:r>
      <w:r>
        <w:t xml:space="preserve">over the 2015–20 </w:t>
      </w:r>
      <w:r w:rsidR="002C3A72">
        <w:t xml:space="preserve">regulatory control </w:t>
      </w:r>
      <w:r>
        <w:t xml:space="preserve">period </w:t>
      </w:r>
      <w:r w:rsidRPr="009F3302">
        <w:t xml:space="preserve">for </w:t>
      </w:r>
      <w:r>
        <w:t xml:space="preserve">Ergon Energy. This is </w:t>
      </w:r>
      <w:r w:rsidRPr="009F3302">
        <w:t>$</w:t>
      </w:r>
      <w:r w:rsidR="00655324">
        <w:t>1462</w:t>
      </w:r>
      <w:r w:rsidR="00C6501F" w:rsidRPr="00C6501F">
        <w:t>.4</w:t>
      </w:r>
      <w:r>
        <w:t> million ($ </w:t>
      </w:r>
      <w:r w:rsidRPr="009F3302">
        <w:t xml:space="preserve">nominal) or </w:t>
      </w:r>
      <w:r w:rsidR="00C6501F">
        <w:t xml:space="preserve">18.9 </w:t>
      </w:r>
      <w:r w:rsidRPr="009F3302">
        <w:t xml:space="preserve">per cent below </w:t>
      </w:r>
      <w:r>
        <w:t xml:space="preserve">Ergon Energy's revised </w:t>
      </w:r>
      <w:r w:rsidRPr="009F3302">
        <w:t>proposal</w:t>
      </w:r>
      <w:r>
        <w:t>. This</w:t>
      </w:r>
      <w:r w:rsidRPr="009F3302">
        <w:t xml:space="preserve"> reflect</w:t>
      </w:r>
      <w:r>
        <w:t>s</w:t>
      </w:r>
      <w:r w:rsidRPr="009F3302">
        <w:t xml:space="preserve"> the impact of our </w:t>
      </w:r>
      <w:r>
        <w:t>final</w:t>
      </w:r>
      <w:r w:rsidRPr="009F3302">
        <w:t xml:space="preserve"> decision on the various building block costs. </w:t>
      </w:r>
      <w:r>
        <w:fldChar w:fldCharType="begin"/>
      </w:r>
      <w:r>
        <w:instrText xml:space="preserve"> REF _Ref403482882 \h </w:instrText>
      </w:r>
      <w:r>
        <w:fldChar w:fldCharType="separate"/>
      </w:r>
    </w:p>
    <w:p w:rsidR="00A26B1C" w:rsidRDefault="00863939" w:rsidP="00A26B1C">
      <w:pPr>
        <w:numPr>
          <w:ilvl w:val="0"/>
          <w:numId w:val="25"/>
        </w:numPr>
      </w:pPr>
      <w:r>
        <w:t xml:space="preserve">Figure </w:t>
      </w:r>
      <w:r>
        <w:rPr>
          <w:noProof/>
        </w:rPr>
        <w:t>1</w:t>
      </w:r>
      <w:r>
        <w:t>.</w:t>
      </w:r>
      <w:r>
        <w:rPr>
          <w:noProof/>
        </w:rPr>
        <w:t>2</w:t>
      </w:r>
      <w:r w:rsidR="00A26B1C">
        <w:fldChar w:fldCharType="end"/>
      </w:r>
      <w:r w:rsidR="00A26B1C" w:rsidRPr="009F3302">
        <w:t xml:space="preserve"> show</w:t>
      </w:r>
      <w:r w:rsidR="00A26B1C">
        <w:t>s</w:t>
      </w:r>
      <w:r w:rsidR="00A26B1C" w:rsidRPr="009F3302">
        <w:t xml:space="preserve"> </w:t>
      </w:r>
      <w:r w:rsidR="00943907">
        <w:t xml:space="preserve">our preliminary decision and </w:t>
      </w:r>
      <w:r w:rsidR="00A26B1C" w:rsidRPr="009F3302">
        <w:t xml:space="preserve">the difference between </w:t>
      </w:r>
      <w:r w:rsidR="00A26B1C">
        <w:t>Ergon Energy's revised proposed ARRs</w:t>
      </w:r>
      <w:r w:rsidR="00A26B1C" w:rsidRPr="009F3302">
        <w:t xml:space="preserve"> and our </w:t>
      </w:r>
      <w:r w:rsidR="00A26B1C">
        <w:t>final d</w:t>
      </w:r>
      <w:r w:rsidR="00A26B1C" w:rsidRPr="009F3302">
        <w:t>ecision.</w:t>
      </w:r>
    </w:p>
    <w:p w:rsidR="00863939" w:rsidRDefault="00863939" w:rsidP="00863939">
      <w:pPr>
        <w:numPr>
          <w:ilvl w:val="0"/>
          <w:numId w:val="25"/>
        </w:numPr>
      </w:pPr>
      <w:r w:rsidRPr="00863939">
        <w:t xml:space="preserve">The most significant changes to Ergon Energy's revised proposal include: a reduction in the return on capital allowance of 21.4 per cent (attachments 2 and 3), a reduction in the capex allowance of 14.1 per cent (attachment 6), and a reduction in the </w:t>
      </w:r>
      <w:proofErr w:type="spellStart"/>
      <w:r w:rsidRPr="00863939">
        <w:t>opex</w:t>
      </w:r>
      <w:proofErr w:type="spellEnd"/>
      <w:r w:rsidRPr="00863939">
        <w:t xml:space="preserve"> allowance of 4.7 per cent (attachment 7).</w:t>
      </w:r>
    </w:p>
    <w:p w:rsidR="002577FD" w:rsidRPr="00A26B1C" w:rsidRDefault="002577FD" w:rsidP="002577FD">
      <w:pPr>
        <w:pStyle w:val="ListParagraph"/>
        <w:numPr>
          <w:ilvl w:val="0"/>
          <w:numId w:val="25"/>
        </w:numPr>
      </w:pPr>
      <w:bookmarkStart w:id="22" w:name="_Ref403482882"/>
    </w:p>
    <w:p w:rsidR="00A26B1C" w:rsidRDefault="00A26B1C" w:rsidP="00A26B1C">
      <w:pPr>
        <w:pStyle w:val="Caption"/>
      </w:pPr>
      <w:proofErr w:type="gramStart"/>
      <w:r>
        <w:lastRenderedPageBreak/>
        <w:t xml:space="preserve">Figure </w:t>
      </w:r>
      <w:r w:rsidR="008079C8">
        <w:fldChar w:fldCharType="begin"/>
      </w:r>
      <w:r w:rsidR="008079C8">
        <w:instrText xml:space="preserve"> STYLEREF 1 \s </w:instrText>
      </w:r>
      <w:r w:rsidR="008079C8">
        <w:fldChar w:fldCharType="separate"/>
      </w:r>
      <w:r w:rsidR="00863939">
        <w:rPr>
          <w:noProof/>
        </w:rPr>
        <w:t>1</w:t>
      </w:r>
      <w:r w:rsidR="008079C8">
        <w:rPr>
          <w:noProof/>
        </w:rPr>
        <w:fldChar w:fldCharType="end"/>
      </w:r>
      <w:r w:rsidR="003F3D78">
        <w:t>.</w:t>
      </w:r>
      <w:proofErr w:type="gramEnd"/>
      <w:r w:rsidR="008079C8">
        <w:fldChar w:fldCharType="begin"/>
      </w:r>
      <w:r w:rsidR="008079C8">
        <w:instrText xml:space="preserve"> SEQ Figure \* ARABIC \s 1 </w:instrText>
      </w:r>
      <w:r w:rsidR="008079C8">
        <w:fldChar w:fldCharType="separate"/>
      </w:r>
      <w:r w:rsidR="00863939">
        <w:rPr>
          <w:noProof/>
        </w:rPr>
        <w:t>2</w:t>
      </w:r>
      <w:r w:rsidR="008079C8">
        <w:rPr>
          <w:noProof/>
        </w:rPr>
        <w:fldChar w:fldCharType="end"/>
      </w:r>
      <w:bookmarkEnd w:id="22"/>
      <w:r>
        <w:tab/>
        <w:t>AER's</w:t>
      </w:r>
      <w:r w:rsidR="00943907">
        <w:t xml:space="preserve"> preliminary and</w:t>
      </w:r>
      <w:r>
        <w:t xml:space="preserve"> final decision</w:t>
      </w:r>
      <w:r w:rsidR="00943907">
        <w:t>s</w:t>
      </w:r>
      <w:r>
        <w:t xml:space="preserve"> and Ergon Energy's revised proposed annual revenue requirements ($million, nominal) </w:t>
      </w:r>
    </w:p>
    <w:p w:rsidR="00A26B1C" w:rsidRDefault="00943907" w:rsidP="00A26B1C">
      <w:pPr>
        <w:numPr>
          <w:ilvl w:val="0"/>
          <w:numId w:val="25"/>
        </w:numPr>
      </w:pPr>
      <w:r>
        <w:rPr>
          <w:noProof/>
          <w:lang w:eastAsia="en-AU"/>
        </w:rPr>
        <w:drawing>
          <wp:inline distT="0" distB="0" distL="0" distR="0" wp14:anchorId="1D7D2786" wp14:editId="6561FB78">
            <wp:extent cx="5462270" cy="3822700"/>
            <wp:effectExtent l="0" t="0" r="508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2270" cy="3822700"/>
                    </a:xfrm>
                    <a:prstGeom prst="rect">
                      <a:avLst/>
                    </a:prstGeom>
                    <a:noFill/>
                  </pic:spPr>
                </pic:pic>
              </a:graphicData>
            </a:graphic>
          </wp:inline>
        </w:drawing>
      </w:r>
    </w:p>
    <w:p w:rsidR="00A26B1C" w:rsidRDefault="00A26B1C" w:rsidP="00A26B1C">
      <w:pPr>
        <w:pStyle w:val="AERtablesource"/>
      </w:pPr>
      <w:r>
        <w:t>Source:</w:t>
      </w:r>
      <w:r>
        <w:tab/>
      </w:r>
      <w:r w:rsidRPr="002370BB">
        <w:t>AER analysis</w:t>
      </w:r>
      <w:r>
        <w:t>; Ergon Energy</w:t>
      </w:r>
      <w:r w:rsidRPr="002370BB">
        <w:t xml:space="preserve">, </w:t>
      </w:r>
      <w:r w:rsidRPr="008624BE">
        <w:rPr>
          <w:rStyle w:val="AERtextitalic"/>
        </w:rPr>
        <w:t>R</w:t>
      </w:r>
      <w:r>
        <w:rPr>
          <w:rStyle w:val="AERtextitalic"/>
        </w:rPr>
        <w:t>evised r</w:t>
      </w:r>
      <w:r w:rsidRPr="008624BE">
        <w:rPr>
          <w:rStyle w:val="AERtextitalic"/>
        </w:rPr>
        <w:t>egulatory proposal</w:t>
      </w:r>
      <w:r w:rsidRPr="002370BB">
        <w:t xml:space="preserve">, </w:t>
      </w:r>
      <w:r>
        <w:t>July 2015</w:t>
      </w:r>
      <w:r w:rsidRPr="002370BB">
        <w:t xml:space="preserve">, </w:t>
      </w:r>
      <w:r>
        <w:t>Attachment 03.01.04 SCPTRM data model</w:t>
      </w:r>
      <w:r w:rsidRPr="002370BB">
        <w:t xml:space="preserve">. </w:t>
      </w:r>
    </w:p>
    <w:p w:rsidR="00A26B1C" w:rsidRDefault="00A26B1C" w:rsidP="00A26B1C">
      <w:pPr>
        <w:pStyle w:val="Heading3"/>
      </w:pPr>
      <w:bookmarkStart w:id="23" w:name="_Toc429757437"/>
      <w:bookmarkStart w:id="24" w:name="_Toc433022745"/>
      <w:bookmarkStart w:id="25" w:name="_Toc417564280"/>
      <w:r>
        <w:t xml:space="preserve">Revenue </w:t>
      </w:r>
      <w:r w:rsidR="0091355E">
        <w:t>true-up</w:t>
      </w:r>
      <w:r>
        <w:t xml:space="preserve"> for 2015–16</w:t>
      </w:r>
      <w:bookmarkEnd w:id="23"/>
      <w:bookmarkEnd w:id="24"/>
    </w:p>
    <w:p w:rsidR="00A26B1C" w:rsidRDefault="00A26B1C" w:rsidP="00A26B1C">
      <w:pPr>
        <w:numPr>
          <w:ilvl w:val="0"/>
          <w:numId w:val="25"/>
        </w:numPr>
      </w:pPr>
      <w:r>
        <w:t>In April 2015, as required under the transitional rules, we made our preliminary decision on E</w:t>
      </w:r>
      <w:r w:rsidR="00D32D6D">
        <w:t>rgon Energy</w:t>
      </w:r>
      <w:r>
        <w:t xml:space="preserve">'s proposed revenue requirement for the 2015–20 regulatory control </w:t>
      </w:r>
      <w:proofErr w:type="gramStart"/>
      <w:r>
        <w:t>period</w:t>
      </w:r>
      <w:proofErr w:type="gramEnd"/>
      <w:r>
        <w:t>.</w:t>
      </w:r>
      <w:r>
        <w:rPr>
          <w:rStyle w:val="FootnoteReference"/>
        </w:rPr>
        <w:footnoteReference w:id="4"/>
      </w:r>
      <w:r>
        <w:t xml:space="preserve"> We determined the expected revenue for 2015–16 of $11</w:t>
      </w:r>
      <w:r w:rsidR="00D32D6D">
        <w:t>37.7</w:t>
      </w:r>
      <w:r>
        <w:t> million for E</w:t>
      </w:r>
      <w:r w:rsidR="00D32D6D">
        <w:t>rgon Energy</w:t>
      </w:r>
      <w:r>
        <w:t xml:space="preserve"> in the preliminary decision.</w:t>
      </w:r>
      <w:r>
        <w:rPr>
          <w:rStyle w:val="FootnoteReference"/>
        </w:rPr>
        <w:footnoteReference w:id="5"/>
      </w:r>
      <w:r>
        <w:t xml:space="preserve"> </w:t>
      </w:r>
    </w:p>
    <w:p w:rsidR="00A26B1C" w:rsidRDefault="00A26B1C" w:rsidP="00A26B1C">
      <w:pPr>
        <w:numPr>
          <w:ilvl w:val="0"/>
          <w:numId w:val="25"/>
        </w:numPr>
      </w:pPr>
      <w:r>
        <w:t xml:space="preserve">For this final decision, we are required to revoke and substitute the preliminary decision for the ARRs over the 2015–20 regulatory control </w:t>
      </w:r>
      <w:proofErr w:type="gramStart"/>
      <w:r>
        <w:t>period</w:t>
      </w:r>
      <w:proofErr w:type="gramEnd"/>
      <w:r>
        <w:t xml:space="preserve">. As part of this, we are to determine ARRs for each year of the 2015–20 regulatory control period and use a net present value (NPV) neutral </w:t>
      </w:r>
      <w:r w:rsidR="0008113D">
        <w:t>adjustment</w:t>
      </w:r>
      <w:r>
        <w:t xml:space="preserve"> mechanism to account for any difference between:</w:t>
      </w:r>
      <w:r>
        <w:rPr>
          <w:rStyle w:val="FootnoteReference"/>
        </w:rPr>
        <w:footnoteReference w:id="6"/>
      </w:r>
    </w:p>
    <w:p w:rsidR="00A26B1C" w:rsidRPr="00EE1AF4" w:rsidRDefault="00A26B1C" w:rsidP="00A26B1C">
      <w:pPr>
        <w:pStyle w:val="AERbulletlistfirststyle"/>
      </w:pPr>
      <w:r w:rsidRPr="00EE1AF4">
        <w:t xml:space="preserve">the </w:t>
      </w:r>
      <w:r>
        <w:t>expected revenue for</w:t>
      </w:r>
      <w:r w:rsidRPr="00EE1AF4">
        <w:t xml:space="preserve"> </w:t>
      </w:r>
      <w:r>
        <w:t>2015–16 approved in the preliminary decision</w:t>
      </w:r>
      <w:r w:rsidRPr="00EE1AF4">
        <w:t>, and</w:t>
      </w:r>
    </w:p>
    <w:p w:rsidR="00A26B1C" w:rsidRPr="00EE1AF4" w:rsidRDefault="00A26B1C" w:rsidP="00A26B1C">
      <w:pPr>
        <w:pStyle w:val="AERbulletlistfirststyle"/>
      </w:pPr>
      <w:proofErr w:type="gramStart"/>
      <w:r w:rsidRPr="00EE1AF4">
        <w:lastRenderedPageBreak/>
        <w:t>the</w:t>
      </w:r>
      <w:proofErr w:type="gramEnd"/>
      <w:r w:rsidRPr="00EE1AF4">
        <w:t xml:space="preserve"> ARR for 201</w:t>
      </w:r>
      <w:r>
        <w:t>5</w:t>
      </w:r>
      <w:r w:rsidRPr="00EE1AF4">
        <w:t>–1</w:t>
      </w:r>
      <w:r>
        <w:t>6</w:t>
      </w:r>
      <w:r w:rsidRPr="00EE1AF4">
        <w:t xml:space="preserve"> that is established through th</w:t>
      </w:r>
      <w:r>
        <w:t xml:space="preserve">is final </w:t>
      </w:r>
      <w:r w:rsidRPr="00EE1AF4">
        <w:t>determination process.</w:t>
      </w:r>
    </w:p>
    <w:p w:rsidR="00A26B1C" w:rsidRDefault="00A26B1C" w:rsidP="002E074F">
      <w:pPr>
        <w:numPr>
          <w:ilvl w:val="0"/>
          <w:numId w:val="25"/>
        </w:numPr>
      </w:pPr>
      <w:r>
        <w:t>Our final decision approves the 2015–16 ARR of $</w:t>
      </w:r>
      <w:r w:rsidR="002E074F" w:rsidRPr="002E074F">
        <w:t>1267.4</w:t>
      </w:r>
      <w:r>
        <w:t> million for E</w:t>
      </w:r>
      <w:r w:rsidR="00D32D6D">
        <w:t>rgon Energy</w:t>
      </w:r>
      <w:r>
        <w:t xml:space="preserve">. To give effect to the </w:t>
      </w:r>
      <w:r w:rsidR="0008113D">
        <w:t>adjustment</w:t>
      </w:r>
      <w:r>
        <w:t>, we have set E</w:t>
      </w:r>
      <w:r w:rsidR="00D32D6D">
        <w:t>rgon E</w:t>
      </w:r>
      <w:r>
        <w:t xml:space="preserve">nergy's first year expected revenue in the </w:t>
      </w:r>
      <w:r w:rsidR="00022BCB">
        <w:t>post-tax revenue model (</w:t>
      </w:r>
      <w:r>
        <w:t>PTRM</w:t>
      </w:r>
      <w:r w:rsidR="00022BCB">
        <w:t>)</w:t>
      </w:r>
      <w:r>
        <w:t xml:space="preserve"> equal to </w:t>
      </w:r>
      <w:r w:rsidR="00022BCB">
        <w:t>our</w:t>
      </w:r>
      <w:r>
        <w:t xml:space="preserve"> preliminary decision revenue for 2015–16 of $11</w:t>
      </w:r>
      <w:r w:rsidR="00D32D6D">
        <w:t>37.7 </w:t>
      </w:r>
      <w:r>
        <w:t xml:space="preserve">million. This is the only practical option as prices were set for 2015–16 based on this approved preliminary decision amount. This approach means that the difference in the revenues for 2015–16 between the preliminary and final decisions is accounted for in the remaining four years of the 2015–20 regulatory control </w:t>
      </w:r>
      <w:proofErr w:type="gramStart"/>
      <w:r>
        <w:t>period</w:t>
      </w:r>
      <w:proofErr w:type="gramEnd"/>
      <w:r>
        <w:t>. That is, the expected revenue for 2015–16 established from the preliminary decision provides a base from which the expected revenues (</w:t>
      </w:r>
      <w:r w:rsidR="00D32D6D">
        <w:t xml:space="preserve">excluding </w:t>
      </w:r>
      <w:proofErr w:type="spellStart"/>
      <w:r w:rsidR="00D32D6D">
        <w:t>additionals</w:t>
      </w:r>
      <w:proofErr w:type="spellEnd"/>
      <w:r>
        <w:t xml:space="preserve">) for the remaining four years of the 2015–20 </w:t>
      </w:r>
      <w:r w:rsidR="00022BCB">
        <w:t xml:space="preserve">regulatory control </w:t>
      </w:r>
      <w:proofErr w:type="gramStart"/>
      <w:r>
        <w:t>period</w:t>
      </w:r>
      <w:proofErr w:type="gramEnd"/>
      <w:r>
        <w:t xml:space="preserve"> are calculated. This is done through the determination of the X factors for each of the remaining years in that period.</w:t>
      </w:r>
      <w:r>
        <w:rPr>
          <w:rStyle w:val="FootnoteReference"/>
        </w:rPr>
        <w:footnoteReference w:id="7"/>
      </w:r>
      <w:r>
        <w:t xml:space="preserve"> This gives effect to the </w:t>
      </w:r>
      <w:r w:rsidR="0008113D">
        <w:t>adjustment</w:t>
      </w:r>
      <w:r>
        <w:t xml:space="preserve"> </w:t>
      </w:r>
      <w:r w:rsidRPr="00E3757D">
        <w:t>requirements under the NER and ensures that the difference of</w:t>
      </w:r>
      <w:r>
        <w:t xml:space="preserve"> $</w:t>
      </w:r>
      <w:r w:rsidR="002E074F">
        <w:t xml:space="preserve">129.7 </w:t>
      </w:r>
      <w:r>
        <w:t xml:space="preserve">million </w:t>
      </w:r>
      <w:r w:rsidRPr="00E3757D">
        <w:t>is returned to</w:t>
      </w:r>
      <w:r>
        <w:t xml:space="preserve"> </w:t>
      </w:r>
      <w:r w:rsidR="002E074F">
        <w:t xml:space="preserve">Ergon Energy </w:t>
      </w:r>
      <w:r>
        <w:t xml:space="preserve">over the remaining four years of the 2015–20 regulatory control </w:t>
      </w:r>
      <w:proofErr w:type="gramStart"/>
      <w:r>
        <w:t>period</w:t>
      </w:r>
      <w:proofErr w:type="gramEnd"/>
      <w:r>
        <w:t xml:space="preserve"> (adjusted for the time value of money). </w:t>
      </w:r>
    </w:p>
    <w:p w:rsidR="00A26B1C" w:rsidRDefault="00A26B1C" w:rsidP="00A26B1C">
      <w:pPr>
        <w:numPr>
          <w:ilvl w:val="0"/>
          <w:numId w:val="25"/>
        </w:numPr>
      </w:pPr>
      <w:r>
        <w:t>E</w:t>
      </w:r>
      <w:r w:rsidR="00D32D6D">
        <w:t>rgon Energy</w:t>
      </w:r>
      <w:r>
        <w:t xml:space="preserve">'s revised proposal adopted this approach for the </w:t>
      </w:r>
      <w:r w:rsidR="0008113D">
        <w:t>adjustment</w:t>
      </w:r>
      <w:r>
        <w:t>.</w:t>
      </w:r>
    </w:p>
    <w:p w:rsidR="00A26B1C" w:rsidRDefault="00A26B1C" w:rsidP="00A26B1C">
      <w:pPr>
        <w:pStyle w:val="Heading3"/>
      </w:pPr>
      <w:bookmarkStart w:id="26" w:name="_Toc429757438"/>
      <w:bookmarkStart w:id="27" w:name="_Toc433022746"/>
      <w:r>
        <w:t>Revenue smoothing</w:t>
      </w:r>
      <w:bookmarkEnd w:id="25"/>
      <w:bookmarkEnd w:id="26"/>
      <w:bookmarkEnd w:id="27"/>
    </w:p>
    <w:p w:rsidR="00D32D6D" w:rsidRDefault="00D32D6D" w:rsidP="00D32D6D">
      <w:r>
        <w:t>We have determined our smoothed revenue path having regard to major drivers of total network revenues (distribution use of system—</w:t>
      </w:r>
      <w:proofErr w:type="spellStart"/>
      <w:r>
        <w:t>DUoS</w:t>
      </w:r>
      <w:proofErr w:type="spellEnd"/>
      <w:r>
        <w:t>—charges), which are elements that do not fit in the building blocks.</w:t>
      </w:r>
      <w:r>
        <w:rPr>
          <w:rStyle w:val="FootnoteReference"/>
        </w:rPr>
        <w:footnoteReference w:id="8"/>
      </w:r>
      <w:r>
        <w:t xml:space="preserve"> In particular, Ergon Energy has forecast large revenue recovery associated with the under-recovery of the solar bonus scheme (feed-in tariffs) in 2013–15. It has also forecast solar bonus scheme payments throughout the 2015–20 regulatory control </w:t>
      </w:r>
      <w:proofErr w:type="gramStart"/>
      <w:r>
        <w:t>period</w:t>
      </w:r>
      <w:proofErr w:type="gramEnd"/>
      <w:r>
        <w:t xml:space="preserve">. In the determination for the 2010–15 regulatory control </w:t>
      </w:r>
      <w:proofErr w:type="gramStart"/>
      <w:r>
        <w:t>period</w:t>
      </w:r>
      <w:proofErr w:type="gramEnd"/>
      <w:r>
        <w:t xml:space="preserve">, we included the forecast solar bonus scheme payments in the </w:t>
      </w:r>
      <w:proofErr w:type="spellStart"/>
      <w:r>
        <w:t>opex</w:t>
      </w:r>
      <w:proofErr w:type="spellEnd"/>
      <w:r>
        <w:t xml:space="preserve"> allowance. We included a pass-through mechanism for any difference to be applied two years later during the annual pricing proposal processes. As a result of this mechanism, the expected under-recoveries from 2013–14 and 2014–15 will be recovered in 2015–16 and 2016–17. Based on Ergon Energy's revised proposal, these amount to $135.0 million and $12</w:t>
      </w:r>
      <w:r w:rsidR="00FB433E">
        <w:t>5</w:t>
      </w:r>
      <w:r>
        <w:t>.</w:t>
      </w:r>
      <w:r w:rsidR="00FB433E">
        <w:t>5</w:t>
      </w:r>
      <w:r>
        <w:t xml:space="preserve"> million ($ nominal) respectively. Then, in the 2015–20 regulatory control period, there is no solar bonus scheme forecasts included in the </w:t>
      </w:r>
      <w:proofErr w:type="spellStart"/>
      <w:r>
        <w:t>opex</w:t>
      </w:r>
      <w:proofErr w:type="spellEnd"/>
      <w:r>
        <w:t xml:space="preserve"> allowance. Instead, these amounts will be recovered through a jurisdictional scheme obligation, which will feed into </w:t>
      </w:r>
      <w:proofErr w:type="spellStart"/>
      <w:r>
        <w:t>DUoS</w:t>
      </w:r>
      <w:proofErr w:type="spellEnd"/>
      <w:r>
        <w:t xml:space="preserve"> as part of the annual pricing approval process. </w:t>
      </w:r>
    </w:p>
    <w:p w:rsidR="00ED1CAC" w:rsidRDefault="00ED1CAC" w:rsidP="00ED1CAC">
      <w:r>
        <w:t xml:space="preserve">Other annual revenue adjustments are also significant. In particular, Ergon Energy expects to under-recover its 2013–14 </w:t>
      </w:r>
      <w:proofErr w:type="spellStart"/>
      <w:r>
        <w:t>DUoS</w:t>
      </w:r>
      <w:proofErr w:type="spellEnd"/>
      <w:r>
        <w:t xml:space="preserve"> target by $67.1 million, which will be </w:t>
      </w:r>
      <w:r>
        <w:lastRenderedPageBreak/>
        <w:t>recovered in 2015–16. It also expects to seek pass throughs for under-recovered capital contributions in 2013–14 ($85.1 million) and 2014–15 ($114.7 million)</w:t>
      </w:r>
      <w:r w:rsidR="003B255F">
        <w:t>, which will be recovered in 2015–16 and 2016-17 respectively</w:t>
      </w:r>
      <w:r>
        <w:t>.</w:t>
      </w:r>
      <w:r w:rsidR="003B255F">
        <w:t xml:space="preserve"> </w:t>
      </w:r>
    </w:p>
    <w:p w:rsidR="00D32D6D" w:rsidRDefault="00D32D6D" w:rsidP="00D32D6D">
      <w:r>
        <w:t xml:space="preserve">Accordingly, we have smoothed the </w:t>
      </w:r>
      <w:r w:rsidR="002831D7">
        <w:t>expected</w:t>
      </w:r>
      <w:r>
        <w:t xml:space="preserve"> revenue for standard control services over the 2015–20 regulatory control </w:t>
      </w:r>
      <w:proofErr w:type="gramStart"/>
      <w:r>
        <w:t>period</w:t>
      </w:r>
      <w:proofErr w:type="gramEnd"/>
      <w:r>
        <w:t xml:space="preserve"> by allowing for these additional forecast revenue impacts. This approach was initially proposed by Energex</w:t>
      </w:r>
      <w:r w:rsidR="00ED1CAC">
        <w:t xml:space="preserve"> and adopted by us for both Energex and Ergon Energy's preliminary decisions</w:t>
      </w:r>
      <w:r>
        <w:t xml:space="preserve">. </w:t>
      </w:r>
      <w:r w:rsidR="00ED1CAC">
        <w:t>Ergon Energy's revised proposal did not agree with this approach and submitted the amounts associated with the feed-in tariffs should not be included as part of the '</w:t>
      </w:r>
      <w:proofErr w:type="spellStart"/>
      <w:r w:rsidR="00ED1CAC">
        <w:t>additionals</w:t>
      </w:r>
      <w:proofErr w:type="spellEnd"/>
      <w:r w:rsidR="00ED1CAC">
        <w:t>' for smoothing purposes. Given the size of the feed-in tariffs</w:t>
      </w:r>
      <w:r w:rsidR="00486E6B">
        <w:t xml:space="preserve"> and they make up the bulk of the </w:t>
      </w:r>
      <w:proofErr w:type="spellStart"/>
      <w:r w:rsidR="00486E6B">
        <w:t>additionals</w:t>
      </w:r>
      <w:proofErr w:type="spellEnd"/>
      <w:r w:rsidR="00486E6B">
        <w:t>, we consider there is merit in accommodating these amounts in the smoothing process</w:t>
      </w:r>
      <w:r>
        <w:t xml:space="preserve">. </w:t>
      </w:r>
      <w:r w:rsidR="00486E6B">
        <w:t xml:space="preserve">We also consider that it is preferable a consistent approach for smoothing of the additional amounts is undertaken for both Queensland service providers. </w:t>
      </w:r>
      <w:r>
        <w:t>Overall, we are satisfied this</w:t>
      </w:r>
      <w:r w:rsidR="00486E6B">
        <w:t xml:space="preserve"> approach</w:t>
      </w:r>
      <w:r>
        <w:t xml:space="preserve"> will contribute to a smoother final revenue path for customers and the service providers. </w:t>
      </w:r>
    </w:p>
    <w:p w:rsidR="00D32D6D" w:rsidRDefault="00D32D6D" w:rsidP="00D32D6D">
      <w:pPr>
        <w:numPr>
          <w:ilvl w:val="0"/>
          <w:numId w:val="25"/>
        </w:numPr>
      </w:pPr>
      <w:r>
        <w:t xml:space="preserve">In practice, we would normally set the path of X factors to result in a smooth </w:t>
      </w:r>
      <w:r w:rsidR="001518A6">
        <w:t>expected</w:t>
      </w:r>
      <w:r>
        <w:t xml:space="preserve"> revenue path. That is, these X factors would result in the desired smoothed path of the annual expected revenues through the regulatory control period. However, due to the sizeable factors outside of the building blocks that will affect total </w:t>
      </w:r>
      <w:proofErr w:type="spellStart"/>
      <w:r>
        <w:t>DUoS</w:t>
      </w:r>
      <w:proofErr w:type="spellEnd"/>
      <w:r>
        <w:t xml:space="preserve"> </w:t>
      </w:r>
      <w:proofErr w:type="gramStart"/>
      <w:r>
        <w:t>revenue,</w:t>
      </w:r>
      <w:proofErr w:type="gramEnd"/>
      <w:r>
        <w:t xml:space="preserve"> we have adopted a different approach</w:t>
      </w:r>
      <w:r w:rsidR="004224C3">
        <w:t xml:space="preserve"> outlined above</w:t>
      </w:r>
      <w:r>
        <w:t xml:space="preserve">. Specifically, when determining the X factors that set the path for smoothed </w:t>
      </w:r>
      <w:r w:rsidR="00B62C22">
        <w:t>expected</w:t>
      </w:r>
      <w:r>
        <w:t xml:space="preserve"> revenue, we have considered the additional impact of these additional factors. As a result, the smoothed </w:t>
      </w:r>
      <w:r w:rsidR="00B62C22">
        <w:t>expected</w:t>
      </w:r>
      <w:r>
        <w:t xml:space="preserve"> revenue does not produce a desirable path for revenue in isolation. However, the total </w:t>
      </w:r>
      <w:proofErr w:type="spellStart"/>
      <w:r>
        <w:t>DUoS</w:t>
      </w:r>
      <w:proofErr w:type="spellEnd"/>
      <w:r>
        <w:t xml:space="preserve"> revenue to be faced by customers including the additional factors will be smoothed overall. Further, we note</w:t>
      </w:r>
      <w:r w:rsidRPr="00C729DC">
        <w:t xml:space="preserve"> that </w:t>
      </w:r>
      <w:r>
        <w:t xml:space="preserve">our </w:t>
      </w:r>
      <w:r w:rsidRPr="00C729DC">
        <w:t>profile of X factors</w:t>
      </w:r>
      <w:r>
        <w:t xml:space="preserve"> </w:t>
      </w:r>
      <w:r w:rsidRPr="00C729DC">
        <w:t>result</w:t>
      </w:r>
      <w:r>
        <w:t>s</w:t>
      </w:r>
      <w:r w:rsidRPr="00C729DC">
        <w:t xml:space="preserve"> in an expected </w:t>
      </w:r>
      <w:r>
        <w:t>revenue</w:t>
      </w:r>
      <w:r w:rsidRPr="00C729DC">
        <w:t xml:space="preserve"> in the last year of the regulatory control period that is as close as reasonably possible to the </w:t>
      </w:r>
      <w:r>
        <w:t>ARR</w:t>
      </w:r>
      <w:r w:rsidRPr="00C729DC">
        <w:t xml:space="preserve"> for that year.</w:t>
      </w:r>
      <w:r>
        <w:rPr>
          <w:rStyle w:val="FootnoteReference"/>
        </w:rPr>
        <w:footnoteReference w:id="9"/>
      </w:r>
    </w:p>
    <w:p w:rsidR="00D32D6D" w:rsidRDefault="00D32D6D" w:rsidP="00D32D6D">
      <w:r>
        <w:fldChar w:fldCharType="begin"/>
      </w:r>
      <w:r>
        <w:instrText xml:space="preserve"> REF _Ref414977453 \h </w:instrText>
      </w:r>
      <w:r>
        <w:fldChar w:fldCharType="separate"/>
      </w:r>
      <w:r w:rsidR="00863939">
        <w:t xml:space="preserve">Figure </w:t>
      </w:r>
      <w:r w:rsidR="00863939">
        <w:rPr>
          <w:noProof/>
        </w:rPr>
        <w:t>1</w:t>
      </w:r>
      <w:r w:rsidR="00863939">
        <w:t>.</w:t>
      </w:r>
      <w:r w:rsidR="00863939">
        <w:rPr>
          <w:noProof/>
        </w:rPr>
        <w:t>3</w:t>
      </w:r>
      <w:r>
        <w:fldChar w:fldCharType="end"/>
      </w:r>
      <w:r>
        <w:t xml:space="preserve"> </w:t>
      </w:r>
      <w:r w:rsidR="002831D7">
        <w:t>shows</w:t>
      </w:r>
      <w:r>
        <w:t xml:space="preserve"> the revenue path of our </w:t>
      </w:r>
      <w:r w:rsidR="00572508">
        <w:t>final</w:t>
      </w:r>
      <w:r>
        <w:t xml:space="preserve"> decision smoothed revenues including the additional revenue </w:t>
      </w:r>
      <w:r w:rsidR="00B62C22">
        <w:t>amounts</w:t>
      </w:r>
      <w:r>
        <w:t>.</w:t>
      </w:r>
      <w:r w:rsidR="002831D7">
        <w:t xml:space="preserve"> This is the expect</w:t>
      </w:r>
      <w:r w:rsidR="00B62C22">
        <w:t>ed</w:t>
      </w:r>
      <w:r w:rsidR="002831D7">
        <w:t xml:space="preserve"> revenue path that </w:t>
      </w:r>
      <w:r w:rsidR="003F3D78">
        <w:t>includes additional amounts that</w:t>
      </w:r>
      <w:r w:rsidR="008F19AF">
        <w:t xml:space="preserve"> Ergon Energy </w:t>
      </w:r>
      <w:r w:rsidR="003F3D78">
        <w:t xml:space="preserve">is able to recover from network </w:t>
      </w:r>
      <w:r w:rsidR="002831D7">
        <w:t xml:space="preserve">customers.  </w:t>
      </w:r>
      <w:r w:rsidR="003F3D78">
        <w:fldChar w:fldCharType="begin"/>
      </w:r>
      <w:r w:rsidR="003F3D78">
        <w:instrText xml:space="preserve"> REF _Ref432146654 \h </w:instrText>
      </w:r>
      <w:r w:rsidR="003F3D78">
        <w:fldChar w:fldCharType="separate"/>
      </w:r>
      <w:r w:rsidR="00863939" w:rsidRPr="003F3D78">
        <w:t xml:space="preserve">Figure </w:t>
      </w:r>
      <w:r w:rsidR="00863939">
        <w:rPr>
          <w:noProof/>
        </w:rPr>
        <w:t>1</w:t>
      </w:r>
      <w:r w:rsidR="00863939" w:rsidRPr="003F3D78">
        <w:t>.</w:t>
      </w:r>
      <w:r w:rsidR="00863939">
        <w:rPr>
          <w:noProof/>
        </w:rPr>
        <w:t>4</w:t>
      </w:r>
      <w:r w:rsidR="003F3D78">
        <w:fldChar w:fldCharType="end"/>
      </w:r>
      <w:r w:rsidR="003F3D78">
        <w:t xml:space="preserve"> </w:t>
      </w:r>
      <w:r w:rsidR="002831D7">
        <w:t>shows the e</w:t>
      </w:r>
      <w:r w:rsidR="00B62C22">
        <w:t>xpected revenues excluding the</w:t>
      </w:r>
      <w:r w:rsidR="002831D7">
        <w:t xml:space="preserve"> additional </w:t>
      </w:r>
      <w:r w:rsidR="003F3D78">
        <w:t>amounts</w:t>
      </w:r>
      <w:r w:rsidR="002831D7">
        <w:t xml:space="preserve">. </w:t>
      </w:r>
      <w:r w:rsidR="002831D7" w:rsidRPr="002831D7">
        <w:t>Neither Ergon Energy nor th</w:t>
      </w:r>
      <w:r w:rsidR="002831D7">
        <w:t xml:space="preserve">e AER are able to influence these additional </w:t>
      </w:r>
      <w:r w:rsidR="00B62C22">
        <w:t>revenues</w:t>
      </w:r>
      <w:r w:rsidR="002831D7" w:rsidRPr="002831D7">
        <w:t xml:space="preserve"> </w:t>
      </w:r>
      <w:r w:rsidR="00B62C22">
        <w:t xml:space="preserve">going forward </w:t>
      </w:r>
      <w:r w:rsidR="002831D7">
        <w:t>as they emerge</w:t>
      </w:r>
      <w:r w:rsidR="00B62C22">
        <w:t xml:space="preserve"> </w:t>
      </w:r>
      <w:r w:rsidR="002831D7">
        <w:t>from</w:t>
      </w:r>
      <w:r w:rsidR="00B62C22">
        <w:t xml:space="preserve"> either </w:t>
      </w:r>
      <w:r w:rsidR="002831D7">
        <w:t xml:space="preserve">separate </w:t>
      </w:r>
      <w:r w:rsidR="00B62C22">
        <w:t>Government schemes or in truing up outcomes from previous years</w:t>
      </w:r>
      <w:r w:rsidR="002831D7">
        <w:t>.</w:t>
      </w:r>
    </w:p>
    <w:p w:rsidR="00D32D6D" w:rsidRDefault="00D32D6D" w:rsidP="00D32D6D">
      <w:pPr>
        <w:pStyle w:val="Caption"/>
      </w:pPr>
      <w:bookmarkStart w:id="28" w:name="_Ref417384634"/>
      <w:bookmarkStart w:id="29" w:name="_Ref414977453"/>
      <w:proofErr w:type="gramStart"/>
      <w:r>
        <w:lastRenderedPageBreak/>
        <w:t xml:space="preserve">Figure </w:t>
      </w:r>
      <w:r w:rsidR="008079C8">
        <w:fldChar w:fldCharType="begin"/>
      </w:r>
      <w:r w:rsidR="008079C8">
        <w:instrText xml:space="preserve"> STYLEREF 1 \s </w:instrText>
      </w:r>
      <w:r w:rsidR="008079C8">
        <w:fldChar w:fldCharType="separate"/>
      </w:r>
      <w:r w:rsidR="00863939">
        <w:rPr>
          <w:noProof/>
        </w:rPr>
        <w:t>1</w:t>
      </w:r>
      <w:r w:rsidR="008079C8">
        <w:rPr>
          <w:noProof/>
        </w:rPr>
        <w:fldChar w:fldCharType="end"/>
      </w:r>
      <w:r w:rsidR="003F3D78">
        <w:t>.</w:t>
      </w:r>
      <w:proofErr w:type="gramEnd"/>
      <w:r w:rsidR="008079C8">
        <w:fldChar w:fldCharType="begin"/>
      </w:r>
      <w:r w:rsidR="008079C8">
        <w:instrText xml:space="preserve"> SEQ Figure \* ARABIC \s 1 </w:instrText>
      </w:r>
      <w:r w:rsidR="008079C8">
        <w:fldChar w:fldCharType="separate"/>
      </w:r>
      <w:r w:rsidR="00863939">
        <w:rPr>
          <w:noProof/>
        </w:rPr>
        <w:t>3</w:t>
      </w:r>
      <w:r w:rsidR="008079C8">
        <w:rPr>
          <w:noProof/>
        </w:rPr>
        <w:fldChar w:fldCharType="end"/>
      </w:r>
      <w:bookmarkEnd w:id="28"/>
      <w:bookmarkEnd w:id="29"/>
      <w:r>
        <w:tab/>
        <w:t xml:space="preserve">Smoothed revenue path including </w:t>
      </w:r>
      <w:r w:rsidR="00572508">
        <w:t>additional</w:t>
      </w:r>
      <w:r>
        <w:t xml:space="preserve"> amounts</w:t>
      </w:r>
      <w:r w:rsidR="003F3D78">
        <w:t xml:space="preserve"> ($ million, 2014–15)</w:t>
      </w:r>
    </w:p>
    <w:p w:rsidR="00D32D6D" w:rsidRDefault="002E074F" w:rsidP="00D32D6D">
      <w:r>
        <w:rPr>
          <w:noProof/>
          <w:lang w:eastAsia="en-AU"/>
        </w:rPr>
        <w:drawing>
          <wp:inline distT="0" distB="0" distL="0" distR="0" wp14:anchorId="7AF928D8" wp14:editId="43A0E925">
            <wp:extent cx="5419725" cy="310896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9725" cy="3108960"/>
                    </a:xfrm>
                    <a:prstGeom prst="rect">
                      <a:avLst/>
                    </a:prstGeom>
                    <a:noFill/>
                  </pic:spPr>
                </pic:pic>
              </a:graphicData>
            </a:graphic>
          </wp:inline>
        </w:drawing>
      </w:r>
    </w:p>
    <w:p w:rsidR="00D32D6D" w:rsidRDefault="00D32D6D" w:rsidP="00D32D6D">
      <w:pPr>
        <w:pStyle w:val="AERtablesource"/>
      </w:pPr>
      <w:r>
        <w:t xml:space="preserve">Source: </w:t>
      </w:r>
      <w:r>
        <w:tab/>
        <w:t xml:space="preserve">AER analysis. </w:t>
      </w:r>
    </w:p>
    <w:p w:rsidR="00D32D6D" w:rsidRDefault="00D32D6D" w:rsidP="00D32D6D">
      <w:pPr>
        <w:pStyle w:val="AERtablesource"/>
      </w:pPr>
      <w:r w:rsidRPr="00B2448C">
        <w:t>Notes:</w:t>
      </w:r>
      <w:r w:rsidRPr="00B2448C">
        <w:tab/>
      </w:r>
      <w:r w:rsidR="001343E5">
        <w:t>'</w:t>
      </w:r>
      <w:proofErr w:type="spellStart"/>
      <w:r w:rsidR="001343E5" w:rsidRPr="00B1069F">
        <w:t>Additional</w:t>
      </w:r>
      <w:r w:rsidR="001343E5">
        <w:t>s</w:t>
      </w:r>
      <w:proofErr w:type="spellEnd"/>
      <w:r w:rsidR="001343E5">
        <w:t>'</w:t>
      </w:r>
      <w:r w:rsidR="001343E5" w:rsidRPr="00B1069F">
        <w:t xml:space="preserve"> in </w:t>
      </w:r>
      <w:proofErr w:type="spellStart"/>
      <w:r w:rsidR="001343E5" w:rsidRPr="00B1069F">
        <w:t>DUoS</w:t>
      </w:r>
      <w:proofErr w:type="spellEnd"/>
      <w:r w:rsidR="001343E5" w:rsidRPr="00B1069F">
        <w:t xml:space="preserve"> include solar bonus scheme forecasts (jurisdictional scheme obligation for </w:t>
      </w:r>
      <w:proofErr w:type="spellStart"/>
      <w:r w:rsidR="001343E5" w:rsidRPr="00B1069F">
        <w:t>FiT</w:t>
      </w:r>
      <w:proofErr w:type="spellEnd"/>
      <w:r w:rsidR="001343E5" w:rsidRPr="00B1069F">
        <w:t xml:space="preserve">) for 2015–20, estimated solar bonus scheme pass throughs for 2015–16 and 2016–17 relating to under-recoveries in 2013–14 and 2014–15, estimated </w:t>
      </w:r>
      <w:proofErr w:type="spellStart"/>
      <w:r w:rsidR="001343E5" w:rsidRPr="00B1069F">
        <w:t>DUoS</w:t>
      </w:r>
      <w:proofErr w:type="spellEnd"/>
      <w:r w:rsidR="001343E5" w:rsidRPr="00B1069F">
        <w:t xml:space="preserve"> under recovery for 2013–14, transitional capital contribution and shared assets under/over recovery from 2010–15, STPIS allowance from 2010–15 and DMIA over recovery from 2010–15.</w:t>
      </w:r>
      <w:r w:rsidR="001343E5">
        <w:t xml:space="preserve"> </w:t>
      </w:r>
      <w:r w:rsidRPr="00B2448C">
        <w:t xml:space="preserve">The ‘Allowed’ 2014–15 data point is the amount allowed in the AER final decision excluding </w:t>
      </w:r>
      <w:proofErr w:type="spellStart"/>
      <w:r w:rsidRPr="00B2448C">
        <w:t>additionals</w:t>
      </w:r>
      <w:proofErr w:type="spellEnd"/>
      <w:r w:rsidRPr="00B2448C">
        <w:t xml:space="preserve">. The ‘Actual’ 2014–15 data point is an updated forecast of the amount Ergon Energy actually expects to recover, including </w:t>
      </w:r>
      <w:proofErr w:type="spellStart"/>
      <w:r w:rsidRPr="00B2448C">
        <w:t>additionals</w:t>
      </w:r>
      <w:proofErr w:type="spellEnd"/>
      <w:r w:rsidRPr="00B2448C">
        <w:t>, as submitted in its reset RIN.</w:t>
      </w:r>
    </w:p>
    <w:p w:rsidR="002831D7" w:rsidRPr="001343E5" w:rsidRDefault="003F3D78" w:rsidP="003F3D78">
      <w:pPr>
        <w:pStyle w:val="Caption"/>
      </w:pPr>
      <w:bookmarkStart w:id="30" w:name="_Ref432146654"/>
      <w:proofErr w:type="gramStart"/>
      <w:r w:rsidRPr="003F3D78">
        <w:lastRenderedPageBreak/>
        <w:t xml:space="preserve">Figure </w:t>
      </w:r>
      <w:r w:rsidR="008079C8">
        <w:fldChar w:fldCharType="begin"/>
      </w:r>
      <w:r w:rsidR="008079C8">
        <w:instrText xml:space="preserve"> STYLEREF 1 \s </w:instrText>
      </w:r>
      <w:r w:rsidR="008079C8">
        <w:fldChar w:fldCharType="separate"/>
      </w:r>
      <w:r w:rsidR="00863939">
        <w:rPr>
          <w:noProof/>
        </w:rPr>
        <w:t>1</w:t>
      </w:r>
      <w:r w:rsidR="008079C8">
        <w:rPr>
          <w:noProof/>
        </w:rPr>
        <w:fldChar w:fldCharType="end"/>
      </w:r>
      <w:r w:rsidRPr="003F3D78">
        <w:t>.</w:t>
      </w:r>
      <w:proofErr w:type="gramEnd"/>
      <w:r w:rsidR="008079C8">
        <w:fldChar w:fldCharType="begin"/>
      </w:r>
      <w:r w:rsidR="008079C8">
        <w:instrText xml:space="preserve"> SEQ Figure \* ARABIC \s 1 </w:instrText>
      </w:r>
      <w:r w:rsidR="008079C8">
        <w:fldChar w:fldCharType="separate"/>
      </w:r>
      <w:r w:rsidR="00863939">
        <w:rPr>
          <w:noProof/>
        </w:rPr>
        <w:t>4</w:t>
      </w:r>
      <w:r w:rsidR="008079C8">
        <w:rPr>
          <w:noProof/>
        </w:rPr>
        <w:fldChar w:fldCharType="end"/>
      </w:r>
      <w:bookmarkEnd w:id="30"/>
      <w:r>
        <w:t xml:space="preserve"> </w:t>
      </w:r>
      <w:r w:rsidR="002831D7" w:rsidRPr="003F3D78">
        <w:t>Smoothed revenue path excluding additional amounts</w:t>
      </w:r>
      <w:r w:rsidRPr="001343E5">
        <w:t xml:space="preserve"> ($ million, 2014–15)</w:t>
      </w:r>
    </w:p>
    <w:p w:rsidR="002831D7" w:rsidRDefault="002E074F" w:rsidP="008F42E9">
      <w:r>
        <w:rPr>
          <w:noProof/>
          <w:lang w:eastAsia="en-AU"/>
        </w:rPr>
        <w:drawing>
          <wp:inline distT="0" distB="0" distL="0" distR="0" wp14:anchorId="0F1D01E4" wp14:editId="66DE4C4F">
            <wp:extent cx="5419725" cy="310896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9725" cy="3108960"/>
                    </a:xfrm>
                    <a:prstGeom prst="rect">
                      <a:avLst/>
                    </a:prstGeom>
                    <a:noFill/>
                  </pic:spPr>
                </pic:pic>
              </a:graphicData>
            </a:graphic>
          </wp:inline>
        </w:drawing>
      </w:r>
    </w:p>
    <w:p w:rsidR="002831D7" w:rsidRDefault="001343E5" w:rsidP="001343E5">
      <w:pPr>
        <w:pStyle w:val="AERtablesource"/>
      </w:pPr>
      <w:r>
        <w:t xml:space="preserve">Source: </w:t>
      </w:r>
      <w:r>
        <w:tab/>
        <w:t>AER analysis.</w:t>
      </w:r>
    </w:p>
    <w:p w:rsidR="00DC4022" w:rsidRPr="00DC4022" w:rsidRDefault="00DC4022" w:rsidP="0068563B">
      <w:r>
        <w:t xml:space="preserve">In </w:t>
      </w:r>
      <w:r w:rsidR="0068563B">
        <w:t>its submission</w:t>
      </w:r>
      <w:r>
        <w:t xml:space="preserve"> to the preliminary </w:t>
      </w:r>
      <w:r w:rsidRPr="00DC4022">
        <w:t>decision</w:t>
      </w:r>
      <w:r>
        <w:t>,</w:t>
      </w:r>
      <w:r w:rsidRPr="00DC4022">
        <w:t xml:space="preserve"> </w:t>
      </w:r>
      <w:r>
        <w:t>the Alliance of Energy Consumers stated that we should identify the additional revenues Ergon Energy is expected to receive over the</w:t>
      </w:r>
      <w:r w:rsidR="00420D2C">
        <w:t xml:space="preserve"> remaining years of the</w:t>
      </w:r>
      <w:r>
        <w:t xml:space="preserve"> regulatory control period.</w:t>
      </w:r>
      <w:r>
        <w:rPr>
          <w:rStyle w:val="FootnoteReference"/>
        </w:rPr>
        <w:footnoteReference w:id="10"/>
      </w:r>
      <w:r>
        <w:t xml:space="preserve"> We have done so above</w:t>
      </w:r>
      <w:r w:rsidR="0068563B">
        <w:t xml:space="preserve"> and in the final decision PTRM</w:t>
      </w:r>
      <w:r>
        <w:t xml:space="preserve">, although we note that these </w:t>
      </w:r>
      <w:r w:rsidR="0068563B">
        <w:t>amounts</w:t>
      </w:r>
      <w:r>
        <w:t xml:space="preserve"> are in some cases estimates and the actual</w:t>
      </w:r>
      <w:r w:rsidR="008B602F">
        <w:t xml:space="preserve"> outcome</w:t>
      </w:r>
      <w:r>
        <w:t>s may differ somewhat. The annual pricin</w:t>
      </w:r>
      <w:r w:rsidR="00420D2C">
        <w:t>g proposals of the distributors</w:t>
      </w:r>
      <w:r w:rsidR="0068563B">
        <w:t>—</w:t>
      </w:r>
      <w:r>
        <w:t>that are approved</w:t>
      </w:r>
      <w:r w:rsidR="000C66B6">
        <w:t xml:space="preserve"> by us</w:t>
      </w:r>
      <w:r>
        <w:t xml:space="preserve"> and then released</w:t>
      </w:r>
      <w:r w:rsidR="00420D2C">
        <w:t xml:space="preserve"> on our website</w:t>
      </w:r>
      <w:r w:rsidR="00420D2C">
        <w:softHyphen/>
      </w:r>
      <w:r w:rsidR="0068563B">
        <w:t>—</w:t>
      </w:r>
      <w:r>
        <w:t>explain in detail the actual outcomes in relation to these annual adjustments to revenues</w:t>
      </w:r>
      <w:r w:rsidR="00420D2C">
        <w:t xml:space="preserve">. These pricing proposals also show the evolution of </w:t>
      </w:r>
      <w:r w:rsidR="0068563B">
        <w:t xml:space="preserve">the </w:t>
      </w:r>
      <w:r w:rsidR="00420D2C">
        <w:t xml:space="preserve">distributor's </w:t>
      </w:r>
      <w:proofErr w:type="spellStart"/>
      <w:r w:rsidR="00420D2C">
        <w:t>unders</w:t>
      </w:r>
      <w:proofErr w:type="spellEnd"/>
      <w:r w:rsidR="00420D2C">
        <w:t xml:space="preserve"> and overs account</w:t>
      </w:r>
      <w:r>
        <w:t>.</w:t>
      </w:r>
      <w:r w:rsidR="00420D2C">
        <w:t xml:space="preserve"> That is, whether price</w:t>
      </w:r>
      <w:r w:rsidR="008B602F">
        <w:t>s and demand were such that the distributor</w:t>
      </w:r>
      <w:r w:rsidR="00420D2C">
        <w:t xml:space="preserve"> achieved </w:t>
      </w:r>
      <w:r w:rsidR="008B602F">
        <w:t>its</w:t>
      </w:r>
      <w:r w:rsidR="00420D2C">
        <w:t xml:space="preserve"> revenue targets </w:t>
      </w:r>
      <w:r w:rsidR="008B602F">
        <w:t xml:space="preserve">in previous </w:t>
      </w:r>
      <w:r w:rsidR="00420D2C">
        <w:t>year</w:t>
      </w:r>
      <w:r w:rsidR="008B602F">
        <w:t xml:space="preserve">s and what further </w:t>
      </w:r>
      <w:r w:rsidR="0008113D">
        <w:t>adjustments</w:t>
      </w:r>
      <w:r w:rsidR="008B602F">
        <w:t xml:space="preserve"> </w:t>
      </w:r>
      <w:r w:rsidR="000C66B6">
        <w:t xml:space="preserve">for past under or over recoveries </w:t>
      </w:r>
      <w:r w:rsidR="008B602F">
        <w:t>may be necessary</w:t>
      </w:r>
      <w:r w:rsidR="00420D2C">
        <w:t>.</w:t>
      </w:r>
      <w:r>
        <w:t xml:space="preserve"> </w:t>
      </w:r>
    </w:p>
    <w:p w:rsidR="00D32D6D" w:rsidRDefault="00D32D6D" w:rsidP="00D32D6D">
      <w:pPr>
        <w:pStyle w:val="Heading3"/>
      </w:pPr>
      <w:bookmarkStart w:id="31" w:name="_Toc417565192"/>
      <w:bookmarkStart w:id="32" w:name="_Toc433022747"/>
      <w:r>
        <w:t>Revenue increments or decrements</w:t>
      </w:r>
      <w:bookmarkEnd w:id="31"/>
      <w:bookmarkEnd w:id="32"/>
    </w:p>
    <w:p w:rsidR="00D32D6D" w:rsidRDefault="00D32D6D" w:rsidP="00D32D6D">
      <w:r>
        <w:t xml:space="preserve">Revenue increments or decrements arising from the operation of a control mechanism or schemes, also known as 'carry-overs', may have a sizeable impact in addition to our approved annual revenue requirements for the 2015–20 regulatory control </w:t>
      </w:r>
      <w:proofErr w:type="gramStart"/>
      <w:r>
        <w:t>period</w:t>
      </w:r>
      <w:proofErr w:type="gramEnd"/>
      <w:r>
        <w:t>.</w:t>
      </w:r>
      <w:r>
        <w:rPr>
          <w:rStyle w:val="FootnoteReference"/>
        </w:rPr>
        <w:footnoteReference w:id="11"/>
      </w:r>
      <w:r>
        <w:t xml:space="preserve"> The revenue increment and decrement amounts are shown </w:t>
      </w:r>
      <w:r w:rsidR="004224C3">
        <w:t>in</w:t>
      </w:r>
      <w:r w:rsidR="002C3A72">
        <w:t xml:space="preserve"> table 1.3</w:t>
      </w:r>
      <w:r>
        <w:t>.</w:t>
      </w:r>
    </w:p>
    <w:p w:rsidR="00D32D6D" w:rsidRDefault="004224C3" w:rsidP="004224C3">
      <w:pPr>
        <w:pStyle w:val="Caption"/>
      </w:pPr>
      <w:bookmarkStart w:id="33" w:name="_Ref430168620"/>
      <w:proofErr w:type="gramStart"/>
      <w:r>
        <w:lastRenderedPageBreak/>
        <w:t xml:space="preserve">Table </w:t>
      </w:r>
      <w:r w:rsidR="008079C8">
        <w:fldChar w:fldCharType="begin"/>
      </w:r>
      <w:r w:rsidR="008079C8">
        <w:instrText xml:space="preserve"> STYLEREF 1 \s </w:instrText>
      </w:r>
      <w:r w:rsidR="008079C8">
        <w:fldChar w:fldCharType="separate"/>
      </w:r>
      <w:r w:rsidR="00863939">
        <w:rPr>
          <w:noProof/>
        </w:rPr>
        <w:t>1</w:t>
      </w:r>
      <w:r w:rsidR="008079C8">
        <w:rPr>
          <w:noProof/>
        </w:rPr>
        <w:fldChar w:fldCharType="end"/>
      </w:r>
      <w:r>
        <w:t>.</w:t>
      </w:r>
      <w:proofErr w:type="gramEnd"/>
      <w:r w:rsidR="008079C8">
        <w:fldChar w:fldCharType="begin"/>
      </w:r>
      <w:r w:rsidR="008079C8">
        <w:instrText xml:space="preserve"> SEQ Table \* ARABIC \s 1 </w:instrText>
      </w:r>
      <w:r w:rsidR="008079C8">
        <w:fldChar w:fldCharType="separate"/>
      </w:r>
      <w:r w:rsidR="00863939">
        <w:rPr>
          <w:noProof/>
        </w:rPr>
        <w:t>3</w:t>
      </w:r>
      <w:r w:rsidR="008079C8">
        <w:rPr>
          <w:noProof/>
        </w:rPr>
        <w:fldChar w:fldCharType="end"/>
      </w:r>
      <w:bookmarkEnd w:id="33"/>
      <w:r w:rsidR="00D32D6D">
        <w:tab/>
        <w:t>Revenue increments or decrements ($million, nominal)</w:t>
      </w:r>
    </w:p>
    <w:tbl>
      <w:tblPr>
        <w:tblStyle w:val="AERtable-numbers"/>
        <w:tblW w:w="0" w:type="auto"/>
        <w:tblLook w:val="04A0" w:firstRow="1" w:lastRow="0" w:firstColumn="1" w:lastColumn="0" w:noHBand="0" w:noVBand="1"/>
      </w:tblPr>
      <w:tblGrid>
        <w:gridCol w:w="3028"/>
        <w:gridCol w:w="931"/>
        <w:gridCol w:w="932"/>
        <w:gridCol w:w="932"/>
        <w:gridCol w:w="926"/>
        <w:gridCol w:w="927"/>
        <w:gridCol w:w="1017"/>
      </w:tblGrid>
      <w:tr w:rsidR="00D32D6D" w:rsidTr="00CF30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8" w:type="dxa"/>
          </w:tcPr>
          <w:p w:rsidR="00D32D6D" w:rsidRDefault="00D32D6D" w:rsidP="00D32D6D"/>
        </w:tc>
        <w:tc>
          <w:tcPr>
            <w:tcW w:w="931" w:type="dxa"/>
          </w:tcPr>
          <w:p w:rsidR="00D32D6D" w:rsidRPr="00D32D6D" w:rsidRDefault="00D32D6D" w:rsidP="00D32D6D">
            <w:pPr>
              <w:cnfStyle w:val="100000000000" w:firstRow="1" w:lastRow="0" w:firstColumn="0" w:lastColumn="0" w:oddVBand="0" w:evenVBand="0" w:oddHBand="0" w:evenHBand="0" w:firstRowFirstColumn="0" w:firstRowLastColumn="0" w:lastRowFirstColumn="0" w:lastRowLastColumn="0"/>
            </w:pPr>
            <w:r>
              <w:t>2015–16</w:t>
            </w:r>
          </w:p>
        </w:tc>
        <w:tc>
          <w:tcPr>
            <w:tcW w:w="932" w:type="dxa"/>
          </w:tcPr>
          <w:p w:rsidR="00D32D6D" w:rsidRPr="00D32D6D" w:rsidRDefault="00D32D6D" w:rsidP="00D32D6D">
            <w:pPr>
              <w:cnfStyle w:val="100000000000" w:firstRow="1" w:lastRow="0" w:firstColumn="0" w:lastColumn="0" w:oddVBand="0" w:evenVBand="0" w:oddHBand="0" w:evenHBand="0" w:firstRowFirstColumn="0" w:firstRowLastColumn="0" w:lastRowFirstColumn="0" w:lastRowLastColumn="0"/>
            </w:pPr>
            <w:r>
              <w:t>2016–17</w:t>
            </w:r>
          </w:p>
        </w:tc>
        <w:tc>
          <w:tcPr>
            <w:tcW w:w="932" w:type="dxa"/>
          </w:tcPr>
          <w:p w:rsidR="00D32D6D" w:rsidRPr="00D32D6D" w:rsidRDefault="00D32D6D" w:rsidP="00D32D6D">
            <w:pPr>
              <w:cnfStyle w:val="100000000000" w:firstRow="1" w:lastRow="0" w:firstColumn="0" w:lastColumn="0" w:oddVBand="0" w:evenVBand="0" w:oddHBand="0" w:evenHBand="0" w:firstRowFirstColumn="0" w:firstRowLastColumn="0" w:lastRowFirstColumn="0" w:lastRowLastColumn="0"/>
            </w:pPr>
            <w:r>
              <w:t>2017–18</w:t>
            </w:r>
          </w:p>
        </w:tc>
        <w:tc>
          <w:tcPr>
            <w:tcW w:w="926" w:type="dxa"/>
          </w:tcPr>
          <w:p w:rsidR="00D32D6D" w:rsidRPr="00D32D6D" w:rsidRDefault="00D32D6D" w:rsidP="00D32D6D">
            <w:pPr>
              <w:cnfStyle w:val="100000000000" w:firstRow="1" w:lastRow="0" w:firstColumn="0" w:lastColumn="0" w:oddVBand="0" w:evenVBand="0" w:oddHBand="0" w:evenHBand="0" w:firstRowFirstColumn="0" w:firstRowLastColumn="0" w:lastRowFirstColumn="0" w:lastRowLastColumn="0"/>
            </w:pPr>
            <w:r>
              <w:t>2018–19</w:t>
            </w:r>
          </w:p>
        </w:tc>
        <w:tc>
          <w:tcPr>
            <w:tcW w:w="927" w:type="dxa"/>
          </w:tcPr>
          <w:p w:rsidR="00D32D6D" w:rsidRPr="00D32D6D" w:rsidRDefault="00D32D6D" w:rsidP="00D32D6D">
            <w:pPr>
              <w:cnfStyle w:val="100000000000" w:firstRow="1" w:lastRow="0" w:firstColumn="0" w:lastColumn="0" w:oddVBand="0" w:evenVBand="0" w:oddHBand="0" w:evenHBand="0" w:firstRowFirstColumn="0" w:firstRowLastColumn="0" w:lastRowFirstColumn="0" w:lastRowLastColumn="0"/>
            </w:pPr>
            <w:r>
              <w:t>2019–20</w:t>
            </w:r>
          </w:p>
        </w:tc>
        <w:tc>
          <w:tcPr>
            <w:tcW w:w="1017" w:type="dxa"/>
          </w:tcPr>
          <w:p w:rsidR="00D32D6D" w:rsidRPr="00D32D6D" w:rsidRDefault="00D32D6D" w:rsidP="00D32D6D">
            <w:pPr>
              <w:cnfStyle w:val="100000000000" w:firstRow="1" w:lastRow="0" w:firstColumn="0" w:lastColumn="0" w:oddVBand="0" w:evenVBand="0" w:oddHBand="0" w:evenHBand="0" w:firstRowFirstColumn="0" w:firstRowLastColumn="0" w:lastRowFirstColumn="0" w:lastRowLastColumn="0"/>
            </w:pPr>
            <w:r>
              <w:t>Total</w:t>
            </w:r>
          </w:p>
        </w:tc>
      </w:tr>
      <w:tr w:rsidR="00CF30ED" w:rsidTr="008F42E9">
        <w:tc>
          <w:tcPr>
            <w:cnfStyle w:val="001000000000" w:firstRow="0" w:lastRow="0" w:firstColumn="1" w:lastColumn="0" w:oddVBand="0" w:evenVBand="0" w:oddHBand="0" w:evenHBand="0" w:firstRowFirstColumn="0" w:firstRowLastColumn="0" w:lastRowFirstColumn="0" w:lastRowLastColumn="0"/>
            <w:tcW w:w="3028" w:type="dxa"/>
          </w:tcPr>
          <w:p w:rsidR="00CF30ED" w:rsidRPr="00CF30ED" w:rsidRDefault="00CF30ED" w:rsidP="00CF30ED">
            <w:r w:rsidRPr="00CF30ED">
              <w:t xml:space="preserve">EBSS </w:t>
            </w:r>
          </w:p>
        </w:tc>
        <w:tc>
          <w:tcPr>
            <w:tcW w:w="931" w:type="dxa"/>
            <w:vAlign w:val="top"/>
          </w:tcPr>
          <w:p w:rsidR="00CF30ED" w:rsidRPr="00CF30ED" w:rsidRDefault="00CF30ED" w:rsidP="00CF30ED">
            <w:pPr>
              <w:cnfStyle w:val="000000000000" w:firstRow="0" w:lastRow="0" w:firstColumn="0" w:lastColumn="0" w:oddVBand="0" w:evenVBand="0" w:oddHBand="0" w:evenHBand="0" w:firstRowFirstColumn="0" w:firstRowLastColumn="0" w:lastRowFirstColumn="0" w:lastRowLastColumn="0"/>
            </w:pPr>
            <w:r w:rsidRPr="00CF30ED">
              <w:t>34.6</w:t>
            </w:r>
          </w:p>
        </w:tc>
        <w:tc>
          <w:tcPr>
            <w:tcW w:w="932" w:type="dxa"/>
            <w:vAlign w:val="top"/>
          </w:tcPr>
          <w:p w:rsidR="00CF30ED" w:rsidRPr="00CF30ED" w:rsidRDefault="00CF30ED" w:rsidP="00CF30ED">
            <w:pPr>
              <w:cnfStyle w:val="000000000000" w:firstRow="0" w:lastRow="0" w:firstColumn="0" w:lastColumn="0" w:oddVBand="0" w:evenVBand="0" w:oddHBand="0" w:evenHBand="0" w:firstRowFirstColumn="0" w:firstRowLastColumn="0" w:lastRowFirstColumn="0" w:lastRowLastColumn="0"/>
            </w:pPr>
            <w:r w:rsidRPr="00CF30ED">
              <w:t>48.9</w:t>
            </w:r>
          </w:p>
        </w:tc>
        <w:tc>
          <w:tcPr>
            <w:tcW w:w="932" w:type="dxa"/>
            <w:vAlign w:val="top"/>
          </w:tcPr>
          <w:p w:rsidR="00CF30ED" w:rsidRPr="00CF30ED" w:rsidRDefault="00CF30ED" w:rsidP="00CF30ED">
            <w:pPr>
              <w:cnfStyle w:val="000000000000" w:firstRow="0" w:lastRow="0" w:firstColumn="0" w:lastColumn="0" w:oddVBand="0" w:evenVBand="0" w:oddHBand="0" w:evenHBand="0" w:firstRowFirstColumn="0" w:firstRowLastColumn="0" w:lastRowFirstColumn="0" w:lastRowLastColumn="0"/>
            </w:pPr>
            <w:r w:rsidRPr="00CF30ED">
              <w:t>69.6</w:t>
            </w:r>
          </w:p>
        </w:tc>
        <w:tc>
          <w:tcPr>
            <w:tcW w:w="926" w:type="dxa"/>
            <w:vAlign w:val="top"/>
          </w:tcPr>
          <w:p w:rsidR="00CF30ED" w:rsidRPr="00CF30ED" w:rsidRDefault="00CF30ED" w:rsidP="00CF30ED">
            <w:pPr>
              <w:cnfStyle w:val="000000000000" w:firstRow="0" w:lastRow="0" w:firstColumn="0" w:lastColumn="0" w:oddVBand="0" w:evenVBand="0" w:oddHBand="0" w:evenHBand="0" w:firstRowFirstColumn="0" w:firstRowLastColumn="0" w:lastRowFirstColumn="0" w:lastRowLastColumn="0"/>
            </w:pPr>
            <w:r>
              <w:t>–</w:t>
            </w:r>
            <w:r w:rsidRPr="00CF30ED">
              <w:t>15.2</w:t>
            </w:r>
          </w:p>
        </w:tc>
        <w:tc>
          <w:tcPr>
            <w:tcW w:w="927" w:type="dxa"/>
            <w:vAlign w:val="top"/>
          </w:tcPr>
          <w:p w:rsidR="00CF30ED" w:rsidRPr="00CF30ED" w:rsidRDefault="00CF30ED" w:rsidP="00CF30ED">
            <w:pPr>
              <w:cnfStyle w:val="000000000000" w:firstRow="0" w:lastRow="0" w:firstColumn="0" w:lastColumn="0" w:oddVBand="0" w:evenVBand="0" w:oddHBand="0" w:evenHBand="0" w:firstRowFirstColumn="0" w:firstRowLastColumn="0" w:lastRowFirstColumn="0" w:lastRowLastColumn="0"/>
            </w:pPr>
            <w:r w:rsidRPr="00CF30ED">
              <w:t>0.0</w:t>
            </w:r>
          </w:p>
        </w:tc>
        <w:tc>
          <w:tcPr>
            <w:tcW w:w="1017" w:type="dxa"/>
            <w:vAlign w:val="top"/>
          </w:tcPr>
          <w:p w:rsidR="00CF30ED" w:rsidRPr="00CF30ED" w:rsidRDefault="00CF30ED" w:rsidP="00CF30ED">
            <w:pPr>
              <w:cnfStyle w:val="000000000000" w:firstRow="0" w:lastRow="0" w:firstColumn="0" w:lastColumn="0" w:oddVBand="0" w:evenVBand="0" w:oddHBand="0" w:evenHBand="0" w:firstRowFirstColumn="0" w:firstRowLastColumn="0" w:lastRowFirstColumn="0" w:lastRowLastColumn="0"/>
            </w:pPr>
            <w:r w:rsidRPr="00CF30ED">
              <w:t>137.9</w:t>
            </w:r>
          </w:p>
        </w:tc>
      </w:tr>
      <w:tr w:rsidR="00D32D6D" w:rsidTr="00CF3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8" w:type="dxa"/>
          </w:tcPr>
          <w:p w:rsidR="00D32D6D" w:rsidRPr="00D32D6D" w:rsidRDefault="00D32D6D" w:rsidP="00D32D6D">
            <w:r w:rsidRPr="00F87A40">
              <w:t>DMIA</w:t>
            </w:r>
          </w:p>
        </w:tc>
        <w:tc>
          <w:tcPr>
            <w:tcW w:w="931" w:type="dxa"/>
          </w:tcPr>
          <w:p w:rsidR="00D32D6D" w:rsidRPr="00D32D6D" w:rsidRDefault="00D32D6D" w:rsidP="00D32D6D">
            <w:pPr>
              <w:cnfStyle w:val="000000010000" w:firstRow="0" w:lastRow="0" w:firstColumn="0" w:lastColumn="0" w:oddVBand="0" w:evenVBand="0" w:oddHBand="0" w:evenHBand="1" w:firstRowFirstColumn="0" w:firstRowLastColumn="0" w:lastRowFirstColumn="0" w:lastRowLastColumn="0"/>
            </w:pPr>
            <w:r w:rsidRPr="00F87A40">
              <w:t>1.0</w:t>
            </w:r>
          </w:p>
        </w:tc>
        <w:tc>
          <w:tcPr>
            <w:tcW w:w="932" w:type="dxa"/>
          </w:tcPr>
          <w:p w:rsidR="00D32D6D" w:rsidRPr="00D32D6D" w:rsidRDefault="00D32D6D" w:rsidP="00D32D6D">
            <w:pPr>
              <w:cnfStyle w:val="000000010000" w:firstRow="0" w:lastRow="0" w:firstColumn="0" w:lastColumn="0" w:oddVBand="0" w:evenVBand="0" w:oddHBand="0" w:evenHBand="1" w:firstRowFirstColumn="0" w:firstRowLastColumn="0" w:lastRowFirstColumn="0" w:lastRowLastColumn="0"/>
            </w:pPr>
            <w:r w:rsidRPr="00F87A40">
              <w:t>1.1</w:t>
            </w:r>
          </w:p>
        </w:tc>
        <w:tc>
          <w:tcPr>
            <w:tcW w:w="932" w:type="dxa"/>
          </w:tcPr>
          <w:p w:rsidR="00D32D6D" w:rsidRPr="00D32D6D" w:rsidRDefault="00D32D6D" w:rsidP="00D32D6D">
            <w:pPr>
              <w:cnfStyle w:val="000000010000" w:firstRow="0" w:lastRow="0" w:firstColumn="0" w:lastColumn="0" w:oddVBand="0" w:evenVBand="0" w:oddHBand="0" w:evenHBand="1" w:firstRowFirstColumn="0" w:firstRowLastColumn="0" w:lastRowFirstColumn="0" w:lastRowLastColumn="0"/>
            </w:pPr>
            <w:r w:rsidRPr="00F87A40">
              <w:t>1.1</w:t>
            </w:r>
          </w:p>
        </w:tc>
        <w:tc>
          <w:tcPr>
            <w:tcW w:w="926" w:type="dxa"/>
          </w:tcPr>
          <w:p w:rsidR="00D32D6D" w:rsidRPr="00D32D6D" w:rsidRDefault="00D32D6D" w:rsidP="00D32D6D">
            <w:pPr>
              <w:cnfStyle w:val="000000010000" w:firstRow="0" w:lastRow="0" w:firstColumn="0" w:lastColumn="0" w:oddVBand="0" w:evenVBand="0" w:oddHBand="0" w:evenHBand="1" w:firstRowFirstColumn="0" w:firstRowLastColumn="0" w:lastRowFirstColumn="0" w:lastRowLastColumn="0"/>
            </w:pPr>
            <w:r w:rsidRPr="00F87A40">
              <w:t>1.1</w:t>
            </w:r>
          </w:p>
        </w:tc>
        <w:tc>
          <w:tcPr>
            <w:tcW w:w="927" w:type="dxa"/>
          </w:tcPr>
          <w:p w:rsidR="00D32D6D" w:rsidRPr="00D32D6D" w:rsidRDefault="00D32D6D" w:rsidP="00D32D6D">
            <w:pPr>
              <w:cnfStyle w:val="000000010000" w:firstRow="0" w:lastRow="0" w:firstColumn="0" w:lastColumn="0" w:oddVBand="0" w:evenVBand="0" w:oddHBand="0" w:evenHBand="1" w:firstRowFirstColumn="0" w:firstRowLastColumn="0" w:lastRowFirstColumn="0" w:lastRowLastColumn="0"/>
            </w:pPr>
            <w:r w:rsidRPr="00F87A40">
              <w:t>1.1</w:t>
            </w:r>
          </w:p>
        </w:tc>
        <w:tc>
          <w:tcPr>
            <w:tcW w:w="1017" w:type="dxa"/>
          </w:tcPr>
          <w:p w:rsidR="00D32D6D" w:rsidRPr="00D32D6D" w:rsidRDefault="00D32D6D" w:rsidP="00D32D6D">
            <w:pPr>
              <w:cnfStyle w:val="000000010000" w:firstRow="0" w:lastRow="0" w:firstColumn="0" w:lastColumn="0" w:oddVBand="0" w:evenVBand="0" w:oddHBand="0" w:evenHBand="1" w:firstRowFirstColumn="0" w:firstRowLastColumn="0" w:lastRowFirstColumn="0" w:lastRowLastColumn="0"/>
            </w:pPr>
            <w:r w:rsidRPr="00F87A40">
              <w:t>5.4</w:t>
            </w:r>
          </w:p>
        </w:tc>
      </w:tr>
      <w:tr w:rsidR="00D32D6D" w:rsidTr="00CF30ED">
        <w:tc>
          <w:tcPr>
            <w:cnfStyle w:val="001000000000" w:firstRow="0" w:lastRow="0" w:firstColumn="1" w:lastColumn="0" w:oddVBand="0" w:evenVBand="0" w:oddHBand="0" w:evenHBand="0" w:firstRowFirstColumn="0" w:firstRowLastColumn="0" w:lastRowFirstColumn="0" w:lastRowLastColumn="0"/>
            <w:tcW w:w="3028" w:type="dxa"/>
          </w:tcPr>
          <w:p w:rsidR="00D32D6D" w:rsidRPr="00D32D6D" w:rsidRDefault="00D32D6D" w:rsidP="00D32D6D">
            <w:r w:rsidRPr="000A53DB">
              <w:t xml:space="preserve">Closing balance of </w:t>
            </w:r>
            <w:proofErr w:type="spellStart"/>
            <w:r w:rsidRPr="000A53DB">
              <w:t>DUoS</w:t>
            </w:r>
            <w:proofErr w:type="spellEnd"/>
            <w:r w:rsidRPr="000A53DB">
              <w:t xml:space="preserve"> </w:t>
            </w:r>
            <w:proofErr w:type="spellStart"/>
            <w:r w:rsidRPr="000A53DB">
              <w:t>unders</w:t>
            </w:r>
            <w:proofErr w:type="spellEnd"/>
            <w:r w:rsidRPr="00D32D6D">
              <w:t>/overs account as at 30 June 2015.</w:t>
            </w:r>
          </w:p>
        </w:tc>
        <w:tc>
          <w:tcPr>
            <w:tcW w:w="931" w:type="dxa"/>
          </w:tcPr>
          <w:p w:rsidR="00D32D6D" w:rsidRPr="00D32D6D" w:rsidRDefault="00D32D6D" w:rsidP="00D32D6D">
            <w:pPr>
              <w:cnfStyle w:val="000000000000" w:firstRow="0" w:lastRow="0" w:firstColumn="0" w:lastColumn="0" w:oddVBand="0" w:evenVBand="0" w:oddHBand="0" w:evenHBand="0" w:firstRowFirstColumn="0" w:firstRowLastColumn="0" w:lastRowFirstColumn="0" w:lastRowLastColumn="0"/>
            </w:pPr>
            <w:r w:rsidRPr="00F87A40">
              <w:t>58.</w:t>
            </w:r>
            <w:r w:rsidR="00793C7F">
              <w:t>5</w:t>
            </w:r>
          </w:p>
        </w:tc>
        <w:tc>
          <w:tcPr>
            <w:tcW w:w="932" w:type="dxa"/>
          </w:tcPr>
          <w:p w:rsidR="00D32D6D" w:rsidRPr="00D32D6D" w:rsidRDefault="00D32D6D" w:rsidP="00D32D6D">
            <w:pPr>
              <w:cnfStyle w:val="000000000000" w:firstRow="0" w:lastRow="0" w:firstColumn="0" w:lastColumn="0" w:oddVBand="0" w:evenVBand="0" w:oddHBand="0" w:evenHBand="0" w:firstRowFirstColumn="0" w:firstRowLastColumn="0" w:lastRowFirstColumn="0" w:lastRowLastColumn="0"/>
            </w:pPr>
            <w:r w:rsidRPr="00F87A40">
              <w:t>n/a</w:t>
            </w:r>
          </w:p>
        </w:tc>
        <w:tc>
          <w:tcPr>
            <w:tcW w:w="932" w:type="dxa"/>
          </w:tcPr>
          <w:p w:rsidR="00D32D6D" w:rsidRPr="00D32D6D" w:rsidRDefault="00D32D6D" w:rsidP="00D32D6D">
            <w:pPr>
              <w:cnfStyle w:val="000000000000" w:firstRow="0" w:lastRow="0" w:firstColumn="0" w:lastColumn="0" w:oddVBand="0" w:evenVBand="0" w:oddHBand="0" w:evenHBand="0" w:firstRowFirstColumn="0" w:firstRowLastColumn="0" w:lastRowFirstColumn="0" w:lastRowLastColumn="0"/>
            </w:pPr>
            <w:r w:rsidRPr="00F87A40">
              <w:t>n/a</w:t>
            </w:r>
          </w:p>
        </w:tc>
        <w:tc>
          <w:tcPr>
            <w:tcW w:w="926" w:type="dxa"/>
          </w:tcPr>
          <w:p w:rsidR="00D32D6D" w:rsidRPr="00D32D6D" w:rsidRDefault="00D32D6D" w:rsidP="00D32D6D">
            <w:pPr>
              <w:cnfStyle w:val="000000000000" w:firstRow="0" w:lastRow="0" w:firstColumn="0" w:lastColumn="0" w:oddVBand="0" w:evenVBand="0" w:oddHBand="0" w:evenHBand="0" w:firstRowFirstColumn="0" w:firstRowLastColumn="0" w:lastRowFirstColumn="0" w:lastRowLastColumn="0"/>
            </w:pPr>
            <w:r w:rsidRPr="00F87A40">
              <w:t>n/a</w:t>
            </w:r>
          </w:p>
        </w:tc>
        <w:tc>
          <w:tcPr>
            <w:tcW w:w="927" w:type="dxa"/>
          </w:tcPr>
          <w:p w:rsidR="00D32D6D" w:rsidRPr="00D32D6D" w:rsidRDefault="00D32D6D" w:rsidP="00D32D6D">
            <w:pPr>
              <w:cnfStyle w:val="000000000000" w:firstRow="0" w:lastRow="0" w:firstColumn="0" w:lastColumn="0" w:oddVBand="0" w:evenVBand="0" w:oddHBand="0" w:evenHBand="0" w:firstRowFirstColumn="0" w:firstRowLastColumn="0" w:lastRowFirstColumn="0" w:lastRowLastColumn="0"/>
            </w:pPr>
            <w:r w:rsidRPr="00F87A40">
              <w:t>n/a</w:t>
            </w:r>
          </w:p>
        </w:tc>
        <w:tc>
          <w:tcPr>
            <w:tcW w:w="1017" w:type="dxa"/>
          </w:tcPr>
          <w:p w:rsidR="00D32D6D" w:rsidRPr="00D32D6D" w:rsidRDefault="00D32D6D" w:rsidP="00D32D6D">
            <w:pPr>
              <w:cnfStyle w:val="000000000000" w:firstRow="0" w:lastRow="0" w:firstColumn="0" w:lastColumn="0" w:oddVBand="0" w:evenVBand="0" w:oddHBand="0" w:evenHBand="0" w:firstRowFirstColumn="0" w:firstRowLastColumn="0" w:lastRowFirstColumn="0" w:lastRowLastColumn="0"/>
            </w:pPr>
            <w:r w:rsidRPr="00F87A40">
              <w:t>58.</w:t>
            </w:r>
            <w:r w:rsidR="006E17B2">
              <w:t>5</w:t>
            </w:r>
          </w:p>
        </w:tc>
      </w:tr>
      <w:tr w:rsidR="00CF30ED" w:rsidTr="008F42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8" w:type="dxa"/>
          </w:tcPr>
          <w:p w:rsidR="00CF30ED" w:rsidRPr="00CF30ED" w:rsidRDefault="00CF30ED" w:rsidP="00CF30ED">
            <w:r w:rsidRPr="00CF30ED">
              <w:t>Shared assets</w:t>
            </w:r>
          </w:p>
        </w:tc>
        <w:tc>
          <w:tcPr>
            <w:tcW w:w="931" w:type="dxa"/>
            <w:vAlign w:val="top"/>
          </w:tcPr>
          <w:p w:rsidR="00CF30ED" w:rsidRPr="00CF30ED" w:rsidRDefault="00CF30ED" w:rsidP="00CF30ED">
            <w:pPr>
              <w:cnfStyle w:val="000000010000" w:firstRow="0" w:lastRow="0" w:firstColumn="0" w:lastColumn="0" w:oddVBand="0" w:evenVBand="0" w:oddHBand="0" w:evenHBand="1" w:firstRowFirstColumn="0" w:firstRowLastColumn="0" w:lastRowFirstColumn="0" w:lastRowLastColumn="0"/>
            </w:pPr>
            <w:r>
              <w:t>–</w:t>
            </w:r>
            <w:r w:rsidRPr="00CF30ED">
              <w:t>3.6</w:t>
            </w:r>
          </w:p>
        </w:tc>
        <w:tc>
          <w:tcPr>
            <w:tcW w:w="932" w:type="dxa"/>
            <w:vAlign w:val="top"/>
          </w:tcPr>
          <w:p w:rsidR="00CF30ED" w:rsidRPr="00CF30ED" w:rsidRDefault="00CF30ED" w:rsidP="00CF30ED">
            <w:pPr>
              <w:cnfStyle w:val="000000010000" w:firstRow="0" w:lastRow="0" w:firstColumn="0" w:lastColumn="0" w:oddVBand="0" w:evenVBand="0" w:oddHBand="0" w:evenHBand="1" w:firstRowFirstColumn="0" w:firstRowLastColumn="0" w:lastRowFirstColumn="0" w:lastRowLastColumn="0"/>
            </w:pPr>
            <w:r>
              <w:t>–</w:t>
            </w:r>
            <w:r w:rsidRPr="00CF30ED">
              <w:t>3.7</w:t>
            </w:r>
          </w:p>
        </w:tc>
        <w:tc>
          <w:tcPr>
            <w:tcW w:w="932" w:type="dxa"/>
            <w:vAlign w:val="top"/>
          </w:tcPr>
          <w:p w:rsidR="00CF30ED" w:rsidRPr="00CF30ED" w:rsidRDefault="00CF30ED" w:rsidP="00CF30ED">
            <w:pPr>
              <w:cnfStyle w:val="000000010000" w:firstRow="0" w:lastRow="0" w:firstColumn="0" w:lastColumn="0" w:oddVBand="0" w:evenVBand="0" w:oddHBand="0" w:evenHBand="1" w:firstRowFirstColumn="0" w:firstRowLastColumn="0" w:lastRowFirstColumn="0" w:lastRowLastColumn="0"/>
            </w:pPr>
            <w:r>
              <w:t>–</w:t>
            </w:r>
            <w:r w:rsidRPr="00CF30ED">
              <w:t>3.8</w:t>
            </w:r>
          </w:p>
        </w:tc>
        <w:tc>
          <w:tcPr>
            <w:tcW w:w="926" w:type="dxa"/>
            <w:vAlign w:val="top"/>
          </w:tcPr>
          <w:p w:rsidR="00CF30ED" w:rsidRPr="00CF30ED" w:rsidRDefault="00CF30ED" w:rsidP="00CF30ED">
            <w:pPr>
              <w:cnfStyle w:val="000000010000" w:firstRow="0" w:lastRow="0" w:firstColumn="0" w:lastColumn="0" w:oddVBand="0" w:evenVBand="0" w:oddHBand="0" w:evenHBand="1" w:firstRowFirstColumn="0" w:firstRowLastColumn="0" w:lastRowFirstColumn="0" w:lastRowLastColumn="0"/>
            </w:pPr>
            <w:r>
              <w:t>–</w:t>
            </w:r>
            <w:r w:rsidRPr="00CF30ED">
              <w:t>3.9</w:t>
            </w:r>
          </w:p>
        </w:tc>
        <w:tc>
          <w:tcPr>
            <w:tcW w:w="927" w:type="dxa"/>
            <w:vAlign w:val="top"/>
          </w:tcPr>
          <w:p w:rsidR="00CF30ED" w:rsidRPr="00CF30ED" w:rsidRDefault="00CF30ED" w:rsidP="00CF30ED">
            <w:pPr>
              <w:cnfStyle w:val="000000010000" w:firstRow="0" w:lastRow="0" w:firstColumn="0" w:lastColumn="0" w:oddVBand="0" w:evenVBand="0" w:oddHBand="0" w:evenHBand="1" w:firstRowFirstColumn="0" w:firstRowLastColumn="0" w:lastRowFirstColumn="0" w:lastRowLastColumn="0"/>
            </w:pPr>
            <w:r>
              <w:t>–</w:t>
            </w:r>
            <w:r w:rsidRPr="00CF30ED">
              <w:t>4.0</w:t>
            </w:r>
          </w:p>
        </w:tc>
        <w:tc>
          <w:tcPr>
            <w:tcW w:w="1017" w:type="dxa"/>
            <w:vAlign w:val="top"/>
          </w:tcPr>
          <w:p w:rsidR="00CF30ED" w:rsidRPr="00CF30ED" w:rsidRDefault="00CF30ED" w:rsidP="00CF30ED">
            <w:pPr>
              <w:cnfStyle w:val="000000010000" w:firstRow="0" w:lastRow="0" w:firstColumn="0" w:lastColumn="0" w:oddVBand="0" w:evenVBand="0" w:oddHBand="0" w:evenHBand="1" w:firstRowFirstColumn="0" w:firstRowLastColumn="0" w:lastRowFirstColumn="0" w:lastRowLastColumn="0"/>
            </w:pPr>
            <w:r>
              <w:t>–</w:t>
            </w:r>
            <w:r w:rsidRPr="00CF30ED">
              <w:t>19.0</w:t>
            </w:r>
          </w:p>
        </w:tc>
      </w:tr>
      <w:tr w:rsidR="00CF30ED" w:rsidRPr="00F87A40" w:rsidTr="008F42E9">
        <w:tc>
          <w:tcPr>
            <w:cnfStyle w:val="001000000000" w:firstRow="0" w:lastRow="0" w:firstColumn="1" w:lastColumn="0" w:oddVBand="0" w:evenVBand="0" w:oddHBand="0" w:evenHBand="0" w:firstRowFirstColumn="0" w:firstRowLastColumn="0" w:lastRowFirstColumn="0" w:lastRowLastColumn="0"/>
            <w:tcW w:w="3028" w:type="dxa"/>
          </w:tcPr>
          <w:p w:rsidR="00CF30ED" w:rsidRPr="00CF30ED" w:rsidRDefault="00CF30ED" w:rsidP="00CF30ED">
            <w:pPr>
              <w:rPr>
                <w:rStyle w:val="Strong"/>
              </w:rPr>
            </w:pPr>
            <w:r w:rsidRPr="00CF30ED">
              <w:rPr>
                <w:rStyle w:val="Strong"/>
              </w:rPr>
              <w:t>Total</w:t>
            </w:r>
          </w:p>
        </w:tc>
        <w:tc>
          <w:tcPr>
            <w:tcW w:w="931" w:type="dxa"/>
            <w:vAlign w:val="top"/>
          </w:tcPr>
          <w:p w:rsidR="00CF30ED" w:rsidRPr="00CF30ED" w:rsidRDefault="00CF30ED" w:rsidP="00CF30ED">
            <w:pPr>
              <w:cnfStyle w:val="000000000000" w:firstRow="0" w:lastRow="0" w:firstColumn="0" w:lastColumn="0" w:oddVBand="0" w:evenVBand="0" w:oddHBand="0" w:evenHBand="0" w:firstRowFirstColumn="0" w:firstRowLastColumn="0" w:lastRowFirstColumn="0" w:lastRowLastColumn="0"/>
              <w:rPr>
                <w:rStyle w:val="Strong"/>
              </w:rPr>
            </w:pPr>
            <w:r w:rsidRPr="008F42E9">
              <w:rPr>
                <w:rStyle w:val="Strong"/>
              </w:rPr>
              <w:t>90.5</w:t>
            </w:r>
          </w:p>
        </w:tc>
        <w:tc>
          <w:tcPr>
            <w:tcW w:w="932" w:type="dxa"/>
            <w:vAlign w:val="top"/>
          </w:tcPr>
          <w:p w:rsidR="00CF30ED" w:rsidRPr="00CF30ED" w:rsidRDefault="00CF30ED" w:rsidP="00CF30ED">
            <w:pPr>
              <w:cnfStyle w:val="000000000000" w:firstRow="0" w:lastRow="0" w:firstColumn="0" w:lastColumn="0" w:oddVBand="0" w:evenVBand="0" w:oddHBand="0" w:evenHBand="0" w:firstRowFirstColumn="0" w:firstRowLastColumn="0" w:lastRowFirstColumn="0" w:lastRowLastColumn="0"/>
              <w:rPr>
                <w:rStyle w:val="Strong"/>
              </w:rPr>
            </w:pPr>
            <w:r w:rsidRPr="008F42E9">
              <w:rPr>
                <w:rStyle w:val="Strong"/>
              </w:rPr>
              <w:t>46.3</w:t>
            </w:r>
          </w:p>
        </w:tc>
        <w:tc>
          <w:tcPr>
            <w:tcW w:w="932" w:type="dxa"/>
            <w:vAlign w:val="top"/>
          </w:tcPr>
          <w:p w:rsidR="00CF30ED" w:rsidRPr="00CF30ED" w:rsidRDefault="00CF30ED" w:rsidP="00CF30ED">
            <w:pPr>
              <w:cnfStyle w:val="000000000000" w:firstRow="0" w:lastRow="0" w:firstColumn="0" w:lastColumn="0" w:oddVBand="0" w:evenVBand="0" w:oddHBand="0" w:evenHBand="0" w:firstRowFirstColumn="0" w:firstRowLastColumn="0" w:lastRowFirstColumn="0" w:lastRowLastColumn="0"/>
              <w:rPr>
                <w:rStyle w:val="Strong"/>
              </w:rPr>
            </w:pPr>
            <w:r w:rsidRPr="008F42E9">
              <w:rPr>
                <w:rStyle w:val="Strong"/>
              </w:rPr>
              <w:t>66.8</w:t>
            </w:r>
          </w:p>
        </w:tc>
        <w:tc>
          <w:tcPr>
            <w:tcW w:w="926" w:type="dxa"/>
            <w:vAlign w:val="top"/>
          </w:tcPr>
          <w:p w:rsidR="00CF30ED" w:rsidRPr="00C32287" w:rsidRDefault="00CF30ED" w:rsidP="00CF30E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Pr="008F42E9">
              <w:rPr>
                <w:rStyle w:val="Strong"/>
              </w:rPr>
              <w:t>18.0</w:t>
            </w:r>
          </w:p>
        </w:tc>
        <w:tc>
          <w:tcPr>
            <w:tcW w:w="927" w:type="dxa"/>
            <w:vAlign w:val="top"/>
          </w:tcPr>
          <w:p w:rsidR="00CF30ED" w:rsidRPr="00CF30ED" w:rsidRDefault="00CF30ED" w:rsidP="00CF30E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Pr="008F42E9">
              <w:rPr>
                <w:rStyle w:val="Strong"/>
              </w:rPr>
              <w:t>2.9</w:t>
            </w:r>
          </w:p>
        </w:tc>
        <w:tc>
          <w:tcPr>
            <w:tcW w:w="1017" w:type="dxa"/>
            <w:vAlign w:val="top"/>
          </w:tcPr>
          <w:p w:rsidR="00CF30ED" w:rsidRPr="00CF30ED" w:rsidRDefault="00CF30ED" w:rsidP="00CF30ED">
            <w:pPr>
              <w:cnfStyle w:val="000000000000" w:firstRow="0" w:lastRow="0" w:firstColumn="0" w:lastColumn="0" w:oddVBand="0" w:evenVBand="0" w:oddHBand="0" w:evenHBand="0" w:firstRowFirstColumn="0" w:firstRowLastColumn="0" w:lastRowFirstColumn="0" w:lastRowLastColumn="0"/>
              <w:rPr>
                <w:rStyle w:val="Strong"/>
              </w:rPr>
            </w:pPr>
            <w:r w:rsidRPr="008F42E9">
              <w:rPr>
                <w:rStyle w:val="Strong"/>
              </w:rPr>
              <w:t>182.8</w:t>
            </w:r>
          </w:p>
        </w:tc>
      </w:tr>
    </w:tbl>
    <w:p w:rsidR="00D32D6D" w:rsidRDefault="00D32D6D" w:rsidP="00D32D6D">
      <w:pPr>
        <w:pStyle w:val="AERtablesource"/>
      </w:pPr>
      <w:r>
        <w:t xml:space="preserve">Source: </w:t>
      </w:r>
      <w:r>
        <w:tab/>
        <w:t>AER analysis.</w:t>
      </w:r>
    </w:p>
    <w:p w:rsidR="00D32D6D" w:rsidRDefault="00D32D6D" w:rsidP="00D32D6D">
      <w:r>
        <w:t>This section explains how these revenue increments or decrements arose.</w:t>
      </w:r>
    </w:p>
    <w:p w:rsidR="00D32D6D" w:rsidRDefault="00D32D6D" w:rsidP="00D32D6D">
      <w:r>
        <w:t xml:space="preserve">Over the 2010–15 regulatory control </w:t>
      </w:r>
      <w:proofErr w:type="gramStart"/>
      <w:r>
        <w:t>period</w:t>
      </w:r>
      <w:proofErr w:type="gramEnd"/>
      <w:r>
        <w:t>, we regulated Ergon Energy under a revenue cap form of control. Under this form of control, service providers recover no more or less than the total allowed revenue, which usually includes:</w:t>
      </w:r>
    </w:p>
    <w:p w:rsidR="00D32D6D" w:rsidRDefault="00D32D6D" w:rsidP="00D32D6D">
      <w:pPr>
        <w:pStyle w:val="AERbulletlistfirststyle"/>
      </w:pPr>
      <w:r>
        <w:t>Building block expected revenue set in the determination.</w:t>
      </w:r>
    </w:p>
    <w:p w:rsidR="00D32D6D" w:rsidRDefault="00D32D6D" w:rsidP="00D32D6D">
      <w:pPr>
        <w:pStyle w:val="AERbulletlistfirststyle"/>
      </w:pPr>
      <w:r>
        <w:t>Under or over-recovery in the expected revenue from two years prior—these amounts are for two years prior because the full amount of any under/over-recovery is not known until the end of a pricing year, but the pricing approval process must take place in advance of the pricing year. Therefore, there is a two</w:t>
      </w:r>
      <w:r w:rsidR="00022BCB">
        <w:t>-</w:t>
      </w:r>
      <w:r>
        <w:t>year lag between when the pricing year finishes and when revenue under/over</w:t>
      </w:r>
      <w:r w:rsidR="00022BCB">
        <w:t>-</w:t>
      </w:r>
      <w:r>
        <w:t>recoveries can be included in the future revenue target.</w:t>
      </w:r>
    </w:p>
    <w:p w:rsidR="00BA5FC6" w:rsidRDefault="00BA5FC6" w:rsidP="00D32D6D">
      <w:pPr>
        <w:pStyle w:val="AERbulletlistfirststyle"/>
      </w:pPr>
      <w:r>
        <w:t xml:space="preserve">Any change in the balance of the </w:t>
      </w:r>
      <w:proofErr w:type="spellStart"/>
      <w:r>
        <w:t>unders</w:t>
      </w:r>
      <w:proofErr w:type="spellEnd"/>
      <w:r>
        <w:t xml:space="preserve"> and overs account. A balance may emerge in the </w:t>
      </w:r>
      <w:proofErr w:type="spellStart"/>
      <w:r>
        <w:t>unders</w:t>
      </w:r>
      <w:proofErr w:type="spellEnd"/>
      <w:r>
        <w:t xml:space="preserve"> and overs account where an under or over-recovery from an earlier year has not been fully recovered two years later. The residual then needs to be recovered in subsequent years. We generally target a zero balance for the </w:t>
      </w:r>
      <w:proofErr w:type="spellStart"/>
      <w:r>
        <w:t>unders</w:t>
      </w:r>
      <w:proofErr w:type="spellEnd"/>
      <w:r>
        <w:t xml:space="preserve"> and overs account</w:t>
      </w:r>
      <w:r w:rsidR="008919BF">
        <w:t>,</w:t>
      </w:r>
      <w:r>
        <w:t xml:space="preserve"> but in Queensland circumstances prevented this as discussed below.</w:t>
      </w:r>
    </w:p>
    <w:p w:rsidR="00D32D6D" w:rsidRDefault="00D32D6D" w:rsidP="00D32D6D">
      <w:pPr>
        <w:pStyle w:val="AERbulletlistfirststyle"/>
      </w:pPr>
      <w:r>
        <w:t>Jurisdictional scheme obligation amounts—these are amounts that the service provider is required to collect under legislation and which we are not required to assess.</w:t>
      </w:r>
    </w:p>
    <w:p w:rsidR="00D32D6D" w:rsidRDefault="00D32D6D" w:rsidP="00D32D6D">
      <w:pPr>
        <w:pStyle w:val="AERbulletlistfirststyle"/>
      </w:pPr>
      <w:r>
        <w:t>Pass through amounts—these are amounts that the service provider has applied for under the pass through provisions in its determination and we have subsequently approved. Often, this relates to events with unforeseeable likelihood and or timing, such as damage due to storms or regulatory changes.</w:t>
      </w:r>
    </w:p>
    <w:p w:rsidR="00D32D6D" w:rsidRDefault="00D32D6D" w:rsidP="00D32D6D">
      <w:pPr>
        <w:pStyle w:val="AERbulletlistfirststyle"/>
      </w:pPr>
      <w:r>
        <w:t xml:space="preserve">Other factors—this category includes applicable incentive scheme amounts, such as the S-factor for STPIS, and transitional capital contributions and shared asset amounts. </w:t>
      </w:r>
    </w:p>
    <w:p w:rsidR="00D32D6D" w:rsidRPr="00D32D6D" w:rsidRDefault="00D32D6D" w:rsidP="00793C7F">
      <w:r>
        <w:t>Ergon Energy has accumulated</w:t>
      </w:r>
      <w:r w:rsidRPr="00D32D6D">
        <w:t xml:space="preserve"> a large under-recovery balance </w:t>
      </w:r>
      <w:r w:rsidR="00BA5FC6">
        <w:t xml:space="preserve">in its </w:t>
      </w:r>
      <w:proofErr w:type="spellStart"/>
      <w:r w:rsidR="00BA5FC6">
        <w:t>unders</w:t>
      </w:r>
      <w:proofErr w:type="spellEnd"/>
      <w:r w:rsidR="00BA5FC6">
        <w:t xml:space="preserve"> and overs account </w:t>
      </w:r>
      <w:r w:rsidRPr="00D32D6D">
        <w:t>due to:</w:t>
      </w:r>
    </w:p>
    <w:p w:rsidR="00D32D6D" w:rsidRPr="00390D5A" w:rsidRDefault="00D32D6D" w:rsidP="00D32D6D">
      <w:pPr>
        <w:pStyle w:val="AERbulletlistfirststyle"/>
      </w:pPr>
      <w:r>
        <w:lastRenderedPageBreak/>
        <w:t>revenue cap under-recoveries</w:t>
      </w:r>
    </w:p>
    <w:p w:rsidR="00D32D6D" w:rsidRDefault="00793C7F" w:rsidP="00D32D6D">
      <w:pPr>
        <w:pStyle w:val="AERbulletlistfirststyle"/>
      </w:pPr>
      <w:proofErr w:type="gramStart"/>
      <w:r>
        <w:t>pass</w:t>
      </w:r>
      <w:proofErr w:type="gramEnd"/>
      <w:r>
        <w:t xml:space="preserve"> </w:t>
      </w:r>
      <w:r w:rsidR="00D32D6D">
        <w:t>through of feed-in tariffs under-recoveries</w:t>
      </w:r>
      <w:r w:rsidR="00D32D6D" w:rsidRPr="00390D5A">
        <w:t>.</w:t>
      </w:r>
    </w:p>
    <w:p w:rsidR="00D32D6D" w:rsidRDefault="00D32D6D" w:rsidP="00D32D6D">
      <w:r>
        <w:t xml:space="preserve">These are amounts that Ergon Energy was allowed to recover as revenues over the 2010–15 regulatory control </w:t>
      </w:r>
      <w:proofErr w:type="gramStart"/>
      <w:r>
        <w:t>period</w:t>
      </w:r>
      <w:proofErr w:type="gramEnd"/>
      <w:r>
        <w:t>, but did not do so. In particular, these amounts accumulated due to three main factors:</w:t>
      </w:r>
    </w:p>
    <w:p w:rsidR="00D32D6D" w:rsidRDefault="00D32D6D" w:rsidP="00D32D6D">
      <w:pPr>
        <w:pStyle w:val="AERbulletlistfirststyle"/>
      </w:pPr>
      <w:r>
        <w:t xml:space="preserve">Throughout the 2010–15 regulatory control </w:t>
      </w:r>
      <w:proofErr w:type="gramStart"/>
      <w:r>
        <w:t>period</w:t>
      </w:r>
      <w:proofErr w:type="gramEnd"/>
      <w:r>
        <w:t>, consumption of electricity on Ergon Energy's network decreased at a faster rate than was projected in pricing forecasts. Approved prices are set annually to recover the target revenue based on estimated units of consumption, customer numbers and other factors where relevant. Holding all else constant,</w:t>
      </w:r>
      <w:r w:rsidRPr="00CC1891">
        <w:t xml:space="preserve"> </w:t>
      </w:r>
      <w:r>
        <w:t>if any of these units is overestimated:</w:t>
      </w:r>
    </w:p>
    <w:p w:rsidR="00D32D6D" w:rsidRDefault="00D32D6D" w:rsidP="00D32D6D">
      <w:pPr>
        <w:pStyle w:val="AERbulletlistsecondstyle"/>
      </w:pPr>
      <w:r>
        <w:t>prices are relatively lower than they should have been, since the same revenue amount is shared across a larger number of units</w:t>
      </w:r>
    </w:p>
    <w:p w:rsidR="00D32D6D" w:rsidRDefault="00D32D6D" w:rsidP="00D32D6D">
      <w:pPr>
        <w:pStyle w:val="AERbulletlistsecondstyle"/>
      </w:pPr>
      <w:proofErr w:type="gramStart"/>
      <w:r>
        <w:t>revenue</w:t>
      </w:r>
      <w:proofErr w:type="gramEnd"/>
      <w:r>
        <w:t xml:space="preserve"> is therefore lower than it should have been, since it is the product of a lower-than-forecast actual number of units multiplied by a relatively lower price.</w:t>
      </w:r>
    </w:p>
    <w:p w:rsidR="00D32D6D" w:rsidRDefault="00D32D6D" w:rsidP="00D32D6D">
      <w:pPr>
        <w:pStyle w:val="AERbulletlistfirststyle"/>
      </w:pPr>
      <w:r>
        <w:t xml:space="preserve">Uptake of the solar bonus scheme (feed-in tariffs) was greater than forecast. Annual estimates of the feed-in tariffs were included in Ergon Energy's </w:t>
      </w:r>
      <w:proofErr w:type="spellStart"/>
      <w:r>
        <w:t>opex</w:t>
      </w:r>
      <w:proofErr w:type="spellEnd"/>
      <w:r>
        <w:t xml:space="preserve"> allowance over the 2010–15 regulatory control </w:t>
      </w:r>
      <w:proofErr w:type="gramStart"/>
      <w:r>
        <w:t>period</w:t>
      </w:r>
      <w:proofErr w:type="gramEnd"/>
      <w:r>
        <w:t>. However, since this was a new jurisdictional policy and hence difficult to forecast, we approved a specific overs/</w:t>
      </w:r>
      <w:proofErr w:type="spellStart"/>
      <w:r>
        <w:t>unders</w:t>
      </w:r>
      <w:proofErr w:type="spellEnd"/>
      <w:r>
        <w:t xml:space="preserve"> factor to account for the difference between forecast and actual.</w:t>
      </w:r>
      <w:r w:rsidRPr="00740AED">
        <w:t xml:space="preserve"> </w:t>
      </w:r>
      <w:r>
        <w:t xml:space="preserve">As the take-up of the scheme was much greater than forecast, this led to a large under-recovery balance. </w:t>
      </w:r>
    </w:p>
    <w:p w:rsidR="00D32D6D" w:rsidRPr="00890CF1" w:rsidRDefault="00D32D6D" w:rsidP="009179D5">
      <w:pPr>
        <w:pStyle w:val="AERbulletlistfirststyle"/>
      </w:pPr>
      <w:r>
        <w:t>These in combination led to a triggering of the under-recovery threshold. In the 2010 determination, we set a 5 per cent over/under threshold for accumulated under or over-recovery balances. On meeting this threshold, Ergon Energy submitted a plan to clear the balance over several years</w:t>
      </w:r>
      <w:r w:rsidR="00BA5FC6">
        <w:t>, rather than in a single or two years</w:t>
      </w:r>
      <w:r>
        <w:t>.</w:t>
      </w:r>
      <w:r w:rsidR="006554B7">
        <w:rPr>
          <w:rStyle w:val="FootnoteReference"/>
        </w:rPr>
        <w:footnoteReference w:id="12"/>
      </w:r>
      <w:r>
        <w:t xml:space="preserve"> Part of this plan included the recovery of some of the revenue in the 2015–20 regulatory control </w:t>
      </w:r>
      <w:proofErr w:type="gramStart"/>
      <w:r>
        <w:t>period</w:t>
      </w:r>
      <w:proofErr w:type="gramEnd"/>
      <w:r>
        <w:t xml:space="preserve">. This was designed to prevent larger increase in prices over the 2010–15 regulatory control </w:t>
      </w:r>
      <w:proofErr w:type="gramStart"/>
      <w:r>
        <w:t>period</w:t>
      </w:r>
      <w:proofErr w:type="gramEnd"/>
      <w:r>
        <w:t>.</w:t>
      </w:r>
    </w:p>
    <w:p w:rsidR="00D32D6D" w:rsidRPr="00813E06" w:rsidRDefault="00D32D6D" w:rsidP="00DF3020">
      <w:pPr>
        <w:pStyle w:val="HeadingBoldBlue"/>
      </w:pPr>
      <w:bookmarkStart w:id="34" w:name="_Toc404354911"/>
      <w:bookmarkStart w:id="35" w:name="_Toc417565193"/>
      <w:bookmarkStart w:id="36" w:name="_Toc433022748"/>
      <w:bookmarkStart w:id="37" w:name="_Toc404354910"/>
      <w:r w:rsidRPr="007F7AA6">
        <w:t>Shared assets</w:t>
      </w:r>
      <w:bookmarkEnd w:id="34"/>
      <w:bookmarkEnd w:id="35"/>
      <w:bookmarkEnd w:id="36"/>
    </w:p>
    <w:p w:rsidR="00DF3020" w:rsidRDefault="00DF3020" w:rsidP="00D32D6D">
      <w:pPr>
        <w:numPr>
          <w:ilvl w:val="0"/>
          <w:numId w:val="25"/>
        </w:numPr>
      </w:pPr>
      <w:r>
        <w:t>Our final decision is to maintain our position set out in the preliminary decision on the shared asset adjustments for Ergon Energy.</w:t>
      </w:r>
    </w:p>
    <w:p w:rsidR="00D32D6D" w:rsidRDefault="00D32D6D" w:rsidP="00D32D6D">
      <w:pPr>
        <w:numPr>
          <w:ilvl w:val="0"/>
          <w:numId w:val="25"/>
        </w:numPr>
      </w:pPr>
      <w:r w:rsidRPr="007F7AA6">
        <w:t xml:space="preserve">Service providers, such as </w:t>
      </w:r>
      <w:r>
        <w:t>Ergon Energy</w:t>
      </w:r>
      <w:r w:rsidRPr="007F7AA6">
        <w:t xml:space="preserve">, may use assets to provide both </w:t>
      </w:r>
      <w:proofErr w:type="gramStart"/>
      <w:r w:rsidRPr="007F7AA6">
        <w:t>standard</w:t>
      </w:r>
      <w:proofErr w:type="gramEnd"/>
      <w:r w:rsidRPr="007F7AA6">
        <w:t xml:space="preserve"> control services we regulate and unregulated services. These assets are called 'shared assets'.</w:t>
      </w:r>
      <w:r w:rsidRPr="007F7AA6">
        <w:rPr>
          <w:rStyle w:val="AERsuperscript"/>
        </w:rPr>
        <w:footnoteReference w:id="13"/>
      </w:r>
      <w:r w:rsidRPr="007F7AA6">
        <w:rPr>
          <w:rStyle w:val="AERsuperscript"/>
        </w:rPr>
        <w:t xml:space="preserve"> </w:t>
      </w:r>
      <w:r w:rsidRPr="007F7AA6">
        <w:t xml:space="preserve">Of the unregulated revenues a service provider earns from shared assets, </w:t>
      </w:r>
      <w:r w:rsidRPr="007F7AA6">
        <w:lastRenderedPageBreak/>
        <w:t>10</w:t>
      </w:r>
      <w:r>
        <w:t> </w:t>
      </w:r>
      <w:r w:rsidRPr="007F7AA6">
        <w:t>per cent will be used to reduce the service provider's prices for standard control services.</w:t>
      </w:r>
      <w:r w:rsidRPr="007F7AA6">
        <w:rPr>
          <w:rStyle w:val="AERsuperscript"/>
        </w:rPr>
        <w:footnoteReference w:id="14"/>
      </w:r>
      <w:r>
        <w:t xml:space="preserve"> </w:t>
      </w:r>
    </w:p>
    <w:p w:rsidR="00D32D6D" w:rsidRPr="007F7AA6" w:rsidRDefault="00D32D6D" w:rsidP="00D32D6D">
      <w:pPr>
        <w:numPr>
          <w:ilvl w:val="0"/>
          <w:numId w:val="25"/>
        </w:numPr>
      </w:pPr>
      <w:r>
        <w:t xml:space="preserve">Shared asset </w:t>
      </w:r>
      <w:r w:rsidRPr="007F7AA6">
        <w:t>price reductions are subject to a materiality threshold. Unregulated use of shared assets is material when a service provider's unregulated revenues from shared assets in a specific regulatory year are expected to be greater than 1 per cent of its total expected revenue for that regulatory year.</w:t>
      </w:r>
      <w:r w:rsidRPr="007F7AA6">
        <w:rPr>
          <w:rStyle w:val="AERsuperscript"/>
        </w:rPr>
        <w:footnoteReference w:id="15"/>
      </w:r>
      <w:r w:rsidRPr="007F7AA6">
        <w:t xml:space="preserve">  </w:t>
      </w:r>
    </w:p>
    <w:p w:rsidR="00DF3020" w:rsidRDefault="00DF3020" w:rsidP="00D32D6D">
      <w:pPr>
        <w:numPr>
          <w:ilvl w:val="0"/>
          <w:numId w:val="25"/>
        </w:numPr>
      </w:pPr>
      <w:r>
        <w:t>In the preliminary decision, we accepted Ergon Energy'</w:t>
      </w:r>
      <w:r w:rsidR="00DB67B4">
        <w:t>s</w:t>
      </w:r>
      <w:r>
        <w:t xml:space="preserve"> updated proposed shared asset revenue adjustments.</w:t>
      </w:r>
      <w:r>
        <w:rPr>
          <w:rStyle w:val="FootnoteReference"/>
        </w:rPr>
        <w:footnoteReference w:id="16"/>
      </w:r>
      <w:r>
        <w:t xml:space="preserve"> </w:t>
      </w:r>
      <w:r w:rsidR="00D7492F">
        <w:t>Ergon Energy also proposed to adjust its total revenue for alternative control service assets that it retained in its RAB for standard control services. However, we did not accept Ergon Energy's proposed revenue reductions for alternative control services provided by assets retained in its RAB. This was because we had removed these assets providing alternative control services from the RAB for standard control services.</w:t>
      </w:r>
    </w:p>
    <w:p w:rsidR="00D7492F" w:rsidRDefault="00D7492F" w:rsidP="00D32D6D">
      <w:pPr>
        <w:numPr>
          <w:ilvl w:val="0"/>
          <w:numId w:val="25"/>
        </w:numPr>
      </w:pPr>
      <w:r>
        <w:t>Ergon's Energy's revised proposal did not adopt our preliminary decision on its shared assets. It submitted that the AER's approach of removing the value of asset providing alternative control services was not appropriate under the NER.</w:t>
      </w:r>
      <w:r>
        <w:rPr>
          <w:rStyle w:val="FootnoteReference"/>
        </w:rPr>
        <w:footnoteReference w:id="17"/>
      </w:r>
      <w:r>
        <w:t xml:space="preserve"> </w:t>
      </w:r>
    </w:p>
    <w:p w:rsidR="00D7492F" w:rsidRPr="00D7492F" w:rsidRDefault="00D7492F" w:rsidP="00D7492F">
      <w:pPr>
        <w:pStyle w:val="ListParagraph"/>
        <w:numPr>
          <w:ilvl w:val="0"/>
          <w:numId w:val="25"/>
        </w:numPr>
      </w:pPr>
      <w:r>
        <w:t xml:space="preserve">Consistent with the preliminary decision, we </w:t>
      </w:r>
      <w:r w:rsidRPr="00D7492F">
        <w:t>note</w:t>
      </w:r>
      <w:r>
        <w:t xml:space="preserve"> </w:t>
      </w:r>
      <w:r w:rsidRPr="00D7492F">
        <w:t xml:space="preserve">that </w:t>
      </w:r>
      <w:r>
        <w:t>E</w:t>
      </w:r>
      <w:r w:rsidR="007634DC">
        <w:t>rgon Energy's proposed approach is the same approach as</w:t>
      </w:r>
      <w:r w:rsidRPr="00D7492F">
        <w:t xml:space="preserve"> applied for the 2010 determination, </w:t>
      </w:r>
      <w:r w:rsidR="007634DC">
        <w:t>which in turn was based on</w:t>
      </w:r>
      <w:r w:rsidRPr="00D7492F">
        <w:t xml:space="preserve"> that determined by the Queensland Competition Authority. Under transitional provisions of the NER, Ergon Energy was permitted to continue this approach during the 2010–15 regulatory control </w:t>
      </w:r>
      <w:proofErr w:type="gramStart"/>
      <w:r w:rsidRPr="00D7492F">
        <w:t>period</w:t>
      </w:r>
      <w:proofErr w:type="gramEnd"/>
      <w:r w:rsidRPr="00D7492F">
        <w:t xml:space="preserve">. These transitional arrangements cease at the end of the 2010–15 regulatory control period. From the beginning of the 2015–20 regulatory control </w:t>
      </w:r>
      <w:proofErr w:type="gramStart"/>
      <w:r w:rsidRPr="00D7492F">
        <w:t>period</w:t>
      </w:r>
      <w:proofErr w:type="gramEnd"/>
      <w:r w:rsidRPr="00D7492F">
        <w:t>, Ergon Energy's RAB must be determined under the NER.</w:t>
      </w:r>
    </w:p>
    <w:p w:rsidR="007634DC" w:rsidRDefault="00D7492F" w:rsidP="00D7492F">
      <w:pPr>
        <w:pStyle w:val="ListParagraph"/>
        <w:numPr>
          <w:ilvl w:val="0"/>
          <w:numId w:val="25"/>
        </w:numPr>
      </w:pPr>
      <w:r w:rsidRPr="00D7492F">
        <w:t>We consider that, under the NER, Ergon Energy's RAB should reflect only the value of assets providing standard control services.</w:t>
      </w:r>
      <w:r w:rsidRPr="00D7492F">
        <w:rPr>
          <w:rStyle w:val="FootnoteReference"/>
        </w:rPr>
        <w:footnoteReference w:id="18"/>
      </w:r>
      <w:r w:rsidRPr="00D7492F">
        <w:t xml:space="preserve"> </w:t>
      </w:r>
      <w:r w:rsidR="007634DC">
        <w:t>Following an information request, Ergon Energy provided updated shared asset revenue adjustments that exclude revenue reductions for alternative control services provided by assets that are no longer in the RAB for standard control services.</w:t>
      </w:r>
      <w:r w:rsidR="007634DC">
        <w:rPr>
          <w:rStyle w:val="FootnoteReference"/>
        </w:rPr>
        <w:footnoteReference w:id="19"/>
      </w:r>
    </w:p>
    <w:p w:rsidR="007634DC" w:rsidRDefault="007634DC" w:rsidP="007634DC">
      <w:pPr>
        <w:numPr>
          <w:ilvl w:val="0"/>
          <w:numId w:val="25"/>
        </w:numPr>
      </w:pPr>
      <w:r>
        <w:t>Ergon Energy's updated proposed revenue adjustments are set out in</w:t>
      </w:r>
      <w:r w:rsidR="002C3A72">
        <w:t xml:space="preserve"> table 1.4</w:t>
      </w:r>
      <w:r>
        <w:t xml:space="preserve">. Our final decision adopts these amounts for adjustments to the </w:t>
      </w:r>
      <w:r w:rsidR="003C5AB1">
        <w:t>ARR</w:t>
      </w:r>
      <w:r>
        <w:t>—that is, the revenue decrements</w:t>
      </w:r>
      <w:r w:rsidR="003C5AB1">
        <w:t xml:space="preserve"> under clause 6.4.3(a</w:t>
      </w:r>
      <w:proofErr w:type="gramStart"/>
      <w:r w:rsidR="003C5AB1">
        <w:t>)(</w:t>
      </w:r>
      <w:proofErr w:type="gramEnd"/>
      <w:r w:rsidR="003C5AB1">
        <w:t>6A) of the NER.</w:t>
      </w:r>
    </w:p>
    <w:p w:rsidR="007634DC" w:rsidRDefault="007634DC" w:rsidP="007634DC">
      <w:pPr>
        <w:pStyle w:val="Caption"/>
      </w:pPr>
      <w:bookmarkStart w:id="38" w:name="_Ref415733330"/>
      <w:proofErr w:type="gramStart"/>
      <w:r>
        <w:lastRenderedPageBreak/>
        <w:t xml:space="preserve">Table </w:t>
      </w:r>
      <w:r w:rsidR="008079C8">
        <w:fldChar w:fldCharType="begin"/>
      </w:r>
      <w:r w:rsidR="008079C8">
        <w:instrText xml:space="preserve"> STYLEREF 1 \s </w:instrText>
      </w:r>
      <w:r w:rsidR="008079C8">
        <w:fldChar w:fldCharType="separate"/>
      </w:r>
      <w:r w:rsidR="00863939">
        <w:rPr>
          <w:noProof/>
        </w:rPr>
        <w:t>1</w:t>
      </w:r>
      <w:r w:rsidR="008079C8">
        <w:rPr>
          <w:noProof/>
        </w:rPr>
        <w:fldChar w:fldCharType="end"/>
      </w:r>
      <w:r>
        <w:t>.</w:t>
      </w:r>
      <w:proofErr w:type="gramEnd"/>
      <w:r w:rsidR="008079C8">
        <w:fldChar w:fldCharType="begin"/>
      </w:r>
      <w:r w:rsidR="008079C8">
        <w:instrText xml:space="preserve"> SEQ Table \* ARABIC \s 1 </w:instrText>
      </w:r>
      <w:r w:rsidR="008079C8">
        <w:fldChar w:fldCharType="separate"/>
      </w:r>
      <w:r w:rsidR="00863939">
        <w:rPr>
          <w:noProof/>
        </w:rPr>
        <w:t>4</w:t>
      </w:r>
      <w:r w:rsidR="008079C8">
        <w:rPr>
          <w:noProof/>
        </w:rPr>
        <w:fldChar w:fldCharType="end"/>
      </w:r>
      <w:bookmarkEnd w:id="38"/>
      <w:r>
        <w:tab/>
        <w:t>Ergon Energy's proposed shared asset revenue adjustments ($ million, 2014–15)</w:t>
      </w:r>
    </w:p>
    <w:tbl>
      <w:tblPr>
        <w:tblStyle w:val="AERtable-numbers"/>
        <w:tblW w:w="0" w:type="auto"/>
        <w:tblLook w:val="04A0" w:firstRow="1" w:lastRow="0" w:firstColumn="1" w:lastColumn="0" w:noHBand="0" w:noVBand="1"/>
      </w:tblPr>
      <w:tblGrid>
        <w:gridCol w:w="2660"/>
        <w:gridCol w:w="1005"/>
        <w:gridCol w:w="1006"/>
        <w:gridCol w:w="1005"/>
        <w:gridCol w:w="1006"/>
        <w:gridCol w:w="1005"/>
        <w:gridCol w:w="1006"/>
      </w:tblGrid>
      <w:tr w:rsidR="007634DC" w:rsidTr="008C1E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7634DC" w:rsidRDefault="007634DC" w:rsidP="007634DC"/>
        </w:tc>
        <w:tc>
          <w:tcPr>
            <w:tcW w:w="1005" w:type="dxa"/>
          </w:tcPr>
          <w:p w:rsidR="007634DC" w:rsidRPr="007634DC" w:rsidRDefault="007634DC" w:rsidP="007634DC">
            <w:pPr>
              <w:cnfStyle w:val="100000000000" w:firstRow="1" w:lastRow="0" w:firstColumn="0" w:lastColumn="0" w:oddVBand="0" w:evenVBand="0" w:oddHBand="0" w:evenHBand="0" w:firstRowFirstColumn="0" w:firstRowLastColumn="0" w:lastRowFirstColumn="0" w:lastRowLastColumn="0"/>
            </w:pPr>
            <w:r>
              <w:t>2015–16</w:t>
            </w:r>
          </w:p>
        </w:tc>
        <w:tc>
          <w:tcPr>
            <w:tcW w:w="1006" w:type="dxa"/>
          </w:tcPr>
          <w:p w:rsidR="007634DC" w:rsidRPr="007634DC" w:rsidRDefault="007634DC" w:rsidP="007634DC">
            <w:pPr>
              <w:cnfStyle w:val="100000000000" w:firstRow="1" w:lastRow="0" w:firstColumn="0" w:lastColumn="0" w:oddVBand="0" w:evenVBand="0" w:oddHBand="0" w:evenHBand="0" w:firstRowFirstColumn="0" w:firstRowLastColumn="0" w:lastRowFirstColumn="0" w:lastRowLastColumn="0"/>
            </w:pPr>
            <w:r>
              <w:t>2016–17</w:t>
            </w:r>
          </w:p>
        </w:tc>
        <w:tc>
          <w:tcPr>
            <w:tcW w:w="1005" w:type="dxa"/>
          </w:tcPr>
          <w:p w:rsidR="007634DC" w:rsidRPr="007634DC" w:rsidRDefault="007634DC" w:rsidP="007634DC">
            <w:pPr>
              <w:cnfStyle w:val="100000000000" w:firstRow="1" w:lastRow="0" w:firstColumn="0" w:lastColumn="0" w:oddVBand="0" w:evenVBand="0" w:oddHBand="0" w:evenHBand="0" w:firstRowFirstColumn="0" w:firstRowLastColumn="0" w:lastRowFirstColumn="0" w:lastRowLastColumn="0"/>
            </w:pPr>
            <w:r>
              <w:t>2017–18</w:t>
            </w:r>
          </w:p>
        </w:tc>
        <w:tc>
          <w:tcPr>
            <w:tcW w:w="1006" w:type="dxa"/>
          </w:tcPr>
          <w:p w:rsidR="007634DC" w:rsidRPr="007634DC" w:rsidRDefault="007634DC" w:rsidP="007634DC">
            <w:pPr>
              <w:cnfStyle w:val="100000000000" w:firstRow="1" w:lastRow="0" w:firstColumn="0" w:lastColumn="0" w:oddVBand="0" w:evenVBand="0" w:oddHBand="0" w:evenHBand="0" w:firstRowFirstColumn="0" w:firstRowLastColumn="0" w:lastRowFirstColumn="0" w:lastRowLastColumn="0"/>
            </w:pPr>
            <w:r>
              <w:t>2018–19</w:t>
            </w:r>
          </w:p>
        </w:tc>
        <w:tc>
          <w:tcPr>
            <w:tcW w:w="1005" w:type="dxa"/>
          </w:tcPr>
          <w:p w:rsidR="007634DC" w:rsidRPr="007634DC" w:rsidRDefault="007634DC" w:rsidP="007634DC">
            <w:pPr>
              <w:cnfStyle w:val="100000000000" w:firstRow="1" w:lastRow="0" w:firstColumn="0" w:lastColumn="0" w:oddVBand="0" w:evenVBand="0" w:oddHBand="0" w:evenHBand="0" w:firstRowFirstColumn="0" w:firstRowLastColumn="0" w:lastRowFirstColumn="0" w:lastRowLastColumn="0"/>
            </w:pPr>
            <w:r>
              <w:t>2019–20</w:t>
            </w:r>
          </w:p>
        </w:tc>
        <w:tc>
          <w:tcPr>
            <w:tcW w:w="1006" w:type="dxa"/>
          </w:tcPr>
          <w:p w:rsidR="007634DC" w:rsidRPr="007634DC" w:rsidRDefault="007634DC" w:rsidP="007634DC">
            <w:pPr>
              <w:cnfStyle w:val="100000000000" w:firstRow="1" w:lastRow="0" w:firstColumn="0" w:lastColumn="0" w:oddVBand="0" w:evenVBand="0" w:oddHBand="0" w:evenHBand="0" w:firstRowFirstColumn="0" w:firstRowLastColumn="0" w:lastRowFirstColumn="0" w:lastRowLastColumn="0"/>
            </w:pPr>
            <w:r>
              <w:t>Total</w:t>
            </w:r>
          </w:p>
        </w:tc>
      </w:tr>
      <w:tr w:rsidR="007634DC" w:rsidTr="008C1E79">
        <w:tc>
          <w:tcPr>
            <w:cnfStyle w:val="001000000000" w:firstRow="0" w:lastRow="0" w:firstColumn="1" w:lastColumn="0" w:oddVBand="0" w:evenVBand="0" w:oddHBand="0" w:evenHBand="0" w:firstRowFirstColumn="0" w:firstRowLastColumn="0" w:lastRowFirstColumn="0" w:lastRowLastColumn="0"/>
            <w:tcW w:w="2660" w:type="dxa"/>
          </w:tcPr>
          <w:p w:rsidR="007634DC" w:rsidRPr="007634DC" w:rsidRDefault="007634DC" w:rsidP="007634DC">
            <w:r>
              <w:t>Adjustment for shared assets</w:t>
            </w:r>
          </w:p>
        </w:tc>
        <w:tc>
          <w:tcPr>
            <w:tcW w:w="1005" w:type="dxa"/>
          </w:tcPr>
          <w:p w:rsidR="007634DC" w:rsidRPr="007634DC" w:rsidRDefault="007634DC" w:rsidP="008919BF">
            <w:pPr>
              <w:cnfStyle w:val="000000000000" w:firstRow="0" w:lastRow="0" w:firstColumn="0" w:lastColumn="0" w:oddVBand="0" w:evenVBand="0" w:oddHBand="0" w:evenHBand="0" w:firstRowFirstColumn="0" w:firstRowLastColumn="0" w:lastRowFirstColumn="0" w:lastRowLastColumn="0"/>
            </w:pPr>
            <w:r>
              <w:t>–</w:t>
            </w:r>
            <w:r w:rsidRPr="007634DC">
              <w:t>3.</w:t>
            </w:r>
            <w:r w:rsidR="008919BF">
              <w:t>5</w:t>
            </w:r>
          </w:p>
        </w:tc>
        <w:tc>
          <w:tcPr>
            <w:tcW w:w="1006" w:type="dxa"/>
          </w:tcPr>
          <w:p w:rsidR="007634DC" w:rsidRPr="007634DC" w:rsidRDefault="007634DC" w:rsidP="008919BF">
            <w:pPr>
              <w:cnfStyle w:val="000000000000" w:firstRow="0" w:lastRow="0" w:firstColumn="0" w:lastColumn="0" w:oddVBand="0" w:evenVBand="0" w:oddHBand="0" w:evenHBand="0" w:firstRowFirstColumn="0" w:firstRowLastColumn="0" w:lastRowFirstColumn="0" w:lastRowLastColumn="0"/>
            </w:pPr>
            <w:r>
              <w:t>–</w:t>
            </w:r>
            <w:r w:rsidRPr="007634DC">
              <w:t>3.</w:t>
            </w:r>
            <w:r w:rsidR="008919BF">
              <w:t>5</w:t>
            </w:r>
          </w:p>
        </w:tc>
        <w:tc>
          <w:tcPr>
            <w:tcW w:w="1005" w:type="dxa"/>
          </w:tcPr>
          <w:p w:rsidR="007634DC" w:rsidRPr="007634DC" w:rsidRDefault="007634DC" w:rsidP="008919BF">
            <w:pPr>
              <w:cnfStyle w:val="000000000000" w:firstRow="0" w:lastRow="0" w:firstColumn="0" w:lastColumn="0" w:oddVBand="0" w:evenVBand="0" w:oddHBand="0" w:evenHBand="0" w:firstRowFirstColumn="0" w:firstRowLastColumn="0" w:lastRowFirstColumn="0" w:lastRowLastColumn="0"/>
            </w:pPr>
            <w:r>
              <w:t>–</w:t>
            </w:r>
            <w:r w:rsidRPr="007634DC">
              <w:t>3.</w:t>
            </w:r>
            <w:r w:rsidR="008919BF">
              <w:t>5</w:t>
            </w:r>
          </w:p>
        </w:tc>
        <w:tc>
          <w:tcPr>
            <w:tcW w:w="1006" w:type="dxa"/>
          </w:tcPr>
          <w:p w:rsidR="007634DC" w:rsidRPr="007634DC" w:rsidRDefault="007634DC" w:rsidP="008919BF">
            <w:pPr>
              <w:cnfStyle w:val="000000000000" w:firstRow="0" w:lastRow="0" w:firstColumn="0" w:lastColumn="0" w:oddVBand="0" w:evenVBand="0" w:oddHBand="0" w:evenHBand="0" w:firstRowFirstColumn="0" w:firstRowLastColumn="0" w:lastRowFirstColumn="0" w:lastRowLastColumn="0"/>
            </w:pPr>
            <w:r>
              <w:t>–</w:t>
            </w:r>
            <w:r w:rsidRPr="007634DC">
              <w:t>3.</w:t>
            </w:r>
            <w:r w:rsidR="008919BF">
              <w:t>5</w:t>
            </w:r>
          </w:p>
        </w:tc>
        <w:tc>
          <w:tcPr>
            <w:tcW w:w="1005" w:type="dxa"/>
          </w:tcPr>
          <w:p w:rsidR="007634DC" w:rsidRPr="007634DC" w:rsidRDefault="007634DC" w:rsidP="008919BF">
            <w:pPr>
              <w:cnfStyle w:val="000000000000" w:firstRow="0" w:lastRow="0" w:firstColumn="0" w:lastColumn="0" w:oddVBand="0" w:evenVBand="0" w:oddHBand="0" w:evenHBand="0" w:firstRowFirstColumn="0" w:firstRowLastColumn="0" w:lastRowFirstColumn="0" w:lastRowLastColumn="0"/>
            </w:pPr>
            <w:r>
              <w:t>–</w:t>
            </w:r>
            <w:r w:rsidRPr="007634DC">
              <w:t>3.</w:t>
            </w:r>
            <w:r w:rsidR="008919BF">
              <w:t>5</w:t>
            </w:r>
          </w:p>
        </w:tc>
        <w:tc>
          <w:tcPr>
            <w:tcW w:w="1006" w:type="dxa"/>
          </w:tcPr>
          <w:p w:rsidR="007634DC" w:rsidRPr="007634DC" w:rsidRDefault="007634DC" w:rsidP="008919BF">
            <w:pPr>
              <w:cnfStyle w:val="000000000000" w:firstRow="0" w:lastRow="0" w:firstColumn="0" w:lastColumn="0" w:oddVBand="0" w:evenVBand="0" w:oddHBand="0" w:evenHBand="0" w:firstRowFirstColumn="0" w:firstRowLastColumn="0" w:lastRowFirstColumn="0" w:lastRowLastColumn="0"/>
            </w:pPr>
            <w:r>
              <w:t>–</w:t>
            </w:r>
            <w:r w:rsidRPr="007634DC">
              <w:t>1</w:t>
            </w:r>
            <w:r w:rsidR="008919BF">
              <w:t>7</w:t>
            </w:r>
            <w:r w:rsidRPr="007634DC">
              <w:t>.</w:t>
            </w:r>
            <w:r w:rsidR="008919BF">
              <w:t>7</w:t>
            </w:r>
          </w:p>
        </w:tc>
      </w:tr>
    </w:tbl>
    <w:p w:rsidR="002577FD" w:rsidRPr="002577FD" w:rsidRDefault="007634DC" w:rsidP="008F42E9">
      <w:pPr>
        <w:pStyle w:val="AERtablesource"/>
      </w:pPr>
      <w:r>
        <w:t xml:space="preserve">Source: </w:t>
      </w:r>
      <w:r>
        <w:tab/>
        <w:t xml:space="preserve">Ergon Energy, </w:t>
      </w:r>
      <w:r w:rsidRPr="00705EDA">
        <w:rPr>
          <w:rStyle w:val="AERtextitalic"/>
        </w:rPr>
        <w:t xml:space="preserve">Response to Information Request 'AER </w:t>
      </w:r>
      <w:r>
        <w:rPr>
          <w:rStyle w:val="AERtextitalic"/>
        </w:rPr>
        <w:t>Ergon</w:t>
      </w:r>
      <w:r w:rsidRPr="00705EDA">
        <w:rPr>
          <w:rStyle w:val="AERtextitalic"/>
        </w:rPr>
        <w:t xml:space="preserve"> 0</w:t>
      </w:r>
      <w:r w:rsidR="008919BF">
        <w:rPr>
          <w:rStyle w:val="AERtextitalic"/>
        </w:rPr>
        <w:t>98</w:t>
      </w:r>
      <w:r w:rsidRPr="00705EDA">
        <w:rPr>
          <w:rStyle w:val="AERtextitalic"/>
        </w:rPr>
        <w:t>'</w:t>
      </w:r>
      <w:r w:rsidRPr="00705EDA">
        <w:t xml:space="preserve">, </w:t>
      </w:r>
      <w:r>
        <w:t>3</w:t>
      </w:r>
      <w:r w:rsidR="008919BF">
        <w:t>0</w:t>
      </w:r>
      <w:r w:rsidRPr="00705EDA">
        <w:t xml:space="preserve"> </w:t>
      </w:r>
      <w:r w:rsidR="008919BF">
        <w:t>September</w:t>
      </w:r>
      <w:r w:rsidRPr="00705EDA">
        <w:t xml:space="preserve"> 2015</w:t>
      </w:r>
      <w:r>
        <w:t>, Revised SCPTRM Data Model</w:t>
      </w:r>
      <w:r w:rsidRPr="00AA1580">
        <w:t>.</w:t>
      </w:r>
    </w:p>
    <w:p w:rsidR="00D32D6D" w:rsidRPr="00813E06" w:rsidRDefault="00D32D6D" w:rsidP="00D32D6D">
      <w:pPr>
        <w:pStyle w:val="Heading3"/>
      </w:pPr>
      <w:bookmarkStart w:id="39" w:name="_Toc417565194"/>
      <w:bookmarkStart w:id="40" w:name="_Toc433022749"/>
      <w:r w:rsidRPr="00F37EDD">
        <w:t>Indicative</w:t>
      </w:r>
      <w:r w:rsidRPr="00813E06">
        <w:t xml:space="preserve"> average distribution price impact</w:t>
      </w:r>
      <w:bookmarkEnd w:id="37"/>
      <w:bookmarkEnd w:id="39"/>
      <w:bookmarkEnd w:id="40"/>
    </w:p>
    <w:p w:rsidR="00D32D6D" w:rsidRDefault="00D32D6D" w:rsidP="00D32D6D">
      <w:pPr>
        <w:numPr>
          <w:ilvl w:val="0"/>
          <w:numId w:val="25"/>
        </w:numPr>
      </w:pPr>
      <w:r>
        <w:t>Our bill impact calculations ad</w:t>
      </w:r>
      <w:r w:rsidR="003C49BF">
        <w:t>opt the network charges in our final</w:t>
      </w:r>
      <w:r>
        <w:t xml:space="preserve"> decision for Energex.</w:t>
      </w:r>
      <w:r w:rsidR="002577FD">
        <w:rPr>
          <w:rStyle w:val="FootnoteReference"/>
        </w:rPr>
        <w:footnoteReference w:id="20"/>
      </w:r>
      <w:r>
        <w:t xml:space="preserve"> </w:t>
      </w:r>
      <w:r w:rsidRPr="00B851EA">
        <w:t xml:space="preserve">This is because retail electricity </w:t>
      </w:r>
      <w:r>
        <w:t>prices in Ergon Energy's distribution area</w:t>
      </w:r>
      <w:r w:rsidRPr="00B851EA">
        <w:t xml:space="preserve"> are </w:t>
      </w:r>
      <w:r>
        <w:t>determined under the</w:t>
      </w:r>
      <w:r w:rsidRPr="00B851EA">
        <w:t xml:space="preserve"> Queensland Government</w:t>
      </w:r>
      <w:r>
        <w:t>'s</w:t>
      </w:r>
      <w:r w:rsidRPr="00B851EA">
        <w:t xml:space="preserve"> uniform tariff policy. </w:t>
      </w:r>
      <w:r>
        <w:t>The policy results in regulated retail electricity prices in Ergon Energy's distribution area being matched to those in Energex's area.</w:t>
      </w:r>
      <w:r w:rsidRPr="00481870">
        <w:t xml:space="preserve"> </w:t>
      </w:r>
    </w:p>
    <w:p w:rsidR="00D32D6D" w:rsidRPr="00481870" w:rsidRDefault="00D32D6D" w:rsidP="00D32D6D">
      <w:pPr>
        <w:numPr>
          <w:ilvl w:val="0"/>
          <w:numId w:val="25"/>
        </w:numPr>
      </w:pPr>
      <w:r>
        <w:t>We estimate that based on</w:t>
      </w:r>
      <w:r w:rsidRPr="00FC41A0">
        <w:t xml:space="preserve"> the distribution charges from our </w:t>
      </w:r>
      <w:r w:rsidR="003C49BF">
        <w:t>final</w:t>
      </w:r>
      <w:r w:rsidRPr="00FC41A0">
        <w:t xml:space="preserve"> decision </w:t>
      </w:r>
      <w:r>
        <w:t>passing</w:t>
      </w:r>
      <w:r w:rsidRPr="00FC41A0">
        <w:t xml:space="preserve"> through to c</w:t>
      </w:r>
      <w:r>
        <w:t>ustomers</w:t>
      </w:r>
      <w:r w:rsidRPr="00FC41A0">
        <w:t xml:space="preserve">, we would expect </w:t>
      </w:r>
      <w:r>
        <w:t xml:space="preserve">the </w:t>
      </w:r>
      <w:r w:rsidRPr="00FC41A0">
        <w:t xml:space="preserve">average </w:t>
      </w:r>
      <w:r>
        <w:t xml:space="preserve">annual </w:t>
      </w:r>
      <w:r w:rsidRPr="00FC41A0">
        <w:t xml:space="preserve">electricity </w:t>
      </w:r>
      <w:r>
        <w:t>bill for</w:t>
      </w:r>
      <w:r w:rsidRPr="00FC41A0">
        <w:t xml:space="preserve"> residential </w:t>
      </w:r>
      <w:r>
        <w:t xml:space="preserve">customers </w:t>
      </w:r>
      <w:r w:rsidRPr="00FC41A0">
        <w:t>to reduce by $</w:t>
      </w:r>
      <w:r w:rsidR="002577FD">
        <w:t>25</w:t>
      </w:r>
      <w:r w:rsidRPr="00FC41A0">
        <w:t xml:space="preserve"> or </w:t>
      </w:r>
      <w:r>
        <w:t>1.</w:t>
      </w:r>
      <w:r w:rsidR="002577FD">
        <w:t>7</w:t>
      </w:r>
      <w:r w:rsidRPr="00FC41A0">
        <w:t xml:space="preserve"> per cent in 2015–16. This would be followed by </w:t>
      </w:r>
      <w:r>
        <w:t>reductions</w:t>
      </w:r>
      <w:r w:rsidRPr="00FC41A0">
        <w:t xml:space="preserve"> of</w:t>
      </w:r>
      <w:r w:rsidR="003C49BF">
        <w:t xml:space="preserve"> about</w:t>
      </w:r>
      <w:r w:rsidRPr="00FC41A0">
        <w:t xml:space="preserve"> $</w:t>
      </w:r>
      <w:r w:rsidR="002577FD">
        <w:t>18</w:t>
      </w:r>
      <w:r w:rsidRPr="00FC41A0">
        <w:t xml:space="preserve"> or </w:t>
      </w:r>
      <w:r>
        <w:t>1.</w:t>
      </w:r>
      <w:r w:rsidR="002577FD">
        <w:t>2</w:t>
      </w:r>
      <w:r w:rsidRPr="00FC41A0">
        <w:t> per cent ($ nominal) per annum from 2016–17 to 201</w:t>
      </w:r>
      <w:r>
        <w:t>9</w:t>
      </w:r>
      <w:r w:rsidRPr="00FC41A0">
        <w:t>–</w:t>
      </w:r>
      <w:r>
        <w:t>20. By</w:t>
      </w:r>
      <w:r w:rsidRPr="00481870">
        <w:t xml:space="preserve"> comparison, </w:t>
      </w:r>
      <w:r>
        <w:t>had</w:t>
      </w:r>
      <w:r w:rsidRPr="00481870">
        <w:t xml:space="preserve"> we accepted </w:t>
      </w:r>
      <w:r>
        <w:t>the</w:t>
      </w:r>
      <w:r w:rsidR="003C49BF">
        <w:t xml:space="preserve"> revised</w:t>
      </w:r>
      <w:r w:rsidRPr="00481870">
        <w:t xml:space="preserve"> proposal, the average </w:t>
      </w:r>
      <w:r>
        <w:t xml:space="preserve">annual electricity bill for residential </w:t>
      </w:r>
      <w:r w:rsidRPr="00481870">
        <w:t>customer</w:t>
      </w:r>
      <w:r>
        <w:t>s</w:t>
      </w:r>
      <w:r w:rsidRPr="00481870">
        <w:t xml:space="preserve"> would </w:t>
      </w:r>
      <w:r>
        <w:t>increase</w:t>
      </w:r>
      <w:r w:rsidRPr="00481870">
        <w:t xml:space="preserve"> by </w:t>
      </w:r>
      <w:r>
        <w:t>approximately $</w:t>
      </w:r>
      <w:r w:rsidR="007A5174">
        <w:t>23</w:t>
      </w:r>
      <w:r>
        <w:t xml:space="preserve"> (</w:t>
      </w:r>
      <w:r w:rsidR="007A5174">
        <w:t>1.6</w:t>
      </w:r>
      <w:r>
        <w:t xml:space="preserve"> per cent) </w:t>
      </w:r>
      <w:r w:rsidRPr="002E113C">
        <w:t>per annum</w:t>
      </w:r>
      <w:r>
        <w:t xml:space="preserve"> between 2016–17 and</w:t>
      </w:r>
      <w:r w:rsidR="002C3A72">
        <w:t xml:space="preserve"> </w:t>
      </w:r>
      <w:r>
        <w:t>2019–</w:t>
      </w:r>
      <w:proofErr w:type="gramStart"/>
      <w:r>
        <w:t>20.</w:t>
      </w:r>
      <w:proofErr w:type="gramEnd"/>
      <w:r w:rsidRPr="00481870">
        <w:t xml:space="preserve"> </w:t>
      </w:r>
    </w:p>
    <w:p w:rsidR="00D32D6D" w:rsidRPr="00481870" w:rsidRDefault="00D32D6D" w:rsidP="00D32D6D">
      <w:pPr>
        <w:numPr>
          <w:ilvl w:val="0"/>
          <w:numId w:val="25"/>
        </w:numPr>
      </w:pPr>
      <w:r w:rsidRPr="00481870">
        <w:t>Our estimate</w:t>
      </w:r>
      <w:r>
        <w:t xml:space="preserve"> of the</w:t>
      </w:r>
      <w:r w:rsidRPr="00481870">
        <w:t xml:space="preserve"> potential impact</w:t>
      </w:r>
      <w:r>
        <w:t xml:space="preserve"> our </w:t>
      </w:r>
      <w:r w:rsidR="003C49BF">
        <w:t>final</w:t>
      </w:r>
      <w:r>
        <w:t xml:space="preserve"> decision will have for Ergon Energy's residential customers</w:t>
      </w:r>
      <w:r w:rsidRPr="00481870">
        <w:t xml:space="preserve"> is based on the typical annual electricity usage of </w:t>
      </w:r>
      <w:r>
        <w:t>4100 </w:t>
      </w:r>
      <w:r w:rsidRPr="00481870">
        <w:t xml:space="preserve">kWh per annum for a residential customer in </w:t>
      </w:r>
      <w:r>
        <w:t>Queensland</w:t>
      </w:r>
      <w:r w:rsidRPr="00481870">
        <w:t>.</w:t>
      </w:r>
      <w:r>
        <w:rPr>
          <w:rStyle w:val="FootnoteReference"/>
        </w:rPr>
        <w:footnoteReference w:id="21"/>
      </w:r>
      <w:r w:rsidRPr="00481870">
        <w:t xml:space="preserve"> Therefore</w:t>
      </w:r>
      <w:r w:rsidR="003C49BF">
        <w:t>,</w:t>
      </w:r>
      <w:r w:rsidRPr="00481870">
        <w:t xml:space="preserve"> customers with different usage will experience different changes in their </w:t>
      </w:r>
      <w:r>
        <w:t>bills</w:t>
      </w:r>
      <w:r w:rsidRPr="00481870">
        <w:t xml:space="preserve">. We also note that there are other factors, such as transmission network costs, wholesale and retail costs, which affect electricity </w:t>
      </w:r>
      <w:r>
        <w:t>bills</w:t>
      </w:r>
      <w:r w:rsidRPr="00481870">
        <w:t xml:space="preserve">. </w:t>
      </w:r>
    </w:p>
    <w:p w:rsidR="00863939" w:rsidRPr="00813E06" w:rsidRDefault="00D32D6D" w:rsidP="00D32D6D">
      <w:pPr>
        <w:numPr>
          <w:ilvl w:val="0"/>
          <w:numId w:val="25"/>
        </w:numPr>
      </w:pPr>
      <w:r w:rsidRPr="00481870">
        <w:t xml:space="preserve">Similarly, for an average small business customer in </w:t>
      </w:r>
      <w:r>
        <w:t>Queensland</w:t>
      </w:r>
      <w:r w:rsidRPr="00481870">
        <w:t xml:space="preserve"> that uses approximately 10 MWh of electricity per annum, our </w:t>
      </w:r>
      <w:r w:rsidR="003C49BF">
        <w:t>final</w:t>
      </w:r>
      <w:r w:rsidRPr="00481870">
        <w:t xml:space="preserve"> decision is expected to lead to lower average annual electricity </w:t>
      </w:r>
      <w:r>
        <w:t>bill</w:t>
      </w:r>
      <w:r w:rsidRPr="00481870">
        <w:t xml:space="preserve">s. We estimate that </w:t>
      </w:r>
      <w:r>
        <w:t>based on</w:t>
      </w:r>
      <w:r w:rsidRPr="00481870">
        <w:t xml:space="preserve"> the </w:t>
      </w:r>
      <w:r w:rsidRPr="0054495D">
        <w:t xml:space="preserve">distribution charges from our </w:t>
      </w:r>
      <w:r w:rsidR="003C49BF">
        <w:t>final</w:t>
      </w:r>
      <w:r w:rsidRPr="0054495D">
        <w:t xml:space="preserve"> decision </w:t>
      </w:r>
      <w:r>
        <w:t>passing</w:t>
      </w:r>
      <w:r w:rsidRPr="0054495D">
        <w:t xml:space="preserve"> through to customers, we would expect </w:t>
      </w:r>
      <w:r>
        <w:t xml:space="preserve">the </w:t>
      </w:r>
      <w:r w:rsidRPr="0054495D">
        <w:t>average</w:t>
      </w:r>
      <w:r>
        <w:t xml:space="preserve"> annual electricity bill for</w:t>
      </w:r>
      <w:r w:rsidRPr="0054495D">
        <w:t xml:space="preserve"> small business </w:t>
      </w:r>
      <w:r>
        <w:t>customers</w:t>
      </w:r>
      <w:r w:rsidRPr="0054495D">
        <w:t xml:space="preserve"> to reduce by $</w:t>
      </w:r>
      <w:r>
        <w:t>5</w:t>
      </w:r>
      <w:r w:rsidR="007A5174">
        <w:t>1</w:t>
      </w:r>
      <w:r w:rsidRPr="0054495D">
        <w:t xml:space="preserve"> or </w:t>
      </w:r>
      <w:r>
        <w:t>1.</w:t>
      </w:r>
      <w:r w:rsidR="007A5174">
        <w:t>7</w:t>
      </w:r>
      <w:r w:rsidRPr="0054495D">
        <w:t xml:space="preserve"> per cent in 2015–16. This would be followed by </w:t>
      </w:r>
      <w:r>
        <w:t>decreases</w:t>
      </w:r>
      <w:r w:rsidRPr="0054495D">
        <w:t xml:space="preserve"> of about $</w:t>
      </w:r>
      <w:r>
        <w:t>3</w:t>
      </w:r>
      <w:r w:rsidR="007A5174">
        <w:t>6</w:t>
      </w:r>
      <w:r w:rsidRPr="0054495D">
        <w:t xml:space="preserve"> or </w:t>
      </w:r>
      <w:r>
        <w:t>1.</w:t>
      </w:r>
      <w:r w:rsidR="007A5174">
        <w:t>2</w:t>
      </w:r>
      <w:r w:rsidRPr="0054495D">
        <w:t> per cent ($ nominal) per annum from 2016–17 to 201</w:t>
      </w:r>
      <w:r>
        <w:t>9</w:t>
      </w:r>
      <w:r w:rsidRPr="0054495D">
        <w:t>–</w:t>
      </w:r>
      <w:r>
        <w:t>20</w:t>
      </w:r>
      <w:r w:rsidRPr="0054495D">
        <w:t xml:space="preserve">. </w:t>
      </w:r>
      <w:r>
        <w:t>By</w:t>
      </w:r>
      <w:r w:rsidRPr="00481870">
        <w:t xml:space="preserve"> comparison, </w:t>
      </w:r>
      <w:r>
        <w:t>had</w:t>
      </w:r>
      <w:r w:rsidRPr="00481870">
        <w:t xml:space="preserve"> we accepted </w:t>
      </w:r>
      <w:r>
        <w:t>the</w:t>
      </w:r>
      <w:r w:rsidR="003C49BF">
        <w:t xml:space="preserve"> revised</w:t>
      </w:r>
      <w:r w:rsidRPr="00481870">
        <w:t xml:space="preserve"> proposal, the average </w:t>
      </w:r>
      <w:r>
        <w:t xml:space="preserve">annual electricity bill for </w:t>
      </w:r>
      <w:r w:rsidRPr="00481870">
        <w:t xml:space="preserve">small business customers would increase by </w:t>
      </w:r>
      <w:r>
        <w:t>approximately $</w:t>
      </w:r>
      <w:r w:rsidR="007A5174">
        <w:t>48</w:t>
      </w:r>
      <w:r>
        <w:t xml:space="preserve"> (</w:t>
      </w:r>
      <w:r w:rsidR="007A5174">
        <w:t>1</w:t>
      </w:r>
      <w:r>
        <w:t>.</w:t>
      </w:r>
      <w:r w:rsidR="007A5174">
        <w:t>6</w:t>
      </w:r>
      <w:r>
        <w:t xml:space="preserve"> per cent) </w:t>
      </w:r>
      <w:r w:rsidRPr="002E113C">
        <w:t>per annum</w:t>
      </w:r>
      <w:r>
        <w:t xml:space="preserve"> between 2016–17 and </w:t>
      </w:r>
      <w:r>
        <w:lastRenderedPageBreak/>
        <w:t>2019–</w:t>
      </w:r>
      <w:proofErr w:type="gramStart"/>
      <w:r>
        <w:t>20.</w:t>
      </w:r>
      <w:proofErr w:type="gramEnd"/>
      <w:r w:rsidRPr="00481870">
        <w:t xml:space="preserve"> </w:t>
      </w:r>
      <w:r w:rsidRPr="001A0446">
        <w:fldChar w:fldCharType="begin"/>
      </w:r>
      <w:r w:rsidRPr="001A0446">
        <w:instrText xml:space="preserve"> REF _Ref401574064 \h </w:instrText>
      </w:r>
      <w:r>
        <w:instrText xml:space="preserve"> \* MERGEFORMAT </w:instrText>
      </w:r>
      <w:r w:rsidRPr="001A0446">
        <w:fldChar w:fldCharType="separate"/>
      </w:r>
      <w:r w:rsidR="00863939">
        <w:t xml:space="preserve">These amounts include additional revenues Energex can also recover of the types discussed above for Ergon Energy. </w:t>
      </w:r>
    </w:p>
    <w:p w:rsidR="00D32D6D" w:rsidRPr="00813E06" w:rsidRDefault="00863939" w:rsidP="00D32D6D">
      <w:pPr>
        <w:numPr>
          <w:ilvl w:val="0"/>
          <w:numId w:val="25"/>
        </w:numPr>
      </w:pPr>
      <w:r w:rsidRPr="00863939">
        <w:t xml:space="preserve">Table </w:t>
      </w:r>
      <w:r>
        <w:t>1</w:t>
      </w:r>
      <w:r w:rsidRPr="00863939">
        <w:t>.</w:t>
      </w:r>
      <w:r>
        <w:t>5</w:t>
      </w:r>
      <w:r w:rsidR="00D32D6D" w:rsidRPr="001A0446">
        <w:fldChar w:fldCharType="end"/>
      </w:r>
      <w:r w:rsidR="00D32D6D">
        <w:t xml:space="preserve"> </w:t>
      </w:r>
      <w:r w:rsidR="00D32D6D" w:rsidRPr="001A0446">
        <w:t xml:space="preserve">shows the estimated annual average impact of our </w:t>
      </w:r>
      <w:r w:rsidR="003C49BF">
        <w:t>final</w:t>
      </w:r>
      <w:r w:rsidR="00D32D6D" w:rsidRPr="001A0446">
        <w:t xml:space="preserve"> decision for  the 201</w:t>
      </w:r>
      <w:r w:rsidR="00D32D6D">
        <w:t>5</w:t>
      </w:r>
      <w:r w:rsidR="00D32D6D" w:rsidRPr="001A0446">
        <w:t>–</w:t>
      </w:r>
      <w:r w:rsidR="00D32D6D">
        <w:t>20</w:t>
      </w:r>
      <w:r w:rsidR="00D32D6D" w:rsidRPr="001A0446">
        <w:t xml:space="preserve"> </w:t>
      </w:r>
      <w:r w:rsidR="00D32D6D">
        <w:t xml:space="preserve">regulatory control </w:t>
      </w:r>
      <w:r w:rsidR="00D32D6D" w:rsidRPr="001A0446">
        <w:t xml:space="preserve">period on the average residential and small business customers' annual electricity bills. </w:t>
      </w:r>
      <w:bookmarkStart w:id="41" w:name="_Ref401574064"/>
      <w:r w:rsidR="00C32287">
        <w:t xml:space="preserve">These </w:t>
      </w:r>
      <w:r w:rsidR="002577FD">
        <w:t>amounts</w:t>
      </w:r>
      <w:r w:rsidR="00C32287">
        <w:t xml:space="preserve"> include additional revenues</w:t>
      </w:r>
      <w:r w:rsidR="002C5246">
        <w:t xml:space="preserve"> Energex can also recover of the </w:t>
      </w:r>
      <w:r w:rsidR="002577FD">
        <w:t>types</w:t>
      </w:r>
      <w:r w:rsidR="002C5246">
        <w:t xml:space="preserve"> discussed above for Ergon Energy.</w:t>
      </w:r>
      <w:r w:rsidR="00C32287">
        <w:t xml:space="preserve"> </w:t>
      </w:r>
    </w:p>
    <w:p w:rsidR="002577FD" w:rsidRDefault="00D32D6D" w:rsidP="00863939">
      <w:pPr>
        <w:pStyle w:val="Caption"/>
      </w:pPr>
      <w:bookmarkStart w:id="42" w:name="_Ref404354417"/>
      <w:proofErr w:type="gramStart"/>
      <w:r w:rsidRPr="00863939">
        <w:t xml:space="preserve">Table </w:t>
      </w:r>
      <w:r w:rsidR="008079C8">
        <w:fldChar w:fldCharType="begin"/>
      </w:r>
      <w:r w:rsidR="008079C8">
        <w:instrText xml:space="preserve"> STYLEREF 1 \s </w:instrText>
      </w:r>
      <w:r w:rsidR="008079C8">
        <w:fldChar w:fldCharType="separate"/>
      </w:r>
      <w:r w:rsidR="00863939">
        <w:rPr>
          <w:noProof/>
        </w:rPr>
        <w:t>1</w:t>
      </w:r>
      <w:r w:rsidR="008079C8">
        <w:rPr>
          <w:noProof/>
        </w:rPr>
        <w:fldChar w:fldCharType="end"/>
      </w:r>
      <w:r w:rsidR="004224C3" w:rsidRPr="00863939">
        <w:t>.</w:t>
      </w:r>
      <w:proofErr w:type="gramEnd"/>
      <w:r w:rsidR="008079C8">
        <w:fldChar w:fldCharType="begin"/>
      </w:r>
      <w:r w:rsidR="008079C8">
        <w:instrText xml:space="preserve"> SEQ Table \* ARABIC \s 1 </w:instrText>
      </w:r>
      <w:r w:rsidR="008079C8">
        <w:fldChar w:fldCharType="separate"/>
      </w:r>
      <w:r w:rsidR="00863939">
        <w:rPr>
          <w:noProof/>
        </w:rPr>
        <w:t>5</w:t>
      </w:r>
      <w:r w:rsidR="008079C8">
        <w:rPr>
          <w:noProof/>
        </w:rPr>
        <w:fldChar w:fldCharType="end"/>
      </w:r>
      <w:bookmarkEnd w:id="41"/>
      <w:bookmarkEnd w:id="42"/>
      <w:r w:rsidRPr="00863939">
        <w:tab/>
        <w:t xml:space="preserve">Estimated impact of AER's </w:t>
      </w:r>
      <w:r w:rsidR="003C49BF" w:rsidRPr="00863939">
        <w:t>final</w:t>
      </w:r>
      <w:r w:rsidRPr="00863939">
        <w:t xml:space="preserve"> decision on annual electricity</w:t>
      </w:r>
      <w:r>
        <w:t xml:space="preserve"> bills for the 2015–20 regulatory control period ($ nominal)</w:t>
      </w:r>
      <w:r w:rsidRPr="00A214E8" w:rsidDel="006E6462">
        <w:rPr>
          <w:rStyle w:val="AERsuperscript"/>
        </w:rPr>
        <w:t xml:space="preserve"> </w:t>
      </w:r>
    </w:p>
    <w:tbl>
      <w:tblPr>
        <w:tblStyle w:val="AERtable-numbers"/>
        <w:tblW w:w="0" w:type="auto"/>
        <w:tblLayout w:type="fixed"/>
        <w:tblLook w:val="04A0" w:firstRow="1" w:lastRow="0" w:firstColumn="1" w:lastColumn="0" w:noHBand="0" w:noVBand="1"/>
      </w:tblPr>
      <w:tblGrid>
        <w:gridCol w:w="2235"/>
        <w:gridCol w:w="850"/>
        <w:gridCol w:w="1121"/>
        <w:gridCol w:w="1122"/>
        <w:gridCol w:w="1121"/>
        <w:gridCol w:w="1122"/>
        <w:gridCol w:w="1122"/>
      </w:tblGrid>
      <w:tr w:rsidR="002577FD" w:rsidTr="002577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2577FD" w:rsidRPr="00A55BD1" w:rsidRDefault="002577FD" w:rsidP="002577FD"/>
        </w:tc>
        <w:tc>
          <w:tcPr>
            <w:tcW w:w="850" w:type="dxa"/>
          </w:tcPr>
          <w:p w:rsidR="002577FD" w:rsidRPr="002577FD" w:rsidRDefault="002577FD" w:rsidP="002577FD">
            <w:pPr>
              <w:cnfStyle w:val="100000000000" w:firstRow="1" w:lastRow="0" w:firstColumn="0" w:lastColumn="0" w:oddVBand="0" w:evenVBand="0" w:oddHBand="0" w:evenHBand="0" w:firstRowFirstColumn="0" w:firstRowLastColumn="0" w:lastRowFirstColumn="0" w:lastRowLastColumn="0"/>
            </w:pPr>
            <w:r w:rsidRPr="00A55BD1">
              <w:t>2014−15</w:t>
            </w:r>
          </w:p>
        </w:tc>
        <w:tc>
          <w:tcPr>
            <w:tcW w:w="1121" w:type="dxa"/>
          </w:tcPr>
          <w:p w:rsidR="002577FD" w:rsidRPr="002577FD" w:rsidRDefault="002577FD" w:rsidP="002577FD">
            <w:pPr>
              <w:cnfStyle w:val="100000000000" w:firstRow="1" w:lastRow="0" w:firstColumn="0" w:lastColumn="0" w:oddVBand="0" w:evenVBand="0" w:oddHBand="0" w:evenHBand="0" w:firstRowFirstColumn="0" w:firstRowLastColumn="0" w:lastRowFirstColumn="0" w:lastRowLastColumn="0"/>
            </w:pPr>
            <w:r w:rsidRPr="00A55BD1">
              <w:t>2015−16</w:t>
            </w:r>
          </w:p>
        </w:tc>
        <w:tc>
          <w:tcPr>
            <w:tcW w:w="1122" w:type="dxa"/>
          </w:tcPr>
          <w:p w:rsidR="002577FD" w:rsidRPr="002577FD" w:rsidRDefault="002577FD" w:rsidP="002577FD">
            <w:pPr>
              <w:cnfStyle w:val="100000000000" w:firstRow="1" w:lastRow="0" w:firstColumn="0" w:lastColumn="0" w:oddVBand="0" w:evenVBand="0" w:oddHBand="0" w:evenHBand="0" w:firstRowFirstColumn="0" w:firstRowLastColumn="0" w:lastRowFirstColumn="0" w:lastRowLastColumn="0"/>
            </w:pPr>
            <w:r w:rsidRPr="00A55BD1">
              <w:t>2016−17</w:t>
            </w:r>
          </w:p>
        </w:tc>
        <w:tc>
          <w:tcPr>
            <w:tcW w:w="1121" w:type="dxa"/>
          </w:tcPr>
          <w:p w:rsidR="002577FD" w:rsidRPr="002577FD" w:rsidRDefault="002577FD" w:rsidP="002577FD">
            <w:pPr>
              <w:cnfStyle w:val="100000000000" w:firstRow="1" w:lastRow="0" w:firstColumn="0" w:lastColumn="0" w:oddVBand="0" w:evenVBand="0" w:oddHBand="0" w:evenHBand="0" w:firstRowFirstColumn="0" w:firstRowLastColumn="0" w:lastRowFirstColumn="0" w:lastRowLastColumn="0"/>
            </w:pPr>
            <w:r w:rsidRPr="00A55BD1">
              <w:t>2017−18</w:t>
            </w:r>
          </w:p>
        </w:tc>
        <w:tc>
          <w:tcPr>
            <w:tcW w:w="1122" w:type="dxa"/>
          </w:tcPr>
          <w:p w:rsidR="002577FD" w:rsidRPr="002577FD" w:rsidRDefault="002577FD" w:rsidP="002577FD">
            <w:pPr>
              <w:cnfStyle w:val="100000000000" w:firstRow="1" w:lastRow="0" w:firstColumn="0" w:lastColumn="0" w:oddVBand="0" w:evenVBand="0" w:oddHBand="0" w:evenHBand="0" w:firstRowFirstColumn="0" w:firstRowLastColumn="0" w:lastRowFirstColumn="0" w:lastRowLastColumn="0"/>
            </w:pPr>
            <w:r w:rsidRPr="00A55BD1">
              <w:t>2018−19</w:t>
            </w:r>
          </w:p>
        </w:tc>
        <w:tc>
          <w:tcPr>
            <w:tcW w:w="1122" w:type="dxa"/>
          </w:tcPr>
          <w:p w:rsidR="002577FD" w:rsidRPr="002577FD" w:rsidRDefault="002577FD" w:rsidP="002577FD">
            <w:pPr>
              <w:cnfStyle w:val="100000000000" w:firstRow="1" w:lastRow="0" w:firstColumn="0" w:lastColumn="0" w:oddVBand="0" w:evenVBand="0" w:oddHBand="0" w:evenHBand="0" w:firstRowFirstColumn="0" w:firstRowLastColumn="0" w:lastRowFirstColumn="0" w:lastRowLastColumn="0"/>
            </w:pPr>
            <w:r w:rsidRPr="00A55BD1">
              <w:t>2019–20</w:t>
            </w:r>
          </w:p>
        </w:tc>
      </w:tr>
      <w:tr w:rsidR="006E17B2" w:rsidRPr="002577FD" w:rsidTr="00633E70">
        <w:tc>
          <w:tcPr>
            <w:cnfStyle w:val="001000000000" w:firstRow="0" w:lastRow="0" w:firstColumn="1" w:lastColumn="0" w:oddVBand="0" w:evenVBand="0" w:oddHBand="0" w:evenHBand="0" w:firstRowFirstColumn="0" w:firstRowLastColumn="0" w:lastRowFirstColumn="0" w:lastRowLastColumn="0"/>
            <w:tcW w:w="8693" w:type="dxa"/>
            <w:gridSpan w:val="7"/>
          </w:tcPr>
          <w:p w:rsidR="006E17B2" w:rsidRPr="006E17B2" w:rsidRDefault="006E17B2" w:rsidP="006E17B2">
            <w:r w:rsidRPr="00A55BD1">
              <w:rPr>
                <w:rStyle w:val="Strong"/>
              </w:rPr>
              <w:t>AER final decision</w:t>
            </w:r>
          </w:p>
        </w:tc>
      </w:tr>
      <w:tr w:rsidR="006E17B2" w:rsidRPr="002577FD" w:rsidTr="00633E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6E17B2" w:rsidRPr="006E17B2" w:rsidRDefault="006E17B2" w:rsidP="006E17B2">
            <w:r w:rsidRPr="00A55BD1">
              <w:t xml:space="preserve">Residential annual </w:t>
            </w:r>
            <w:proofErr w:type="spellStart"/>
            <w:r w:rsidRPr="00A55BD1">
              <w:t>bill</w:t>
            </w:r>
            <w:r w:rsidRPr="006E17B2">
              <w:rPr>
                <w:rStyle w:val="AERsuperscript"/>
              </w:rPr>
              <w:t>b</w:t>
            </w:r>
            <w:proofErr w:type="spellEnd"/>
          </w:p>
        </w:tc>
        <w:tc>
          <w:tcPr>
            <w:tcW w:w="850" w:type="dxa"/>
            <w:vAlign w:val="bottom"/>
          </w:tcPr>
          <w:p w:rsidR="006E17B2" w:rsidRPr="006E17B2" w:rsidRDefault="006E17B2" w:rsidP="006E17B2">
            <w:pPr>
              <w:cnfStyle w:val="000000010000" w:firstRow="0" w:lastRow="0" w:firstColumn="0" w:lastColumn="0" w:oddVBand="0" w:evenVBand="0" w:oddHBand="0" w:evenHBand="1" w:firstRowFirstColumn="0" w:firstRowLastColumn="0" w:lastRowFirstColumn="0" w:lastRowLastColumn="0"/>
            </w:pPr>
            <w:r w:rsidRPr="00A55BD1">
              <w:t>1470</w:t>
            </w:r>
          </w:p>
        </w:tc>
        <w:tc>
          <w:tcPr>
            <w:tcW w:w="1121" w:type="dxa"/>
            <w:vAlign w:val="bottom"/>
          </w:tcPr>
          <w:p w:rsidR="006E17B2" w:rsidRPr="006E17B2" w:rsidRDefault="006E17B2" w:rsidP="006E17B2">
            <w:pPr>
              <w:cnfStyle w:val="000000010000" w:firstRow="0" w:lastRow="0" w:firstColumn="0" w:lastColumn="0" w:oddVBand="0" w:evenVBand="0" w:oddHBand="0" w:evenHBand="1" w:firstRowFirstColumn="0" w:firstRowLastColumn="0" w:lastRowFirstColumn="0" w:lastRowLastColumn="0"/>
            </w:pPr>
            <w:r w:rsidRPr="00A55BD1">
              <w:t>1445</w:t>
            </w:r>
          </w:p>
        </w:tc>
        <w:tc>
          <w:tcPr>
            <w:tcW w:w="1122" w:type="dxa"/>
            <w:vAlign w:val="bottom"/>
          </w:tcPr>
          <w:p w:rsidR="006E17B2" w:rsidRPr="006E17B2" w:rsidRDefault="006E17B2" w:rsidP="006E17B2">
            <w:pPr>
              <w:cnfStyle w:val="000000010000" w:firstRow="0" w:lastRow="0" w:firstColumn="0" w:lastColumn="0" w:oddVBand="0" w:evenVBand="0" w:oddHBand="0" w:evenHBand="1" w:firstRowFirstColumn="0" w:firstRowLastColumn="0" w:lastRowFirstColumn="0" w:lastRowLastColumn="0"/>
            </w:pPr>
            <w:r w:rsidRPr="00A55BD1">
              <w:t>142</w:t>
            </w:r>
            <w:r w:rsidRPr="006E17B2">
              <w:t>8</w:t>
            </w:r>
          </w:p>
        </w:tc>
        <w:tc>
          <w:tcPr>
            <w:tcW w:w="1121" w:type="dxa"/>
            <w:vAlign w:val="bottom"/>
          </w:tcPr>
          <w:p w:rsidR="006E17B2" w:rsidRPr="006E17B2" w:rsidRDefault="006E17B2" w:rsidP="006E17B2">
            <w:pPr>
              <w:cnfStyle w:val="000000010000" w:firstRow="0" w:lastRow="0" w:firstColumn="0" w:lastColumn="0" w:oddVBand="0" w:evenVBand="0" w:oddHBand="0" w:evenHBand="1" w:firstRowFirstColumn="0" w:firstRowLastColumn="0" w:lastRowFirstColumn="0" w:lastRowLastColumn="0"/>
            </w:pPr>
            <w:r w:rsidRPr="00A55BD1">
              <w:t>140</w:t>
            </w:r>
            <w:r w:rsidRPr="006E17B2">
              <w:t>6</w:t>
            </w:r>
          </w:p>
        </w:tc>
        <w:tc>
          <w:tcPr>
            <w:tcW w:w="1122" w:type="dxa"/>
            <w:vAlign w:val="bottom"/>
          </w:tcPr>
          <w:p w:rsidR="006E17B2" w:rsidRPr="006E17B2" w:rsidRDefault="006E17B2" w:rsidP="006E17B2">
            <w:pPr>
              <w:cnfStyle w:val="000000010000" w:firstRow="0" w:lastRow="0" w:firstColumn="0" w:lastColumn="0" w:oddVBand="0" w:evenVBand="0" w:oddHBand="0" w:evenHBand="1" w:firstRowFirstColumn="0" w:firstRowLastColumn="0" w:lastRowFirstColumn="0" w:lastRowLastColumn="0"/>
            </w:pPr>
            <w:r w:rsidRPr="00A55BD1">
              <w:t>1389</w:t>
            </w:r>
          </w:p>
        </w:tc>
        <w:tc>
          <w:tcPr>
            <w:tcW w:w="1122" w:type="dxa"/>
            <w:vAlign w:val="bottom"/>
          </w:tcPr>
          <w:p w:rsidR="006E17B2" w:rsidRPr="006E17B2" w:rsidRDefault="006E17B2" w:rsidP="006E17B2">
            <w:pPr>
              <w:cnfStyle w:val="000000010000" w:firstRow="0" w:lastRow="0" w:firstColumn="0" w:lastColumn="0" w:oddVBand="0" w:evenVBand="0" w:oddHBand="0" w:evenHBand="1" w:firstRowFirstColumn="0" w:firstRowLastColumn="0" w:lastRowFirstColumn="0" w:lastRowLastColumn="0"/>
            </w:pPr>
            <w:r w:rsidRPr="00A55BD1">
              <w:t>1375</w:t>
            </w:r>
          </w:p>
        </w:tc>
      </w:tr>
      <w:tr w:rsidR="006E17B2" w:rsidRPr="002577FD" w:rsidTr="00633E70">
        <w:tc>
          <w:tcPr>
            <w:cnfStyle w:val="001000000000" w:firstRow="0" w:lastRow="0" w:firstColumn="1" w:lastColumn="0" w:oddVBand="0" w:evenVBand="0" w:oddHBand="0" w:evenHBand="0" w:firstRowFirstColumn="0" w:firstRowLastColumn="0" w:lastRowFirstColumn="0" w:lastRowLastColumn="0"/>
            <w:tcW w:w="2235" w:type="dxa"/>
          </w:tcPr>
          <w:p w:rsidR="006E17B2" w:rsidRPr="006E17B2" w:rsidRDefault="006E17B2" w:rsidP="006E17B2">
            <w:r w:rsidRPr="00A55BD1">
              <w:t>Annual change</w:t>
            </w:r>
            <w:r w:rsidRPr="006E17B2">
              <w:rPr>
                <w:rStyle w:val="AERsuperscript"/>
              </w:rPr>
              <w:t>d</w:t>
            </w:r>
          </w:p>
        </w:tc>
        <w:tc>
          <w:tcPr>
            <w:tcW w:w="850" w:type="dxa"/>
            <w:vAlign w:val="bottom"/>
          </w:tcPr>
          <w:p w:rsidR="006E17B2" w:rsidRPr="00A55BD1" w:rsidRDefault="006E17B2" w:rsidP="006E17B2">
            <w:pPr>
              <w:cnfStyle w:val="000000000000" w:firstRow="0" w:lastRow="0" w:firstColumn="0" w:lastColumn="0" w:oddVBand="0" w:evenVBand="0" w:oddHBand="0" w:evenHBand="0" w:firstRowFirstColumn="0" w:firstRowLastColumn="0" w:lastRowFirstColumn="0" w:lastRowLastColumn="0"/>
            </w:pPr>
          </w:p>
        </w:tc>
        <w:tc>
          <w:tcPr>
            <w:tcW w:w="1121" w:type="dxa"/>
            <w:vAlign w:val="bottom"/>
          </w:tcPr>
          <w:p w:rsidR="006E17B2" w:rsidRPr="006E17B2" w:rsidRDefault="006E17B2" w:rsidP="006E17B2">
            <w:pPr>
              <w:cnfStyle w:val="000000000000" w:firstRow="0" w:lastRow="0" w:firstColumn="0" w:lastColumn="0" w:oddVBand="0" w:evenVBand="0" w:oddHBand="0" w:evenHBand="0" w:firstRowFirstColumn="0" w:firstRowLastColumn="0" w:lastRowFirstColumn="0" w:lastRowLastColumn="0"/>
            </w:pPr>
            <w:r w:rsidRPr="00A55BD1">
              <w:t>–25 (–1.7%)</w:t>
            </w:r>
          </w:p>
        </w:tc>
        <w:tc>
          <w:tcPr>
            <w:tcW w:w="1122" w:type="dxa"/>
            <w:vAlign w:val="bottom"/>
          </w:tcPr>
          <w:p w:rsidR="006E17B2" w:rsidRPr="006E17B2" w:rsidRDefault="006E17B2" w:rsidP="006E17B2">
            <w:pPr>
              <w:cnfStyle w:val="000000000000" w:firstRow="0" w:lastRow="0" w:firstColumn="0" w:lastColumn="0" w:oddVBand="0" w:evenVBand="0" w:oddHBand="0" w:evenHBand="0" w:firstRowFirstColumn="0" w:firstRowLastColumn="0" w:lastRowFirstColumn="0" w:lastRowLastColumn="0"/>
            </w:pPr>
            <w:r w:rsidRPr="00A55BD1">
              <w:t>–1</w:t>
            </w:r>
            <w:r w:rsidRPr="006E17B2">
              <w:t>7 (–1.2%)</w:t>
            </w:r>
          </w:p>
        </w:tc>
        <w:tc>
          <w:tcPr>
            <w:tcW w:w="1121" w:type="dxa"/>
            <w:vAlign w:val="bottom"/>
          </w:tcPr>
          <w:p w:rsidR="006E17B2" w:rsidRPr="006E17B2" w:rsidRDefault="006E17B2" w:rsidP="006E17B2">
            <w:pPr>
              <w:cnfStyle w:val="000000000000" w:firstRow="0" w:lastRow="0" w:firstColumn="0" w:lastColumn="0" w:oddVBand="0" w:evenVBand="0" w:oddHBand="0" w:evenHBand="0" w:firstRowFirstColumn="0" w:firstRowLastColumn="0" w:lastRowFirstColumn="0" w:lastRowLastColumn="0"/>
            </w:pPr>
            <w:r w:rsidRPr="00A55BD1">
              <w:t>–2</w:t>
            </w:r>
            <w:r w:rsidRPr="006E17B2">
              <w:t>1 (–1.5%)</w:t>
            </w:r>
          </w:p>
        </w:tc>
        <w:tc>
          <w:tcPr>
            <w:tcW w:w="1122" w:type="dxa"/>
            <w:vAlign w:val="bottom"/>
          </w:tcPr>
          <w:p w:rsidR="006E17B2" w:rsidRPr="006E17B2" w:rsidRDefault="006E17B2" w:rsidP="006E17B2">
            <w:pPr>
              <w:cnfStyle w:val="000000000000" w:firstRow="0" w:lastRow="0" w:firstColumn="0" w:lastColumn="0" w:oddVBand="0" w:evenVBand="0" w:oddHBand="0" w:evenHBand="0" w:firstRowFirstColumn="0" w:firstRowLastColumn="0" w:lastRowFirstColumn="0" w:lastRowLastColumn="0"/>
            </w:pPr>
            <w:r w:rsidRPr="00A55BD1">
              <w:t>–17 (–1.2%)</w:t>
            </w:r>
          </w:p>
        </w:tc>
        <w:tc>
          <w:tcPr>
            <w:tcW w:w="1122" w:type="dxa"/>
            <w:vAlign w:val="bottom"/>
          </w:tcPr>
          <w:p w:rsidR="006E17B2" w:rsidRPr="006E17B2" w:rsidRDefault="006E17B2" w:rsidP="006E17B2">
            <w:pPr>
              <w:cnfStyle w:val="000000000000" w:firstRow="0" w:lastRow="0" w:firstColumn="0" w:lastColumn="0" w:oddVBand="0" w:evenVBand="0" w:oddHBand="0" w:evenHBand="0" w:firstRowFirstColumn="0" w:firstRowLastColumn="0" w:lastRowFirstColumn="0" w:lastRowLastColumn="0"/>
            </w:pPr>
            <w:r w:rsidRPr="00A55BD1">
              <w:t>–14 (–1</w:t>
            </w:r>
            <w:r w:rsidRPr="006E17B2">
              <w:t>.0%)</w:t>
            </w:r>
          </w:p>
        </w:tc>
      </w:tr>
      <w:tr w:rsidR="006E17B2" w:rsidRPr="002577FD" w:rsidTr="00633E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6E17B2" w:rsidRPr="006E17B2" w:rsidRDefault="006E17B2" w:rsidP="006E17B2">
            <w:r w:rsidRPr="00A55BD1">
              <w:t xml:space="preserve">Small business annual </w:t>
            </w:r>
            <w:proofErr w:type="spellStart"/>
            <w:r w:rsidRPr="00A55BD1">
              <w:t>bill</w:t>
            </w:r>
            <w:r w:rsidRPr="006E17B2">
              <w:rPr>
                <w:rStyle w:val="AERsuperscript"/>
              </w:rPr>
              <w:t>c</w:t>
            </w:r>
            <w:proofErr w:type="spellEnd"/>
          </w:p>
        </w:tc>
        <w:tc>
          <w:tcPr>
            <w:tcW w:w="850" w:type="dxa"/>
            <w:vAlign w:val="bottom"/>
          </w:tcPr>
          <w:p w:rsidR="006E17B2" w:rsidRPr="006E17B2" w:rsidRDefault="006E17B2" w:rsidP="006E17B2">
            <w:pPr>
              <w:cnfStyle w:val="000000010000" w:firstRow="0" w:lastRow="0" w:firstColumn="0" w:lastColumn="0" w:oddVBand="0" w:evenVBand="0" w:oddHBand="0" w:evenHBand="1" w:firstRowFirstColumn="0" w:firstRowLastColumn="0" w:lastRowFirstColumn="0" w:lastRowLastColumn="0"/>
            </w:pPr>
            <w:r w:rsidRPr="00A55BD1">
              <w:t>3036</w:t>
            </w:r>
          </w:p>
        </w:tc>
        <w:tc>
          <w:tcPr>
            <w:tcW w:w="1121" w:type="dxa"/>
            <w:vAlign w:val="bottom"/>
          </w:tcPr>
          <w:p w:rsidR="006E17B2" w:rsidRPr="006E17B2" w:rsidRDefault="006E17B2" w:rsidP="006E17B2">
            <w:pPr>
              <w:cnfStyle w:val="000000010000" w:firstRow="0" w:lastRow="0" w:firstColumn="0" w:lastColumn="0" w:oddVBand="0" w:evenVBand="0" w:oddHBand="0" w:evenHBand="1" w:firstRowFirstColumn="0" w:firstRowLastColumn="0" w:lastRowFirstColumn="0" w:lastRowLastColumn="0"/>
            </w:pPr>
            <w:r w:rsidRPr="00A55BD1">
              <w:t>2985</w:t>
            </w:r>
          </w:p>
        </w:tc>
        <w:tc>
          <w:tcPr>
            <w:tcW w:w="1122" w:type="dxa"/>
            <w:vAlign w:val="bottom"/>
          </w:tcPr>
          <w:p w:rsidR="006E17B2" w:rsidRPr="006E17B2" w:rsidRDefault="006E17B2" w:rsidP="006E17B2">
            <w:pPr>
              <w:cnfStyle w:val="000000010000" w:firstRow="0" w:lastRow="0" w:firstColumn="0" w:lastColumn="0" w:oddVBand="0" w:evenVBand="0" w:oddHBand="0" w:evenHBand="1" w:firstRowFirstColumn="0" w:firstRowLastColumn="0" w:lastRowFirstColumn="0" w:lastRowLastColumn="0"/>
            </w:pPr>
            <w:r w:rsidRPr="00A55BD1">
              <w:t>29</w:t>
            </w:r>
            <w:r w:rsidRPr="006E17B2">
              <w:t>49</w:t>
            </w:r>
          </w:p>
        </w:tc>
        <w:tc>
          <w:tcPr>
            <w:tcW w:w="1121" w:type="dxa"/>
            <w:vAlign w:val="bottom"/>
          </w:tcPr>
          <w:p w:rsidR="006E17B2" w:rsidRPr="006E17B2" w:rsidRDefault="006E17B2" w:rsidP="006E17B2">
            <w:pPr>
              <w:cnfStyle w:val="000000010000" w:firstRow="0" w:lastRow="0" w:firstColumn="0" w:lastColumn="0" w:oddVBand="0" w:evenVBand="0" w:oddHBand="0" w:evenHBand="1" w:firstRowFirstColumn="0" w:firstRowLastColumn="0" w:lastRowFirstColumn="0" w:lastRowLastColumn="0"/>
            </w:pPr>
            <w:r w:rsidRPr="00A55BD1">
              <w:t>2905</w:t>
            </w:r>
          </w:p>
        </w:tc>
        <w:tc>
          <w:tcPr>
            <w:tcW w:w="1122" w:type="dxa"/>
            <w:vAlign w:val="bottom"/>
          </w:tcPr>
          <w:p w:rsidR="006E17B2" w:rsidRPr="006E17B2" w:rsidRDefault="006E17B2" w:rsidP="006E17B2">
            <w:pPr>
              <w:cnfStyle w:val="000000010000" w:firstRow="0" w:lastRow="0" w:firstColumn="0" w:lastColumn="0" w:oddVBand="0" w:evenVBand="0" w:oddHBand="0" w:evenHBand="1" w:firstRowFirstColumn="0" w:firstRowLastColumn="0" w:lastRowFirstColumn="0" w:lastRowLastColumn="0"/>
            </w:pPr>
            <w:r w:rsidRPr="00A55BD1">
              <w:t>2869</w:t>
            </w:r>
          </w:p>
        </w:tc>
        <w:tc>
          <w:tcPr>
            <w:tcW w:w="1122" w:type="dxa"/>
            <w:vAlign w:val="bottom"/>
          </w:tcPr>
          <w:p w:rsidR="006E17B2" w:rsidRPr="006E17B2" w:rsidRDefault="006E17B2" w:rsidP="006E17B2">
            <w:pPr>
              <w:cnfStyle w:val="000000010000" w:firstRow="0" w:lastRow="0" w:firstColumn="0" w:lastColumn="0" w:oddVBand="0" w:evenVBand="0" w:oddHBand="0" w:evenHBand="1" w:firstRowFirstColumn="0" w:firstRowLastColumn="0" w:lastRowFirstColumn="0" w:lastRowLastColumn="0"/>
            </w:pPr>
            <w:r w:rsidRPr="00A55BD1">
              <w:t>2840</w:t>
            </w:r>
          </w:p>
        </w:tc>
      </w:tr>
      <w:tr w:rsidR="006E17B2" w:rsidRPr="002577FD" w:rsidTr="00633E70">
        <w:tc>
          <w:tcPr>
            <w:cnfStyle w:val="001000000000" w:firstRow="0" w:lastRow="0" w:firstColumn="1" w:lastColumn="0" w:oddVBand="0" w:evenVBand="0" w:oddHBand="0" w:evenHBand="0" w:firstRowFirstColumn="0" w:firstRowLastColumn="0" w:lastRowFirstColumn="0" w:lastRowLastColumn="0"/>
            <w:tcW w:w="2235" w:type="dxa"/>
          </w:tcPr>
          <w:p w:rsidR="006E17B2" w:rsidRPr="006E17B2" w:rsidRDefault="006E17B2" w:rsidP="006E17B2">
            <w:r w:rsidRPr="00A55BD1">
              <w:t>Annual change</w:t>
            </w:r>
            <w:r w:rsidRPr="006E17B2">
              <w:rPr>
                <w:rStyle w:val="AERsuperscript"/>
              </w:rPr>
              <w:t>d</w:t>
            </w:r>
          </w:p>
        </w:tc>
        <w:tc>
          <w:tcPr>
            <w:tcW w:w="850" w:type="dxa"/>
            <w:vAlign w:val="bottom"/>
          </w:tcPr>
          <w:p w:rsidR="006E17B2" w:rsidRPr="00A55BD1" w:rsidRDefault="006E17B2" w:rsidP="006E17B2">
            <w:pPr>
              <w:cnfStyle w:val="000000000000" w:firstRow="0" w:lastRow="0" w:firstColumn="0" w:lastColumn="0" w:oddVBand="0" w:evenVBand="0" w:oddHBand="0" w:evenHBand="0" w:firstRowFirstColumn="0" w:firstRowLastColumn="0" w:lastRowFirstColumn="0" w:lastRowLastColumn="0"/>
            </w:pPr>
          </w:p>
        </w:tc>
        <w:tc>
          <w:tcPr>
            <w:tcW w:w="1121" w:type="dxa"/>
            <w:vAlign w:val="bottom"/>
          </w:tcPr>
          <w:p w:rsidR="006E17B2" w:rsidRPr="006E17B2" w:rsidRDefault="006E17B2" w:rsidP="006E17B2">
            <w:pPr>
              <w:cnfStyle w:val="000000000000" w:firstRow="0" w:lastRow="0" w:firstColumn="0" w:lastColumn="0" w:oddVBand="0" w:evenVBand="0" w:oddHBand="0" w:evenHBand="0" w:firstRowFirstColumn="0" w:firstRowLastColumn="0" w:lastRowFirstColumn="0" w:lastRowLastColumn="0"/>
            </w:pPr>
            <w:r w:rsidRPr="00A55BD1">
              <w:t>–51 (–1.7%)</w:t>
            </w:r>
          </w:p>
        </w:tc>
        <w:tc>
          <w:tcPr>
            <w:tcW w:w="1122" w:type="dxa"/>
            <w:vAlign w:val="bottom"/>
          </w:tcPr>
          <w:p w:rsidR="006E17B2" w:rsidRPr="006E17B2" w:rsidRDefault="006E17B2" w:rsidP="006E17B2">
            <w:pPr>
              <w:cnfStyle w:val="000000000000" w:firstRow="0" w:lastRow="0" w:firstColumn="0" w:lastColumn="0" w:oddVBand="0" w:evenVBand="0" w:oddHBand="0" w:evenHBand="0" w:firstRowFirstColumn="0" w:firstRowLastColumn="0" w:lastRowFirstColumn="0" w:lastRowLastColumn="0"/>
            </w:pPr>
            <w:r w:rsidRPr="00A55BD1">
              <w:t>–3</w:t>
            </w:r>
            <w:r w:rsidRPr="006E17B2">
              <w:t>6 (–1.2%)</w:t>
            </w:r>
          </w:p>
        </w:tc>
        <w:tc>
          <w:tcPr>
            <w:tcW w:w="1121" w:type="dxa"/>
            <w:vAlign w:val="bottom"/>
          </w:tcPr>
          <w:p w:rsidR="006E17B2" w:rsidRPr="006E17B2" w:rsidRDefault="006E17B2" w:rsidP="006E17B2">
            <w:pPr>
              <w:cnfStyle w:val="000000000000" w:firstRow="0" w:lastRow="0" w:firstColumn="0" w:lastColumn="0" w:oddVBand="0" w:evenVBand="0" w:oddHBand="0" w:evenHBand="0" w:firstRowFirstColumn="0" w:firstRowLastColumn="0" w:lastRowFirstColumn="0" w:lastRowLastColumn="0"/>
            </w:pPr>
            <w:r w:rsidRPr="00A55BD1">
              <w:t>–4</w:t>
            </w:r>
            <w:r w:rsidRPr="006E17B2">
              <w:t>4 (–1.5%)</w:t>
            </w:r>
          </w:p>
        </w:tc>
        <w:tc>
          <w:tcPr>
            <w:tcW w:w="1122" w:type="dxa"/>
            <w:vAlign w:val="bottom"/>
          </w:tcPr>
          <w:p w:rsidR="006E17B2" w:rsidRPr="006E17B2" w:rsidRDefault="006E17B2" w:rsidP="006E17B2">
            <w:pPr>
              <w:cnfStyle w:val="000000000000" w:firstRow="0" w:lastRow="0" w:firstColumn="0" w:lastColumn="0" w:oddVBand="0" w:evenVBand="0" w:oddHBand="0" w:evenHBand="0" w:firstRowFirstColumn="0" w:firstRowLastColumn="0" w:lastRowFirstColumn="0" w:lastRowLastColumn="0"/>
            </w:pPr>
            <w:r w:rsidRPr="00A55BD1">
              <w:t>–36 (–1.2%)</w:t>
            </w:r>
          </w:p>
        </w:tc>
        <w:tc>
          <w:tcPr>
            <w:tcW w:w="1122" w:type="dxa"/>
            <w:vAlign w:val="bottom"/>
          </w:tcPr>
          <w:p w:rsidR="006E17B2" w:rsidRPr="006E17B2" w:rsidRDefault="006E17B2" w:rsidP="006E17B2">
            <w:pPr>
              <w:cnfStyle w:val="000000000000" w:firstRow="0" w:lastRow="0" w:firstColumn="0" w:lastColumn="0" w:oddVBand="0" w:evenVBand="0" w:oddHBand="0" w:evenHBand="0" w:firstRowFirstColumn="0" w:firstRowLastColumn="0" w:lastRowFirstColumn="0" w:lastRowLastColumn="0"/>
            </w:pPr>
            <w:r w:rsidRPr="00A55BD1">
              <w:t>–30 (–1</w:t>
            </w:r>
            <w:r w:rsidRPr="006E17B2">
              <w:t>.0%)</w:t>
            </w:r>
          </w:p>
        </w:tc>
      </w:tr>
      <w:tr w:rsidR="002577FD" w:rsidTr="002577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gridSpan w:val="7"/>
          </w:tcPr>
          <w:p w:rsidR="002577FD" w:rsidRPr="008F42E9" w:rsidRDefault="002577FD" w:rsidP="002577FD">
            <w:pPr>
              <w:rPr>
                <w:rStyle w:val="AERsuperscript"/>
              </w:rPr>
            </w:pPr>
            <w:r w:rsidRPr="00A55BD1">
              <w:rPr>
                <w:rStyle w:val="Strong"/>
              </w:rPr>
              <w:t xml:space="preserve">Energex revised </w:t>
            </w:r>
            <w:proofErr w:type="spellStart"/>
            <w:r w:rsidRPr="00A55BD1">
              <w:rPr>
                <w:rStyle w:val="Strong"/>
              </w:rPr>
              <w:t>proposal</w:t>
            </w:r>
            <w:r>
              <w:rPr>
                <w:rStyle w:val="AERsuperscript"/>
              </w:rPr>
              <w:t>a</w:t>
            </w:r>
            <w:proofErr w:type="spellEnd"/>
          </w:p>
        </w:tc>
      </w:tr>
      <w:tr w:rsidR="002577FD" w:rsidTr="002577FD">
        <w:tc>
          <w:tcPr>
            <w:cnfStyle w:val="001000000000" w:firstRow="0" w:lastRow="0" w:firstColumn="1" w:lastColumn="0" w:oddVBand="0" w:evenVBand="0" w:oddHBand="0" w:evenHBand="0" w:firstRowFirstColumn="0" w:firstRowLastColumn="0" w:lastRowFirstColumn="0" w:lastRowLastColumn="0"/>
            <w:tcW w:w="2235" w:type="dxa"/>
          </w:tcPr>
          <w:p w:rsidR="002577FD" w:rsidRPr="002577FD" w:rsidRDefault="002577FD" w:rsidP="002577FD">
            <w:r w:rsidRPr="00A55BD1">
              <w:t xml:space="preserve">Residential annual </w:t>
            </w:r>
            <w:proofErr w:type="spellStart"/>
            <w:r w:rsidRPr="00A55BD1">
              <w:t>bill</w:t>
            </w:r>
            <w:r>
              <w:rPr>
                <w:rStyle w:val="AERsuperscript"/>
              </w:rPr>
              <w:t>b</w:t>
            </w:r>
            <w:proofErr w:type="spellEnd"/>
          </w:p>
        </w:tc>
        <w:tc>
          <w:tcPr>
            <w:tcW w:w="850" w:type="dxa"/>
            <w:vAlign w:val="bottom"/>
          </w:tcPr>
          <w:p w:rsidR="002577FD" w:rsidRPr="002577FD" w:rsidRDefault="002577FD" w:rsidP="002577FD">
            <w:pPr>
              <w:cnfStyle w:val="000000000000" w:firstRow="0" w:lastRow="0" w:firstColumn="0" w:lastColumn="0" w:oddVBand="0" w:evenVBand="0" w:oddHBand="0" w:evenHBand="0" w:firstRowFirstColumn="0" w:firstRowLastColumn="0" w:lastRowFirstColumn="0" w:lastRowLastColumn="0"/>
            </w:pPr>
            <w:r w:rsidRPr="00A55BD1">
              <w:t>1470</w:t>
            </w:r>
          </w:p>
        </w:tc>
        <w:tc>
          <w:tcPr>
            <w:tcW w:w="1121" w:type="dxa"/>
            <w:vAlign w:val="bottom"/>
          </w:tcPr>
          <w:p w:rsidR="002577FD" w:rsidRPr="002577FD" w:rsidRDefault="002577FD" w:rsidP="002577FD">
            <w:pPr>
              <w:cnfStyle w:val="000000000000" w:firstRow="0" w:lastRow="0" w:firstColumn="0" w:lastColumn="0" w:oddVBand="0" w:evenVBand="0" w:oddHBand="0" w:evenHBand="0" w:firstRowFirstColumn="0" w:firstRowLastColumn="0" w:lastRowFirstColumn="0" w:lastRowLastColumn="0"/>
            </w:pPr>
            <w:r w:rsidRPr="00A55BD1">
              <w:t>1445</w:t>
            </w:r>
          </w:p>
        </w:tc>
        <w:tc>
          <w:tcPr>
            <w:tcW w:w="1122" w:type="dxa"/>
            <w:vAlign w:val="bottom"/>
          </w:tcPr>
          <w:p w:rsidR="002577FD" w:rsidRPr="002577FD" w:rsidRDefault="002577FD" w:rsidP="002577FD">
            <w:pPr>
              <w:cnfStyle w:val="000000000000" w:firstRow="0" w:lastRow="0" w:firstColumn="0" w:lastColumn="0" w:oddVBand="0" w:evenVBand="0" w:oddHBand="0" w:evenHBand="0" w:firstRowFirstColumn="0" w:firstRowLastColumn="0" w:lastRowFirstColumn="0" w:lastRowLastColumn="0"/>
            </w:pPr>
            <w:r w:rsidRPr="00A55BD1">
              <w:t>1473</w:t>
            </w:r>
          </w:p>
        </w:tc>
        <w:tc>
          <w:tcPr>
            <w:tcW w:w="1121" w:type="dxa"/>
            <w:vAlign w:val="bottom"/>
          </w:tcPr>
          <w:p w:rsidR="002577FD" w:rsidRPr="002577FD" w:rsidRDefault="002577FD" w:rsidP="002577FD">
            <w:pPr>
              <w:cnfStyle w:val="000000000000" w:firstRow="0" w:lastRow="0" w:firstColumn="0" w:lastColumn="0" w:oddVBand="0" w:evenVBand="0" w:oddHBand="0" w:evenHBand="0" w:firstRowFirstColumn="0" w:firstRowLastColumn="0" w:lastRowFirstColumn="0" w:lastRowLastColumn="0"/>
            </w:pPr>
            <w:r w:rsidRPr="00A55BD1">
              <w:t>1496</w:t>
            </w:r>
          </w:p>
        </w:tc>
        <w:tc>
          <w:tcPr>
            <w:tcW w:w="1122" w:type="dxa"/>
            <w:vAlign w:val="bottom"/>
          </w:tcPr>
          <w:p w:rsidR="002577FD" w:rsidRPr="002577FD" w:rsidRDefault="002577FD" w:rsidP="002577FD">
            <w:pPr>
              <w:cnfStyle w:val="000000000000" w:firstRow="0" w:lastRow="0" w:firstColumn="0" w:lastColumn="0" w:oddVBand="0" w:evenVBand="0" w:oddHBand="0" w:evenHBand="0" w:firstRowFirstColumn="0" w:firstRowLastColumn="0" w:lastRowFirstColumn="0" w:lastRowLastColumn="0"/>
            </w:pPr>
            <w:r w:rsidRPr="00A55BD1">
              <w:t>1518</w:t>
            </w:r>
          </w:p>
        </w:tc>
        <w:tc>
          <w:tcPr>
            <w:tcW w:w="1122" w:type="dxa"/>
            <w:vAlign w:val="bottom"/>
          </w:tcPr>
          <w:p w:rsidR="002577FD" w:rsidRPr="002577FD" w:rsidRDefault="002577FD" w:rsidP="002577FD">
            <w:pPr>
              <w:cnfStyle w:val="000000000000" w:firstRow="0" w:lastRow="0" w:firstColumn="0" w:lastColumn="0" w:oddVBand="0" w:evenVBand="0" w:oddHBand="0" w:evenHBand="0" w:firstRowFirstColumn="0" w:firstRowLastColumn="0" w:lastRowFirstColumn="0" w:lastRowLastColumn="0"/>
            </w:pPr>
            <w:r w:rsidRPr="00A55BD1">
              <w:t>1539</w:t>
            </w:r>
          </w:p>
        </w:tc>
      </w:tr>
      <w:tr w:rsidR="002577FD" w:rsidTr="002577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2577FD" w:rsidRPr="002577FD" w:rsidRDefault="002577FD" w:rsidP="002577FD">
            <w:r w:rsidRPr="00A55BD1">
              <w:t>Annual change</w:t>
            </w:r>
            <w:r>
              <w:rPr>
                <w:rStyle w:val="AERsuperscript"/>
              </w:rPr>
              <w:t>d</w:t>
            </w:r>
          </w:p>
        </w:tc>
        <w:tc>
          <w:tcPr>
            <w:tcW w:w="850" w:type="dxa"/>
            <w:vAlign w:val="bottom"/>
          </w:tcPr>
          <w:p w:rsidR="002577FD" w:rsidRPr="00A55BD1" w:rsidRDefault="002577FD" w:rsidP="002577FD">
            <w:pPr>
              <w:cnfStyle w:val="000000010000" w:firstRow="0" w:lastRow="0" w:firstColumn="0" w:lastColumn="0" w:oddVBand="0" w:evenVBand="0" w:oddHBand="0" w:evenHBand="1" w:firstRowFirstColumn="0" w:firstRowLastColumn="0" w:lastRowFirstColumn="0" w:lastRowLastColumn="0"/>
            </w:pPr>
          </w:p>
        </w:tc>
        <w:tc>
          <w:tcPr>
            <w:tcW w:w="1121" w:type="dxa"/>
            <w:vAlign w:val="bottom"/>
          </w:tcPr>
          <w:p w:rsidR="002577FD" w:rsidRPr="002577FD" w:rsidRDefault="002577FD" w:rsidP="002577FD">
            <w:pPr>
              <w:cnfStyle w:val="000000010000" w:firstRow="0" w:lastRow="0" w:firstColumn="0" w:lastColumn="0" w:oddVBand="0" w:evenVBand="0" w:oddHBand="0" w:evenHBand="1" w:firstRowFirstColumn="0" w:firstRowLastColumn="0" w:lastRowFirstColumn="0" w:lastRowLastColumn="0"/>
            </w:pPr>
            <w:r w:rsidRPr="00A55BD1">
              <w:t>–25 (–1.7%)</w:t>
            </w:r>
          </w:p>
        </w:tc>
        <w:tc>
          <w:tcPr>
            <w:tcW w:w="1122" w:type="dxa"/>
            <w:vAlign w:val="bottom"/>
          </w:tcPr>
          <w:p w:rsidR="002577FD" w:rsidRPr="002577FD" w:rsidRDefault="002577FD" w:rsidP="002577FD">
            <w:pPr>
              <w:cnfStyle w:val="000000010000" w:firstRow="0" w:lastRow="0" w:firstColumn="0" w:lastColumn="0" w:oddVBand="0" w:evenVBand="0" w:oddHBand="0" w:evenHBand="1" w:firstRowFirstColumn="0" w:firstRowLastColumn="0" w:lastRowFirstColumn="0" w:lastRowLastColumn="0"/>
            </w:pPr>
            <w:r w:rsidRPr="00A55BD1">
              <w:t>28 (1.9%)</w:t>
            </w:r>
          </w:p>
        </w:tc>
        <w:tc>
          <w:tcPr>
            <w:tcW w:w="1121" w:type="dxa"/>
            <w:vAlign w:val="bottom"/>
          </w:tcPr>
          <w:p w:rsidR="002577FD" w:rsidRPr="002577FD" w:rsidRDefault="002577FD" w:rsidP="002577FD">
            <w:pPr>
              <w:cnfStyle w:val="000000010000" w:firstRow="0" w:lastRow="0" w:firstColumn="0" w:lastColumn="0" w:oddVBand="0" w:evenVBand="0" w:oddHBand="0" w:evenHBand="1" w:firstRowFirstColumn="0" w:firstRowLastColumn="0" w:lastRowFirstColumn="0" w:lastRowLastColumn="0"/>
            </w:pPr>
            <w:r w:rsidRPr="00A55BD1">
              <w:t>23 (1.6%)</w:t>
            </w:r>
          </w:p>
        </w:tc>
        <w:tc>
          <w:tcPr>
            <w:tcW w:w="1122" w:type="dxa"/>
            <w:vAlign w:val="bottom"/>
          </w:tcPr>
          <w:p w:rsidR="002577FD" w:rsidRPr="002577FD" w:rsidRDefault="002577FD" w:rsidP="002577FD">
            <w:pPr>
              <w:cnfStyle w:val="000000010000" w:firstRow="0" w:lastRow="0" w:firstColumn="0" w:lastColumn="0" w:oddVBand="0" w:evenVBand="0" w:oddHBand="0" w:evenHBand="1" w:firstRowFirstColumn="0" w:firstRowLastColumn="0" w:lastRowFirstColumn="0" w:lastRowLastColumn="0"/>
            </w:pPr>
            <w:r w:rsidRPr="00A55BD1">
              <w:t>23 (1.5%)</w:t>
            </w:r>
          </w:p>
        </w:tc>
        <w:tc>
          <w:tcPr>
            <w:tcW w:w="1122" w:type="dxa"/>
            <w:vAlign w:val="bottom"/>
          </w:tcPr>
          <w:p w:rsidR="002577FD" w:rsidRPr="002577FD" w:rsidRDefault="002577FD" w:rsidP="002577FD">
            <w:pPr>
              <w:cnfStyle w:val="000000010000" w:firstRow="0" w:lastRow="0" w:firstColumn="0" w:lastColumn="0" w:oddVBand="0" w:evenVBand="0" w:oddHBand="0" w:evenHBand="1" w:firstRowFirstColumn="0" w:firstRowLastColumn="0" w:lastRowFirstColumn="0" w:lastRowLastColumn="0"/>
            </w:pPr>
            <w:r w:rsidRPr="00A55BD1">
              <w:t xml:space="preserve">21 </w:t>
            </w:r>
            <w:r w:rsidRPr="002577FD">
              <w:t>(1.4%)</w:t>
            </w:r>
          </w:p>
        </w:tc>
      </w:tr>
      <w:tr w:rsidR="002577FD" w:rsidTr="002577FD">
        <w:tc>
          <w:tcPr>
            <w:cnfStyle w:val="001000000000" w:firstRow="0" w:lastRow="0" w:firstColumn="1" w:lastColumn="0" w:oddVBand="0" w:evenVBand="0" w:oddHBand="0" w:evenHBand="0" w:firstRowFirstColumn="0" w:firstRowLastColumn="0" w:lastRowFirstColumn="0" w:lastRowLastColumn="0"/>
            <w:tcW w:w="2235" w:type="dxa"/>
          </w:tcPr>
          <w:p w:rsidR="002577FD" w:rsidRPr="002577FD" w:rsidRDefault="002577FD" w:rsidP="002577FD">
            <w:r w:rsidRPr="00A55BD1">
              <w:t xml:space="preserve">Small business annual </w:t>
            </w:r>
            <w:proofErr w:type="spellStart"/>
            <w:r w:rsidRPr="00A55BD1">
              <w:t>bill</w:t>
            </w:r>
            <w:r>
              <w:rPr>
                <w:rStyle w:val="AERsuperscript"/>
              </w:rPr>
              <w:t>c</w:t>
            </w:r>
            <w:proofErr w:type="spellEnd"/>
          </w:p>
        </w:tc>
        <w:tc>
          <w:tcPr>
            <w:tcW w:w="850" w:type="dxa"/>
            <w:vAlign w:val="bottom"/>
          </w:tcPr>
          <w:p w:rsidR="002577FD" w:rsidRPr="002577FD" w:rsidRDefault="002577FD" w:rsidP="002577FD">
            <w:pPr>
              <w:cnfStyle w:val="000000000000" w:firstRow="0" w:lastRow="0" w:firstColumn="0" w:lastColumn="0" w:oddVBand="0" w:evenVBand="0" w:oddHBand="0" w:evenHBand="0" w:firstRowFirstColumn="0" w:firstRowLastColumn="0" w:lastRowFirstColumn="0" w:lastRowLastColumn="0"/>
            </w:pPr>
            <w:r w:rsidRPr="00A55BD1">
              <w:t>3036</w:t>
            </w:r>
          </w:p>
        </w:tc>
        <w:tc>
          <w:tcPr>
            <w:tcW w:w="1121" w:type="dxa"/>
            <w:vAlign w:val="bottom"/>
          </w:tcPr>
          <w:p w:rsidR="002577FD" w:rsidRPr="002577FD" w:rsidRDefault="002577FD" w:rsidP="002577FD">
            <w:pPr>
              <w:cnfStyle w:val="000000000000" w:firstRow="0" w:lastRow="0" w:firstColumn="0" w:lastColumn="0" w:oddVBand="0" w:evenVBand="0" w:oddHBand="0" w:evenHBand="0" w:firstRowFirstColumn="0" w:firstRowLastColumn="0" w:lastRowFirstColumn="0" w:lastRowLastColumn="0"/>
            </w:pPr>
            <w:r w:rsidRPr="00A55BD1">
              <w:t>2985</w:t>
            </w:r>
          </w:p>
        </w:tc>
        <w:tc>
          <w:tcPr>
            <w:tcW w:w="1122" w:type="dxa"/>
            <w:vAlign w:val="bottom"/>
          </w:tcPr>
          <w:p w:rsidR="002577FD" w:rsidRPr="002577FD" w:rsidRDefault="002577FD" w:rsidP="002577FD">
            <w:pPr>
              <w:cnfStyle w:val="000000000000" w:firstRow="0" w:lastRow="0" w:firstColumn="0" w:lastColumn="0" w:oddVBand="0" w:evenVBand="0" w:oddHBand="0" w:evenHBand="0" w:firstRowFirstColumn="0" w:firstRowLastColumn="0" w:lastRowFirstColumn="0" w:lastRowLastColumn="0"/>
            </w:pPr>
            <w:r w:rsidRPr="00A55BD1">
              <w:t>3042</w:t>
            </w:r>
          </w:p>
        </w:tc>
        <w:tc>
          <w:tcPr>
            <w:tcW w:w="1121" w:type="dxa"/>
            <w:vAlign w:val="bottom"/>
          </w:tcPr>
          <w:p w:rsidR="002577FD" w:rsidRPr="002577FD" w:rsidRDefault="002577FD" w:rsidP="002577FD">
            <w:pPr>
              <w:cnfStyle w:val="000000000000" w:firstRow="0" w:lastRow="0" w:firstColumn="0" w:lastColumn="0" w:oddVBand="0" w:evenVBand="0" w:oddHBand="0" w:evenHBand="0" w:firstRowFirstColumn="0" w:firstRowLastColumn="0" w:lastRowFirstColumn="0" w:lastRowLastColumn="0"/>
            </w:pPr>
            <w:r w:rsidRPr="00A55BD1">
              <w:t>3089</w:t>
            </w:r>
          </w:p>
        </w:tc>
        <w:tc>
          <w:tcPr>
            <w:tcW w:w="1122" w:type="dxa"/>
            <w:vAlign w:val="bottom"/>
          </w:tcPr>
          <w:p w:rsidR="002577FD" w:rsidRPr="002577FD" w:rsidRDefault="002577FD" w:rsidP="002577FD">
            <w:pPr>
              <w:cnfStyle w:val="000000000000" w:firstRow="0" w:lastRow="0" w:firstColumn="0" w:lastColumn="0" w:oddVBand="0" w:evenVBand="0" w:oddHBand="0" w:evenHBand="0" w:firstRowFirstColumn="0" w:firstRowLastColumn="0" w:lastRowFirstColumn="0" w:lastRowLastColumn="0"/>
            </w:pPr>
            <w:r w:rsidRPr="00A55BD1">
              <w:t>3136</w:t>
            </w:r>
          </w:p>
        </w:tc>
        <w:tc>
          <w:tcPr>
            <w:tcW w:w="1122" w:type="dxa"/>
            <w:vAlign w:val="bottom"/>
          </w:tcPr>
          <w:p w:rsidR="002577FD" w:rsidRPr="002577FD" w:rsidRDefault="002577FD" w:rsidP="002577FD">
            <w:pPr>
              <w:cnfStyle w:val="000000000000" w:firstRow="0" w:lastRow="0" w:firstColumn="0" w:lastColumn="0" w:oddVBand="0" w:evenVBand="0" w:oddHBand="0" w:evenHBand="0" w:firstRowFirstColumn="0" w:firstRowLastColumn="0" w:lastRowFirstColumn="0" w:lastRowLastColumn="0"/>
            </w:pPr>
            <w:r w:rsidRPr="00A55BD1">
              <w:t>3178</w:t>
            </w:r>
          </w:p>
        </w:tc>
      </w:tr>
      <w:tr w:rsidR="002577FD" w:rsidTr="002577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2577FD" w:rsidRPr="002577FD" w:rsidRDefault="002577FD" w:rsidP="002577FD">
            <w:r w:rsidRPr="00A55BD1">
              <w:t>Annual change</w:t>
            </w:r>
            <w:r>
              <w:rPr>
                <w:rStyle w:val="AERsuperscript"/>
              </w:rPr>
              <w:t>d</w:t>
            </w:r>
          </w:p>
        </w:tc>
        <w:tc>
          <w:tcPr>
            <w:tcW w:w="850" w:type="dxa"/>
            <w:vAlign w:val="bottom"/>
          </w:tcPr>
          <w:p w:rsidR="002577FD" w:rsidRPr="00A55BD1" w:rsidRDefault="002577FD" w:rsidP="002577FD">
            <w:pPr>
              <w:cnfStyle w:val="000000010000" w:firstRow="0" w:lastRow="0" w:firstColumn="0" w:lastColumn="0" w:oddVBand="0" w:evenVBand="0" w:oddHBand="0" w:evenHBand="1" w:firstRowFirstColumn="0" w:firstRowLastColumn="0" w:lastRowFirstColumn="0" w:lastRowLastColumn="0"/>
            </w:pPr>
          </w:p>
        </w:tc>
        <w:tc>
          <w:tcPr>
            <w:tcW w:w="1121" w:type="dxa"/>
            <w:vAlign w:val="bottom"/>
          </w:tcPr>
          <w:p w:rsidR="002577FD" w:rsidRPr="002577FD" w:rsidRDefault="002577FD" w:rsidP="002577FD">
            <w:pPr>
              <w:cnfStyle w:val="000000010000" w:firstRow="0" w:lastRow="0" w:firstColumn="0" w:lastColumn="0" w:oddVBand="0" w:evenVBand="0" w:oddHBand="0" w:evenHBand="1" w:firstRowFirstColumn="0" w:firstRowLastColumn="0" w:lastRowFirstColumn="0" w:lastRowLastColumn="0"/>
            </w:pPr>
            <w:r w:rsidRPr="00A55BD1">
              <w:t>–51 (–1.7%)</w:t>
            </w:r>
          </w:p>
        </w:tc>
        <w:tc>
          <w:tcPr>
            <w:tcW w:w="1122" w:type="dxa"/>
            <w:vAlign w:val="bottom"/>
          </w:tcPr>
          <w:p w:rsidR="002577FD" w:rsidRPr="002577FD" w:rsidRDefault="002577FD" w:rsidP="002577FD">
            <w:pPr>
              <w:cnfStyle w:val="000000010000" w:firstRow="0" w:lastRow="0" w:firstColumn="0" w:lastColumn="0" w:oddVBand="0" w:evenVBand="0" w:oddHBand="0" w:evenHBand="1" w:firstRowFirstColumn="0" w:firstRowLastColumn="0" w:lastRowFirstColumn="0" w:lastRowLastColumn="0"/>
            </w:pPr>
            <w:r w:rsidRPr="00A55BD1">
              <w:t>57 (1.9%)</w:t>
            </w:r>
          </w:p>
        </w:tc>
        <w:tc>
          <w:tcPr>
            <w:tcW w:w="1121" w:type="dxa"/>
            <w:vAlign w:val="bottom"/>
          </w:tcPr>
          <w:p w:rsidR="002577FD" w:rsidRPr="002577FD" w:rsidRDefault="002577FD" w:rsidP="002577FD">
            <w:pPr>
              <w:cnfStyle w:val="000000010000" w:firstRow="0" w:lastRow="0" w:firstColumn="0" w:lastColumn="0" w:oddVBand="0" w:evenVBand="0" w:oddHBand="0" w:evenHBand="1" w:firstRowFirstColumn="0" w:firstRowLastColumn="0" w:lastRowFirstColumn="0" w:lastRowLastColumn="0"/>
            </w:pPr>
            <w:r w:rsidRPr="00A55BD1">
              <w:t>47 (1.6%)</w:t>
            </w:r>
          </w:p>
        </w:tc>
        <w:tc>
          <w:tcPr>
            <w:tcW w:w="1122" w:type="dxa"/>
            <w:vAlign w:val="bottom"/>
          </w:tcPr>
          <w:p w:rsidR="002577FD" w:rsidRPr="002577FD" w:rsidRDefault="002577FD" w:rsidP="002577FD">
            <w:pPr>
              <w:cnfStyle w:val="000000010000" w:firstRow="0" w:lastRow="0" w:firstColumn="0" w:lastColumn="0" w:oddVBand="0" w:evenVBand="0" w:oddHBand="0" w:evenHBand="1" w:firstRowFirstColumn="0" w:firstRowLastColumn="0" w:lastRowFirstColumn="0" w:lastRowLastColumn="0"/>
            </w:pPr>
            <w:r w:rsidRPr="00A55BD1">
              <w:t>47 (1.5%)</w:t>
            </w:r>
          </w:p>
        </w:tc>
        <w:tc>
          <w:tcPr>
            <w:tcW w:w="1122" w:type="dxa"/>
            <w:vAlign w:val="bottom"/>
          </w:tcPr>
          <w:p w:rsidR="002577FD" w:rsidRPr="002577FD" w:rsidRDefault="002577FD" w:rsidP="002577FD">
            <w:pPr>
              <w:cnfStyle w:val="000000010000" w:firstRow="0" w:lastRow="0" w:firstColumn="0" w:lastColumn="0" w:oddVBand="0" w:evenVBand="0" w:oddHBand="0" w:evenHBand="1" w:firstRowFirstColumn="0" w:firstRowLastColumn="0" w:lastRowFirstColumn="0" w:lastRowLastColumn="0"/>
            </w:pPr>
            <w:r w:rsidRPr="00A55BD1">
              <w:t>43 (1.4%)</w:t>
            </w:r>
          </w:p>
        </w:tc>
      </w:tr>
    </w:tbl>
    <w:p w:rsidR="00D32D6D" w:rsidRDefault="00D32D6D" w:rsidP="00D32D6D">
      <w:pPr>
        <w:pStyle w:val="AERtablesource"/>
      </w:pPr>
      <w:r>
        <w:t>Source:</w:t>
      </w:r>
      <w:r>
        <w:tab/>
        <w:t xml:space="preserve">AER analysis; </w:t>
      </w:r>
      <w:r w:rsidR="003F3D78">
        <w:t>Energy Made Easy</w:t>
      </w:r>
      <w:r w:rsidR="003F3D78" w:rsidRPr="00323635">
        <w:t xml:space="preserve">, </w:t>
      </w:r>
      <w:hyperlink r:id="rId18" w:history="1">
        <w:r w:rsidR="003F3D78" w:rsidRPr="00F4299D">
          <w:rPr>
            <w:rStyle w:val="Hyperlink"/>
            <w:sz w:val="16"/>
          </w:rPr>
          <w:t>www.energymadeeasy.gov.au</w:t>
        </w:r>
      </w:hyperlink>
      <w:r>
        <w:t xml:space="preserve">; QCA, </w:t>
      </w:r>
      <w:r w:rsidRPr="00E34641">
        <w:rPr>
          <w:rStyle w:val="AERtextitalic"/>
        </w:rPr>
        <w:t>Final determination, Regulated retail electricity prices 2014–15</w:t>
      </w:r>
      <w:r>
        <w:t>, May 2014, p.4.</w:t>
      </w:r>
    </w:p>
    <w:p w:rsidR="00D32D6D" w:rsidRDefault="00D32D6D" w:rsidP="00D32D6D">
      <w:pPr>
        <w:pStyle w:val="AERtablesource"/>
      </w:pPr>
      <w:r>
        <w:t>(a)</w:t>
      </w:r>
      <w:r>
        <w:tab/>
        <w:t>Energex's bill impacts are used for this table</w:t>
      </w:r>
      <w:r w:rsidRPr="00323635">
        <w:t>.</w:t>
      </w:r>
    </w:p>
    <w:p w:rsidR="00D32D6D" w:rsidRDefault="00D32D6D" w:rsidP="00D32D6D">
      <w:pPr>
        <w:pStyle w:val="AERtablesource"/>
      </w:pPr>
      <w:r>
        <w:t>(b)</w:t>
      </w:r>
      <w:r>
        <w:tab/>
        <w:t>Based on annual bill for typical consumption of 4100 kWh per year during the period 1 July 2014 to 30 June 2015.</w:t>
      </w:r>
    </w:p>
    <w:p w:rsidR="002577FD" w:rsidRDefault="00D32D6D" w:rsidP="007A5174">
      <w:pPr>
        <w:pStyle w:val="AERtablesource"/>
      </w:pPr>
      <w:r>
        <w:t>(c)</w:t>
      </w:r>
      <w:r>
        <w:tab/>
      </w:r>
      <w:r w:rsidRPr="00540B74">
        <w:t xml:space="preserve">Based on the annual </w:t>
      </w:r>
      <w:r>
        <w:t>bill</w:t>
      </w:r>
      <w:r w:rsidRPr="00540B74">
        <w:t xml:space="preserve"> sourced from Energy Made Easy for a typical consumption of 10000 kWh per year during the period 1 July 201</w:t>
      </w:r>
      <w:r>
        <w:t>4</w:t>
      </w:r>
      <w:r w:rsidRPr="00540B74">
        <w:t xml:space="preserve"> to 30 June 201</w:t>
      </w:r>
      <w:r>
        <w:t>5</w:t>
      </w:r>
      <w:r w:rsidRPr="00540B74">
        <w:t>.</w:t>
      </w:r>
    </w:p>
    <w:p w:rsidR="002577FD" w:rsidRPr="002577FD" w:rsidRDefault="002577FD">
      <w:pPr>
        <w:pStyle w:val="AERtablesource"/>
      </w:pPr>
      <w:r>
        <w:t>(d)</w:t>
      </w:r>
      <w:r>
        <w:tab/>
      </w:r>
      <w:r w:rsidRPr="00A55BD1">
        <w:t>Annual change amounts and percentages are indicative. They are derived by varying 2014–15 bill amounts in proportion with total annual regulated revenue divided by forecast demand. Actual bill impacts will vary depending on electricity consumption, tariff class and other variables.</w:t>
      </w:r>
    </w:p>
    <w:p w:rsidR="00DE563D" w:rsidRPr="00961F06" w:rsidRDefault="00DE563D" w:rsidP="008F42E9">
      <w:pPr>
        <w:pStyle w:val="AERtablesource"/>
      </w:pPr>
    </w:p>
    <w:sectPr w:rsidR="00DE563D" w:rsidRPr="00961F06" w:rsidSect="00DB67B4">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13D" w:rsidRPr="00290C63" w:rsidRDefault="0008113D" w:rsidP="00290C63">
      <w:r>
        <w:separator/>
      </w:r>
    </w:p>
    <w:p w:rsidR="0008113D" w:rsidRDefault="0008113D"/>
  </w:endnote>
  <w:endnote w:type="continuationSeparator" w:id="0">
    <w:p w:rsidR="0008113D" w:rsidRPr="00290C63" w:rsidRDefault="0008113D" w:rsidP="00290C63">
      <w:r>
        <w:continuationSeparator/>
      </w:r>
    </w:p>
    <w:p w:rsidR="0008113D" w:rsidRDefault="00081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3D" w:rsidRPr="00290C63" w:rsidRDefault="0008113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8113D" w:rsidRDefault="0008113D"/>
  <w:p w:rsidR="0008113D" w:rsidRDefault="0008113D"/>
  <w:p w:rsidR="0008113D" w:rsidRDefault="0008113D"/>
  <w:p w:rsidR="0008113D" w:rsidRDefault="0008113D"/>
  <w:p w:rsidR="0008113D" w:rsidRDefault="0008113D"/>
  <w:p w:rsidR="0008113D" w:rsidRDefault="0008113D"/>
  <w:p w:rsidR="0008113D" w:rsidRDefault="000811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08113D" w:rsidRDefault="0008113D">
        <w:pPr>
          <w:pStyle w:val="Footer"/>
        </w:pPr>
        <w:r>
          <w:fldChar w:fldCharType="begin"/>
        </w:r>
        <w:r>
          <w:instrText xml:space="preserve"> PAGE   \* MERGEFORMAT </w:instrText>
        </w:r>
        <w:r>
          <w:fldChar w:fldCharType="separate"/>
        </w:r>
        <w:r w:rsidR="008079C8">
          <w:rPr>
            <w:noProof/>
          </w:rPr>
          <w:t>1-19</w:t>
        </w:r>
        <w:r>
          <w:rPr>
            <w:noProof/>
          </w:rPr>
          <w:fldChar w:fldCharType="end"/>
        </w:r>
        <w:r>
          <w:rPr>
            <w:noProof/>
          </w:rPr>
          <w:t xml:space="preserve">      </w:t>
        </w:r>
        <w:r>
          <w:t xml:space="preserve">                    </w:t>
        </w:r>
        <w:r>
          <w:rPr>
            <w:noProof/>
          </w:rPr>
          <w:t xml:space="preserve"> Attachment 1 </w:t>
        </w:r>
        <w:r>
          <w:rPr>
            <w:rFonts w:cs="Gautami"/>
            <w:noProof/>
          </w:rPr>
          <w:t xml:space="preserve">– </w:t>
        </w:r>
        <w:r>
          <w:t>Annual revenue requirement</w:t>
        </w:r>
        <w:r>
          <w:rPr>
            <w:rFonts w:cs="Gautami"/>
            <w:noProof/>
          </w:rPr>
          <w:t xml:space="preserve"> | </w:t>
        </w:r>
        <w:r>
          <w:t>Ergon Energy</w:t>
        </w:r>
        <w:r>
          <w:rPr>
            <w:rFonts w:cs="Gautami"/>
            <w:noProof/>
          </w:rPr>
          <w:t xml:space="preserve"> determination 2015–20</w:t>
        </w:r>
      </w:p>
    </w:sdtContent>
  </w:sdt>
  <w:p w:rsidR="0008113D" w:rsidRDefault="000811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3D" w:rsidRPr="00290C63" w:rsidRDefault="0008113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8113D" w:rsidRDefault="0008113D">
    <w:pPr>
      <w:pStyle w:val="Footer"/>
    </w:pPr>
  </w:p>
  <w:p w:rsidR="0008113D" w:rsidRDefault="0008113D"/>
  <w:p w:rsidR="0008113D" w:rsidRDefault="0008113D"/>
  <w:p w:rsidR="0008113D" w:rsidRDefault="0008113D"/>
  <w:p w:rsidR="0008113D" w:rsidRDefault="0008113D"/>
  <w:p w:rsidR="0008113D" w:rsidRDefault="0008113D"/>
  <w:p w:rsidR="0008113D" w:rsidRDefault="0008113D"/>
  <w:p w:rsidR="0008113D" w:rsidRDefault="000811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13D" w:rsidRPr="00290C63" w:rsidRDefault="0008113D" w:rsidP="00290C63">
      <w:r>
        <w:separator/>
      </w:r>
    </w:p>
    <w:p w:rsidR="0008113D" w:rsidRDefault="0008113D"/>
  </w:footnote>
  <w:footnote w:type="continuationSeparator" w:id="0">
    <w:p w:rsidR="0008113D" w:rsidRPr="00290C63" w:rsidRDefault="0008113D" w:rsidP="00290C63">
      <w:r>
        <w:continuationSeparator/>
      </w:r>
    </w:p>
    <w:p w:rsidR="0008113D" w:rsidRDefault="0008113D"/>
  </w:footnote>
  <w:footnote w:id="1">
    <w:p w:rsidR="0008113D" w:rsidRDefault="0008113D">
      <w:pPr>
        <w:pStyle w:val="FootnoteText"/>
      </w:pPr>
      <w:r>
        <w:rPr>
          <w:rStyle w:val="FootnoteReference"/>
        </w:rPr>
        <w:footnoteRef/>
      </w:r>
      <w:r>
        <w:t xml:space="preserve"> </w:t>
      </w:r>
      <w:r>
        <w:tab/>
        <w:t xml:space="preserve">The </w:t>
      </w:r>
      <w:proofErr w:type="spellStart"/>
      <w:r>
        <w:t>additionals</w:t>
      </w:r>
      <w:proofErr w:type="spellEnd"/>
      <w:r>
        <w:t xml:space="preserve"> are amounts relating to other factors that will be recovered as part of </w:t>
      </w:r>
      <w:proofErr w:type="spellStart"/>
      <w:r>
        <w:t>DUoS</w:t>
      </w:r>
      <w:proofErr w:type="spellEnd"/>
      <w:r>
        <w:t xml:space="preserve"> but not within the building block revenue, such as the Solar Bonus Scheme feed-in tariff (</w:t>
      </w:r>
      <w:proofErr w:type="spellStart"/>
      <w:r>
        <w:t>FiT</w:t>
      </w:r>
      <w:proofErr w:type="spellEnd"/>
      <w:r>
        <w:t>).</w:t>
      </w:r>
    </w:p>
  </w:footnote>
  <w:footnote w:id="2">
    <w:p w:rsidR="0008113D" w:rsidRDefault="0008113D" w:rsidP="00134217">
      <w:pPr>
        <w:pStyle w:val="FootnoteText"/>
      </w:pPr>
      <w:r>
        <w:rPr>
          <w:rStyle w:val="FootnoteReference"/>
        </w:rPr>
        <w:footnoteRef/>
      </w:r>
      <w:r>
        <w:t xml:space="preserve"> </w:t>
      </w:r>
      <w:r>
        <w:tab/>
        <w:t xml:space="preserve">AER, </w:t>
      </w:r>
      <w:r w:rsidRPr="00186C55">
        <w:rPr>
          <w:rStyle w:val="AERtextitalic"/>
        </w:rPr>
        <w:t>Preliminary decision, E</w:t>
      </w:r>
      <w:r>
        <w:rPr>
          <w:rStyle w:val="AERtextitalic"/>
        </w:rPr>
        <w:t>rgon Energy</w:t>
      </w:r>
      <w:r w:rsidRPr="00186C55">
        <w:rPr>
          <w:rStyle w:val="AERtextitalic"/>
        </w:rPr>
        <w:t xml:space="preserve"> determination 2015–16 to 2019–20 – Attachment 1 – Annual revenue requirement</w:t>
      </w:r>
      <w:r>
        <w:t>, April 2015, p. 7.</w:t>
      </w:r>
    </w:p>
  </w:footnote>
  <w:footnote w:id="3">
    <w:p w:rsidR="0008113D" w:rsidRDefault="0008113D" w:rsidP="00A26B1C">
      <w:pPr>
        <w:pStyle w:val="FootnoteText"/>
      </w:pPr>
      <w:r>
        <w:rPr>
          <w:rStyle w:val="FootnoteReference"/>
        </w:rPr>
        <w:footnoteRef/>
      </w:r>
      <w:r>
        <w:t xml:space="preserve"> </w:t>
      </w:r>
      <w:r>
        <w:tab/>
        <w:t xml:space="preserve">AER, </w:t>
      </w:r>
      <w:r w:rsidRPr="00186C55">
        <w:rPr>
          <w:rStyle w:val="AERtextitalic"/>
        </w:rPr>
        <w:t>Preliminary decision, E</w:t>
      </w:r>
      <w:r>
        <w:rPr>
          <w:rStyle w:val="AERtextitalic"/>
        </w:rPr>
        <w:t xml:space="preserve">rgon Energy </w:t>
      </w:r>
      <w:r w:rsidRPr="00186C55">
        <w:rPr>
          <w:rStyle w:val="AERtextitalic"/>
        </w:rPr>
        <w:t>determination 2015–16 to 2019–20 – Attachment 1 – Annual revenue requirement</w:t>
      </w:r>
      <w:r>
        <w:t>, April 2015, pp. 9–11.</w:t>
      </w:r>
    </w:p>
  </w:footnote>
  <w:footnote w:id="4">
    <w:p w:rsidR="0008113D" w:rsidRDefault="0008113D" w:rsidP="00A26B1C">
      <w:pPr>
        <w:pStyle w:val="FootnoteText"/>
      </w:pPr>
      <w:r>
        <w:rPr>
          <w:rStyle w:val="FootnoteReference"/>
        </w:rPr>
        <w:footnoteRef/>
      </w:r>
      <w:r>
        <w:t xml:space="preserve"> </w:t>
      </w:r>
      <w:r>
        <w:tab/>
      </w:r>
      <w:proofErr w:type="gramStart"/>
      <w:r>
        <w:t>NER, cl. 11.60.3.</w:t>
      </w:r>
      <w:proofErr w:type="gramEnd"/>
    </w:p>
  </w:footnote>
  <w:footnote w:id="5">
    <w:p w:rsidR="0008113D" w:rsidRDefault="0008113D" w:rsidP="00A26B1C">
      <w:pPr>
        <w:pStyle w:val="FootnoteText"/>
      </w:pPr>
      <w:r>
        <w:rPr>
          <w:rStyle w:val="FootnoteReference"/>
        </w:rPr>
        <w:footnoteRef/>
      </w:r>
      <w:r>
        <w:t xml:space="preserve"> </w:t>
      </w:r>
      <w:r>
        <w:tab/>
        <w:t xml:space="preserve">AER, </w:t>
      </w:r>
      <w:r w:rsidRPr="00186C55">
        <w:rPr>
          <w:rStyle w:val="AERtextitalic"/>
        </w:rPr>
        <w:t>Preliminary decision, E</w:t>
      </w:r>
      <w:r>
        <w:rPr>
          <w:rStyle w:val="AERtextitalic"/>
        </w:rPr>
        <w:t>rgon Energy</w:t>
      </w:r>
      <w:r w:rsidRPr="00186C55">
        <w:rPr>
          <w:rStyle w:val="AERtextitalic"/>
        </w:rPr>
        <w:t xml:space="preserve"> determination 2015–16 to 2019–20 – Attachment 1 – Annual revenue requirement</w:t>
      </w:r>
      <w:r>
        <w:t>, April 2015, p. 7.</w:t>
      </w:r>
    </w:p>
  </w:footnote>
  <w:footnote w:id="6">
    <w:p w:rsidR="0008113D" w:rsidRDefault="0008113D" w:rsidP="00A26B1C">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11.60.4(</w:t>
      </w:r>
      <w:proofErr w:type="gramStart"/>
      <w:r>
        <w:t>d</w:t>
      </w:r>
      <w:proofErr w:type="gramEnd"/>
      <w:r>
        <w:t>)(1) and (e).</w:t>
      </w:r>
    </w:p>
  </w:footnote>
  <w:footnote w:id="7">
    <w:p w:rsidR="0008113D" w:rsidRDefault="0008113D" w:rsidP="00A26B1C">
      <w:pPr>
        <w:pStyle w:val="FootnoteText"/>
      </w:pPr>
      <w:r>
        <w:rPr>
          <w:rStyle w:val="FootnoteReference"/>
        </w:rPr>
        <w:footnoteRef/>
      </w:r>
      <w:r>
        <w:t xml:space="preserve"> </w:t>
      </w:r>
      <w:r>
        <w:tab/>
        <w:t xml:space="preserve">The X factors represent the </w:t>
      </w:r>
      <w:r w:rsidRPr="00771F80">
        <w:t>rate of change in the</w:t>
      </w:r>
      <w:r>
        <w:t xml:space="preserve"> real revenue path over the 2015–20 regulatory control </w:t>
      </w:r>
      <w:proofErr w:type="gramStart"/>
      <w:r>
        <w:t>period</w:t>
      </w:r>
      <w:proofErr w:type="gramEnd"/>
      <w:r>
        <w:t xml:space="preserve"> under the CPI–X framework. They must </w:t>
      </w:r>
      <w:r w:rsidRPr="00F50D2E">
        <w:t>equalise (in net present value</w:t>
      </w:r>
      <w:r w:rsidRPr="007F412B">
        <w:t xml:space="preserve"> </w:t>
      </w:r>
      <w:r>
        <w:t>terms</w:t>
      </w:r>
      <w:r w:rsidRPr="00F50D2E">
        <w:t xml:space="preserve">) the </w:t>
      </w:r>
      <w:r>
        <w:t xml:space="preserve">total expected </w:t>
      </w:r>
      <w:r w:rsidRPr="00F50D2E">
        <w:t>revenue</w:t>
      </w:r>
      <w:r>
        <w:t>s</w:t>
      </w:r>
      <w:r w:rsidRPr="00F50D2E">
        <w:t xml:space="preserve"> to be earned by the </w:t>
      </w:r>
      <w:r>
        <w:t>s</w:t>
      </w:r>
      <w:r w:rsidRPr="00F50D2E">
        <w:t xml:space="preserve">ervice </w:t>
      </w:r>
      <w:r>
        <w:t>p</w:t>
      </w:r>
      <w:r w:rsidRPr="00F50D2E">
        <w:t xml:space="preserve">rovider with the total </w:t>
      </w:r>
      <w:r>
        <w:t>revenue requirement</w:t>
      </w:r>
      <w:r w:rsidRPr="00F50D2E">
        <w:t xml:space="preserve"> </w:t>
      </w:r>
      <w:r>
        <w:t xml:space="preserve">for that </w:t>
      </w:r>
      <w:r w:rsidRPr="00F50D2E">
        <w:t>period</w:t>
      </w:r>
      <w:r>
        <w:t>.</w:t>
      </w:r>
    </w:p>
  </w:footnote>
  <w:footnote w:id="8">
    <w:p w:rsidR="0008113D" w:rsidRDefault="0008113D">
      <w:pPr>
        <w:pStyle w:val="FootnoteText"/>
      </w:pPr>
      <w:r>
        <w:rPr>
          <w:rStyle w:val="FootnoteReference"/>
        </w:rPr>
        <w:footnoteRef/>
      </w:r>
      <w:r>
        <w:t xml:space="preserve"> </w:t>
      </w:r>
      <w:r>
        <w:tab/>
        <w:t xml:space="preserve">AER, </w:t>
      </w:r>
      <w:r w:rsidRPr="00186C55">
        <w:rPr>
          <w:rStyle w:val="AERtextitalic"/>
        </w:rPr>
        <w:t>Preliminary decision, E</w:t>
      </w:r>
      <w:r>
        <w:rPr>
          <w:rStyle w:val="AERtextitalic"/>
        </w:rPr>
        <w:t>rgon E</w:t>
      </w:r>
      <w:r w:rsidRPr="00186C55">
        <w:rPr>
          <w:rStyle w:val="AERtextitalic"/>
        </w:rPr>
        <w:t>nerg</w:t>
      </w:r>
      <w:r>
        <w:rPr>
          <w:rStyle w:val="AERtextitalic"/>
        </w:rPr>
        <w:t xml:space="preserve">y </w:t>
      </w:r>
      <w:r w:rsidRPr="00186C55">
        <w:rPr>
          <w:rStyle w:val="AERtextitalic"/>
        </w:rPr>
        <w:t>determination 2015–16 to 2019–20 – Attachment 1 – Annual revenue requirement</w:t>
      </w:r>
      <w:r>
        <w:t>, April 2015, Table 1.3.</w:t>
      </w:r>
    </w:p>
  </w:footnote>
  <w:footnote w:id="9">
    <w:p w:rsidR="0008113D" w:rsidRDefault="0008113D" w:rsidP="00D32D6D">
      <w:pPr>
        <w:pStyle w:val="FootnoteText"/>
      </w:pPr>
      <w:r>
        <w:rPr>
          <w:rStyle w:val="FootnoteReference"/>
        </w:rPr>
        <w:footnoteRef/>
      </w:r>
      <w:r>
        <w:t xml:space="preserve"> </w:t>
      </w:r>
      <w:r>
        <w:tab/>
      </w:r>
      <w:r w:rsidRPr="00C729DC">
        <w:t>In the present circumstances, based on the X factors we have determined</w:t>
      </w:r>
      <w:r>
        <w:t xml:space="preserve"> for Ergon Energy</w:t>
      </w:r>
      <w:r w:rsidRPr="00C729DC">
        <w:t xml:space="preserve">, this divergence is </w:t>
      </w:r>
      <w:r>
        <w:t>around 3.0 </w:t>
      </w:r>
      <w:r w:rsidRPr="00C729DC">
        <w:t>per cent.</w:t>
      </w:r>
      <w:r>
        <w:t xml:space="preserve"> </w:t>
      </w:r>
    </w:p>
  </w:footnote>
  <w:footnote w:id="10">
    <w:p w:rsidR="0008113D" w:rsidRDefault="0008113D">
      <w:pPr>
        <w:pStyle w:val="FootnoteText"/>
      </w:pPr>
      <w:r>
        <w:rPr>
          <w:rStyle w:val="FootnoteReference"/>
        </w:rPr>
        <w:footnoteRef/>
      </w:r>
      <w:r>
        <w:t xml:space="preserve"> </w:t>
      </w:r>
      <w:r>
        <w:tab/>
      </w:r>
      <w:proofErr w:type="gramStart"/>
      <w:r>
        <w:t xml:space="preserve">Alliance of Energy Consumers, </w:t>
      </w:r>
      <w:r w:rsidRPr="0068563B">
        <w:rPr>
          <w:rStyle w:val="AERtextitalic"/>
        </w:rPr>
        <w:t>Submission to the AER's preliminary decision (Queensland),</w:t>
      </w:r>
      <w:r>
        <w:t xml:space="preserve"> 3 July 2015, p. 32.</w:t>
      </w:r>
      <w:proofErr w:type="gramEnd"/>
    </w:p>
  </w:footnote>
  <w:footnote w:id="11">
    <w:p w:rsidR="0008113D" w:rsidRDefault="0008113D" w:rsidP="00D32D6D">
      <w:pPr>
        <w:pStyle w:val="FootnoteText"/>
      </w:pPr>
      <w:r>
        <w:rPr>
          <w:rStyle w:val="FootnoteReference"/>
        </w:rPr>
        <w:footnoteRef/>
      </w:r>
      <w:r>
        <w:t xml:space="preserve"> </w:t>
      </w:r>
      <w:r>
        <w:tab/>
      </w:r>
      <w:proofErr w:type="gramStart"/>
      <w:r>
        <w:t xml:space="preserve">NER, </w:t>
      </w:r>
      <w:proofErr w:type="spellStart"/>
      <w:r>
        <w:t>cl</w:t>
      </w:r>
      <w:r w:rsidR="002C3A72">
        <w:t>l</w:t>
      </w:r>
      <w:proofErr w:type="spellEnd"/>
      <w:r w:rsidR="002C3A72">
        <w:t>.</w:t>
      </w:r>
      <w:proofErr w:type="gramEnd"/>
      <w:r>
        <w:t xml:space="preserve"> 6.4.3(</w:t>
      </w:r>
      <w:proofErr w:type="gramStart"/>
      <w:r>
        <w:t>a</w:t>
      </w:r>
      <w:proofErr w:type="gramEnd"/>
      <w:r>
        <w:t>)(5), (6), (6A).</w:t>
      </w:r>
    </w:p>
  </w:footnote>
  <w:footnote w:id="12">
    <w:p w:rsidR="0008113D" w:rsidRDefault="0008113D">
      <w:pPr>
        <w:pStyle w:val="FootnoteText"/>
      </w:pPr>
      <w:r>
        <w:rPr>
          <w:rStyle w:val="FootnoteReference"/>
        </w:rPr>
        <w:footnoteRef/>
      </w:r>
      <w:r>
        <w:t xml:space="preserve"> </w:t>
      </w:r>
      <w:r>
        <w:tab/>
        <w:t xml:space="preserve">Balances of the </w:t>
      </w:r>
      <w:proofErr w:type="spellStart"/>
      <w:r>
        <w:t>unders</w:t>
      </w:r>
      <w:proofErr w:type="spellEnd"/>
      <w:r>
        <w:t xml:space="preserve"> and overs account of less than 2 per cent were to be recovered in one year, while balances between 2 to 5 per cent were to be recovered over two years.</w:t>
      </w:r>
    </w:p>
  </w:footnote>
  <w:footnote w:id="13">
    <w:p w:rsidR="0008113D" w:rsidRDefault="0008113D" w:rsidP="00D32D6D">
      <w:pPr>
        <w:pStyle w:val="FootnoteText"/>
      </w:pPr>
      <w:r>
        <w:rPr>
          <w:rStyle w:val="FootnoteReference"/>
        </w:rPr>
        <w:footnoteRef/>
      </w:r>
      <w:r>
        <w:t xml:space="preserve"> </w:t>
      </w:r>
      <w:r>
        <w:tab/>
      </w:r>
      <w:proofErr w:type="gramStart"/>
      <w:r>
        <w:t>NER, cl. 6.4.4.</w:t>
      </w:r>
      <w:proofErr w:type="gramEnd"/>
    </w:p>
  </w:footnote>
  <w:footnote w:id="14">
    <w:p w:rsidR="0008113D" w:rsidRDefault="0008113D" w:rsidP="00D32D6D">
      <w:pPr>
        <w:pStyle w:val="FootnoteText"/>
      </w:pPr>
      <w:r>
        <w:rPr>
          <w:rStyle w:val="FootnoteReference"/>
        </w:rPr>
        <w:footnoteRef/>
      </w:r>
      <w:r>
        <w:t xml:space="preserve"> </w:t>
      </w:r>
      <w:r>
        <w:tab/>
      </w:r>
      <w:proofErr w:type="gramStart"/>
      <w:r>
        <w:t xml:space="preserve">AER, </w:t>
      </w:r>
      <w:r w:rsidRPr="006B7504">
        <w:rPr>
          <w:rStyle w:val="AERtextitalic"/>
        </w:rPr>
        <w:t>Shared asset guideline</w:t>
      </w:r>
      <w:r>
        <w:t>, November 2013.</w:t>
      </w:r>
      <w:proofErr w:type="gramEnd"/>
    </w:p>
  </w:footnote>
  <w:footnote w:id="15">
    <w:p w:rsidR="0008113D" w:rsidRDefault="0008113D" w:rsidP="00D32D6D">
      <w:pPr>
        <w:pStyle w:val="FootnoteText"/>
      </w:pPr>
      <w:r>
        <w:rPr>
          <w:rStyle w:val="FootnoteReference"/>
        </w:rPr>
        <w:footnoteRef/>
      </w:r>
      <w:r>
        <w:t xml:space="preserve"> </w:t>
      </w:r>
      <w:r>
        <w:tab/>
      </w:r>
      <w:proofErr w:type="gramStart"/>
      <w:r>
        <w:t xml:space="preserve">AER, </w:t>
      </w:r>
      <w:r w:rsidRPr="00D03746">
        <w:rPr>
          <w:rStyle w:val="AERtextitalic"/>
        </w:rPr>
        <w:t>Shared asset guideline</w:t>
      </w:r>
      <w:r>
        <w:t>, November 2013, p. 8.</w:t>
      </w:r>
      <w:proofErr w:type="gramEnd"/>
    </w:p>
  </w:footnote>
  <w:footnote w:id="16">
    <w:p w:rsidR="0008113D" w:rsidRDefault="0008113D">
      <w:pPr>
        <w:pStyle w:val="FootnoteText"/>
      </w:pPr>
      <w:r>
        <w:rPr>
          <w:rStyle w:val="FootnoteReference"/>
        </w:rPr>
        <w:footnoteRef/>
      </w:r>
      <w:r>
        <w:t xml:space="preserve"> </w:t>
      </w:r>
      <w:r>
        <w:tab/>
        <w:t xml:space="preserve">AER, </w:t>
      </w:r>
      <w:r w:rsidRPr="00186C55">
        <w:rPr>
          <w:rStyle w:val="AERtextitalic"/>
        </w:rPr>
        <w:t>Preliminary decision, E</w:t>
      </w:r>
      <w:r>
        <w:rPr>
          <w:rStyle w:val="AERtextitalic"/>
        </w:rPr>
        <w:t>rgon E</w:t>
      </w:r>
      <w:r w:rsidRPr="00186C55">
        <w:rPr>
          <w:rStyle w:val="AERtextitalic"/>
        </w:rPr>
        <w:t>nerg</w:t>
      </w:r>
      <w:r>
        <w:rPr>
          <w:rStyle w:val="AERtextitalic"/>
        </w:rPr>
        <w:t xml:space="preserve">y </w:t>
      </w:r>
      <w:r w:rsidRPr="00186C55">
        <w:rPr>
          <w:rStyle w:val="AERtextitalic"/>
        </w:rPr>
        <w:t>determination 2015–16 to 2019–20 – Attachment 1 – Annual revenue requirement</w:t>
      </w:r>
      <w:r>
        <w:t>, April 2015, pp. 16–18.</w:t>
      </w:r>
    </w:p>
  </w:footnote>
  <w:footnote w:id="17">
    <w:p w:rsidR="0008113D" w:rsidRDefault="0008113D">
      <w:pPr>
        <w:pStyle w:val="FootnoteText"/>
      </w:pPr>
      <w:r>
        <w:rPr>
          <w:rStyle w:val="FootnoteReference"/>
        </w:rPr>
        <w:footnoteRef/>
      </w:r>
      <w:r>
        <w:t xml:space="preserve"> </w:t>
      </w:r>
      <w:r>
        <w:tab/>
        <w:t xml:space="preserve">Ergon Energy, </w:t>
      </w:r>
      <w:r w:rsidRPr="00D7492F">
        <w:rPr>
          <w:rStyle w:val="AERtextitalic"/>
        </w:rPr>
        <w:t>Submission to the AER on its preliminary determination – SCS building blocks, control mechanism and pricing</w:t>
      </w:r>
      <w:r>
        <w:t>, October 2015, p. 13.</w:t>
      </w:r>
    </w:p>
  </w:footnote>
  <w:footnote w:id="18">
    <w:p w:rsidR="0008113D" w:rsidRDefault="0008113D" w:rsidP="00D7492F">
      <w:pPr>
        <w:pStyle w:val="FootnoteText"/>
      </w:pPr>
      <w:r>
        <w:rPr>
          <w:rStyle w:val="FootnoteReference"/>
        </w:rPr>
        <w:footnoteRef/>
      </w:r>
      <w:r>
        <w:t xml:space="preserve"> </w:t>
      </w:r>
      <w:r>
        <w:tab/>
      </w:r>
      <w:proofErr w:type="gramStart"/>
      <w:r>
        <w:t>NER, cl. 6.5.1(a).</w:t>
      </w:r>
      <w:proofErr w:type="gramEnd"/>
    </w:p>
  </w:footnote>
  <w:footnote w:id="19">
    <w:p w:rsidR="0008113D" w:rsidRDefault="0008113D">
      <w:pPr>
        <w:pStyle w:val="FootnoteText"/>
      </w:pPr>
      <w:r>
        <w:rPr>
          <w:rStyle w:val="FootnoteReference"/>
        </w:rPr>
        <w:footnoteRef/>
      </w:r>
      <w:r>
        <w:t xml:space="preserve"> </w:t>
      </w:r>
      <w:r>
        <w:tab/>
        <w:t xml:space="preserve">Ergon Energy, </w:t>
      </w:r>
      <w:r w:rsidR="002C3A72">
        <w:t>response to AER Ergon 098 received by the AER on 30 September 2015.</w:t>
      </w:r>
    </w:p>
  </w:footnote>
  <w:footnote w:id="20">
    <w:p w:rsidR="0008113D" w:rsidRDefault="0008113D">
      <w:pPr>
        <w:pStyle w:val="FootnoteText"/>
      </w:pPr>
      <w:r>
        <w:rPr>
          <w:rStyle w:val="FootnoteReference"/>
        </w:rPr>
        <w:footnoteRef/>
      </w:r>
      <w:r>
        <w:t xml:space="preserve"> </w:t>
      </w:r>
      <w:r>
        <w:tab/>
      </w:r>
      <w:r w:rsidRPr="00481870">
        <w:t xml:space="preserve">Distribution charges represent approximately </w:t>
      </w:r>
      <w:r>
        <w:t>42 </w:t>
      </w:r>
      <w:r w:rsidRPr="00481870">
        <w:t xml:space="preserve">per cent on average of </w:t>
      </w:r>
      <w:r>
        <w:t>Energex's</w:t>
      </w:r>
      <w:r w:rsidRPr="00481870">
        <w:t xml:space="preserve"> typical customer's annual electricity </w:t>
      </w:r>
      <w:r>
        <w:t>bill.</w:t>
      </w:r>
    </w:p>
  </w:footnote>
  <w:footnote w:id="21">
    <w:p w:rsidR="0008113D" w:rsidRDefault="0008113D" w:rsidP="00D32D6D">
      <w:pPr>
        <w:pStyle w:val="FootnoteText"/>
      </w:pPr>
      <w:r>
        <w:rPr>
          <w:rStyle w:val="FootnoteReference"/>
        </w:rPr>
        <w:footnoteRef/>
      </w:r>
      <w:r>
        <w:t xml:space="preserve"> </w:t>
      </w:r>
      <w:r>
        <w:tab/>
        <w:t>QCA</w:t>
      </w:r>
      <w:r w:rsidRPr="003B2318">
        <w:t xml:space="preserve">, </w:t>
      </w:r>
      <w:r w:rsidRPr="003B2318">
        <w:rPr>
          <w:rStyle w:val="AERtextitalic"/>
        </w:rPr>
        <w:t xml:space="preserve">Final </w:t>
      </w:r>
      <w:r>
        <w:rPr>
          <w:rStyle w:val="AERtextitalic"/>
        </w:rPr>
        <w:t>determination</w:t>
      </w:r>
      <w:r w:rsidRPr="003B2318">
        <w:rPr>
          <w:rStyle w:val="AERtextitalic"/>
        </w:rPr>
        <w:t>: Re</w:t>
      </w:r>
      <w:r>
        <w:rPr>
          <w:rStyle w:val="AERtextitalic"/>
        </w:rPr>
        <w:t>gulated retail electricity prices 2014-15</w:t>
      </w:r>
      <w:r w:rsidRPr="003B2318">
        <w:t xml:space="preserve">, </w:t>
      </w:r>
      <w:r>
        <w:t xml:space="preserve">May </w:t>
      </w:r>
      <w:r w:rsidRPr="003B2318">
        <w:t>201</w:t>
      </w:r>
      <w:r>
        <w:t>4</w:t>
      </w:r>
      <w:r w:rsidRPr="003B2318">
        <w:t xml:space="preserve">, p. </w:t>
      </w:r>
      <w:r>
        <w:t>116</w:t>
      </w:r>
      <w:r w:rsidRPr="003B231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95C7239"/>
    <w:multiLevelType w:val="multilevel"/>
    <w:tmpl w:val="950A1C52"/>
    <w:numStyleLink w:val="AERHeadings"/>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C8076DD"/>
    <w:multiLevelType w:val="multilevel"/>
    <w:tmpl w:val="950A1C52"/>
    <w:numStyleLink w:val="AERHeadings"/>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6BF27E3B"/>
    <w:multiLevelType w:val="multilevel"/>
    <w:tmpl w:val="950A1C52"/>
    <w:numStyleLink w:val="AERHeadings"/>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2"/>
  </w:num>
  <w:num w:numId="14">
    <w:abstractNumId w:val="10"/>
  </w:num>
  <w:num w:numId="15">
    <w:abstractNumId w:val="12"/>
  </w:num>
  <w:num w:numId="16">
    <w:abstractNumId w:val="26"/>
  </w:num>
  <w:num w:numId="17">
    <w:abstractNumId w:val="9"/>
  </w:num>
  <w:num w:numId="18">
    <w:abstractNumId w:val="16"/>
  </w:num>
  <w:num w:numId="19">
    <w:abstractNumId w:val="27"/>
  </w:num>
  <w:num w:numId="20">
    <w:abstractNumId w:val="35"/>
  </w:num>
  <w:num w:numId="21">
    <w:abstractNumId w:val="13"/>
  </w:num>
  <w:num w:numId="22">
    <w:abstractNumId w:val="30"/>
  </w:num>
  <w:num w:numId="23">
    <w:abstractNumId w:val="28"/>
  </w:num>
  <w:num w:numId="24">
    <w:abstractNumId w:val="20"/>
  </w:num>
  <w:num w:numId="25">
    <w:abstractNumId w:val="29"/>
  </w:num>
  <w:num w:numId="26">
    <w:abstractNumId w:val="31"/>
  </w:num>
  <w:num w:numId="27">
    <w:abstractNumId w:val="21"/>
  </w:num>
  <w:num w:numId="28">
    <w:abstractNumId w:val="18"/>
  </w:num>
  <w:num w:numId="29">
    <w:abstractNumId w:val="15"/>
  </w:num>
  <w:num w:numId="30">
    <w:abstractNumId w:val="36"/>
  </w:num>
  <w:num w:numId="31">
    <w:abstractNumId w:val="14"/>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19"/>
  </w:num>
  <w:num w:numId="38">
    <w:abstractNumId w:val="25"/>
  </w:num>
  <w:num w:numId="39">
    <w:abstractNumId w:val="33"/>
  </w:num>
  <w:num w:numId="40">
    <w:abstractNumId w:val="23"/>
  </w:num>
  <w:num w:numId="41">
    <w:abstractNumId w:val="17"/>
  </w:num>
  <w:num w:numId="42">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SEwTNTkOws5V524WcmP2PTfOpLqSdiwhWpiUf0WIMV8=" w:saltValue="d+lkupKDINZaoAY8JdSSBw==" w:algorithmName="SHA-256"/>
  <w:defaultTabStop w:val="34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QldSA DX 2015-20 resets\ERGON revised prop and FD\Ergon FD PUBLIC\Ergon - Overview and attachments\AER - Final decision Ergon Energy distribution determination - Attachment 1 - Annual revenue requirement - October 2015.DOCX"/>
  </w:docVars>
  <w:rsids>
    <w:rsidRoot w:val="00961A4A"/>
    <w:rsid w:val="000123FB"/>
    <w:rsid w:val="00017D6B"/>
    <w:rsid w:val="00021202"/>
    <w:rsid w:val="00022BCB"/>
    <w:rsid w:val="0002517F"/>
    <w:rsid w:val="0003578C"/>
    <w:rsid w:val="00035B35"/>
    <w:rsid w:val="00063247"/>
    <w:rsid w:val="00070F9F"/>
    <w:rsid w:val="0007137B"/>
    <w:rsid w:val="0008113D"/>
    <w:rsid w:val="00085663"/>
    <w:rsid w:val="00085EBF"/>
    <w:rsid w:val="000A3020"/>
    <w:rsid w:val="000A53DB"/>
    <w:rsid w:val="000A6C7B"/>
    <w:rsid w:val="000B235B"/>
    <w:rsid w:val="000B6B81"/>
    <w:rsid w:val="000C66B6"/>
    <w:rsid w:val="000D122C"/>
    <w:rsid w:val="000D590E"/>
    <w:rsid w:val="000E1819"/>
    <w:rsid w:val="000E4821"/>
    <w:rsid w:val="000E6C72"/>
    <w:rsid w:val="000F1CCC"/>
    <w:rsid w:val="00116EB2"/>
    <w:rsid w:val="001201F1"/>
    <w:rsid w:val="00124609"/>
    <w:rsid w:val="001265C8"/>
    <w:rsid w:val="00126A4C"/>
    <w:rsid w:val="0013204D"/>
    <w:rsid w:val="00134217"/>
    <w:rsid w:val="001343E5"/>
    <w:rsid w:val="00140CAC"/>
    <w:rsid w:val="0014573B"/>
    <w:rsid w:val="00146AAF"/>
    <w:rsid w:val="001518A6"/>
    <w:rsid w:val="001573E4"/>
    <w:rsid w:val="00160756"/>
    <w:rsid w:val="00161828"/>
    <w:rsid w:val="0017232E"/>
    <w:rsid w:val="00174102"/>
    <w:rsid w:val="00180157"/>
    <w:rsid w:val="00185CB9"/>
    <w:rsid w:val="00186F77"/>
    <w:rsid w:val="00192018"/>
    <w:rsid w:val="001926A4"/>
    <w:rsid w:val="00192AD5"/>
    <w:rsid w:val="001B45A0"/>
    <w:rsid w:val="001D055E"/>
    <w:rsid w:val="001D3527"/>
    <w:rsid w:val="001E19DB"/>
    <w:rsid w:val="001F492E"/>
    <w:rsid w:val="001F6DA3"/>
    <w:rsid w:val="002010BC"/>
    <w:rsid w:val="00202E03"/>
    <w:rsid w:val="002043BB"/>
    <w:rsid w:val="0020492C"/>
    <w:rsid w:val="00204CCB"/>
    <w:rsid w:val="00212631"/>
    <w:rsid w:val="00216CC4"/>
    <w:rsid w:val="00224DB9"/>
    <w:rsid w:val="00232DE0"/>
    <w:rsid w:val="00233775"/>
    <w:rsid w:val="00251745"/>
    <w:rsid w:val="002577FD"/>
    <w:rsid w:val="00263AC0"/>
    <w:rsid w:val="00264264"/>
    <w:rsid w:val="0026647C"/>
    <w:rsid w:val="0026772D"/>
    <w:rsid w:val="002831D7"/>
    <w:rsid w:val="00286874"/>
    <w:rsid w:val="00290C63"/>
    <w:rsid w:val="00296B65"/>
    <w:rsid w:val="002A7DEF"/>
    <w:rsid w:val="002C3A72"/>
    <w:rsid w:val="002C5246"/>
    <w:rsid w:val="002C54CB"/>
    <w:rsid w:val="002D3007"/>
    <w:rsid w:val="002E074F"/>
    <w:rsid w:val="002E7B22"/>
    <w:rsid w:val="002F7986"/>
    <w:rsid w:val="00301B40"/>
    <w:rsid w:val="003029EE"/>
    <w:rsid w:val="00305CC8"/>
    <w:rsid w:val="00307F6D"/>
    <w:rsid w:val="003177A2"/>
    <w:rsid w:val="003201F8"/>
    <w:rsid w:val="003271B5"/>
    <w:rsid w:val="00327A1E"/>
    <w:rsid w:val="00331264"/>
    <w:rsid w:val="00334C8D"/>
    <w:rsid w:val="00343A18"/>
    <w:rsid w:val="003518B3"/>
    <w:rsid w:val="003523FF"/>
    <w:rsid w:val="003539A9"/>
    <w:rsid w:val="00355EBC"/>
    <w:rsid w:val="00363812"/>
    <w:rsid w:val="00370A5A"/>
    <w:rsid w:val="003846F1"/>
    <w:rsid w:val="003A208D"/>
    <w:rsid w:val="003A5CE0"/>
    <w:rsid w:val="003B255F"/>
    <w:rsid w:val="003B484F"/>
    <w:rsid w:val="003C49BF"/>
    <w:rsid w:val="003C5AB1"/>
    <w:rsid w:val="003D05AA"/>
    <w:rsid w:val="003D51B8"/>
    <w:rsid w:val="003D5E85"/>
    <w:rsid w:val="003F174D"/>
    <w:rsid w:val="003F3D78"/>
    <w:rsid w:val="00420D2C"/>
    <w:rsid w:val="004224C3"/>
    <w:rsid w:val="0045777E"/>
    <w:rsid w:val="00480B4B"/>
    <w:rsid w:val="00482CF1"/>
    <w:rsid w:val="00485DC4"/>
    <w:rsid w:val="00486E6B"/>
    <w:rsid w:val="004A43D1"/>
    <w:rsid w:val="004B4412"/>
    <w:rsid w:val="004C1B4A"/>
    <w:rsid w:val="004C272B"/>
    <w:rsid w:val="004C348C"/>
    <w:rsid w:val="004D0898"/>
    <w:rsid w:val="004D55BA"/>
    <w:rsid w:val="004E22EC"/>
    <w:rsid w:val="004E4D2F"/>
    <w:rsid w:val="004F5D73"/>
    <w:rsid w:val="00530128"/>
    <w:rsid w:val="00532467"/>
    <w:rsid w:val="005441D3"/>
    <w:rsid w:val="00550A97"/>
    <w:rsid w:val="00564A4D"/>
    <w:rsid w:val="00567BA5"/>
    <w:rsid w:val="00571B35"/>
    <w:rsid w:val="00571D57"/>
    <w:rsid w:val="00572508"/>
    <w:rsid w:val="00573F7E"/>
    <w:rsid w:val="00577A09"/>
    <w:rsid w:val="005805B7"/>
    <w:rsid w:val="005829C2"/>
    <w:rsid w:val="00584D8F"/>
    <w:rsid w:val="005A404D"/>
    <w:rsid w:val="005A51AF"/>
    <w:rsid w:val="005B03BC"/>
    <w:rsid w:val="005B1E3C"/>
    <w:rsid w:val="005B7E40"/>
    <w:rsid w:val="005C26CC"/>
    <w:rsid w:val="005D7BA2"/>
    <w:rsid w:val="005E36C2"/>
    <w:rsid w:val="005E442C"/>
    <w:rsid w:val="005F583E"/>
    <w:rsid w:val="00610176"/>
    <w:rsid w:val="00615C6B"/>
    <w:rsid w:val="00621DCE"/>
    <w:rsid w:val="00632D6D"/>
    <w:rsid w:val="0063316E"/>
    <w:rsid w:val="006365E3"/>
    <w:rsid w:val="006373F7"/>
    <w:rsid w:val="00642C3E"/>
    <w:rsid w:val="00644A70"/>
    <w:rsid w:val="00655324"/>
    <w:rsid w:val="006554B7"/>
    <w:rsid w:val="0066104A"/>
    <w:rsid w:val="00662EC8"/>
    <w:rsid w:val="00663DAD"/>
    <w:rsid w:val="00675E20"/>
    <w:rsid w:val="00676679"/>
    <w:rsid w:val="00683C89"/>
    <w:rsid w:val="0068563B"/>
    <w:rsid w:val="00694DB1"/>
    <w:rsid w:val="00696A91"/>
    <w:rsid w:val="006B2395"/>
    <w:rsid w:val="006B4CF9"/>
    <w:rsid w:val="006B7AC8"/>
    <w:rsid w:val="006D550F"/>
    <w:rsid w:val="006E17B2"/>
    <w:rsid w:val="006E3B78"/>
    <w:rsid w:val="006E6AB1"/>
    <w:rsid w:val="006F28A8"/>
    <w:rsid w:val="00701CAB"/>
    <w:rsid w:val="007041A9"/>
    <w:rsid w:val="00704DDD"/>
    <w:rsid w:val="00707563"/>
    <w:rsid w:val="0072076C"/>
    <w:rsid w:val="00721066"/>
    <w:rsid w:val="0072348C"/>
    <w:rsid w:val="00724A37"/>
    <w:rsid w:val="00725809"/>
    <w:rsid w:val="007303C3"/>
    <w:rsid w:val="00737299"/>
    <w:rsid w:val="007429BE"/>
    <w:rsid w:val="00743223"/>
    <w:rsid w:val="00746E01"/>
    <w:rsid w:val="00757BDF"/>
    <w:rsid w:val="00760869"/>
    <w:rsid w:val="0076224C"/>
    <w:rsid w:val="007634DC"/>
    <w:rsid w:val="00763E5D"/>
    <w:rsid w:val="00767740"/>
    <w:rsid w:val="00776910"/>
    <w:rsid w:val="00777EE6"/>
    <w:rsid w:val="00782EEA"/>
    <w:rsid w:val="00793C7F"/>
    <w:rsid w:val="007A5174"/>
    <w:rsid w:val="007B2C72"/>
    <w:rsid w:val="007C1C53"/>
    <w:rsid w:val="007C74BB"/>
    <w:rsid w:val="007D32D5"/>
    <w:rsid w:val="007E4904"/>
    <w:rsid w:val="007E4CB5"/>
    <w:rsid w:val="007F066B"/>
    <w:rsid w:val="008033C4"/>
    <w:rsid w:val="00806C88"/>
    <w:rsid w:val="008079C8"/>
    <w:rsid w:val="0081034E"/>
    <w:rsid w:val="00816219"/>
    <w:rsid w:val="008179C0"/>
    <w:rsid w:val="00831B48"/>
    <w:rsid w:val="008344F6"/>
    <w:rsid w:val="0083510F"/>
    <w:rsid w:val="00847FCD"/>
    <w:rsid w:val="00851209"/>
    <w:rsid w:val="0085230B"/>
    <w:rsid w:val="00863939"/>
    <w:rsid w:val="0086590E"/>
    <w:rsid w:val="00867369"/>
    <w:rsid w:val="008751EA"/>
    <w:rsid w:val="008837AC"/>
    <w:rsid w:val="008919BF"/>
    <w:rsid w:val="008A587D"/>
    <w:rsid w:val="008B35CD"/>
    <w:rsid w:val="008B5FCC"/>
    <w:rsid w:val="008B602F"/>
    <w:rsid w:val="008C1E79"/>
    <w:rsid w:val="008C5486"/>
    <w:rsid w:val="008D0121"/>
    <w:rsid w:val="008D1661"/>
    <w:rsid w:val="008E7031"/>
    <w:rsid w:val="008E77DE"/>
    <w:rsid w:val="008F07A3"/>
    <w:rsid w:val="008F19AF"/>
    <w:rsid w:val="008F42E9"/>
    <w:rsid w:val="00900E1B"/>
    <w:rsid w:val="00907D35"/>
    <w:rsid w:val="00912357"/>
    <w:rsid w:val="0091355E"/>
    <w:rsid w:val="00915732"/>
    <w:rsid w:val="009179D5"/>
    <w:rsid w:val="009215E1"/>
    <w:rsid w:val="009233EE"/>
    <w:rsid w:val="00943907"/>
    <w:rsid w:val="009460AA"/>
    <w:rsid w:val="00951978"/>
    <w:rsid w:val="00961A4A"/>
    <w:rsid w:val="00961F06"/>
    <w:rsid w:val="009661DE"/>
    <w:rsid w:val="00971427"/>
    <w:rsid w:val="00971CD8"/>
    <w:rsid w:val="00983C25"/>
    <w:rsid w:val="009856B7"/>
    <w:rsid w:val="00985C86"/>
    <w:rsid w:val="009927D1"/>
    <w:rsid w:val="009947AC"/>
    <w:rsid w:val="009A5FC3"/>
    <w:rsid w:val="009B74B0"/>
    <w:rsid w:val="009C352B"/>
    <w:rsid w:val="009C62D2"/>
    <w:rsid w:val="009D6B46"/>
    <w:rsid w:val="009E0473"/>
    <w:rsid w:val="009F2F6C"/>
    <w:rsid w:val="009F4940"/>
    <w:rsid w:val="009F5BA1"/>
    <w:rsid w:val="00A02A88"/>
    <w:rsid w:val="00A0562E"/>
    <w:rsid w:val="00A0726D"/>
    <w:rsid w:val="00A26B1C"/>
    <w:rsid w:val="00A27AA8"/>
    <w:rsid w:val="00A32FBB"/>
    <w:rsid w:val="00A351D6"/>
    <w:rsid w:val="00A4271C"/>
    <w:rsid w:val="00A428EE"/>
    <w:rsid w:val="00A4478A"/>
    <w:rsid w:val="00A44852"/>
    <w:rsid w:val="00A57D04"/>
    <w:rsid w:val="00A60A26"/>
    <w:rsid w:val="00A61598"/>
    <w:rsid w:val="00A84A99"/>
    <w:rsid w:val="00A84F46"/>
    <w:rsid w:val="00A871F4"/>
    <w:rsid w:val="00A96B76"/>
    <w:rsid w:val="00AB4526"/>
    <w:rsid w:val="00AC1B2C"/>
    <w:rsid w:val="00AC3264"/>
    <w:rsid w:val="00AC50A4"/>
    <w:rsid w:val="00AC6796"/>
    <w:rsid w:val="00AE1B25"/>
    <w:rsid w:val="00AE1BF1"/>
    <w:rsid w:val="00AE2021"/>
    <w:rsid w:val="00AE6CD9"/>
    <w:rsid w:val="00AF06C7"/>
    <w:rsid w:val="00AF0DD2"/>
    <w:rsid w:val="00AF1F29"/>
    <w:rsid w:val="00AF32E0"/>
    <w:rsid w:val="00B13048"/>
    <w:rsid w:val="00B1716D"/>
    <w:rsid w:val="00B17A1D"/>
    <w:rsid w:val="00B207A0"/>
    <w:rsid w:val="00B213A1"/>
    <w:rsid w:val="00B24676"/>
    <w:rsid w:val="00B279ED"/>
    <w:rsid w:val="00B514DD"/>
    <w:rsid w:val="00B52AF0"/>
    <w:rsid w:val="00B561BD"/>
    <w:rsid w:val="00B56E03"/>
    <w:rsid w:val="00B62C22"/>
    <w:rsid w:val="00B8080B"/>
    <w:rsid w:val="00B85292"/>
    <w:rsid w:val="00B87BA5"/>
    <w:rsid w:val="00B87C39"/>
    <w:rsid w:val="00B95998"/>
    <w:rsid w:val="00B97C5F"/>
    <w:rsid w:val="00BA2300"/>
    <w:rsid w:val="00BA4665"/>
    <w:rsid w:val="00BA5ABC"/>
    <w:rsid w:val="00BA5FC6"/>
    <w:rsid w:val="00BB2FB2"/>
    <w:rsid w:val="00BB3304"/>
    <w:rsid w:val="00BC4D54"/>
    <w:rsid w:val="00BD22DD"/>
    <w:rsid w:val="00BD3446"/>
    <w:rsid w:val="00BE1F1B"/>
    <w:rsid w:val="00BE38DB"/>
    <w:rsid w:val="00BE47B5"/>
    <w:rsid w:val="00BE55A2"/>
    <w:rsid w:val="00C1098D"/>
    <w:rsid w:val="00C24C8D"/>
    <w:rsid w:val="00C25FA6"/>
    <w:rsid w:val="00C32287"/>
    <w:rsid w:val="00C40DB2"/>
    <w:rsid w:val="00C457A1"/>
    <w:rsid w:val="00C53822"/>
    <w:rsid w:val="00C538A9"/>
    <w:rsid w:val="00C53B5A"/>
    <w:rsid w:val="00C54F5A"/>
    <w:rsid w:val="00C569B4"/>
    <w:rsid w:val="00C6501F"/>
    <w:rsid w:val="00C67A92"/>
    <w:rsid w:val="00C74FFA"/>
    <w:rsid w:val="00C86679"/>
    <w:rsid w:val="00CA0753"/>
    <w:rsid w:val="00CA489E"/>
    <w:rsid w:val="00CB0279"/>
    <w:rsid w:val="00CB428A"/>
    <w:rsid w:val="00CB666B"/>
    <w:rsid w:val="00CC7F1D"/>
    <w:rsid w:val="00CD42EF"/>
    <w:rsid w:val="00CD68CA"/>
    <w:rsid w:val="00CE6897"/>
    <w:rsid w:val="00CF30ED"/>
    <w:rsid w:val="00D006AE"/>
    <w:rsid w:val="00D01CF0"/>
    <w:rsid w:val="00D0442A"/>
    <w:rsid w:val="00D32D6D"/>
    <w:rsid w:val="00D35652"/>
    <w:rsid w:val="00D5009C"/>
    <w:rsid w:val="00D54787"/>
    <w:rsid w:val="00D61388"/>
    <w:rsid w:val="00D61A54"/>
    <w:rsid w:val="00D64DEA"/>
    <w:rsid w:val="00D7168E"/>
    <w:rsid w:val="00D71E57"/>
    <w:rsid w:val="00D7408B"/>
    <w:rsid w:val="00D7492F"/>
    <w:rsid w:val="00D75F62"/>
    <w:rsid w:val="00D80893"/>
    <w:rsid w:val="00D84854"/>
    <w:rsid w:val="00D92CF1"/>
    <w:rsid w:val="00D92D38"/>
    <w:rsid w:val="00D950F5"/>
    <w:rsid w:val="00DA4752"/>
    <w:rsid w:val="00DA61F3"/>
    <w:rsid w:val="00DB0F93"/>
    <w:rsid w:val="00DB121A"/>
    <w:rsid w:val="00DB1A67"/>
    <w:rsid w:val="00DB21F6"/>
    <w:rsid w:val="00DB3B5E"/>
    <w:rsid w:val="00DB5074"/>
    <w:rsid w:val="00DB67B4"/>
    <w:rsid w:val="00DC0360"/>
    <w:rsid w:val="00DC4022"/>
    <w:rsid w:val="00DC7981"/>
    <w:rsid w:val="00DE1093"/>
    <w:rsid w:val="00DE1EBA"/>
    <w:rsid w:val="00DE27DD"/>
    <w:rsid w:val="00DE4EFA"/>
    <w:rsid w:val="00DE5520"/>
    <w:rsid w:val="00DE563D"/>
    <w:rsid w:val="00DF3020"/>
    <w:rsid w:val="00E04818"/>
    <w:rsid w:val="00E06442"/>
    <w:rsid w:val="00E1226E"/>
    <w:rsid w:val="00E21310"/>
    <w:rsid w:val="00E21A64"/>
    <w:rsid w:val="00E23993"/>
    <w:rsid w:val="00E25B8C"/>
    <w:rsid w:val="00E3020A"/>
    <w:rsid w:val="00E3306E"/>
    <w:rsid w:val="00E57034"/>
    <w:rsid w:val="00E65C85"/>
    <w:rsid w:val="00E66199"/>
    <w:rsid w:val="00E755EC"/>
    <w:rsid w:val="00E7624D"/>
    <w:rsid w:val="00E85BD6"/>
    <w:rsid w:val="00EA3D42"/>
    <w:rsid w:val="00EA6B1B"/>
    <w:rsid w:val="00ED06EB"/>
    <w:rsid w:val="00ED1CAC"/>
    <w:rsid w:val="00ED4AF5"/>
    <w:rsid w:val="00ED7323"/>
    <w:rsid w:val="00EE28F3"/>
    <w:rsid w:val="00EE71FB"/>
    <w:rsid w:val="00EF32DF"/>
    <w:rsid w:val="00EF5110"/>
    <w:rsid w:val="00F10411"/>
    <w:rsid w:val="00F138F2"/>
    <w:rsid w:val="00F15882"/>
    <w:rsid w:val="00F171E0"/>
    <w:rsid w:val="00F20BD3"/>
    <w:rsid w:val="00F373A5"/>
    <w:rsid w:val="00F47559"/>
    <w:rsid w:val="00F51835"/>
    <w:rsid w:val="00F55E93"/>
    <w:rsid w:val="00F64C7B"/>
    <w:rsid w:val="00F64D43"/>
    <w:rsid w:val="00F676DD"/>
    <w:rsid w:val="00F75A26"/>
    <w:rsid w:val="00F76706"/>
    <w:rsid w:val="00F82312"/>
    <w:rsid w:val="00F83FAD"/>
    <w:rsid w:val="00F87DAD"/>
    <w:rsid w:val="00F952A0"/>
    <w:rsid w:val="00F97705"/>
    <w:rsid w:val="00FA3C7F"/>
    <w:rsid w:val="00FB433E"/>
    <w:rsid w:val="00FB74E2"/>
    <w:rsid w:val="00FC10C4"/>
    <w:rsid w:val="00FD1562"/>
    <w:rsid w:val="00FD5614"/>
    <w:rsid w:val="00FE08BD"/>
    <w:rsid w:val="00FE0BE1"/>
    <w:rsid w:val="00FE0C85"/>
    <w:rsid w:val="00FE178E"/>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71CD8"/>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71CD8"/>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0618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energymadeeasy.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AERInquiry@aer.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8AFF1071</Template>
  <TotalTime>0</TotalTime>
  <Pages>20</Pages>
  <Words>5132</Words>
  <Characters>29257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2015-10-28T06:37:00Z</dcterms:created>
  <dcterms:modified xsi:type="dcterms:W3CDTF">2015-10-28T06:38:00Z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