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08C3A6B" wp14:editId="7EA9F262">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140AD" w:rsidP="008F07A3">
          <w:pPr>
            <w:pStyle w:val="ReportSubtitle"/>
          </w:pPr>
          <w:r>
            <w:t>FINAL</w:t>
          </w:r>
          <w:r w:rsidR="00DA4752">
            <w:t xml:space="preserve"> DECISION</w:t>
          </w:r>
        </w:p>
        <w:p w:rsidR="000A6C7B" w:rsidRDefault="001201F1" w:rsidP="008F07A3">
          <w:pPr>
            <w:pStyle w:val="ReportSubtitle"/>
          </w:pPr>
          <w:r>
            <w:t>E</w:t>
          </w:r>
          <w:r w:rsidR="00FE7B39">
            <w:t>rgon Energy</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86541F">
            <w:t>1</w:t>
          </w:r>
          <w:r>
            <w:t xml:space="preserve"> </w:t>
          </w:r>
          <w:r>
            <w:rPr>
              <w:rFonts w:cs="Arial"/>
            </w:rPr>
            <w:t>−</w:t>
          </w:r>
          <w:r>
            <w:t xml:space="preserve"> </w:t>
          </w:r>
          <w:r w:rsidR="0086541F">
            <w:t>Service target performance incentive scheme</w:t>
          </w:r>
        </w:p>
        <w:p w:rsidR="000A6C7B" w:rsidRPr="00327A1E" w:rsidRDefault="001140AD"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32666633"/>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w:t>
      </w:r>
      <w:r w:rsidR="001140AD">
        <w:t>final</w:t>
      </w:r>
      <w:r>
        <w:t xml:space="preserve"> decision on </w:t>
      </w:r>
      <w:r w:rsidR="001201F1">
        <w:t>E</w:t>
      </w:r>
      <w:r w:rsidR="00FE7B39">
        <w:t>rgon Energy</w:t>
      </w:r>
      <w:r w:rsidR="001201F1">
        <w:t>'s</w:t>
      </w:r>
      <w:r>
        <w:t xml:space="preserve"> 2015–20 distribution determination. It should be read with </w:t>
      </w:r>
      <w:r w:rsidR="00DF06C5">
        <w:t xml:space="preserve">all </w:t>
      </w:r>
      <w:r>
        <w:t xml:space="preserve">other parts of the </w:t>
      </w:r>
      <w:r w:rsidR="001140AD">
        <w:t xml:space="preserve">final </w:t>
      </w:r>
      <w:r>
        <w:t>decision.</w:t>
      </w:r>
    </w:p>
    <w:p w:rsidR="008F07A3" w:rsidRDefault="008F07A3" w:rsidP="008F07A3">
      <w:pPr>
        <w:numPr>
          <w:ilvl w:val="0"/>
          <w:numId w:val="25"/>
        </w:numPr>
      </w:pPr>
      <w:r>
        <w:t>The</w:t>
      </w:r>
      <w:r w:rsidR="001140AD">
        <w:t xml:space="preserve"> final</w:t>
      </w:r>
      <w:r>
        <w:t xml:space="preserve">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CC4C3D">
        <w:t>policy</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5D7BA2" w:rsidRDefault="00DE563D" w:rsidP="00D72AA2">
      <w:pPr>
        <w:pStyle w:val="UnnumberedHeading"/>
        <w:numPr>
          <w:ilvl w:val="0"/>
          <w:numId w:val="24"/>
        </w:numPr>
        <w:spacing w:line="240" w:lineRule="auto"/>
      </w:pPr>
      <w:bookmarkStart w:id="6" w:name="_Toc403144133"/>
      <w:bookmarkStart w:id="7" w:name="_Toc432666634"/>
      <w:r>
        <w:lastRenderedPageBreak/>
        <w:t>Contents</w:t>
      </w:r>
      <w:bookmarkEnd w:id="6"/>
      <w:bookmarkEnd w:id="7"/>
    </w:p>
    <w:sdt>
      <w:sdtPr>
        <w:rPr>
          <w:rFonts w:eastAsiaTheme="majorEastAsia" w:cstheme="majorBidi"/>
          <w:b w:val="0"/>
          <w:bCs/>
          <w:noProof w:val="0"/>
          <w:color w:val="auto"/>
          <w:sz w:val="22"/>
          <w:szCs w:val="28"/>
          <w:lang w:val="en-AU" w:eastAsia="en-US"/>
        </w:rPr>
        <w:id w:val="1269200322"/>
        <w:docPartObj>
          <w:docPartGallery w:val="Table of Contents"/>
          <w:docPartUnique/>
        </w:docPartObj>
      </w:sdtPr>
      <w:sdtEndPr>
        <w:rPr>
          <w:rFonts w:eastAsiaTheme="minorHAnsi" w:cstheme="minorBidi"/>
          <w:b/>
          <w:bCs w:val="0"/>
          <w:noProof/>
          <w:color w:val="70635A" w:themeColor="text2"/>
          <w:sz w:val="24"/>
          <w:szCs w:val="22"/>
        </w:rPr>
      </w:sdtEndPr>
      <w:sdtContent>
        <w:p w:rsidR="004D4535"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32666633" w:history="1">
            <w:r w:rsidR="004D4535" w:rsidRPr="002D557E">
              <w:rPr>
                <w:rStyle w:val="Hyperlink"/>
              </w:rPr>
              <w:t>Note</w:t>
            </w:r>
            <w:r w:rsidR="004D4535">
              <w:rPr>
                <w:webHidden/>
              </w:rPr>
              <w:tab/>
            </w:r>
            <w:r w:rsidR="00CE1FA1">
              <w:rPr>
                <w:webHidden/>
              </w:rPr>
              <w:t>11-</w:t>
            </w:r>
            <w:r w:rsidR="004D4535">
              <w:rPr>
                <w:webHidden/>
              </w:rPr>
              <w:fldChar w:fldCharType="begin"/>
            </w:r>
            <w:r w:rsidR="004D4535">
              <w:rPr>
                <w:webHidden/>
              </w:rPr>
              <w:instrText xml:space="preserve"> PAGEREF _Toc432666633 \h </w:instrText>
            </w:r>
            <w:r w:rsidR="004D4535">
              <w:rPr>
                <w:webHidden/>
              </w:rPr>
            </w:r>
            <w:r w:rsidR="004D4535">
              <w:rPr>
                <w:webHidden/>
              </w:rPr>
              <w:fldChar w:fldCharType="separate"/>
            </w:r>
            <w:r w:rsidR="00764915">
              <w:rPr>
                <w:webHidden/>
              </w:rPr>
              <w:t>2</w:t>
            </w:r>
            <w:r w:rsidR="004D4535">
              <w:rPr>
                <w:webHidden/>
              </w:rPr>
              <w:fldChar w:fldCharType="end"/>
            </w:r>
          </w:hyperlink>
        </w:p>
        <w:p w:rsidR="004D4535" w:rsidRDefault="00D0196E">
          <w:pPr>
            <w:pStyle w:val="TOC1"/>
            <w:rPr>
              <w:rFonts w:asciiTheme="minorHAnsi" w:eastAsiaTheme="minorEastAsia" w:hAnsiTheme="minorHAnsi"/>
              <w:b w:val="0"/>
              <w:color w:val="auto"/>
              <w:sz w:val="22"/>
              <w:lang w:val="en-AU" w:eastAsia="en-AU"/>
            </w:rPr>
          </w:pPr>
          <w:hyperlink w:anchor="_Toc432666634" w:history="1">
            <w:r w:rsidR="004D4535" w:rsidRPr="002D557E">
              <w:rPr>
                <w:rStyle w:val="Hyperlink"/>
              </w:rPr>
              <w:t>Contents</w:t>
            </w:r>
            <w:r w:rsidR="004D4535">
              <w:rPr>
                <w:webHidden/>
              </w:rPr>
              <w:tab/>
            </w:r>
            <w:r w:rsidR="00CE1FA1">
              <w:rPr>
                <w:webHidden/>
              </w:rPr>
              <w:t>11-</w:t>
            </w:r>
            <w:r w:rsidR="004D4535">
              <w:rPr>
                <w:webHidden/>
              </w:rPr>
              <w:fldChar w:fldCharType="begin"/>
            </w:r>
            <w:r w:rsidR="004D4535">
              <w:rPr>
                <w:webHidden/>
              </w:rPr>
              <w:instrText xml:space="preserve"> PAGEREF _Toc432666634 \h </w:instrText>
            </w:r>
            <w:r w:rsidR="004D4535">
              <w:rPr>
                <w:webHidden/>
              </w:rPr>
            </w:r>
            <w:r w:rsidR="004D4535">
              <w:rPr>
                <w:webHidden/>
              </w:rPr>
              <w:fldChar w:fldCharType="separate"/>
            </w:r>
            <w:r w:rsidR="00764915">
              <w:rPr>
                <w:webHidden/>
              </w:rPr>
              <w:t>3</w:t>
            </w:r>
            <w:r w:rsidR="004D4535">
              <w:rPr>
                <w:webHidden/>
              </w:rPr>
              <w:fldChar w:fldCharType="end"/>
            </w:r>
          </w:hyperlink>
        </w:p>
        <w:p w:rsidR="004D4535" w:rsidRDefault="00D0196E">
          <w:pPr>
            <w:pStyle w:val="TOC1"/>
            <w:rPr>
              <w:rFonts w:asciiTheme="minorHAnsi" w:eastAsiaTheme="minorEastAsia" w:hAnsiTheme="minorHAnsi"/>
              <w:b w:val="0"/>
              <w:color w:val="auto"/>
              <w:sz w:val="22"/>
              <w:lang w:val="en-AU" w:eastAsia="en-AU"/>
            </w:rPr>
          </w:pPr>
          <w:hyperlink w:anchor="_Toc432666635" w:history="1">
            <w:r w:rsidR="004D4535" w:rsidRPr="002D557E">
              <w:rPr>
                <w:rStyle w:val="Hyperlink"/>
              </w:rPr>
              <w:t>Shortened forms</w:t>
            </w:r>
            <w:r w:rsidR="004D4535">
              <w:rPr>
                <w:webHidden/>
              </w:rPr>
              <w:tab/>
            </w:r>
            <w:r w:rsidR="00CE1FA1">
              <w:rPr>
                <w:webHidden/>
              </w:rPr>
              <w:t>11-</w:t>
            </w:r>
            <w:r w:rsidR="004D4535">
              <w:rPr>
                <w:webHidden/>
              </w:rPr>
              <w:fldChar w:fldCharType="begin"/>
            </w:r>
            <w:r w:rsidR="004D4535">
              <w:rPr>
                <w:webHidden/>
              </w:rPr>
              <w:instrText xml:space="preserve"> PAGEREF _Toc432666635 \h </w:instrText>
            </w:r>
            <w:r w:rsidR="004D4535">
              <w:rPr>
                <w:webHidden/>
              </w:rPr>
            </w:r>
            <w:r w:rsidR="004D4535">
              <w:rPr>
                <w:webHidden/>
              </w:rPr>
              <w:fldChar w:fldCharType="separate"/>
            </w:r>
            <w:r w:rsidR="00764915">
              <w:rPr>
                <w:webHidden/>
              </w:rPr>
              <w:t>4</w:t>
            </w:r>
            <w:r w:rsidR="004D4535">
              <w:rPr>
                <w:webHidden/>
              </w:rPr>
              <w:fldChar w:fldCharType="end"/>
            </w:r>
          </w:hyperlink>
        </w:p>
        <w:p w:rsidR="004D4535" w:rsidRDefault="00D0196E">
          <w:pPr>
            <w:pStyle w:val="TOC1"/>
            <w:rPr>
              <w:rFonts w:asciiTheme="minorHAnsi" w:eastAsiaTheme="minorEastAsia" w:hAnsiTheme="minorHAnsi"/>
              <w:b w:val="0"/>
              <w:color w:val="auto"/>
              <w:sz w:val="22"/>
              <w:lang w:val="en-AU" w:eastAsia="en-AU"/>
            </w:rPr>
          </w:pPr>
          <w:hyperlink w:anchor="_Toc432666636" w:history="1">
            <w:r w:rsidR="004D4535" w:rsidRPr="002D557E">
              <w:rPr>
                <w:rStyle w:val="Hyperlink"/>
              </w:rPr>
              <w:t>11</w:t>
            </w:r>
            <w:r w:rsidR="004D4535">
              <w:rPr>
                <w:rFonts w:asciiTheme="minorHAnsi" w:eastAsiaTheme="minorEastAsia" w:hAnsiTheme="minorHAnsi"/>
                <w:b w:val="0"/>
                <w:color w:val="auto"/>
                <w:sz w:val="22"/>
                <w:lang w:val="en-AU" w:eastAsia="en-AU"/>
              </w:rPr>
              <w:tab/>
            </w:r>
            <w:r w:rsidR="004D4535" w:rsidRPr="002D557E">
              <w:rPr>
                <w:rStyle w:val="Hyperlink"/>
              </w:rPr>
              <w:t>Service target performance incentive scheme</w:t>
            </w:r>
            <w:r w:rsidR="004D4535">
              <w:rPr>
                <w:webHidden/>
              </w:rPr>
              <w:tab/>
            </w:r>
            <w:r w:rsidR="00CE1FA1">
              <w:rPr>
                <w:webHidden/>
              </w:rPr>
              <w:t>11-</w:t>
            </w:r>
            <w:r w:rsidR="004D4535">
              <w:rPr>
                <w:webHidden/>
              </w:rPr>
              <w:fldChar w:fldCharType="begin"/>
            </w:r>
            <w:r w:rsidR="004D4535">
              <w:rPr>
                <w:webHidden/>
              </w:rPr>
              <w:instrText xml:space="preserve"> PAGEREF _Toc432666636 \h </w:instrText>
            </w:r>
            <w:r w:rsidR="004D4535">
              <w:rPr>
                <w:webHidden/>
              </w:rPr>
            </w:r>
            <w:r w:rsidR="004D4535">
              <w:rPr>
                <w:webHidden/>
              </w:rPr>
              <w:fldChar w:fldCharType="separate"/>
            </w:r>
            <w:r w:rsidR="00764915">
              <w:rPr>
                <w:webHidden/>
              </w:rPr>
              <w:t>6</w:t>
            </w:r>
            <w:r w:rsidR="004D4535">
              <w:rPr>
                <w:webHidden/>
              </w:rPr>
              <w:fldChar w:fldCharType="end"/>
            </w:r>
          </w:hyperlink>
        </w:p>
        <w:p w:rsidR="004D4535" w:rsidRDefault="00D0196E">
          <w:pPr>
            <w:pStyle w:val="TOC2"/>
            <w:tabs>
              <w:tab w:val="left" w:pos="1276"/>
            </w:tabs>
            <w:rPr>
              <w:rFonts w:asciiTheme="minorHAnsi" w:eastAsiaTheme="minorEastAsia" w:hAnsiTheme="minorHAnsi"/>
              <w:b w:val="0"/>
              <w:color w:val="auto"/>
              <w:sz w:val="22"/>
              <w:lang w:eastAsia="en-AU"/>
            </w:rPr>
          </w:pPr>
          <w:hyperlink w:anchor="_Toc432666637" w:history="1">
            <w:r w:rsidR="004D4535" w:rsidRPr="002D557E">
              <w:rPr>
                <w:rStyle w:val="Hyperlink"/>
              </w:rPr>
              <w:t>11.1</w:t>
            </w:r>
            <w:r w:rsidR="004D4535">
              <w:rPr>
                <w:rFonts w:asciiTheme="minorHAnsi" w:eastAsiaTheme="minorEastAsia" w:hAnsiTheme="minorHAnsi"/>
                <w:b w:val="0"/>
                <w:color w:val="auto"/>
                <w:sz w:val="22"/>
                <w:lang w:eastAsia="en-AU"/>
              </w:rPr>
              <w:tab/>
            </w:r>
            <w:r w:rsidR="004D4535" w:rsidRPr="002D557E">
              <w:rPr>
                <w:rStyle w:val="Hyperlink"/>
              </w:rPr>
              <w:t>Final decision</w:t>
            </w:r>
            <w:r w:rsidR="004D4535">
              <w:rPr>
                <w:webHidden/>
              </w:rPr>
              <w:tab/>
            </w:r>
            <w:r w:rsidR="00CE1FA1">
              <w:rPr>
                <w:webHidden/>
              </w:rPr>
              <w:t>11-</w:t>
            </w:r>
            <w:r w:rsidR="004D4535">
              <w:rPr>
                <w:webHidden/>
              </w:rPr>
              <w:fldChar w:fldCharType="begin"/>
            </w:r>
            <w:r w:rsidR="004D4535">
              <w:rPr>
                <w:webHidden/>
              </w:rPr>
              <w:instrText xml:space="preserve"> PAGEREF _Toc432666637 \h </w:instrText>
            </w:r>
            <w:r w:rsidR="004D4535">
              <w:rPr>
                <w:webHidden/>
              </w:rPr>
            </w:r>
            <w:r w:rsidR="004D4535">
              <w:rPr>
                <w:webHidden/>
              </w:rPr>
              <w:fldChar w:fldCharType="separate"/>
            </w:r>
            <w:r w:rsidR="00764915">
              <w:rPr>
                <w:webHidden/>
              </w:rPr>
              <w:t>6</w:t>
            </w:r>
            <w:r w:rsidR="004D4535">
              <w:rPr>
                <w:webHidden/>
              </w:rPr>
              <w:fldChar w:fldCharType="end"/>
            </w:r>
          </w:hyperlink>
        </w:p>
        <w:p w:rsidR="004D4535" w:rsidRDefault="00D0196E">
          <w:pPr>
            <w:pStyle w:val="TOC2"/>
            <w:tabs>
              <w:tab w:val="left" w:pos="1276"/>
            </w:tabs>
            <w:rPr>
              <w:rFonts w:asciiTheme="minorHAnsi" w:eastAsiaTheme="minorEastAsia" w:hAnsiTheme="minorHAnsi"/>
              <w:b w:val="0"/>
              <w:color w:val="auto"/>
              <w:sz w:val="22"/>
              <w:lang w:eastAsia="en-AU"/>
            </w:rPr>
          </w:pPr>
          <w:hyperlink w:anchor="_Toc432666642" w:history="1">
            <w:r w:rsidR="004D4535" w:rsidRPr="002D557E">
              <w:rPr>
                <w:rStyle w:val="Hyperlink"/>
              </w:rPr>
              <w:t>11.2</w:t>
            </w:r>
            <w:r w:rsidR="004D4535">
              <w:rPr>
                <w:rFonts w:asciiTheme="minorHAnsi" w:eastAsiaTheme="minorEastAsia" w:hAnsiTheme="minorHAnsi"/>
                <w:b w:val="0"/>
                <w:color w:val="auto"/>
                <w:sz w:val="22"/>
                <w:lang w:eastAsia="en-AU"/>
              </w:rPr>
              <w:tab/>
            </w:r>
            <w:r w:rsidR="004D4535" w:rsidRPr="002D557E">
              <w:rPr>
                <w:rStyle w:val="Hyperlink"/>
              </w:rPr>
              <w:t>Ergon Energy's revised proposal</w:t>
            </w:r>
            <w:r w:rsidR="004D4535">
              <w:rPr>
                <w:webHidden/>
              </w:rPr>
              <w:tab/>
            </w:r>
            <w:r w:rsidR="00CE1FA1">
              <w:rPr>
                <w:webHidden/>
              </w:rPr>
              <w:t>11-</w:t>
            </w:r>
            <w:r w:rsidR="004D4535">
              <w:rPr>
                <w:webHidden/>
              </w:rPr>
              <w:fldChar w:fldCharType="begin"/>
            </w:r>
            <w:r w:rsidR="004D4535">
              <w:rPr>
                <w:webHidden/>
              </w:rPr>
              <w:instrText xml:space="preserve"> PAGEREF _Toc432666642 \h </w:instrText>
            </w:r>
            <w:r w:rsidR="004D4535">
              <w:rPr>
                <w:webHidden/>
              </w:rPr>
            </w:r>
            <w:r w:rsidR="004D4535">
              <w:rPr>
                <w:webHidden/>
              </w:rPr>
              <w:fldChar w:fldCharType="separate"/>
            </w:r>
            <w:r w:rsidR="00764915">
              <w:rPr>
                <w:webHidden/>
              </w:rPr>
              <w:t>8</w:t>
            </w:r>
            <w:r w:rsidR="004D4535">
              <w:rPr>
                <w:webHidden/>
              </w:rPr>
              <w:fldChar w:fldCharType="end"/>
            </w:r>
          </w:hyperlink>
        </w:p>
        <w:p w:rsidR="004D4535" w:rsidRDefault="00D0196E">
          <w:pPr>
            <w:pStyle w:val="TOC2"/>
            <w:tabs>
              <w:tab w:val="left" w:pos="1276"/>
            </w:tabs>
            <w:rPr>
              <w:rFonts w:asciiTheme="minorHAnsi" w:eastAsiaTheme="minorEastAsia" w:hAnsiTheme="minorHAnsi"/>
              <w:b w:val="0"/>
              <w:color w:val="auto"/>
              <w:sz w:val="22"/>
              <w:lang w:eastAsia="en-AU"/>
            </w:rPr>
          </w:pPr>
          <w:hyperlink w:anchor="_Toc432666643" w:history="1">
            <w:r w:rsidR="004D4535" w:rsidRPr="002D557E">
              <w:rPr>
                <w:rStyle w:val="Hyperlink"/>
              </w:rPr>
              <w:t>11.3</w:t>
            </w:r>
            <w:r w:rsidR="004D4535">
              <w:rPr>
                <w:rFonts w:asciiTheme="minorHAnsi" w:eastAsiaTheme="minorEastAsia" w:hAnsiTheme="minorHAnsi"/>
                <w:b w:val="0"/>
                <w:color w:val="auto"/>
                <w:sz w:val="22"/>
                <w:lang w:eastAsia="en-AU"/>
              </w:rPr>
              <w:tab/>
            </w:r>
            <w:r w:rsidR="004D4535" w:rsidRPr="002D557E">
              <w:rPr>
                <w:rStyle w:val="Hyperlink"/>
              </w:rPr>
              <w:t>AER’s assessment approach</w:t>
            </w:r>
            <w:r w:rsidR="004D4535">
              <w:rPr>
                <w:webHidden/>
              </w:rPr>
              <w:tab/>
            </w:r>
            <w:r w:rsidR="00CE1FA1">
              <w:rPr>
                <w:webHidden/>
              </w:rPr>
              <w:t>11-</w:t>
            </w:r>
            <w:r w:rsidR="004D4535">
              <w:rPr>
                <w:webHidden/>
              </w:rPr>
              <w:fldChar w:fldCharType="begin"/>
            </w:r>
            <w:r w:rsidR="004D4535">
              <w:rPr>
                <w:webHidden/>
              </w:rPr>
              <w:instrText xml:space="preserve"> PAGEREF _Toc432666643 \h </w:instrText>
            </w:r>
            <w:r w:rsidR="004D4535">
              <w:rPr>
                <w:webHidden/>
              </w:rPr>
            </w:r>
            <w:r w:rsidR="004D4535">
              <w:rPr>
                <w:webHidden/>
              </w:rPr>
              <w:fldChar w:fldCharType="separate"/>
            </w:r>
            <w:r w:rsidR="00764915">
              <w:rPr>
                <w:webHidden/>
              </w:rPr>
              <w:t>8</w:t>
            </w:r>
            <w:r w:rsidR="004D4535">
              <w:rPr>
                <w:webHidden/>
              </w:rPr>
              <w:fldChar w:fldCharType="end"/>
            </w:r>
          </w:hyperlink>
        </w:p>
        <w:p w:rsidR="004D4535" w:rsidRDefault="00D0196E">
          <w:pPr>
            <w:pStyle w:val="TOC3"/>
            <w:rPr>
              <w:rFonts w:asciiTheme="minorHAnsi" w:eastAsiaTheme="minorEastAsia" w:hAnsiTheme="minorHAnsi"/>
              <w:lang w:eastAsia="en-AU"/>
            </w:rPr>
          </w:pPr>
          <w:hyperlink w:anchor="_Toc432666644" w:history="1">
            <w:r w:rsidR="004D4535" w:rsidRPr="002D557E">
              <w:rPr>
                <w:rStyle w:val="Hyperlink"/>
              </w:rPr>
              <w:t>11.3.1</w:t>
            </w:r>
            <w:r w:rsidR="004D4535">
              <w:rPr>
                <w:rFonts w:asciiTheme="minorHAnsi" w:eastAsiaTheme="minorEastAsia" w:hAnsiTheme="minorHAnsi"/>
                <w:lang w:eastAsia="en-AU"/>
              </w:rPr>
              <w:tab/>
            </w:r>
            <w:r w:rsidR="004D4535" w:rsidRPr="002D557E">
              <w:rPr>
                <w:rStyle w:val="Hyperlink"/>
              </w:rPr>
              <w:t>Interrelationship</w:t>
            </w:r>
            <w:r w:rsidR="004D4535">
              <w:rPr>
                <w:webHidden/>
              </w:rPr>
              <w:tab/>
            </w:r>
            <w:r w:rsidR="00CE1FA1">
              <w:rPr>
                <w:webHidden/>
              </w:rPr>
              <w:t>11-</w:t>
            </w:r>
            <w:r w:rsidR="004D4535">
              <w:rPr>
                <w:webHidden/>
              </w:rPr>
              <w:fldChar w:fldCharType="begin"/>
            </w:r>
            <w:r w:rsidR="004D4535">
              <w:rPr>
                <w:webHidden/>
              </w:rPr>
              <w:instrText xml:space="preserve"> PAGEREF _Toc432666644 \h </w:instrText>
            </w:r>
            <w:r w:rsidR="004D4535">
              <w:rPr>
                <w:webHidden/>
              </w:rPr>
            </w:r>
            <w:r w:rsidR="004D4535">
              <w:rPr>
                <w:webHidden/>
              </w:rPr>
              <w:fldChar w:fldCharType="separate"/>
            </w:r>
            <w:r w:rsidR="00764915">
              <w:rPr>
                <w:webHidden/>
              </w:rPr>
              <w:t>8</w:t>
            </w:r>
            <w:r w:rsidR="004D4535">
              <w:rPr>
                <w:webHidden/>
              </w:rPr>
              <w:fldChar w:fldCharType="end"/>
            </w:r>
          </w:hyperlink>
        </w:p>
        <w:p w:rsidR="004D4535" w:rsidRDefault="00D0196E">
          <w:pPr>
            <w:pStyle w:val="TOC2"/>
            <w:tabs>
              <w:tab w:val="left" w:pos="1276"/>
            </w:tabs>
            <w:rPr>
              <w:rFonts w:asciiTheme="minorHAnsi" w:eastAsiaTheme="minorEastAsia" w:hAnsiTheme="minorHAnsi"/>
              <w:b w:val="0"/>
              <w:color w:val="auto"/>
              <w:sz w:val="22"/>
              <w:lang w:eastAsia="en-AU"/>
            </w:rPr>
          </w:pPr>
          <w:hyperlink w:anchor="_Toc432666645" w:history="1">
            <w:r w:rsidR="004D4535" w:rsidRPr="002D557E">
              <w:rPr>
                <w:rStyle w:val="Hyperlink"/>
              </w:rPr>
              <w:t>11.4</w:t>
            </w:r>
            <w:r w:rsidR="004D4535">
              <w:rPr>
                <w:rFonts w:asciiTheme="minorHAnsi" w:eastAsiaTheme="minorEastAsia" w:hAnsiTheme="minorHAnsi"/>
                <w:b w:val="0"/>
                <w:color w:val="auto"/>
                <w:sz w:val="22"/>
                <w:lang w:eastAsia="en-AU"/>
              </w:rPr>
              <w:tab/>
            </w:r>
            <w:r w:rsidR="004D4535" w:rsidRPr="002D557E">
              <w:rPr>
                <w:rStyle w:val="Hyperlink"/>
              </w:rPr>
              <w:t>Reasons for final decision</w:t>
            </w:r>
            <w:r w:rsidR="004D4535">
              <w:rPr>
                <w:webHidden/>
              </w:rPr>
              <w:tab/>
            </w:r>
            <w:r w:rsidR="00CE1FA1">
              <w:rPr>
                <w:webHidden/>
              </w:rPr>
              <w:t>11-</w:t>
            </w:r>
            <w:r w:rsidR="004D4535">
              <w:rPr>
                <w:webHidden/>
              </w:rPr>
              <w:fldChar w:fldCharType="begin"/>
            </w:r>
            <w:r w:rsidR="004D4535">
              <w:rPr>
                <w:webHidden/>
              </w:rPr>
              <w:instrText xml:space="preserve"> PAGEREF _Toc432666645 \h </w:instrText>
            </w:r>
            <w:r w:rsidR="004D4535">
              <w:rPr>
                <w:webHidden/>
              </w:rPr>
            </w:r>
            <w:r w:rsidR="004D4535">
              <w:rPr>
                <w:webHidden/>
              </w:rPr>
              <w:fldChar w:fldCharType="separate"/>
            </w:r>
            <w:r w:rsidR="00764915">
              <w:rPr>
                <w:webHidden/>
              </w:rPr>
              <w:t>9</w:t>
            </w:r>
            <w:r w:rsidR="004D4535">
              <w:rPr>
                <w:webHidden/>
              </w:rPr>
              <w:fldChar w:fldCharType="end"/>
            </w:r>
          </w:hyperlink>
        </w:p>
        <w:p w:rsidR="004D4535" w:rsidRDefault="00D0196E">
          <w:pPr>
            <w:pStyle w:val="TOC2"/>
            <w:tabs>
              <w:tab w:val="left" w:pos="1276"/>
            </w:tabs>
            <w:rPr>
              <w:rFonts w:asciiTheme="minorHAnsi" w:eastAsiaTheme="minorEastAsia" w:hAnsiTheme="minorHAnsi"/>
              <w:b w:val="0"/>
              <w:color w:val="auto"/>
              <w:sz w:val="22"/>
              <w:lang w:eastAsia="en-AU"/>
            </w:rPr>
          </w:pPr>
          <w:hyperlink w:anchor="_Toc432666646" w:history="1">
            <w:r w:rsidR="004D4535" w:rsidRPr="002D557E">
              <w:rPr>
                <w:rStyle w:val="Hyperlink"/>
              </w:rPr>
              <w:t>11.5</w:t>
            </w:r>
            <w:r w:rsidR="004D4535">
              <w:rPr>
                <w:rFonts w:asciiTheme="minorHAnsi" w:eastAsiaTheme="minorEastAsia" w:hAnsiTheme="minorHAnsi"/>
                <w:b w:val="0"/>
                <w:color w:val="auto"/>
                <w:sz w:val="22"/>
                <w:lang w:eastAsia="en-AU"/>
              </w:rPr>
              <w:tab/>
            </w:r>
            <w:r w:rsidR="004D4535" w:rsidRPr="002D557E">
              <w:rPr>
                <w:rStyle w:val="Hyperlink"/>
              </w:rPr>
              <w:t>Applying the STPIS</w:t>
            </w:r>
            <w:r w:rsidR="004D4535">
              <w:rPr>
                <w:webHidden/>
              </w:rPr>
              <w:tab/>
            </w:r>
            <w:r w:rsidR="00CE1FA1">
              <w:rPr>
                <w:webHidden/>
              </w:rPr>
              <w:t>11-</w:t>
            </w:r>
            <w:r w:rsidR="004D4535">
              <w:rPr>
                <w:webHidden/>
              </w:rPr>
              <w:fldChar w:fldCharType="begin"/>
            </w:r>
            <w:r w:rsidR="004D4535">
              <w:rPr>
                <w:webHidden/>
              </w:rPr>
              <w:instrText xml:space="preserve"> PAGEREF _Toc432666646 \h </w:instrText>
            </w:r>
            <w:r w:rsidR="004D4535">
              <w:rPr>
                <w:webHidden/>
              </w:rPr>
            </w:r>
            <w:r w:rsidR="004D4535">
              <w:rPr>
                <w:webHidden/>
              </w:rPr>
              <w:fldChar w:fldCharType="separate"/>
            </w:r>
            <w:r w:rsidR="00764915">
              <w:rPr>
                <w:webHidden/>
              </w:rPr>
              <w:t>9</w:t>
            </w:r>
            <w:r w:rsidR="004D4535">
              <w:rPr>
                <w:webHidden/>
              </w:rPr>
              <w:fldChar w:fldCharType="end"/>
            </w:r>
          </w:hyperlink>
        </w:p>
        <w:p w:rsidR="004D4535" w:rsidRDefault="00D0196E">
          <w:pPr>
            <w:pStyle w:val="TOC3"/>
            <w:rPr>
              <w:rFonts w:asciiTheme="minorHAnsi" w:eastAsiaTheme="minorEastAsia" w:hAnsiTheme="minorHAnsi"/>
              <w:lang w:eastAsia="en-AU"/>
            </w:rPr>
          </w:pPr>
          <w:hyperlink w:anchor="_Toc432666647" w:history="1">
            <w:r w:rsidR="004D4535" w:rsidRPr="002D557E">
              <w:rPr>
                <w:rStyle w:val="Hyperlink"/>
              </w:rPr>
              <w:t>11.5.1</w:t>
            </w:r>
            <w:r w:rsidR="004D4535">
              <w:rPr>
                <w:rFonts w:asciiTheme="minorHAnsi" w:eastAsiaTheme="minorEastAsia" w:hAnsiTheme="minorHAnsi"/>
                <w:lang w:eastAsia="en-AU"/>
              </w:rPr>
              <w:tab/>
            </w:r>
            <w:r w:rsidR="004D4535" w:rsidRPr="002D557E">
              <w:rPr>
                <w:rStyle w:val="Hyperlink"/>
              </w:rPr>
              <w:t>Revenue at risk</w:t>
            </w:r>
            <w:r w:rsidR="004D4535">
              <w:rPr>
                <w:webHidden/>
              </w:rPr>
              <w:tab/>
            </w:r>
            <w:r w:rsidR="00CE1FA1">
              <w:rPr>
                <w:webHidden/>
              </w:rPr>
              <w:t>11-</w:t>
            </w:r>
            <w:r w:rsidR="004D4535">
              <w:rPr>
                <w:webHidden/>
              </w:rPr>
              <w:fldChar w:fldCharType="begin"/>
            </w:r>
            <w:r w:rsidR="004D4535">
              <w:rPr>
                <w:webHidden/>
              </w:rPr>
              <w:instrText xml:space="preserve"> PAGEREF _Toc432666647 \h </w:instrText>
            </w:r>
            <w:r w:rsidR="004D4535">
              <w:rPr>
                <w:webHidden/>
              </w:rPr>
            </w:r>
            <w:r w:rsidR="004D4535">
              <w:rPr>
                <w:webHidden/>
              </w:rPr>
              <w:fldChar w:fldCharType="separate"/>
            </w:r>
            <w:r w:rsidR="00764915">
              <w:rPr>
                <w:webHidden/>
              </w:rPr>
              <w:t>9</w:t>
            </w:r>
            <w:r w:rsidR="004D4535">
              <w:rPr>
                <w:webHidden/>
              </w:rPr>
              <w:fldChar w:fldCharType="end"/>
            </w:r>
          </w:hyperlink>
        </w:p>
        <w:p w:rsidR="004D4535" w:rsidRDefault="00D0196E">
          <w:pPr>
            <w:pStyle w:val="TOC3"/>
            <w:rPr>
              <w:rFonts w:asciiTheme="minorHAnsi" w:eastAsiaTheme="minorEastAsia" w:hAnsiTheme="minorHAnsi"/>
              <w:lang w:eastAsia="en-AU"/>
            </w:rPr>
          </w:pPr>
          <w:hyperlink w:anchor="_Toc432666648" w:history="1">
            <w:r w:rsidR="004D4535" w:rsidRPr="002D557E">
              <w:rPr>
                <w:rStyle w:val="Hyperlink"/>
              </w:rPr>
              <w:t>11.5.2</w:t>
            </w:r>
            <w:r w:rsidR="004D4535">
              <w:rPr>
                <w:rFonts w:asciiTheme="minorHAnsi" w:eastAsiaTheme="minorEastAsia" w:hAnsiTheme="minorHAnsi"/>
                <w:lang w:eastAsia="en-AU"/>
              </w:rPr>
              <w:tab/>
            </w:r>
            <w:r w:rsidR="004D4535" w:rsidRPr="002D557E">
              <w:rPr>
                <w:rStyle w:val="Hyperlink"/>
              </w:rPr>
              <w:t>Reliability of supply component</w:t>
            </w:r>
            <w:r w:rsidR="004D4535">
              <w:rPr>
                <w:webHidden/>
              </w:rPr>
              <w:tab/>
            </w:r>
            <w:r w:rsidR="00CE1FA1">
              <w:rPr>
                <w:webHidden/>
              </w:rPr>
              <w:t>11-</w:t>
            </w:r>
            <w:r w:rsidR="004D4535">
              <w:rPr>
                <w:webHidden/>
              </w:rPr>
              <w:fldChar w:fldCharType="begin"/>
            </w:r>
            <w:r w:rsidR="004D4535">
              <w:rPr>
                <w:webHidden/>
              </w:rPr>
              <w:instrText xml:space="preserve"> PAGEREF _Toc432666648 \h </w:instrText>
            </w:r>
            <w:r w:rsidR="004D4535">
              <w:rPr>
                <w:webHidden/>
              </w:rPr>
            </w:r>
            <w:r w:rsidR="004D4535">
              <w:rPr>
                <w:webHidden/>
              </w:rPr>
              <w:fldChar w:fldCharType="separate"/>
            </w:r>
            <w:r w:rsidR="00764915">
              <w:rPr>
                <w:webHidden/>
              </w:rPr>
              <w:t>10</w:t>
            </w:r>
            <w:r w:rsidR="004D4535">
              <w:rPr>
                <w:webHidden/>
              </w:rPr>
              <w:fldChar w:fldCharType="end"/>
            </w:r>
          </w:hyperlink>
        </w:p>
        <w:p w:rsidR="004D4535" w:rsidRDefault="00D0196E">
          <w:pPr>
            <w:pStyle w:val="TOC3"/>
            <w:rPr>
              <w:rFonts w:asciiTheme="minorHAnsi" w:eastAsiaTheme="minorEastAsia" w:hAnsiTheme="minorHAnsi"/>
              <w:lang w:eastAsia="en-AU"/>
            </w:rPr>
          </w:pPr>
          <w:hyperlink w:anchor="_Toc432666651" w:history="1">
            <w:r w:rsidR="004D4535" w:rsidRPr="002D557E">
              <w:rPr>
                <w:rStyle w:val="Hyperlink"/>
              </w:rPr>
              <w:t>11.5.3</w:t>
            </w:r>
            <w:r w:rsidR="004D4535">
              <w:rPr>
                <w:rFonts w:asciiTheme="minorHAnsi" w:eastAsiaTheme="minorEastAsia" w:hAnsiTheme="minorHAnsi"/>
                <w:lang w:eastAsia="en-AU"/>
              </w:rPr>
              <w:tab/>
            </w:r>
            <w:r w:rsidR="004D4535" w:rsidRPr="002D557E">
              <w:rPr>
                <w:rStyle w:val="Hyperlink"/>
              </w:rPr>
              <w:t>Customer service component</w:t>
            </w:r>
            <w:r w:rsidR="004D4535">
              <w:rPr>
                <w:webHidden/>
              </w:rPr>
              <w:tab/>
            </w:r>
            <w:r w:rsidR="00CE1FA1">
              <w:rPr>
                <w:webHidden/>
              </w:rPr>
              <w:t>11-</w:t>
            </w:r>
            <w:r w:rsidR="004D4535">
              <w:rPr>
                <w:webHidden/>
              </w:rPr>
              <w:fldChar w:fldCharType="begin"/>
            </w:r>
            <w:r w:rsidR="004D4535">
              <w:rPr>
                <w:webHidden/>
              </w:rPr>
              <w:instrText xml:space="preserve"> PAGEREF _Toc432666651 \h </w:instrText>
            </w:r>
            <w:r w:rsidR="004D4535">
              <w:rPr>
                <w:webHidden/>
              </w:rPr>
            </w:r>
            <w:r w:rsidR="004D4535">
              <w:rPr>
                <w:webHidden/>
              </w:rPr>
              <w:fldChar w:fldCharType="separate"/>
            </w:r>
            <w:r w:rsidR="00764915">
              <w:rPr>
                <w:webHidden/>
              </w:rPr>
              <w:t>10</w:t>
            </w:r>
            <w:r w:rsidR="004D4535">
              <w:rPr>
                <w:webHidden/>
              </w:rPr>
              <w:fldChar w:fldCharType="end"/>
            </w:r>
          </w:hyperlink>
        </w:p>
        <w:p w:rsidR="004D4535" w:rsidRDefault="00D0196E">
          <w:pPr>
            <w:pStyle w:val="TOC3"/>
            <w:rPr>
              <w:rFonts w:asciiTheme="minorHAnsi" w:eastAsiaTheme="minorEastAsia" w:hAnsiTheme="minorHAnsi"/>
              <w:lang w:eastAsia="en-AU"/>
            </w:rPr>
          </w:pPr>
          <w:hyperlink w:anchor="_Toc432666652" w:history="1">
            <w:r w:rsidR="004D4535" w:rsidRPr="002D557E">
              <w:rPr>
                <w:rStyle w:val="Hyperlink"/>
              </w:rPr>
              <w:t>11.5.4</w:t>
            </w:r>
            <w:r w:rsidR="004D4535">
              <w:rPr>
                <w:rFonts w:asciiTheme="minorHAnsi" w:eastAsiaTheme="minorEastAsia" w:hAnsiTheme="minorHAnsi"/>
                <w:lang w:eastAsia="en-AU"/>
              </w:rPr>
              <w:tab/>
            </w:r>
            <w:r w:rsidR="004D4535" w:rsidRPr="002D557E">
              <w:rPr>
                <w:rStyle w:val="Hyperlink"/>
              </w:rPr>
              <w:t>Performance targets</w:t>
            </w:r>
            <w:r w:rsidR="004D4535">
              <w:rPr>
                <w:webHidden/>
              </w:rPr>
              <w:tab/>
            </w:r>
            <w:r w:rsidR="00CE1FA1">
              <w:rPr>
                <w:webHidden/>
              </w:rPr>
              <w:t>11-</w:t>
            </w:r>
            <w:r w:rsidR="004D4535">
              <w:rPr>
                <w:webHidden/>
              </w:rPr>
              <w:fldChar w:fldCharType="begin"/>
            </w:r>
            <w:r w:rsidR="004D4535">
              <w:rPr>
                <w:webHidden/>
              </w:rPr>
              <w:instrText xml:space="preserve"> PAGEREF _Toc432666652 \h </w:instrText>
            </w:r>
            <w:r w:rsidR="004D4535">
              <w:rPr>
                <w:webHidden/>
              </w:rPr>
            </w:r>
            <w:r w:rsidR="004D4535">
              <w:rPr>
                <w:webHidden/>
              </w:rPr>
              <w:fldChar w:fldCharType="separate"/>
            </w:r>
            <w:r w:rsidR="00764915">
              <w:rPr>
                <w:webHidden/>
              </w:rPr>
              <w:t>11</w:t>
            </w:r>
            <w:r w:rsidR="004D4535">
              <w:rPr>
                <w:webHidden/>
              </w:rPr>
              <w:fldChar w:fldCharType="end"/>
            </w:r>
          </w:hyperlink>
        </w:p>
        <w:p w:rsidR="004D4535" w:rsidRDefault="00D0196E">
          <w:pPr>
            <w:pStyle w:val="TOC3"/>
            <w:rPr>
              <w:rFonts w:asciiTheme="minorHAnsi" w:eastAsiaTheme="minorEastAsia" w:hAnsiTheme="minorHAnsi"/>
              <w:lang w:eastAsia="en-AU"/>
            </w:rPr>
          </w:pPr>
          <w:hyperlink w:anchor="_Toc432666653" w:history="1">
            <w:r w:rsidR="004D4535" w:rsidRPr="002D557E">
              <w:rPr>
                <w:rStyle w:val="Hyperlink"/>
              </w:rPr>
              <w:t>11.5.5</w:t>
            </w:r>
            <w:r w:rsidR="004D4535">
              <w:rPr>
                <w:rFonts w:asciiTheme="minorHAnsi" w:eastAsiaTheme="minorEastAsia" w:hAnsiTheme="minorHAnsi"/>
                <w:lang w:eastAsia="en-AU"/>
              </w:rPr>
              <w:tab/>
            </w:r>
            <w:r w:rsidR="004D4535" w:rsidRPr="002D557E">
              <w:rPr>
                <w:rStyle w:val="Hyperlink"/>
              </w:rPr>
              <w:t>Incentive rates</w:t>
            </w:r>
            <w:r w:rsidR="004D4535">
              <w:rPr>
                <w:webHidden/>
              </w:rPr>
              <w:tab/>
            </w:r>
            <w:r w:rsidR="00CE1FA1">
              <w:rPr>
                <w:webHidden/>
              </w:rPr>
              <w:t>11-</w:t>
            </w:r>
            <w:r w:rsidR="004D4535">
              <w:rPr>
                <w:webHidden/>
              </w:rPr>
              <w:fldChar w:fldCharType="begin"/>
            </w:r>
            <w:r w:rsidR="004D4535">
              <w:rPr>
                <w:webHidden/>
              </w:rPr>
              <w:instrText xml:space="preserve"> PAGEREF _Toc432666653 \h </w:instrText>
            </w:r>
            <w:r w:rsidR="004D4535">
              <w:rPr>
                <w:webHidden/>
              </w:rPr>
            </w:r>
            <w:r w:rsidR="004D4535">
              <w:rPr>
                <w:webHidden/>
              </w:rPr>
              <w:fldChar w:fldCharType="separate"/>
            </w:r>
            <w:r w:rsidR="00764915">
              <w:rPr>
                <w:webHidden/>
              </w:rPr>
              <w:t>12</w:t>
            </w:r>
            <w:r w:rsidR="004D4535">
              <w:rPr>
                <w:webHidden/>
              </w:rPr>
              <w:fldChar w:fldCharType="end"/>
            </w:r>
          </w:hyperlink>
        </w:p>
        <w:p w:rsidR="004D4535" w:rsidRDefault="00D0196E">
          <w:pPr>
            <w:pStyle w:val="TOC2"/>
            <w:tabs>
              <w:tab w:val="left" w:pos="1276"/>
            </w:tabs>
            <w:rPr>
              <w:rFonts w:asciiTheme="minorHAnsi" w:eastAsiaTheme="minorEastAsia" w:hAnsiTheme="minorHAnsi"/>
              <w:b w:val="0"/>
              <w:color w:val="auto"/>
              <w:sz w:val="22"/>
              <w:lang w:eastAsia="en-AU"/>
            </w:rPr>
          </w:pPr>
          <w:hyperlink w:anchor="_Toc432666654" w:history="1">
            <w:r w:rsidR="004D4535" w:rsidRPr="002D557E">
              <w:rPr>
                <w:rStyle w:val="Hyperlink"/>
              </w:rPr>
              <w:t>11.6</w:t>
            </w:r>
            <w:r w:rsidR="004D4535">
              <w:rPr>
                <w:rFonts w:asciiTheme="minorHAnsi" w:eastAsiaTheme="minorEastAsia" w:hAnsiTheme="minorHAnsi"/>
                <w:b w:val="0"/>
                <w:color w:val="auto"/>
                <w:sz w:val="22"/>
                <w:lang w:eastAsia="en-AU"/>
              </w:rPr>
              <w:tab/>
            </w:r>
            <w:r w:rsidR="004D4535" w:rsidRPr="002D557E">
              <w:rPr>
                <w:rStyle w:val="Hyperlink"/>
              </w:rPr>
              <w:t>Other issues in applying the STPIS</w:t>
            </w:r>
            <w:r w:rsidR="004D4535">
              <w:rPr>
                <w:webHidden/>
              </w:rPr>
              <w:tab/>
            </w:r>
            <w:r w:rsidR="00CE1FA1">
              <w:rPr>
                <w:webHidden/>
              </w:rPr>
              <w:t>11-</w:t>
            </w:r>
            <w:r w:rsidR="004D4535">
              <w:rPr>
                <w:webHidden/>
              </w:rPr>
              <w:fldChar w:fldCharType="begin"/>
            </w:r>
            <w:r w:rsidR="004D4535">
              <w:rPr>
                <w:webHidden/>
              </w:rPr>
              <w:instrText xml:space="preserve"> PAGEREF _Toc432666654 \h </w:instrText>
            </w:r>
            <w:r w:rsidR="004D4535">
              <w:rPr>
                <w:webHidden/>
              </w:rPr>
            </w:r>
            <w:r w:rsidR="004D4535">
              <w:rPr>
                <w:webHidden/>
              </w:rPr>
              <w:fldChar w:fldCharType="separate"/>
            </w:r>
            <w:r w:rsidR="00764915">
              <w:rPr>
                <w:webHidden/>
              </w:rPr>
              <w:t>12</w:t>
            </w:r>
            <w:r w:rsidR="004D4535">
              <w:rPr>
                <w:webHidden/>
              </w:rPr>
              <w:fldChar w:fldCharType="end"/>
            </w:r>
          </w:hyperlink>
        </w:p>
        <w:p w:rsidR="004D4535" w:rsidRDefault="00D0196E">
          <w:pPr>
            <w:pStyle w:val="TOC3"/>
            <w:rPr>
              <w:rFonts w:asciiTheme="minorHAnsi" w:eastAsiaTheme="minorEastAsia" w:hAnsiTheme="minorHAnsi"/>
              <w:lang w:eastAsia="en-AU"/>
            </w:rPr>
          </w:pPr>
          <w:hyperlink w:anchor="_Toc432666655" w:history="1">
            <w:r w:rsidR="004D4535" w:rsidRPr="002D557E">
              <w:rPr>
                <w:rStyle w:val="Hyperlink"/>
              </w:rPr>
              <w:t>11.6.1</w:t>
            </w:r>
            <w:r w:rsidR="004D4535">
              <w:rPr>
                <w:rFonts w:asciiTheme="minorHAnsi" w:eastAsiaTheme="minorEastAsia" w:hAnsiTheme="minorHAnsi"/>
                <w:lang w:eastAsia="en-AU"/>
              </w:rPr>
              <w:tab/>
            </w:r>
            <w:r w:rsidR="004D4535" w:rsidRPr="002D557E">
              <w:rPr>
                <w:rStyle w:val="Hyperlink"/>
              </w:rPr>
              <w:t>Accounting for step change between regulatory periods</w:t>
            </w:r>
            <w:r w:rsidR="004D4535">
              <w:rPr>
                <w:webHidden/>
              </w:rPr>
              <w:tab/>
            </w:r>
            <w:r w:rsidR="00CE1FA1">
              <w:rPr>
                <w:webHidden/>
              </w:rPr>
              <w:t>11-</w:t>
            </w:r>
            <w:r w:rsidR="004D4535">
              <w:rPr>
                <w:webHidden/>
              </w:rPr>
              <w:fldChar w:fldCharType="begin"/>
            </w:r>
            <w:r w:rsidR="004D4535">
              <w:rPr>
                <w:webHidden/>
              </w:rPr>
              <w:instrText xml:space="preserve"> PAGEREF _Toc432666655 \h </w:instrText>
            </w:r>
            <w:r w:rsidR="004D4535">
              <w:rPr>
                <w:webHidden/>
              </w:rPr>
            </w:r>
            <w:r w:rsidR="004D4535">
              <w:rPr>
                <w:webHidden/>
              </w:rPr>
              <w:fldChar w:fldCharType="separate"/>
            </w:r>
            <w:r w:rsidR="00764915">
              <w:rPr>
                <w:webHidden/>
              </w:rPr>
              <w:t>12</w:t>
            </w:r>
            <w:r w:rsidR="004D4535">
              <w:rPr>
                <w:webHidden/>
              </w:rPr>
              <w:fldChar w:fldCharType="end"/>
            </w:r>
          </w:hyperlink>
        </w:p>
        <w:p w:rsidR="004D4535" w:rsidRDefault="00D0196E">
          <w:pPr>
            <w:pStyle w:val="TOC3"/>
            <w:rPr>
              <w:rFonts w:asciiTheme="minorHAnsi" w:eastAsiaTheme="minorEastAsia" w:hAnsiTheme="minorHAnsi"/>
              <w:lang w:eastAsia="en-AU"/>
            </w:rPr>
          </w:pPr>
          <w:hyperlink w:anchor="_Toc432666656" w:history="1">
            <w:r w:rsidR="004D4535" w:rsidRPr="002D557E">
              <w:rPr>
                <w:rStyle w:val="Hyperlink"/>
              </w:rPr>
              <w:t>11.6.2</w:t>
            </w:r>
            <w:r w:rsidR="004D4535">
              <w:rPr>
                <w:rFonts w:asciiTheme="minorHAnsi" w:eastAsiaTheme="minorEastAsia" w:hAnsiTheme="minorHAnsi"/>
                <w:lang w:eastAsia="en-AU"/>
              </w:rPr>
              <w:tab/>
            </w:r>
            <w:r w:rsidR="004D4535" w:rsidRPr="002D557E">
              <w:rPr>
                <w:rStyle w:val="Hyperlink"/>
              </w:rPr>
              <w:t>Submissions</w:t>
            </w:r>
            <w:r w:rsidR="004D4535">
              <w:rPr>
                <w:webHidden/>
              </w:rPr>
              <w:tab/>
            </w:r>
            <w:r w:rsidR="00CE1FA1">
              <w:rPr>
                <w:webHidden/>
              </w:rPr>
              <w:t>11-</w:t>
            </w:r>
            <w:r w:rsidR="004D4535">
              <w:rPr>
                <w:webHidden/>
              </w:rPr>
              <w:fldChar w:fldCharType="begin"/>
            </w:r>
            <w:r w:rsidR="004D4535">
              <w:rPr>
                <w:webHidden/>
              </w:rPr>
              <w:instrText xml:space="preserve"> PAGEREF _Toc432666656 \h </w:instrText>
            </w:r>
            <w:r w:rsidR="004D4535">
              <w:rPr>
                <w:webHidden/>
              </w:rPr>
            </w:r>
            <w:r w:rsidR="004D4535">
              <w:rPr>
                <w:webHidden/>
              </w:rPr>
              <w:fldChar w:fldCharType="separate"/>
            </w:r>
            <w:r w:rsidR="00764915">
              <w:rPr>
                <w:webHidden/>
              </w:rPr>
              <w:t>13</w:t>
            </w:r>
            <w:r w:rsidR="004D4535">
              <w:rPr>
                <w:webHidden/>
              </w:rPr>
              <w:fldChar w:fldCharType="end"/>
            </w:r>
          </w:hyperlink>
        </w:p>
        <w:p w:rsidR="004D4535" w:rsidRDefault="00D0196E">
          <w:pPr>
            <w:pStyle w:val="TOC2"/>
            <w:tabs>
              <w:tab w:val="left" w:pos="1276"/>
            </w:tabs>
            <w:rPr>
              <w:rFonts w:asciiTheme="minorHAnsi" w:eastAsiaTheme="minorEastAsia" w:hAnsiTheme="minorHAnsi"/>
              <w:b w:val="0"/>
              <w:color w:val="auto"/>
              <w:sz w:val="22"/>
              <w:lang w:eastAsia="en-AU"/>
            </w:rPr>
          </w:pPr>
          <w:hyperlink w:anchor="_Toc432666657" w:history="1">
            <w:r w:rsidR="004D4535" w:rsidRPr="002D557E">
              <w:rPr>
                <w:rStyle w:val="Hyperlink"/>
              </w:rPr>
              <w:t>11.7</w:t>
            </w:r>
            <w:r w:rsidR="004D4535">
              <w:rPr>
                <w:rFonts w:asciiTheme="minorHAnsi" w:eastAsiaTheme="minorEastAsia" w:hAnsiTheme="minorHAnsi"/>
                <w:b w:val="0"/>
                <w:color w:val="auto"/>
                <w:sz w:val="22"/>
                <w:lang w:eastAsia="en-AU"/>
              </w:rPr>
              <w:tab/>
            </w:r>
            <w:r w:rsidR="004D4535" w:rsidRPr="002D557E">
              <w:rPr>
                <w:rStyle w:val="Hyperlink"/>
              </w:rPr>
              <w:t>Revenue reduction and future reliability levels</w:t>
            </w:r>
            <w:r w:rsidR="004D4535">
              <w:rPr>
                <w:webHidden/>
              </w:rPr>
              <w:tab/>
            </w:r>
            <w:r w:rsidR="00CE1FA1">
              <w:rPr>
                <w:webHidden/>
              </w:rPr>
              <w:t>11-</w:t>
            </w:r>
            <w:r w:rsidR="004D4535">
              <w:rPr>
                <w:webHidden/>
              </w:rPr>
              <w:fldChar w:fldCharType="begin"/>
            </w:r>
            <w:r w:rsidR="004D4535">
              <w:rPr>
                <w:webHidden/>
              </w:rPr>
              <w:instrText xml:space="preserve"> PAGEREF _Toc432666657 \h </w:instrText>
            </w:r>
            <w:r w:rsidR="004D4535">
              <w:rPr>
                <w:webHidden/>
              </w:rPr>
            </w:r>
            <w:r w:rsidR="004D4535">
              <w:rPr>
                <w:webHidden/>
              </w:rPr>
              <w:fldChar w:fldCharType="separate"/>
            </w:r>
            <w:r w:rsidR="00764915">
              <w:rPr>
                <w:webHidden/>
              </w:rPr>
              <w:t>14</w:t>
            </w:r>
            <w:r w:rsidR="004D4535">
              <w:rPr>
                <w:webHidden/>
              </w:rPr>
              <w:fldChar w:fldCharType="end"/>
            </w:r>
          </w:hyperlink>
        </w:p>
        <w:p w:rsidR="00D72AA2" w:rsidRDefault="00DE563D" w:rsidP="00410438">
          <w:pPr>
            <w:pStyle w:val="TOC2"/>
            <w:tabs>
              <w:tab w:val="left" w:pos="1276"/>
            </w:tabs>
          </w:pPr>
          <w:r>
            <w:fldChar w:fldCharType="end"/>
          </w:r>
        </w:p>
      </w:sdtContent>
    </w:sdt>
    <w:bookmarkStart w:id="8" w:name="_Toc404700925" w:displacedByCustomXml="prev"/>
    <w:p w:rsidR="00DE563D" w:rsidRDefault="00DE563D" w:rsidP="00DE563D">
      <w:pPr>
        <w:pStyle w:val="UnnumberedHeading"/>
        <w:numPr>
          <w:ilvl w:val="0"/>
          <w:numId w:val="24"/>
        </w:numPr>
      </w:pPr>
      <w:bookmarkStart w:id="9" w:name="_Toc432666635"/>
      <w:r>
        <w:lastRenderedPageBreak/>
        <w:t>Shortened forms</w:t>
      </w:r>
      <w:bookmarkEnd w:id="9"/>
      <w:bookmarkEnd w:id="8"/>
    </w:p>
    <w:tbl>
      <w:tblPr>
        <w:tblStyle w:val="AERtable-numbers"/>
        <w:tblW w:w="0" w:type="auto"/>
        <w:tblLook w:val="04A0" w:firstRow="1" w:lastRow="0" w:firstColumn="1" w:lastColumn="0" w:noHBand="0" w:noVBand="1"/>
      </w:tblPr>
      <w:tblGrid>
        <w:gridCol w:w="4340"/>
        <w:gridCol w:w="4353"/>
      </w:tblGrid>
      <w:tr w:rsidR="00DE563D" w:rsidTr="00DF06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augex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DUoS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9E00C7" w:rsidP="009E00C7">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1140AD" w:rsidP="009E00C7">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9E00C7">
              <w:t>G</w:t>
            </w:r>
            <w:r w:rsidR="00DE563D">
              <w:t>uideline for electricity distribution</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opex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PTRM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RAB</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repex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9E00C7">
              <w:t xml:space="preserve">and </w:t>
            </w:r>
            <w:r>
              <w:t>pricing principles</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FB0A2E" w:rsidP="00FB0A2E">
            <w:pPr>
              <w:pStyle w:val="AERtabletextleft"/>
              <w:jc w:val="left"/>
              <w:cnfStyle w:val="000000010000" w:firstRow="0" w:lastRow="0" w:firstColumn="0" w:lastColumn="0" w:oddVBand="0" w:evenVBand="0" w:oddHBand="0" w:evenHBand="1" w:firstRowFirstColumn="0" w:firstRowLastColumn="0" w:lastRowFirstColumn="0" w:lastRowLastColumn="0"/>
            </w:pPr>
            <w:r>
              <w:t>s</w:t>
            </w:r>
            <w:r w:rsidR="00DE563D">
              <w:t>ystem average interruption frequency index</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FB0A2E">
            <w:pPr>
              <w:pStyle w:val="AERtabletextleft"/>
              <w:jc w:val="lef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86541F" w:rsidP="00B34302">
      <w:pPr>
        <w:pStyle w:val="Heading1"/>
      </w:pPr>
      <w:bookmarkStart w:id="10" w:name="_Toc432666636"/>
      <w:r w:rsidRPr="00B34302">
        <w:lastRenderedPageBreak/>
        <w:t>Service target performance incentive scheme</w:t>
      </w:r>
      <w:bookmarkEnd w:id="10"/>
    </w:p>
    <w:p w:rsidR="004008AE" w:rsidRDefault="004008AE" w:rsidP="004008AE">
      <w:r>
        <w:t xml:space="preserve">Under clause 6.3.2 of the </w:t>
      </w:r>
      <w:r w:rsidR="00FB0A2E">
        <w:t>NER</w:t>
      </w:r>
      <w:r>
        <w:t xml:space="preserve"> our regulatory determination must </w:t>
      </w:r>
      <w:r w:rsidRPr="00277932">
        <w:t xml:space="preserve">specify how any applicable </w:t>
      </w:r>
      <w:r>
        <w:t>service target performance incentive (</w:t>
      </w:r>
      <w:r w:rsidRPr="00277932">
        <w:t>STPIS</w:t>
      </w:r>
      <w:r>
        <w:t>)</w:t>
      </w:r>
      <w:r w:rsidRPr="00277932">
        <w:t xml:space="preserve"> is to apply in the </w:t>
      </w:r>
      <w:r>
        <w:t>2015–20</w:t>
      </w:r>
      <w:r w:rsidRPr="00277932">
        <w:t xml:space="preserve"> regulatory control period.</w:t>
      </w:r>
      <w:r>
        <w:t xml:space="preserve"> </w:t>
      </w:r>
    </w:p>
    <w:p w:rsidR="004008AE" w:rsidRDefault="004008AE" w:rsidP="004008AE">
      <w:r>
        <w:t xml:space="preserve">This attachment sets out how we will apply the STPIS to </w:t>
      </w:r>
      <w:r w:rsidR="000D0EF2">
        <w:t>Ergon Energy</w:t>
      </w:r>
      <w:r>
        <w:t xml:space="preserve"> for the </w:t>
      </w:r>
      <w:r w:rsidR="00FB0A2E">
        <w:t>2015</w:t>
      </w:r>
      <w:r w:rsidR="00FB0A2E">
        <w:rPr>
          <w:rFonts w:cs="Arial"/>
        </w:rPr>
        <w:t>─</w:t>
      </w:r>
      <w:r w:rsidR="00FB0A2E">
        <w:t>20</w:t>
      </w:r>
      <w:r>
        <w:t xml:space="preserve"> regulatory control period.</w:t>
      </w:r>
    </w:p>
    <w:p w:rsidR="004008AE" w:rsidRPr="00FB0A2E" w:rsidRDefault="004008AE" w:rsidP="00FB0A2E">
      <w:pPr>
        <w:pStyle w:val="HeadingBoldBlue"/>
      </w:pPr>
      <w:r w:rsidRPr="00FB0A2E">
        <w:t>AER’s service target performance incentive scheme</w:t>
      </w:r>
    </w:p>
    <w:p w:rsidR="004008AE" w:rsidRDefault="004008AE" w:rsidP="004008AE">
      <w:r>
        <w:t>We published</w:t>
      </w:r>
      <w:r w:rsidRPr="00E73EFA">
        <w:t xml:space="preserve"> </w:t>
      </w:r>
      <w:r>
        <w:t xml:space="preserve">the current version of our national </w:t>
      </w:r>
      <w:r w:rsidRPr="00E73EFA">
        <w:t xml:space="preserve">STPIS </w:t>
      </w:r>
      <w:r>
        <w:t>in November 2009.</w:t>
      </w:r>
      <w:r>
        <w:rPr>
          <w:rStyle w:val="FootnoteReference"/>
        </w:rPr>
        <w:footnoteReference w:id="1"/>
      </w:r>
      <w:r>
        <w:t xml:space="preserve"> The </w:t>
      </w:r>
      <w:r w:rsidRPr="00401F71">
        <w:t xml:space="preserve">STPIS is intended to balance incentives to reduce expenditure with the need to maintain or improve service quality. It achieves this by providing financial incentives to </w:t>
      </w:r>
      <w:r>
        <w:t>distributors</w:t>
      </w:r>
      <w:r w:rsidRPr="00401F71">
        <w:t xml:space="preserve"> to maintain and improve service performance where customers are willing to pay for these improvements.</w:t>
      </w:r>
      <w:r>
        <w:t xml:space="preserve"> </w:t>
      </w:r>
    </w:p>
    <w:p w:rsidR="004008AE" w:rsidRDefault="004008AE" w:rsidP="004008AE">
      <w:pPr>
        <w:pStyle w:val="Heading2"/>
      </w:pPr>
      <w:bookmarkStart w:id="11" w:name="_Toc428950587"/>
      <w:bookmarkStart w:id="12" w:name="_Toc432666637"/>
      <w:r>
        <w:t>Final</w:t>
      </w:r>
      <w:r w:rsidRPr="00B34302">
        <w:t xml:space="preserve"> decision</w:t>
      </w:r>
      <w:bookmarkEnd w:id="11"/>
      <w:bookmarkEnd w:id="12"/>
    </w:p>
    <w:p w:rsidR="004008AE" w:rsidRDefault="004008AE" w:rsidP="004008AE">
      <w:r>
        <w:t xml:space="preserve">We will apply the STPIS to </w:t>
      </w:r>
      <w:r w:rsidR="000D0EF2">
        <w:t>Ergon Energy</w:t>
      </w:r>
      <w:r w:rsidR="00FB0A2E">
        <w:t xml:space="preserve"> for the 2015</w:t>
      </w:r>
      <w:r w:rsidR="00FB0A2E">
        <w:rPr>
          <w:rFonts w:cs="Arial"/>
        </w:rPr>
        <w:t>─</w:t>
      </w:r>
      <w:r>
        <w:t>20 regulatory control period. In applying the STPIS</w:t>
      </w:r>
      <w:r w:rsidR="00920103">
        <w:t>,</w:t>
      </w:r>
      <w:r>
        <w:t xml:space="preserve"> we will: </w:t>
      </w:r>
    </w:p>
    <w:p w:rsidR="004008AE" w:rsidRPr="00D6741A" w:rsidRDefault="004008AE" w:rsidP="004008AE">
      <w:pPr>
        <w:pStyle w:val="AERbulletlistfirststyle"/>
        <w:rPr>
          <w:rStyle w:val="AERbody"/>
        </w:rPr>
      </w:pPr>
      <w:r w:rsidRPr="00441E9B">
        <w:rPr>
          <w:rStyle w:val="AERbody"/>
        </w:rPr>
        <w:t xml:space="preserve">set revenue at risk for </w:t>
      </w:r>
      <w:r w:rsidR="000D0EF2">
        <w:rPr>
          <w:rStyle w:val="AERbody"/>
        </w:rPr>
        <w:t>Ergon Energy</w:t>
      </w:r>
      <w:r>
        <w:rPr>
          <w:rStyle w:val="AERbody"/>
        </w:rPr>
        <w:t xml:space="preserve"> at the </w:t>
      </w:r>
      <w:r w:rsidRPr="00441E9B">
        <w:rPr>
          <w:rStyle w:val="AERbody"/>
        </w:rPr>
        <w:t>range ±</w:t>
      </w:r>
      <w:r>
        <w:rPr>
          <w:rStyle w:val="AERbody"/>
        </w:rPr>
        <w:t xml:space="preserve"> </w:t>
      </w:r>
      <w:r w:rsidRPr="00D6741A">
        <w:rPr>
          <w:rStyle w:val="AERbody"/>
        </w:rPr>
        <w:t>2</w:t>
      </w:r>
      <w:r w:rsidR="00920103">
        <w:rPr>
          <w:rStyle w:val="AERbody"/>
        </w:rPr>
        <w:t>.0</w:t>
      </w:r>
      <w:r w:rsidRPr="00D6741A">
        <w:rPr>
          <w:rStyle w:val="AERbody"/>
        </w:rPr>
        <w:t xml:space="preserve"> per cent</w:t>
      </w:r>
    </w:p>
    <w:p w:rsidR="004008AE" w:rsidRPr="00D6741A" w:rsidRDefault="004008AE" w:rsidP="004008AE">
      <w:pPr>
        <w:pStyle w:val="AERbulletlistfirststyle"/>
      </w:pPr>
      <w:r w:rsidRPr="00C16C7B">
        <w:t xml:space="preserve">segment </w:t>
      </w:r>
      <w:r w:rsidR="000D0EF2">
        <w:t>Ergon Energy</w:t>
      </w:r>
      <w:r>
        <w:t xml:space="preserve">'s </w:t>
      </w:r>
      <w:r w:rsidRPr="00C16C7B">
        <w:t>network according to feeder categories urban</w:t>
      </w:r>
      <w:r w:rsidR="000D0EF2">
        <w:t>, short and long</w:t>
      </w:r>
      <w:r w:rsidRPr="00D6741A">
        <w:t xml:space="preserve"> rural </w:t>
      </w:r>
    </w:p>
    <w:p w:rsidR="004008AE" w:rsidRDefault="004008AE" w:rsidP="004008AE">
      <w:pPr>
        <w:pStyle w:val="AERbulletlistfirststyle"/>
        <w:rPr>
          <w:rStyle w:val="AERbody"/>
        </w:rPr>
      </w:pPr>
      <w:r w:rsidRPr="00C16C7B">
        <w:t>set applicable reliability of supply (</w:t>
      </w:r>
      <w:r w:rsidRPr="00D6741A">
        <w:t xml:space="preserve">system average interruption duration index or SAIDI and system average interruption frequency index or SAIFI) and </w:t>
      </w:r>
      <w:r w:rsidRPr="00D6741A">
        <w:rPr>
          <w:rStyle w:val="AERbody"/>
        </w:rPr>
        <w:t>customer service (telephone answering) parameters</w:t>
      </w:r>
    </w:p>
    <w:p w:rsidR="004008AE" w:rsidRPr="00D6741A" w:rsidRDefault="004008AE" w:rsidP="004008AE">
      <w:pPr>
        <w:pStyle w:val="AERbulletlistfirststyle"/>
      </w:pPr>
      <w:r w:rsidRPr="00D6741A">
        <w:t xml:space="preserve">set performance targets based on the </w:t>
      </w:r>
      <w:r w:rsidR="000D0EF2">
        <w:t>Ergon Energy</w:t>
      </w:r>
      <w:r>
        <w:t>'s</w:t>
      </w:r>
      <w:r w:rsidRPr="00D6741A">
        <w:t xml:space="preserve"> average performance over the past five regulatory years </w:t>
      </w:r>
    </w:p>
    <w:p w:rsidR="004008AE" w:rsidRPr="00D6741A" w:rsidRDefault="004008AE" w:rsidP="004008AE">
      <w:pPr>
        <w:pStyle w:val="AERbulletlistfirststyle"/>
      </w:pPr>
      <w:r w:rsidRPr="00D6741A">
        <w:t xml:space="preserve">apply the methodology indicated in the national STPIS for excluding specific events from the calculation of annual performance targets </w:t>
      </w:r>
    </w:p>
    <w:p w:rsidR="004008AE" w:rsidRDefault="004008AE" w:rsidP="004008AE">
      <w:pPr>
        <w:pStyle w:val="AERbulletlistfirststyle"/>
      </w:pPr>
      <w:r w:rsidRPr="00D6741A">
        <w:t>apply the methodology and value of customer reliability (VCR) values to the calculation of incentive rates</w:t>
      </w:r>
      <w:r>
        <w:t xml:space="preserve"> using the latest VCR for Queensland</w:t>
      </w:r>
    </w:p>
    <w:p w:rsidR="005342E2" w:rsidRPr="00D6741A" w:rsidRDefault="005342E2" w:rsidP="005342E2">
      <w:pPr>
        <w:pStyle w:val="AERbulletlistfirststyle"/>
      </w:pPr>
      <w:r w:rsidRPr="005342E2">
        <w:t xml:space="preserve">not apply the GSL component as </w:t>
      </w:r>
      <w:r>
        <w:t>Ergon Energy</w:t>
      </w:r>
      <w:r w:rsidRPr="005342E2">
        <w:t xml:space="preserve"> is subject to a jurisdictional GSL scheme.</w:t>
      </w:r>
    </w:p>
    <w:p w:rsidR="004008AE" w:rsidRPr="00914BCE" w:rsidRDefault="004008AE" w:rsidP="004008AE">
      <w:r>
        <w:t xml:space="preserve">In making our final decision on the STPIS, we have taken into account our preliminary decision, </w:t>
      </w:r>
      <w:r w:rsidR="000D0EF2">
        <w:t xml:space="preserve">our </w:t>
      </w:r>
      <w:r w:rsidR="004A3612">
        <w:t>framework and approach (</w:t>
      </w:r>
      <w:r>
        <w:t>F&amp;A</w:t>
      </w:r>
      <w:r w:rsidR="004A3612">
        <w:t>)</w:t>
      </w:r>
      <w:r>
        <w:t xml:space="preserve"> paper, </w:t>
      </w:r>
      <w:r w:rsidR="000D0EF2">
        <w:t>Ergon Energy</w:t>
      </w:r>
      <w:r>
        <w:t xml:space="preserve">'s </w:t>
      </w:r>
      <w:r w:rsidR="004A3612">
        <w:t xml:space="preserve">initial and revised </w:t>
      </w:r>
      <w:r>
        <w:t xml:space="preserve">regulatory proposals, our information requests to </w:t>
      </w:r>
      <w:r w:rsidR="000D0EF2">
        <w:t>Ergon Energy</w:t>
      </w:r>
      <w:r>
        <w:t xml:space="preserve"> and a submission from </w:t>
      </w:r>
      <w:r>
        <w:lastRenderedPageBreak/>
        <w:t xml:space="preserve">the </w:t>
      </w:r>
      <w:r w:rsidR="00AA7EC8">
        <w:rPr>
          <w:rStyle w:val="AERbody"/>
        </w:rPr>
        <w:t>Alliance of Electricity Consumers of Queensland</w:t>
      </w:r>
      <w:r>
        <w:t xml:space="preserve">. Our responses to the matters raised by </w:t>
      </w:r>
      <w:r w:rsidR="000D0EF2">
        <w:t>Ergon Energy</w:t>
      </w:r>
      <w:r>
        <w:t xml:space="preserve"> and </w:t>
      </w:r>
      <w:r w:rsidR="00AA7EC8">
        <w:t xml:space="preserve">the </w:t>
      </w:r>
      <w:r w:rsidR="00AA7EC8">
        <w:rPr>
          <w:rStyle w:val="AERbody"/>
        </w:rPr>
        <w:t xml:space="preserve">Alliance of Electricity Consumers of Queensland </w:t>
      </w:r>
      <w:r>
        <w:t>about the application of the STPIS are also discussed in this final decision.</w:t>
      </w:r>
    </w:p>
    <w:p w:rsidR="004008AE" w:rsidRDefault="00E32593" w:rsidP="004008AE">
      <w:bookmarkStart w:id="13" w:name="_Toc404362391"/>
      <w:r>
        <w:t>Tables 11.2 and 11.3</w:t>
      </w:r>
      <w:r w:rsidR="004008AE">
        <w:t xml:space="preserve"> </w:t>
      </w:r>
      <w:r w:rsidR="004008AE" w:rsidRPr="000B05E8">
        <w:t xml:space="preserve">present </w:t>
      </w:r>
      <w:r w:rsidR="004008AE">
        <w:t xml:space="preserve">our final decision on the applicable incentives rates and targets that will be applied to </w:t>
      </w:r>
      <w:r w:rsidR="000D0EF2">
        <w:t>Ergon Energy</w:t>
      </w:r>
      <w:r w:rsidR="004008AE">
        <w:t xml:space="preserve">'s STPIS for the 2015–20 regulatory </w:t>
      </w:r>
      <w:r>
        <w:t xml:space="preserve">control </w:t>
      </w:r>
      <w:proofErr w:type="gramStart"/>
      <w:r w:rsidR="004008AE">
        <w:t>period</w:t>
      </w:r>
      <w:proofErr w:type="gramEnd"/>
      <w:r w:rsidR="004008AE">
        <w:t>.</w:t>
      </w:r>
    </w:p>
    <w:p w:rsidR="00F85530" w:rsidRDefault="00F85530" w:rsidP="004008AE">
      <w:r w:rsidRPr="002A3A62">
        <w:t xml:space="preserve">The incentive rate for the </w:t>
      </w:r>
      <w:r>
        <w:t xml:space="preserve">customer service component </w:t>
      </w:r>
      <w:r w:rsidRPr="002A3A62">
        <w:t xml:space="preserve">will be </w:t>
      </w:r>
      <w:r w:rsidR="00E32593">
        <w:rPr>
          <w:rFonts w:cs="Arial"/>
        </w:rPr>
        <w:t>─</w:t>
      </w:r>
      <w:r>
        <w:t>0.040</w:t>
      </w:r>
      <w:r w:rsidRPr="002A3A62">
        <w:t xml:space="preserve"> per cent per unit of the telephone answering parameter.</w:t>
      </w:r>
    </w:p>
    <w:p w:rsidR="004008AE" w:rsidRPr="00A946AA" w:rsidRDefault="004008AE" w:rsidP="004008AE">
      <w:pPr>
        <w:pStyle w:val="Caption"/>
      </w:pPr>
      <w:bookmarkStart w:id="14" w:name="_Ref430165095"/>
      <w:bookmarkStart w:id="15" w:name="_Ref417394504"/>
      <w:proofErr w:type="gramStart"/>
      <w:r>
        <w:t xml:space="preserve">Table </w:t>
      </w:r>
      <w:fldSimple w:instr=" STYLEREF 1 \s ">
        <w:r w:rsidR="00764915">
          <w:rPr>
            <w:noProof/>
          </w:rPr>
          <w:t>11</w:t>
        </w:r>
      </w:fldSimple>
      <w:r w:rsidR="00E32593">
        <w:t>.</w:t>
      </w:r>
      <w:proofErr w:type="gramEnd"/>
      <w:r w:rsidR="00FB0A2E">
        <w:fldChar w:fldCharType="begin"/>
      </w:r>
      <w:r w:rsidR="00FB0A2E">
        <w:instrText xml:space="preserve"> SEQ Table \* ARABIC \s 1 </w:instrText>
      </w:r>
      <w:r w:rsidR="00FB0A2E">
        <w:fldChar w:fldCharType="separate"/>
      </w:r>
      <w:r w:rsidR="00764915">
        <w:rPr>
          <w:noProof/>
        </w:rPr>
        <w:t>1</w:t>
      </w:r>
      <w:r w:rsidR="00FB0A2E">
        <w:rPr>
          <w:noProof/>
        </w:rPr>
        <w:fldChar w:fldCharType="end"/>
      </w:r>
      <w:bookmarkEnd w:id="14"/>
      <w:r>
        <w:tab/>
      </w:r>
      <w:r w:rsidR="00E32593">
        <w:t>A</w:t>
      </w:r>
      <w:r w:rsidR="004A3612">
        <w:t xml:space="preserve">ER final decision on </w:t>
      </w:r>
      <w:r>
        <w:t>STPIS i</w:t>
      </w:r>
      <w:r w:rsidRPr="00A946AA">
        <w:t>ncentive rates</w:t>
      </w:r>
      <w:r>
        <w:t xml:space="preserve"> for </w:t>
      </w:r>
      <w:r w:rsidR="000D0EF2">
        <w:t>Ergon Energy</w:t>
      </w:r>
      <w:r>
        <w:t xml:space="preserve"> for the 2015–20</w:t>
      </w:r>
      <w:bookmarkEnd w:id="15"/>
      <w:r>
        <w:t xml:space="preserve"> regulatory </w:t>
      </w:r>
      <w:r w:rsidR="004A3612">
        <w:t xml:space="preserve">control </w:t>
      </w:r>
      <w:proofErr w:type="gramStart"/>
      <w:r>
        <w:t>period</w:t>
      </w:r>
      <w:proofErr w:type="gramEnd"/>
    </w:p>
    <w:tbl>
      <w:tblPr>
        <w:tblStyle w:val="AERtable-numbers"/>
        <w:tblW w:w="5000" w:type="pct"/>
        <w:tblLook w:val="04A0" w:firstRow="1" w:lastRow="0" w:firstColumn="1" w:lastColumn="0" w:noHBand="0" w:noVBand="1"/>
      </w:tblPr>
      <w:tblGrid>
        <w:gridCol w:w="1758"/>
        <w:gridCol w:w="1620"/>
        <w:gridCol w:w="2658"/>
        <w:gridCol w:w="2657"/>
      </w:tblGrid>
      <w:tr w:rsidR="004008AE" w:rsidRPr="00A946AA" w:rsidTr="00081C0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1" w:type="pct"/>
            <w:hideMark/>
          </w:tcPr>
          <w:p w:rsidR="004008AE" w:rsidRPr="004008AE" w:rsidRDefault="004008AE" w:rsidP="004008AE">
            <w:pPr>
              <w:pStyle w:val="Tabletext-centred"/>
            </w:pPr>
            <w:r w:rsidRPr="00A946AA">
              <w:t> </w:t>
            </w:r>
          </w:p>
        </w:tc>
        <w:tc>
          <w:tcPr>
            <w:tcW w:w="932" w:type="pct"/>
            <w:hideMark/>
          </w:tcPr>
          <w:p w:rsidR="004008AE" w:rsidRPr="004008AE" w:rsidRDefault="000D0EF2" w:rsidP="004008AE">
            <w:pPr>
              <w:pStyle w:val="AERtabletextright"/>
              <w:cnfStyle w:val="100000000000" w:firstRow="1" w:lastRow="0" w:firstColumn="0" w:lastColumn="0" w:oddVBand="0" w:evenVBand="0" w:oddHBand="0" w:evenHBand="0" w:firstRowFirstColumn="0" w:firstRowLastColumn="0" w:lastRowFirstColumn="0" w:lastRowLastColumn="0"/>
            </w:pPr>
            <w:r>
              <w:t>Urban</w:t>
            </w:r>
          </w:p>
        </w:tc>
        <w:tc>
          <w:tcPr>
            <w:tcW w:w="1529" w:type="pct"/>
          </w:tcPr>
          <w:p w:rsidR="004008AE" w:rsidRPr="004008AE" w:rsidRDefault="00920103" w:rsidP="004008AE">
            <w:pPr>
              <w:pStyle w:val="AERtabletextright"/>
              <w:cnfStyle w:val="100000000000" w:firstRow="1" w:lastRow="0" w:firstColumn="0" w:lastColumn="0" w:oddVBand="0" w:evenVBand="0" w:oddHBand="0" w:evenHBand="0" w:firstRowFirstColumn="0" w:firstRowLastColumn="0" w:lastRowFirstColumn="0" w:lastRowLastColumn="0"/>
            </w:pPr>
            <w:r>
              <w:t>R</w:t>
            </w:r>
            <w:r w:rsidR="000D0EF2">
              <w:t>ural</w:t>
            </w:r>
            <w:r>
              <w:t xml:space="preserve"> short</w:t>
            </w:r>
          </w:p>
        </w:tc>
        <w:tc>
          <w:tcPr>
            <w:tcW w:w="1528" w:type="pct"/>
          </w:tcPr>
          <w:p w:rsidR="004008AE" w:rsidRPr="004008AE" w:rsidRDefault="00920103" w:rsidP="004008AE">
            <w:pPr>
              <w:pStyle w:val="AERtabletextright"/>
              <w:cnfStyle w:val="100000000000" w:firstRow="1" w:lastRow="0" w:firstColumn="0" w:lastColumn="0" w:oddVBand="0" w:evenVBand="0" w:oddHBand="0" w:evenHBand="0" w:firstRowFirstColumn="0" w:firstRowLastColumn="0" w:lastRowFirstColumn="0" w:lastRowLastColumn="0"/>
            </w:pPr>
            <w:r>
              <w:t>R</w:t>
            </w:r>
            <w:r w:rsidR="000D0EF2">
              <w:t>ural</w:t>
            </w:r>
            <w:r>
              <w:t xml:space="preserve"> long</w:t>
            </w:r>
          </w:p>
        </w:tc>
      </w:tr>
      <w:tr w:rsidR="00D21BB7" w:rsidRPr="00D21BB7" w:rsidTr="00FB0A2E">
        <w:trPr>
          <w:trHeight w:val="465"/>
        </w:trPr>
        <w:tc>
          <w:tcPr>
            <w:cnfStyle w:val="001000000000" w:firstRow="0" w:lastRow="0" w:firstColumn="1" w:lastColumn="0" w:oddVBand="0" w:evenVBand="0" w:oddHBand="0" w:evenHBand="0" w:firstRowFirstColumn="0" w:firstRowLastColumn="0" w:lastRowFirstColumn="0" w:lastRowLastColumn="0"/>
            <w:tcW w:w="1011" w:type="pct"/>
            <w:hideMark/>
          </w:tcPr>
          <w:p w:rsidR="00D21BB7" w:rsidRPr="00D21BB7" w:rsidRDefault="00D21BB7" w:rsidP="00D21BB7">
            <w:pPr>
              <w:pStyle w:val="AERtabletextleft"/>
              <w:rPr>
                <w:rStyle w:val="AERbody"/>
              </w:rPr>
            </w:pPr>
            <w:r w:rsidRPr="00D21BB7">
              <w:rPr>
                <w:rStyle w:val="AERbody"/>
              </w:rPr>
              <w:t>SAIDI</w:t>
            </w:r>
          </w:p>
        </w:tc>
        <w:tc>
          <w:tcPr>
            <w:tcW w:w="932" w:type="pct"/>
            <w:vAlign w:val="top"/>
          </w:tcPr>
          <w:p w:rsidR="00D21BB7" w:rsidRPr="00D21BB7" w:rsidRDefault="00D21BB7" w:rsidP="00FB0A2E">
            <w:pPr>
              <w:cnfStyle w:val="000000000000" w:firstRow="0" w:lastRow="0" w:firstColumn="0" w:lastColumn="0" w:oddVBand="0" w:evenVBand="0" w:oddHBand="0" w:evenHBand="0" w:firstRowFirstColumn="0" w:firstRowLastColumn="0" w:lastRowFirstColumn="0" w:lastRowLastColumn="0"/>
              <w:rPr>
                <w:rStyle w:val="AERbody"/>
              </w:rPr>
            </w:pPr>
            <w:r w:rsidRPr="00D21BB7">
              <w:rPr>
                <w:rStyle w:val="AERbody"/>
              </w:rPr>
              <w:t>0.0159</w:t>
            </w:r>
          </w:p>
        </w:tc>
        <w:tc>
          <w:tcPr>
            <w:tcW w:w="1529" w:type="pct"/>
            <w:vAlign w:val="top"/>
          </w:tcPr>
          <w:p w:rsidR="00D21BB7" w:rsidRPr="00D21BB7" w:rsidRDefault="00D21BB7" w:rsidP="00FB0A2E">
            <w:pPr>
              <w:cnfStyle w:val="000000000000" w:firstRow="0" w:lastRow="0" w:firstColumn="0" w:lastColumn="0" w:oddVBand="0" w:evenVBand="0" w:oddHBand="0" w:evenHBand="0" w:firstRowFirstColumn="0" w:firstRowLastColumn="0" w:lastRowFirstColumn="0" w:lastRowLastColumn="0"/>
              <w:rPr>
                <w:rStyle w:val="AERbody"/>
              </w:rPr>
            </w:pPr>
            <w:r w:rsidRPr="00D21BB7">
              <w:rPr>
                <w:rStyle w:val="AERbody"/>
              </w:rPr>
              <w:t>0.0159</w:t>
            </w:r>
          </w:p>
        </w:tc>
        <w:tc>
          <w:tcPr>
            <w:tcW w:w="1528" w:type="pct"/>
            <w:vAlign w:val="top"/>
          </w:tcPr>
          <w:p w:rsidR="00D21BB7" w:rsidRPr="00D21BB7" w:rsidRDefault="00D21BB7" w:rsidP="00FB0A2E">
            <w:pPr>
              <w:cnfStyle w:val="000000000000" w:firstRow="0" w:lastRow="0" w:firstColumn="0" w:lastColumn="0" w:oddVBand="0" w:evenVBand="0" w:oddHBand="0" w:evenHBand="0" w:firstRowFirstColumn="0" w:firstRowLastColumn="0" w:lastRowFirstColumn="0" w:lastRowLastColumn="0"/>
              <w:rPr>
                <w:rStyle w:val="AERbody"/>
              </w:rPr>
            </w:pPr>
            <w:r w:rsidRPr="00D21BB7">
              <w:rPr>
                <w:rStyle w:val="AERbody"/>
              </w:rPr>
              <w:t>0.0034</w:t>
            </w:r>
          </w:p>
        </w:tc>
      </w:tr>
      <w:tr w:rsidR="00D21BB7" w:rsidRPr="00D21BB7" w:rsidTr="00FB0A2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11" w:type="pct"/>
          </w:tcPr>
          <w:p w:rsidR="00D21BB7" w:rsidRPr="00D21BB7" w:rsidRDefault="00D21BB7" w:rsidP="00D21BB7">
            <w:pPr>
              <w:pStyle w:val="AERtabletextleft"/>
              <w:rPr>
                <w:rStyle w:val="AERbody"/>
              </w:rPr>
            </w:pPr>
            <w:r w:rsidRPr="00D21BB7">
              <w:rPr>
                <w:rStyle w:val="AERbody"/>
              </w:rPr>
              <w:t>SAIFI</w:t>
            </w:r>
          </w:p>
        </w:tc>
        <w:tc>
          <w:tcPr>
            <w:tcW w:w="932" w:type="pct"/>
            <w:vAlign w:val="top"/>
          </w:tcPr>
          <w:p w:rsidR="00D21BB7" w:rsidRPr="00D21BB7" w:rsidRDefault="00D21BB7" w:rsidP="00FB0A2E">
            <w:pPr>
              <w:cnfStyle w:val="000000010000" w:firstRow="0" w:lastRow="0" w:firstColumn="0" w:lastColumn="0" w:oddVBand="0" w:evenVBand="0" w:oddHBand="0" w:evenHBand="1" w:firstRowFirstColumn="0" w:firstRowLastColumn="0" w:lastRowFirstColumn="0" w:lastRowLastColumn="0"/>
              <w:rPr>
                <w:rStyle w:val="AERbody"/>
              </w:rPr>
            </w:pPr>
            <w:r w:rsidRPr="00D21BB7">
              <w:rPr>
                <w:rStyle w:val="AERbody"/>
              </w:rPr>
              <w:t>1.3823</w:t>
            </w:r>
          </w:p>
        </w:tc>
        <w:tc>
          <w:tcPr>
            <w:tcW w:w="1529" w:type="pct"/>
            <w:vAlign w:val="top"/>
          </w:tcPr>
          <w:p w:rsidR="00D21BB7" w:rsidRPr="00D21BB7" w:rsidRDefault="00D21BB7" w:rsidP="00FB0A2E">
            <w:pPr>
              <w:cnfStyle w:val="000000010000" w:firstRow="0" w:lastRow="0" w:firstColumn="0" w:lastColumn="0" w:oddVBand="0" w:evenVBand="0" w:oddHBand="0" w:evenHBand="1" w:firstRowFirstColumn="0" w:firstRowLastColumn="0" w:lastRowFirstColumn="0" w:lastRowLastColumn="0"/>
              <w:rPr>
                <w:rStyle w:val="AERbody"/>
              </w:rPr>
            </w:pPr>
            <w:r w:rsidRPr="00D21BB7">
              <w:rPr>
                <w:rStyle w:val="AERbody"/>
              </w:rPr>
              <w:t>1.8113</w:t>
            </w:r>
          </w:p>
        </w:tc>
        <w:tc>
          <w:tcPr>
            <w:tcW w:w="1528" w:type="pct"/>
            <w:vAlign w:val="top"/>
          </w:tcPr>
          <w:p w:rsidR="00D21BB7" w:rsidRPr="00D21BB7" w:rsidRDefault="00D21BB7" w:rsidP="00FB0A2E">
            <w:pPr>
              <w:cnfStyle w:val="000000010000" w:firstRow="0" w:lastRow="0" w:firstColumn="0" w:lastColumn="0" w:oddVBand="0" w:evenVBand="0" w:oddHBand="0" w:evenHBand="1" w:firstRowFirstColumn="0" w:firstRowLastColumn="0" w:lastRowFirstColumn="0" w:lastRowLastColumn="0"/>
              <w:rPr>
                <w:rStyle w:val="AERbody"/>
              </w:rPr>
            </w:pPr>
            <w:r w:rsidRPr="00D21BB7">
              <w:rPr>
                <w:rStyle w:val="AERbody"/>
              </w:rPr>
              <w:t>0.5167</w:t>
            </w:r>
          </w:p>
        </w:tc>
      </w:tr>
    </w:tbl>
    <w:p w:rsidR="004008AE" w:rsidRDefault="004008AE" w:rsidP="00E630C8">
      <w:pPr>
        <w:pStyle w:val="AERtablesource"/>
      </w:pPr>
      <w:r>
        <w:t>Source:</w:t>
      </w:r>
      <w:r>
        <w:tab/>
      </w:r>
      <w:r w:rsidRPr="00E630C8">
        <w:t>AER Analysis.</w:t>
      </w:r>
    </w:p>
    <w:p w:rsidR="004008AE" w:rsidRDefault="004008AE" w:rsidP="004008AE">
      <w:pPr>
        <w:pStyle w:val="Caption"/>
      </w:pPr>
      <w:bookmarkStart w:id="16" w:name="_Ref430165103"/>
      <w:r>
        <w:t xml:space="preserve">Table </w:t>
      </w:r>
      <w:fldSimple w:instr=" STYLEREF 1 \s ">
        <w:r w:rsidR="00764915">
          <w:rPr>
            <w:noProof/>
          </w:rPr>
          <w:t>11</w:t>
        </w:r>
      </w:fldSimple>
      <w:r>
        <w:noBreakHyphen/>
      </w:r>
      <w:fldSimple w:instr=" SEQ Table \* ARABIC \s 1 ">
        <w:r w:rsidR="00764915">
          <w:rPr>
            <w:noProof/>
          </w:rPr>
          <w:t>2</w:t>
        </w:r>
      </w:fldSimple>
      <w:bookmarkEnd w:id="16"/>
      <w:r>
        <w:tab/>
      </w:r>
      <w:r w:rsidR="004A3612">
        <w:t xml:space="preserve">AER final decision on </w:t>
      </w:r>
      <w:r>
        <w:t xml:space="preserve">STPIS reliability targets for </w:t>
      </w:r>
      <w:r w:rsidR="000D0EF2">
        <w:t>Ergon Energy</w:t>
      </w:r>
      <w:r>
        <w:t xml:space="preserve"> for the 2015–20 regulatory </w:t>
      </w:r>
      <w:r w:rsidR="004A3612">
        <w:t xml:space="preserve">control </w:t>
      </w:r>
      <w:r>
        <w:t>period</w:t>
      </w:r>
    </w:p>
    <w:tbl>
      <w:tblPr>
        <w:tblStyle w:val="AERtable-numbers"/>
        <w:tblW w:w="5000" w:type="pct"/>
        <w:tblLook w:val="04A0" w:firstRow="1" w:lastRow="0" w:firstColumn="1" w:lastColumn="0" w:noHBand="0" w:noVBand="1"/>
      </w:tblPr>
      <w:tblGrid>
        <w:gridCol w:w="3769"/>
        <w:gridCol w:w="4924"/>
      </w:tblGrid>
      <w:tr w:rsidR="004008AE" w:rsidRPr="00670E6D" w:rsidTr="004008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8" w:type="pct"/>
            <w:hideMark/>
          </w:tcPr>
          <w:p w:rsidR="004008AE" w:rsidRPr="00670E6D" w:rsidRDefault="004008AE" w:rsidP="004008AE">
            <w:pPr>
              <w:pStyle w:val="Tabletext-centred"/>
            </w:pPr>
          </w:p>
        </w:tc>
        <w:tc>
          <w:tcPr>
            <w:tcW w:w="2832" w:type="pct"/>
          </w:tcPr>
          <w:p w:rsidR="004008AE" w:rsidRPr="004008AE" w:rsidRDefault="004008AE" w:rsidP="004008AE">
            <w:pPr>
              <w:pStyle w:val="AERtabletextright"/>
              <w:cnfStyle w:val="100000000000" w:firstRow="1" w:lastRow="0" w:firstColumn="0" w:lastColumn="0" w:oddVBand="0" w:evenVBand="0" w:oddHBand="0" w:evenHBand="0" w:firstRowFirstColumn="0" w:firstRowLastColumn="0" w:lastRowFirstColumn="0" w:lastRowLastColumn="0"/>
            </w:pPr>
            <w:r w:rsidRPr="0020296D">
              <w:t>value</w:t>
            </w:r>
          </w:p>
        </w:tc>
      </w:tr>
      <w:tr w:rsidR="004008AE" w:rsidRPr="00670E6D" w:rsidTr="004008AE">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4008AE" w:rsidRPr="004008AE" w:rsidRDefault="00920103" w:rsidP="004008AE">
            <w:pPr>
              <w:pStyle w:val="AERtabletextleft"/>
              <w:rPr>
                <w:rStyle w:val="Strong"/>
              </w:rPr>
            </w:pPr>
            <w:r>
              <w:rPr>
                <w:rStyle w:val="Strong"/>
              </w:rPr>
              <w:t>Urban</w:t>
            </w:r>
          </w:p>
        </w:tc>
        <w:tc>
          <w:tcPr>
            <w:tcW w:w="2832" w:type="pct"/>
          </w:tcPr>
          <w:p w:rsidR="004008AE" w:rsidRPr="0020296D" w:rsidRDefault="004008AE" w:rsidP="004008AE">
            <w:pPr>
              <w:pStyle w:val="AERtabletextright"/>
              <w:cnfStyle w:val="000000000000" w:firstRow="0" w:lastRow="0" w:firstColumn="0" w:lastColumn="0" w:oddVBand="0" w:evenVBand="0" w:oddHBand="0" w:evenHBand="0" w:firstRowFirstColumn="0" w:firstRowLastColumn="0" w:lastRowFirstColumn="0" w:lastRowLastColumn="0"/>
            </w:pPr>
          </w:p>
        </w:tc>
      </w:tr>
      <w:tr w:rsidR="00652A7A" w:rsidRPr="00670E6D" w:rsidTr="007D62FF">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hideMark/>
          </w:tcPr>
          <w:p w:rsidR="00652A7A" w:rsidRPr="00652A7A" w:rsidRDefault="00652A7A" w:rsidP="00652A7A">
            <w:pPr>
              <w:pStyle w:val="AERtabletextleft"/>
            </w:pPr>
            <w:r w:rsidRPr="00652A7A">
              <w:t>SAIDI</w:t>
            </w:r>
          </w:p>
        </w:tc>
        <w:tc>
          <w:tcPr>
            <w:tcW w:w="2832" w:type="pct"/>
            <w:vAlign w:val="bottom"/>
          </w:tcPr>
          <w:p w:rsidR="00652A7A" w:rsidRPr="00652A7A" w:rsidRDefault="00652A7A" w:rsidP="00081C08">
            <w:pPr>
              <w:pStyle w:val="AERtabletextright"/>
              <w:cnfStyle w:val="000000010000" w:firstRow="0" w:lastRow="0" w:firstColumn="0" w:lastColumn="0" w:oddVBand="0" w:evenVBand="0" w:oddHBand="0" w:evenHBand="1" w:firstRowFirstColumn="0" w:firstRowLastColumn="0" w:lastRowFirstColumn="0" w:lastRowLastColumn="0"/>
            </w:pPr>
            <w:r w:rsidRPr="00652A7A">
              <w:t>126.73</w:t>
            </w:r>
          </w:p>
        </w:tc>
      </w:tr>
      <w:tr w:rsidR="00652A7A" w:rsidRPr="00670E6D" w:rsidTr="007D62FF">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652A7A" w:rsidRPr="00652A7A" w:rsidRDefault="00652A7A" w:rsidP="00652A7A">
            <w:pPr>
              <w:pStyle w:val="AERtabletextleft"/>
            </w:pPr>
            <w:r w:rsidRPr="00652A7A">
              <w:t>SAIFI</w:t>
            </w:r>
          </w:p>
        </w:tc>
        <w:tc>
          <w:tcPr>
            <w:tcW w:w="2832" w:type="pct"/>
            <w:vAlign w:val="bottom"/>
          </w:tcPr>
          <w:p w:rsidR="00652A7A" w:rsidRPr="00652A7A" w:rsidRDefault="00652A7A" w:rsidP="00081C08">
            <w:pPr>
              <w:pStyle w:val="AERtabletextright"/>
              <w:cnfStyle w:val="000000000000" w:firstRow="0" w:lastRow="0" w:firstColumn="0" w:lastColumn="0" w:oddVBand="0" w:evenVBand="0" w:oddHBand="0" w:evenHBand="0" w:firstRowFirstColumn="0" w:firstRowLastColumn="0" w:lastRowFirstColumn="0" w:lastRowLastColumn="0"/>
            </w:pPr>
            <w:r w:rsidRPr="00652A7A">
              <w:t>1.5</w:t>
            </w:r>
            <w:r w:rsidR="007B2E64">
              <w:t>03</w:t>
            </w:r>
          </w:p>
        </w:tc>
      </w:tr>
      <w:tr w:rsidR="004008AE" w:rsidRPr="00670E6D" w:rsidTr="004008A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4008AE" w:rsidRPr="004008AE" w:rsidRDefault="00920103" w:rsidP="004008AE">
            <w:pPr>
              <w:pStyle w:val="AERtabletextleft"/>
              <w:rPr>
                <w:rStyle w:val="Strong"/>
              </w:rPr>
            </w:pPr>
            <w:r>
              <w:rPr>
                <w:rStyle w:val="Strong"/>
              </w:rPr>
              <w:t>Rural short</w:t>
            </w:r>
          </w:p>
        </w:tc>
        <w:tc>
          <w:tcPr>
            <w:tcW w:w="2832" w:type="pct"/>
          </w:tcPr>
          <w:p w:rsidR="004008AE" w:rsidRPr="0020296D" w:rsidRDefault="004008AE" w:rsidP="004008AE">
            <w:pPr>
              <w:pStyle w:val="AERtabletextright"/>
              <w:cnfStyle w:val="000000010000" w:firstRow="0" w:lastRow="0" w:firstColumn="0" w:lastColumn="0" w:oddVBand="0" w:evenVBand="0" w:oddHBand="0" w:evenHBand="1" w:firstRowFirstColumn="0" w:firstRowLastColumn="0" w:lastRowFirstColumn="0" w:lastRowLastColumn="0"/>
            </w:pPr>
          </w:p>
        </w:tc>
      </w:tr>
      <w:tr w:rsidR="00652A7A" w:rsidRPr="00670E6D" w:rsidTr="007D62FF">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652A7A" w:rsidRPr="00652A7A" w:rsidRDefault="00652A7A" w:rsidP="00652A7A">
            <w:pPr>
              <w:pStyle w:val="AERtabletextleft"/>
            </w:pPr>
            <w:r w:rsidRPr="00652A7A">
              <w:t>SAIDI</w:t>
            </w:r>
          </w:p>
        </w:tc>
        <w:tc>
          <w:tcPr>
            <w:tcW w:w="2832" w:type="pct"/>
            <w:vAlign w:val="bottom"/>
          </w:tcPr>
          <w:p w:rsidR="00652A7A" w:rsidRPr="00652A7A" w:rsidRDefault="00652A7A" w:rsidP="00081C08">
            <w:pPr>
              <w:pStyle w:val="AERtabletextright"/>
              <w:cnfStyle w:val="000000000000" w:firstRow="0" w:lastRow="0" w:firstColumn="0" w:lastColumn="0" w:oddVBand="0" w:evenVBand="0" w:oddHBand="0" w:evenHBand="0" w:firstRowFirstColumn="0" w:firstRowLastColumn="0" w:lastRowFirstColumn="0" w:lastRowLastColumn="0"/>
            </w:pPr>
            <w:r w:rsidRPr="00652A7A">
              <w:t>317.0</w:t>
            </w:r>
            <w:r w:rsidR="00081C08">
              <w:t>6</w:t>
            </w:r>
          </w:p>
        </w:tc>
      </w:tr>
      <w:tr w:rsidR="00652A7A" w:rsidRPr="00670E6D" w:rsidTr="007D62FF">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652A7A" w:rsidRPr="00652A7A" w:rsidRDefault="00652A7A" w:rsidP="00652A7A">
            <w:pPr>
              <w:pStyle w:val="AERtabletextleft"/>
            </w:pPr>
            <w:r w:rsidRPr="00652A7A">
              <w:t>SAIFI</w:t>
            </w:r>
          </w:p>
        </w:tc>
        <w:tc>
          <w:tcPr>
            <w:tcW w:w="2832" w:type="pct"/>
            <w:vAlign w:val="bottom"/>
          </w:tcPr>
          <w:p w:rsidR="00652A7A" w:rsidRPr="00652A7A" w:rsidRDefault="00652A7A" w:rsidP="007B2E64">
            <w:pPr>
              <w:pStyle w:val="AERtabletextright"/>
              <w:cnfStyle w:val="000000010000" w:firstRow="0" w:lastRow="0" w:firstColumn="0" w:lastColumn="0" w:oddVBand="0" w:evenVBand="0" w:oddHBand="0" w:evenHBand="1" w:firstRowFirstColumn="0" w:firstRowLastColumn="0" w:lastRowFirstColumn="0" w:lastRowLastColumn="0"/>
            </w:pPr>
            <w:r w:rsidRPr="00652A7A">
              <w:t>3.0</w:t>
            </w:r>
            <w:r w:rsidR="007B2E64">
              <w:t>19</w:t>
            </w:r>
          </w:p>
        </w:tc>
      </w:tr>
      <w:tr w:rsidR="004008AE" w:rsidRPr="00670E6D" w:rsidTr="004008AE">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4008AE" w:rsidRPr="004008AE" w:rsidRDefault="004008AE" w:rsidP="004008AE">
            <w:pPr>
              <w:pStyle w:val="AERtabletextleft"/>
              <w:rPr>
                <w:rStyle w:val="Strong"/>
              </w:rPr>
            </w:pPr>
            <w:r w:rsidRPr="0020296D">
              <w:rPr>
                <w:rStyle w:val="Strong"/>
              </w:rPr>
              <w:t xml:space="preserve">Rural </w:t>
            </w:r>
            <w:r w:rsidR="00920103">
              <w:rPr>
                <w:rStyle w:val="Strong"/>
              </w:rPr>
              <w:t>long</w:t>
            </w:r>
          </w:p>
        </w:tc>
        <w:tc>
          <w:tcPr>
            <w:tcW w:w="2832" w:type="pct"/>
          </w:tcPr>
          <w:p w:rsidR="004008AE" w:rsidRPr="0020296D" w:rsidRDefault="004008AE" w:rsidP="004008AE">
            <w:pPr>
              <w:pStyle w:val="AERtabletextright"/>
              <w:cnfStyle w:val="000000000000" w:firstRow="0" w:lastRow="0" w:firstColumn="0" w:lastColumn="0" w:oddVBand="0" w:evenVBand="0" w:oddHBand="0" w:evenHBand="0" w:firstRowFirstColumn="0" w:firstRowLastColumn="0" w:lastRowFirstColumn="0" w:lastRowLastColumn="0"/>
            </w:pPr>
          </w:p>
        </w:tc>
      </w:tr>
      <w:tr w:rsidR="00652A7A" w:rsidRPr="00670E6D" w:rsidTr="007D62FF">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652A7A" w:rsidRPr="00652A7A" w:rsidRDefault="00652A7A" w:rsidP="00652A7A">
            <w:pPr>
              <w:pStyle w:val="AERtabletextleft"/>
            </w:pPr>
            <w:r w:rsidRPr="00652A7A">
              <w:t>SAIDI</w:t>
            </w:r>
          </w:p>
        </w:tc>
        <w:tc>
          <w:tcPr>
            <w:tcW w:w="2832" w:type="pct"/>
            <w:vAlign w:val="bottom"/>
          </w:tcPr>
          <w:p w:rsidR="00652A7A" w:rsidRPr="00652A7A" w:rsidRDefault="00652A7A" w:rsidP="00081C08">
            <w:pPr>
              <w:pStyle w:val="AERtabletextright"/>
              <w:cnfStyle w:val="000000010000" w:firstRow="0" w:lastRow="0" w:firstColumn="0" w:lastColumn="0" w:oddVBand="0" w:evenVBand="0" w:oddHBand="0" w:evenHBand="1" w:firstRowFirstColumn="0" w:firstRowLastColumn="0" w:lastRowFirstColumn="0" w:lastRowLastColumn="0"/>
            </w:pPr>
            <w:r w:rsidRPr="00652A7A">
              <w:t>742.4</w:t>
            </w:r>
            <w:r w:rsidR="00081C08">
              <w:t>7</w:t>
            </w:r>
          </w:p>
        </w:tc>
      </w:tr>
      <w:tr w:rsidR="00652A7A" w:rsidRPr="00670E6D" w:rsidTr="007D62FF">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652A7A" w:rsidRPr="00652A7A" w:rsidRDefault="00652A7A" w:rsidP="00652A7A">
            <w:pPr>
              <w:pStyle w:val="AERtabletextleft"/>
            </w:pPr>
            <w:r w:rsidRPr="00652A7A">
              <w:t>SAIFI</w:t>
            </w:r>
          </w:p>
        </w:tc>
        <w:tc>
          <w:tcPr>
            <w:tcW w:w="2832" w:type="pct"/>
            <w:vAlign w:val="bottom"/>
          </w:tcPr>
          <w:p w:rsidR="00652A7A" w:rsidRPr="00652A7A" w:rsidRDefault="00652A7A" w:rsidP="007B2E64">
            <w:pPr>
              <w:pStyle w:val="AERtabletextright"/>
              <w:cnfStyle w:val="000000000000" w:firstRow="0" w:lastRow="0" w:firstColumn="0" w:lastColumn="0" w:oddVBand="0" w:evenVBand="0" w:oddHBand="0" w:evenHBand="0" w:firstRowFirstColumn="0" w:firstRowLastColumn="0" w:lastRowFirstColumn="0" w:lastRowLastColumn="0"/>
            </w:pPr>
            <w:r w:rsidRPr="00652A7A">
              <w:t>5.3</w:t>
            </w:r>
            <w:r w:rsidR="007B2E64">
              <w:t>48</w:t>
            </w:r>
          </w:p>
        </w:tc>
      </w:tr>
      <w:tr w:rsidR="004008AE" w:rsidRPr="00670E6D" w:rsidTr="004008A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4008AE" w:rsidRPr="004A3612" w:rsidRDefault="004008AE" w:rsidP="004A3612">
            <w:pPr>
              <w:rPr>
                <w:rStyle w:val="Strong"/>
              </w:rPr>
            </w:pPr>
            <w:r w:rsidRPr="004A3612">
              <w:rPr>
                <w:rStyle w:val="Strong"/>
              </w:rPr>
              <w:t>Telephone answering</w:t>
            </w:r>
          </w:p>
        </w:tc>
        <w:tc>
          <w:tcPr>
            <w:tcW w:w="2832" w:type="pct"/>
          </w:tcPr>
          <w:p w:rsidR="004008AE" w:rsidRPr="0020296D" w:rsidRDefault="004008AE" w:rsidP="004008AE">
            <w:pPr>
              <w:pStyle w:val="AERtabletextright"/>
              <w:cnfStyle w:val="000000010000" w:firstRow="0" w:lastRow="0" w:firstColumn="0" w:lastColumn="0" w:oddVBand="0" w:evenVBand="0" w:oddHBand="0" w:evenHBand="1" w:firstRowFirstColumn="0" w:firstRowLastColumn="0" w:lastRowFirstColumn="0" w:lastRowLastColumn="0"/>
            </w:pPr>
          </w:p>
        </w:tc>
      </w:tr>
      <w:tr w:rsidR="004008AE" w:rsidRPr="00670E6D" w:rsidTr="004008AE">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4008AE" w:rsidRPr="004008AE" w:rsidRDefault="004008AE" w:rsidP="004008AE">
            <w:pPr>
              <w:pStyle w:val="AERtabletextleft"/>
            </w:pPr>
            <w:r w:rsidRPr="0020296D">
              <w:t xml:space="preserve">Percentage of calls will be answered </w:t>
            </w:r>
            <w:r w:rsidRPr="004008AE">
              <w:t>within 30 seconds</w:t>
            </w:r>
          </w:p>
        </w:tc>
        <w:tc>
          <w:tcPr>
            <w:tcW w:w="2832" w:type="pct"/>
          </w:tcPr>
          <w:p w:rsidR="004008AE" w:rsidRPr="0020296D" w:rsidRDefault="00596EED" w:rsidP="004008AE">
            <w:pPr>
              <w:pStyle w:val="AERtabletextright"/>
              <w:cnfStyle w:val="000000000000" w:firstRow="0" w:lastRow="0" w:firstColumn="0" w:lastColumn="0" w:oddVBand="0" w:evenVBand="0" w:oddHBand="0" w:evenHBand="0" w:firstRowFirstColumn="0" w:firstRowLastColumn="0" w:lastRowFirstColumn="0" w:lastRowLastColumn="0"/>
            </w:pPr>
            <w:r>
              <w:t>77.3</w:t>
            </w:r>
          </w:p>
        </w:tc>
      </w:tr>
    </w:tbl>
    <w:p w:rsidR="004008AE" w:rsidRDefault="004008AE" w:rsidP="00744DF5">
      <w:pPr>
        <w:pStyle w:val="AERtablesource"/>
      </w:pPr>
      <w:r>
        <w:t xml:space="preserve">Source: </w:t>
      </w:r>
      <w:r>
        <w:tab/>
        <w:t>AER analysis.</w:t>
      </w:r>
    </w:p>
    <w:p w:rsidR="004008AE" w:rsidRDefault="004008AE" w:rsidP="004008AE"/>
    <w:p w:rsidR="004008AE" w:rsidRDefault="000D0EF2" w:rsidP="004008AE">
      <w:pPr>
        <w:pStyle w:val="Heading2"/>
      </w:pPr>
      <w:bookmarkStart w:id="17" w:name="_Toc432666638"/>
      <w:bookmarkStart w:id="18" w:name="_Toc432666639"/>
      <w:bookmarkStart w:id="19" w:name="_Toc432666640"/>
      <w:bookmarkStart w:id="20" w:name="_Toc432666641"/>
      <w:bookmarkStart w:id="21" w:name="_Toc418848659"/>
      <w:bookmarkStart w:id="22" w:name="_Toc432666642"/>
      <w:bookmarkEnd w:id="17"/>
      <w:bookmarkEnd w:id="18"/>
      <w:bookmarkEnd w:id="19"/>
      <w:bookmarkEnd w:id="20"/>
      <w:bookmarkEnd w:id="13"/>
      <w:r>
        <w:lastRenderedPageBreak/>
        <w:t>Ergon Energy</w:t>
      </w:r>
      <w:r w:rsidR="004008AE" w:rsidRPr="00B34302">
        <w:t xml:space="preserve">'s </w:t>
      </w:r>
      <w:r w:rsidR="004008AE">
        <w:t xml:space="preserve">revised </w:t>
      </w:r>
      <w:r w:rsidR="004008AE" w:rsidRPr="00B34302">
        <w:t>proposal</w:t>
      </w:r>
      <w:bookmarkEnd w:id="21"/>
      <w:bookmarkEnd w:id="22"/>
    </w:p>
    <w:p w:rsidR="004008AE" w:rsidRPr="00335393" w:rsidRDefault="004008AE" w:rsidP="004008AE">
      <w:r w:rsidRPr="004008AE">
        <w:t>Ergon Energy's revised regulatory proposal accepted most of our preliminary decision on the STPIS. However, it considered that we should not have capped the reliability of supply component of the STPIS in our preliminary decision for 2015–20 at</w:t>
      </w:r>
      <w:r w:rsidR="00982738">
        <w:t xml:space="preserve"> </w:t>
      </w:r>
      <w:r w:rsidR="00982738">
        <w:rPr>
          <w:rFonts w:cs="Arial"/>
        </w:rPr>
        <w:t>±</w:t>
      </w:r>
      <w:r>
        <w:t xml:space="preserve"> </w:t>
      </w:r>
      <w:r w:rsidR="000D0EF2">
        <w:t>1.8</w:t>
      </w:r>
      <w:r>
        <w:t xml:space="preserve"> per cent.</w:t>
      </w:r>
      <w:r>
        <w:rPr>
          <w:rStyle w:val="FootnoteReference"/>
        </w:rPr>
        <w:footnoteReference w:id="2"/>
      </w:r>
    </w:p>
    <w:p w:rsidR="004008AE" w:rsidRDefault="004008AE" w:rsidP="004008AE">
      <w:pPr>
        <w:pStyle w:val="Heading2"/>
      </w:pPr>
      <w:bookmarkStart w:id="23" w:name="_Toc418848660"/>
      <w:bookmarkStart w:id="24" w:name="_Toc432666643"/>
      <w:r w:rsidRPr="00B34302">
        <w:t>AER’s assessment approach</w:t>
      </w:r>
      <w:bookmarkEnd w:id="23"/>
      <w:bookmarkEnd w:id="24"/>
    </w:p>
    <w:p w:rsidR="004008AE" w:rsidRDefault="004008AE" w:rsidP="004008AE">
      <w:r>
        <w:t xml:space="preserve">We are required to make a decision on how the STPIS is to apply to </w:t>
      </w:r>
      <w:r w:rsidR="000D0EF2">
        <w:t>Ergon Energy</w:t>
      </w:r>
      <w:r>
        <w:t>.</w:t>
      </w:r>
      <w:r>
        <w:rPr>
          <w:rStyle w:val="FootnoteReference"/>
        </w:rPr>
        <w:footnoteReference w:id="3"/>
      </w:r>
      <w:r>
        <w:t xml:space="preserve"> When making a distribution determination, the STPIS requires us to determine all performance targets, incentive rates, revenue at risk and other parameters required to apply the scheme.</w:t>
      </w:r>
      <w:r>
        <w:rPr>
          <w:rStyle w:val="FootnoteReference"/>
        </w:rPr>
        <w:footnoteReference w:id="4"/>
      </w:r>
      <w:r>
        <w:t xml:space="preserve"> </w:t>
      </w:r>
    </w:p>
    <w:p w:rsidR="004008AE" w:rsidRDefault="004008AE" w:rsidP="004008AE">
      <w:r>
        <w:t xml:space="preserve">We outlined our proposed approach to, and justification for, the application of the STPIS in our </w:t>
      </w:r>
      <w:r w:rsidR="004A3612">
        <w:t>F&amp;A</w:t>
      </w:r>
      <w:r>
        <w:t xml:space="preserve"> for </w:t>
      </w:r>
      <w:r w:rsidR="000D0EF2">
        <w:t>Ergon Energy</w:t>
      </w:r>
      <w:r>
        <w:t>.</w:t>
      </w:r>
      <w:r w:rsidRPr="00AB4BB7">
        <w:rPr>
          <w:rStyle w:val="FootnoteReference"/>
        </w:rPr>
        <w:t xml:space="preserve"> </w:t>
      </w:r>
      <w:r>
        <w:rPr>
          <w:rStyle w:val="FootnoteReference"/>
        </w:rPr>
        <w:footnoteReference w:id="5"/>
      </w:r>
      <w:r>
        <w:t xml:space="preserve"> Our preliminary</w:t>
      </w:r>
      <w:r w:rsidRPr="00277FF4">
        <w:t xml:space="preserve"> decision </w:t>
      </w:r>
      <w:r>
        <w:t xml:space="preserve">and final decision have adopted the same positions, unless new information has become available or new arguments have been put forward which warrant a reconsideration of this position. We have considered material submitted to us by stakeholders and </w:t>
      </w:r>
      <w:r w:rsidR="000D0EF2">
        <w:t>Ergon Energy</w:t>
      </w:r>
      <w:r>
        <w:t>. In each instance, we considered the relative merits of the alternative against the objectives of the STPIS.</w:t>
      </w:r>
      <w:r w:rsidRPr="00AB4BB7">
        <w:rPr>
          <w:rStyle w:val="FootnoteReference"/>
        </w:rPr>
        <w:t xml:space="preserve"> </w:t>
      </w:r>
      <w:r>
        <w:rPr>
          <w:rStyle w:val="FootnoteReference"/>
        </w:rPr>
        <w:footnoteReference w:id="6"/>
      </w:r>
    </w:p>
    <w:p w:rsidR="004008AE" w:rsidRDefault="004008AE" w:rsidP="004008AE">
      <w:pPr>
        <w:pStyle w:val="Heading3"/>
      </w:pPr>
      <w:bookmarkStart w:id="25" w:name="_Toc418848661"/>
      <w:bookmarkStart w:id="26" w:name="_Toc432666644"/>
      <w:r>
        <w:t>Interrelationship</w:t>
      </w:r>
      <w:bookmarkEnd w:id="25"/>
      <w:bookmarkEnd w:id="26"/>
      <w:r w:rsidR="004A3612">
        <w:t>s</w:t>
      </w:r>
    </w:p>
    <w:p w:rsidR="004008AE" w:rsidRPr="003861C2" w:rsidRDefault="004008AE" w:rsidP="004008AE">
      <w:r w:rsidRPr="003861C2">
        <w:t>In applying the STPIS we must consider any other incentives available to the distributor under the NER or relevant distribution determination</w:t>
      </w:r>
      <w:r w:rsidRPr="002204A1">
        <w:rPr>
          <w:rStyle w:val="AERbody"/>
        </w:rPr>
        <w:t>.</w:t>
      </w:r>
      <w:r>
        <w:rPr>
          <w:rStyle w:val="FootnoteReference"/>
        </w:rPr>
        <w:footnoteReference w:id="7"/>
      </w:r>
      <w:r w:rsidRPr="002204A1">
        <w:rPr>
          <w:rStyle w:val="AERbody"/>
        </w:rPr>
        <w:t xml:space="preserve"> </w:t>
      </w:r>
      <w:r w:rsidRPr="003861C2">
        <w:t>One of the objectives of the STPIS is to ensure that the incentives are sufficient to offset any financial incentives the distributor may have to reduce costs at the expense of service levels. For the 201</w:t>
      </w:r>
      <w:r>
        <w:t>5</w:t>
      </w:r>
      <w:r w:rsidRPr="003861C2">
        <w:t>–20 regulatory control period, the STPIS will interact with the Capital Expenditure Sharing Scheme (CESS) and the opex Expenditure Benefit Sharing Scheme (EBSS).</w:t>
      </w:r>
      <w:r>
        <w:rPr>
          <w:rStyle w:val="FootnoteReference"/>
        </w:rPr>
        <w:footnoteReference w:id="8"/>
      </w:r>
    </w:p>
    <w:p w:rsidR="004008AE" w:rsidRPr="002204A1" w:rsidRDefault="004008AE" w:rsidP="004008AE">
      <w:pPr>
        <w:rPr>
          <w:rStyle w:val="AERbody"/>
        </w:rPr>
      </w:pPr>
      <w:r w:rsidRPr="002204A1">
        <w:rPr>
          <w:rStyle w:val="AERbody"/>
        </w:rPr>
        <w:t>The rewards and penalties amounts under STPIS</w:t>
      </w:r>
      <w:r>
        <w:rPr>
          <w:rStyle w:val="AERbody"/>
        </w:rPr>
        <w:t xml:space="preserve"> (the incentive rates)</w:t>
      </w:r>
      <w:r w:rsidRPr="002204A1">
        <w:rPr>
          <w:rStyle w:val="AERbody"/>
        </w:rPr>
        <w:t xml:space="preserve"> are determined based on the average customer value </w:t>
      </w:r>
      <w:r>
        <w:rPr>
          <w:rStyle w:val="AERbody"/>
        </w:rPr>
        <w:t>for</w:t>
      </w:r>
      <w:r w:rsidRPr="002204A1">
        <w:rPr>
          <w:rStyle w:val="AERbody"/>
        </w:rPr>
        <w:t xml:space="preserve"> the improvement, or otherwise, to supply reliability</w:t>
      </w:r>
      <w:r>
        <w:rPr>
          <w:rStyle w:val="AERbody"/>
        </w:rPr>
        <w:t xml:space="preserve"> </w:t>
      </w:r>
      <w:r w:rsidRPr="002204A1">
        <w:rPr>
          <w:rStyle w:val="AERbody"/>
        </w:rPr>
        <w:t xml:space="preserve">(the VCR). This </w:t>
      </w:r>
      <w:r>
        <w:rPr>
          <w:rStyle w:val="AERbody"/>
        </w:rPr>
        <w:t>is aimed at</w:t>
      </w:r>
      <w:r w:rsidRPr="002204A1">
        <w:rPr>
          <w:rStyle w:val="AERbody"/>
        </w:rPr>
        <w:t xml:space="preserve"> ensur</w:t>
      </w:r>
      <w:r>
        <w:rPr>
          <w:rStyle w:val="AERbody"/>
        </w:rPr>
        <w:t>ing</w:t>
      </w:r>
      <w:r w:rsidRPr="002204A1">
        <w:rPr>
          <w:rStyle w:val="AERbody"/>
        </w:rPr>
        <w:t xml:space="preserve"> that the distributor’s operational and investment strategies are consistent with customers’ value </w:t>
      </w:r>
      <w:r>
        <w:rPr>
          <w:rStyle w:val="AERbody"/>
        </w:rPr>
        <w:t>for</w:t>
      </w:r>
      <w:r w:rsidRPr="002204A1">
        <w:rPr>
          <w:rStyle w:val="AERbody"/>
        </w:rPr>
        <w:t xml:space="preserve"> the service</w:t>
      </w:r>
      <w:r>
        <w:rPr>
          <w:rStyle w:val="AERbody"/>
        </w:rPr>
        <w:t>s that are offered</w:t>
      </w:r>
      <w:r w:rsidRPr="002204A1">
        <w:rPr>
          <w:rStyle w:val="AERbody"/>
        </w:rPr>
        <w:t xml:space="preserve"> </w:t>
      </w:r>
      <w:r>
        <w:rPr>
          <w:rStyle w:val="AERbody"/>
        </w:rPr>
        <w:t>to them.</w:t>
      </w:r>
    </w:p>
    <w:p w:rsidR="004008AE" w:rsidRDefault="004008AE" w:rsidP="004008AE">
      <w:pPr>
        <w:rPr>
          <w:rStyle w:val="AERbody"/>
        </w:rPr>
      </w:pPr>
      <w:r>
        <w:rPr>
          <w:rStyle w:val="AERbody"/>
        </w:rPr>
        <w:lastRenderedPageBreak/>
        <w:t>Our</w:t>
      </w:r>
      <w:r w:rsidRPr="002204A1">
        <w:rPr>
          <w:rStyle w:val="AERbody"/>
        </w:rPr>
        <w:t xml:space="preserve"> capex and opex allowances are</w:t>
      </w:r>
      <w:r>
        <w:rPr>
          <w:rStyle w:val="AERbody"/>
        </w:rPr>
        <w:t xml:space="preserve"> </w:t>
      </w:r>
      <w:r>
        <w:t xml:space="preserve">set to reasonably </w:t>
      </w:r>
      <w:r w:rsidRPr="00E47342">
        <w:t>reflect the expenditures required by a</w:t>
      </w:r>
      <w:r>
        <w:t xml:space="preserve"> prudent</w:t>
      </w:r>
      <w:r w:rsidRPr="00E47342">
        <w:t xml:space="preserve"> </w:t>
      </w:r>
      <w:r>
        <w:t xml:space="preserve">and </w:t>
      </w:r>
      <w:r w:rsidRPr="00E47342">
        <w:t xml:space="preserve">efficient business to </w:t>
      </w:r>
      <w:r>
        <w:t xml:space="preserve">achieve the capex and opex objectives. These include complying with all applicable regulatory </w:t>
      </w:r>
      <w:r w:rsidRPr="00E47342">
        <w:t>obligations</w:t>
      </w:r>
      <w:r>
        <w:t xml:space="preserve"> and requirements and, in the absence of such obligations, </w:t>
      </w:r>
      <w:r w:rsidRPr="00E47342">
        <w:t xml:space="preserve">maintaining </w:t>
      </w:r>
      <w:r>
        <w:t xml:space="preserve">quality, </w:t>
      </w:r>
      <w:r w:rsidRPr="00E47342">
        <w:t>reliability, and security outcomes</w:t>
      </w:r>
      <w:r>
        <w:t>.</w:t>
      </w:r>
      <w:r w:rsidRPr="002204A1">
        <w:rPr>
          <w:rStyle w:val="AERbody"/>
        </w:rPr>
        <w:t xml:space="preserve"> </w:t>
      </w:r>
    </w:p>
    <w:p w:rsidR="004008AE" w:rsidRPr="002204A1" w:rsidRDefault="004008AE" w:rsidP="004008AE">
      <w:pPr>
        <w:rPr>
          <w:rStyle w:val="AERbody"/>
        </w:rPr>
      </w:pPr>
      <w:r>
        <w:rPr>
          <w:rStyle w:val="AERbody"/>
        </w:rPr>
        <w:t>T</w:t>
      </w:r>
      <w:r w:rsidRPr="002204A1">
        <w:rPr>
          <w:rStyle w:val="AERbody"/>
        </w:rPr>
        <w:t>he STPIS</w:t>
      </w:r>
      <w:r>
        <w:rPr>
          <w:rStyle w:val="AERbody"/>
        </w:rPr>
        <w:t>,</w:t>
      </w:r>
      <w:r w:rsidRPr="002204A1">
        <w:rPr>
          <w:rStyle w:val="AERbody"/>
        </w:rPr>
        <w:t xml:space="preserve"> </w:t>
      </w:r>
      <w:r>
        <w:rPr>
          <w:rStyle w:val="AERbody"/>
        </w:rPr>
        <w:t>on the other hand</w:t>
      </w:r>
      <w:r w:rsidR="004A3612">
        <w:rPr>
          <w:rStyle w:val="AERbody"/>
        </w:rPr>
        <w:t>,</w:t>
      </w:r>
      <w:r>
        <w:rPr>
          <w:rStyle w:val="AERbody"/>
        </w:rPr>
        <w:t xml:space="preserve"> provi</w:t>
      </w:r>
      <w:r w:rsidR="004A3612">
        <w:rPr>
          <w:rStyle w:val="AERbody"/>
        </w:rPr>
        <w:t>des</w:t>
      </w:r>
      <w:r>
        <w:rPr>
          <w:rStyle w:val="AERbody"/>
        </w:rPr>
        <w:t xml:space="preserve"> an incentive for distributors to invest in further reliability improvements (via additional STPIS rewards) where customers are willing to pay for it. Conversely, the STPIS penalises distributors where they let reliability deteriorate. </w:t>
      </w:r>
      <w:r w:rsidRPr="002204A1">
        <w:rPr>
          <w:rStyle w:val="AERbody"/>
        </w:rPr>
        <w:t>Importantly, the distributor will only receive a financial reward</w:t>
      </w:r>
      <w:r>
        <w:rPr>
          <w:rStyle w:val="AERbody"/>
        </w:rPr>
        <w:t xml:space="preserve"> </w:t>
      </w:r>
      <w:r w:rsidRPr="002204A1">
        <w:rPr>
          <w:rStyle w:val="AERbody"/>
        </w:rPr>
        <w:t xml:space="preserve">after actual improvements are delivered to the customers. </w:t>
      </w:r>
    </w:p>
    <w:p w:rsidR="004008AE" w:rsidRPr="002204A1" w:rsidRDefault="004008AE" w:rsidP="004008AE">
      <w:pPr>
        <w:rPr>
          <w:rStyle w:val="AERbody"/>
        </w:rPr>
      </w:pPr>
      <w:r w:rsidRPr="002204A1">
        <w:rPr>
          <w:rStyle w:val="AERbody"/>
        </w:rPr>
        <w:t xml:space="preserve">In conjunction with CESS and EBSS, the </w:t>
      </w:r>
      <w:r>
        <w:rPr>
          <w:rStyle w:val="AERbody"/>
        </w:rPr>
        <w:t>STPIS</w:t>
      </w:r>
      <w:r w:rsidRPr="002204A1">
        <w:rPr>
          <w:rStyle w:val="AERbody"/>
        </w:rPr>
        <w:t xml:space="preserve"> will ensure that:</w:t>
      </w:r>
    </w:p>
    <w:p w:rsidR="004008AE" w:rsidRPr="003861C2" w:rsidRDefault="004008AE" w:rsidP="004008AE">
      <w:pPr>
        <w:pStyle w:val="AERbulletlistfirststyle"/>
        <w:rPr>
          <w:rStyle w:val="AERbody"/>
        </w:rPr>
      </w:pPr>
      <w:r w:rsidRPr="002204A1">
        <w:rPr>
          <w:rStyle w:val="AERbody"/>
        </w:rPr>
        <w:tab/>
      </w:r>
      <w:r w:rsidRPr="003861C2">
        <w:rPr>
          <w:rStyle w:val="AERbody"/>
        </w:rPr>
        <w:t>any additional investments to improve reliability are based on prudent economic decisions</w:t>
      </w:r>
    </w:p>
    <w:p w:rsidR="004008AE" w:rsidRDefault="004008AE" w:rsidP="004008AE">
      <w:pPr>
        <w:pStyle w:val="AERbulletlistfirststyle"/>
        <w:rPr>
          <w:rStyle w:val="AERbody"/>
        </w:rPr>
      </w:pPr>
      <w:r w:rsidRPr="003861C2">
        <w:rPr>
          <w:rStyle w:val="AERbody"/>
        </w:rPr>
        <w:tab/>
        <w:t>reductions in capex and</w:t>
      </w:r>
      <w:r>
        <w:rPr>
          <w:rStyle w:val="AERbody"/>
        </w:rPr>
        <w:t>/or</w:t>
      </w:r>
      <w:r w:rsidRPr="003861C2">
        <w:rPr>
          <w:rStyle w:val="AERbody"/>
        </w:rPr>
        <w:t xml:space="preserve"> opex are achieved efficiently, rather than at the expense of service levels to customers.</w:t>
      </w:r>
    </w:p>
    <w:p w:rsidR="004008AE" w:rsidRDefault="004008AE" w:rsidP="004008AE">
      <w:pPr>
        <w:pStyle w:val="Heading2"/>
      </w:pPr>
      <w:bookmarkStart w:id="27" w:name="_Toc418848662"/>
      <w:bookmarkStart w:id="28" w:name="_Toc432666645"/>
      <w:r w:rsidRPr="00B34302">
        <w:t xml:space="preserve">Reasons for </w:t>
      </w:r>
      <w:r>
        <w:t>final</w:t>
      </w:r>
      <w:r w:rsidRPr="00B34302">
        <w:t xml:space="preserve"> decision</w:t>
      </w:r>
      <w:bookmarkEnd w:id="27"/>
      <w:bookmarkEnd w:id="28"/>
      <w:r w:rsidRPr="00B34302">
        <w:t xml:space="preserve"> </w:t>
      </w:r>
    </w:p>
    <w:p w:rsidR="004008AE" w:rsidRDefault="004008AE" w:rsidP="004008AE">
      <w:r w:rsidRPr="009C0D52">
        <w:t xml:space="preserve">The following section sets out our </w:t>
      </w:r>
      <w:r>
        <w:t>detailed consideration o</w:t>
      </w:r>
      <w:r w:rsidRPr="009C0D52">
        <w:t>n</w:t>
      </w:r>
      <w:r>
        <w:t>:</w:t>
      </w:r>
    </w:p>
    <w:p w:rsidR="004008AE" w:rsidRDefault="004008AE" w:rsidP="004008AE">
      <w:pPr>
        <w:pStyle w:val="AERbulletlistfirststyle"/>
      </w:pPr>
      <w:r w:rsidRPr="009C0D52">
        <w:t xml:space="preserve">applying the STPIS to </w:t>
      </w:r>
      <w:r w:rsidR="000D0EF2">
        <w:t>Ergon Energy</w:t>
      </w:r>
      <w:r>
        <w:t xml:space="preserve"> </w:t>
      </w:r>
      <w:r w:rsidRPr="009C0D52">
        <w:t>for the 201</w:t>
      </w:r>
      <w:r>
        <w:t>5</w:t>
      </w:r>
      <w:r w:rsidRPr="009C0D52">
        <w:t>–</w:t>
      </w:r>
      <w:r>
        <w:t>20 regulatory control period</w:t>
      </w:r>
    </w:p>
    <w:p w:rsidR="004008AE" w:rsidRDefault="004008AE" w:rsidP="004008AE">
      <w:pPr>
        <w:pStyle w:val="AERbulletlistfirststyle"/>
      </w:pPr>
      <w:r>
        <w:t xml:space="preserve">how we will apply the STPIS between regulatory control periods and our response to submissions  </w:t>
      </w:r>
    </w:p>
    <w:p w:rsidR="004008AE" w:rsidRDefault="004008AE" w:rsidP="004008AE">
      <w:pPr>
        <w:pStyle w:val="AERbulletlistfirststyle"/>
      </w:pPr>
      <w:r>
        <w:t xml:space="preserve">how we will apply the STPIS to </w:t>
      </w:r>
      <w:r w:rsidR="000D0EF2">
        <w:t>Ergon Energy</w:t>
      </w:r>
      <w:r>
        <w:t>.</w:t>
      </w:r>
    </w:p>
    <w:p w:rsidR="004008AE" w:rsidRDefault="004008AE" w:rsidP="004008AE">
      <w:pPr>
        <w:pStyle w:val="Heading2"/>
      </w:pPr>
      <w:bookmarkStart w:id="29" w:name="_Toc429476215"/>
      <w:bookmarkStart w:id="30" w:name="_Toc432666646"/>
      <w:r>
        <w:t xml:space="preserve">Applying the </w:t>
      </w:r>
      <w:r w:rsidRPr="00BA36D5">
        <w:t>STPIS</w:t>
      </w:r>
      <w:bookmarkEnd w:id="29"/>
      <w:bookmarkEnd w:id="30"/>
    </w:p>
    <w:p w:rsidR="004008AE" w:rsidRDefault="004008AE" w:rsidP="004008AE">
      <w:r>
        <w:t xml:space="preserve">We will apply the STPIS in accordance with our F&amp;A to </w:t>
      </w:r>
      <w:r w:rsidR="000D0EF2">
        <w:t>Ergon Energy</w:t>
      </w:r>
      <w:r>
        <w:t>.</w:t>
      </w:r>
      <w:r>
        <w:rPr>
          <w:rStyle w:val="FootnoteReference"/>
        </w:rPr>
        <w:footnoteReference w:id="9"/>
      </w:r>
      <w:r w:rsidR="000D0EF2">
        <w:t xml:space="preserve"> </w:t>
      </w:r>
      <w:r>
        <w:t xml:space="preserve"> </w:t>
      </w:r>
    </w:p>
    <w:p w:rsidR="004008AE" w:rsidRDefault="004008AE" w:rsidP="004008AE">
      <w:r>
        <w:t xml:space="preserve">We have, however, updated </w:t>
      </w:r>
      <w:r w:rsidR="000D0EF2">
        <w:t>Ergon Energy</w:t>
      </w:r>
      <w:r>
        <w:t xml:space="preserve"> incentive rates to reflect the</w:t>
      </w:r>
      <w:r w:rsidR="00652A7A">
        <w:t xml:space="preserve"> expected revenue (</w:t>
      </w:r>
      <w:r w:rsidR="00F650D3">
        <w:t>smoothed</w:t>
      </w:r>
      <w:r w:rsidR="00652A7A">
        <w:t>)</w:t>
      </w:r>
      <w:r w:rsidR="00924336">
        <w:t xml:space="preserve"> in</w:t>
      </w:r>
      <w:r>
        <w:t xml:space="preserve"> this final</w:t>
      </w:r>
      <w:r w:rsidR="00F650D3">
        <w:t xml:space="preserve"> decision</w:t>
      </w:r>
      <w:r>
        <w:t>.</w:t>
      </w:r>
      <w:r w:rsidR="00081C08">
        <w:t xml:space="preserve"> </w:t>
      </w:r>
    </w:p>
    <w:p w:rsidR="004008AE" w:rsidRPr="009C0D52" w:rsidRDefault="004008AE" w:rsidP="004008AE">
      <w:pPr>
        <w:pStyle w:val="Heading3"/>
      </w:pPr>
      <w:bookmarkStart w:id="31" w:name="_Toc429476216"/>
      <w:bookmarkStart w:id="32" w:name="_Toc432666647"/>
      <w:r w:rsidRPr="009C0D52">
        <w:t>Revenue at risk</w:t>
      </w:r>
      <w:bookmarkEnd w:id="31"/>
      <w:bookmarkEnd w:id="32"/>
    </w:p>
    <w:p w:rsidR="004008AE" w:rsidRDefault="000D0EF2" w:rsidP="004008AE">
      <w:r>
        <w:t>Ergon Energy</w:t>
      </w:r>
      <w:r w:rsidR="004008AE">
        <w:t>'s</w:t>
      </w:r>
      <w:r w:rsidR="004008AE" w:rsidRPr="009C0D52">
        <w:t xml:space="preserve"> revenue at risk for each regulatory year of the 2015–</w:t>
      </w:r>
      <w:r w:rsidR="004008AE">
        <w:t>20</w:t>
      </w:r>
      <w:r w:rsidR="004008AE" w:rsidRPr="009C0D52">
        <w:t xml:space="preserve"> regulatory control period will be capped at ±</w:t>
      </w:r>
      <w:r w:rsidR="00E630C8">
        <w:t xml:space="preserve"> </w:t>
      </w:r>
      <w:r w:rsidR="004008AE" w:rsidRPr="009C0D52">
        <w:t>2.</w:t>
      </w:r>
      <w:r w:rsidR="004008AE">
        <w:t>0</w:t>
      </w:r>
      <w:r w:rsidR="004008AE" w:rsidRPr="009C0D52">
        <w:t xml:space="preserve"> per cent. </w:t>
      </w:r>
    </w:p>
    <w:p w:rsidR="004008AE" w:rsidRDefault="004008AE" w:rsidP="004008AE">
      <w:r>
        <w:t xml:space="preserve">Our F&amp;A paper capped the revenue at risk on the STPIS at </w:t>
      </w:r>
      <w:r w:rsidRPr="00DF7CCA">
        <w:t>±</w:t>
      </w:r>
      <w:r w:rsidR="00920103">
        <w:t xml:space="preserve"> </w:t>
      </w:r>
      <w:r>
        <w:t>2</w:t>
      </w:r>
      <w:r w:rsidR="00920103">
        <w:t>.0</w:t>
      </w:r>
      <w:r>
        <w:t xml:space="preserve"> per cent of revenue. We did not apply a cap to the reliability of supply or the telephone answering component that </w:t>
      </w:r>
      <w:r w:rsidR="004A3612">
        <w:t>Ergon Energy</w:t>
      </w:r>
      <w:r>
        <w:t xml:space="preserve"> may earn on these parameters (so long as they do not exceed the </w:t>
      </w:r>
      <w:r w:rsidRPr="00DF7CCA">
        <w:t>±</w:t>
      </w:r>
      <w:r>
        <w:t xml:space="preserve"> 2</w:t>
      </w:r>
      <w:r w:rsidR="00920103">
        <w:t>.0</w:t>
      </w:r>
      <w:r>
        <w:t xml:space="preserve"> per cent revenue at risk</w:t>
      </w:r>
      <w:r w:rsidR="000D0EF2">
        <w:t>)</w:t>
      </w:r>
      <w:r>
        <w:t xml:space="preserve">.  </w:t>
      </w:r>
    </w:p>
    <w:p w:rsidR="004008AE" w:rsidRDefault="004008AE" w:rsidP="004008AE">
      <w:r w:rsidRPr="00CF5E6B">
        <w:lastRenderedPageBreak/>
        <w:t>In its revised regulatory proposal, E</w:t>
      </w:r>
      <w:r>
        <w:t xml:space="preserve">rgon Energy </w:t>
      </w:r>
      <w:r w:rsidRPr="00CF5E6B">
        <w:t xml:space="preserve">disagreed with </w:t>
      </w:r>
      <w:r>
        <w:t xml:space="preserve">our preliminary </w:t>
      </w:r>
      <w:r w:rsidRPr="00CF5E6B">
        <w:t xml:space="preserve">decision </w:t>
      </w:r>
      <w:r>
        <w:t xml:space="preserve">to </w:t>
      </w:r>
      <w:r w:rsidRPr="00CF5E6B">
        <w:t>introduce a cap of ± 1.8 per cent on the reliability of</w:t>
      </w:r>
      <w:r>
        <w:t xml:space="preserve"> s</w:t>
      </w:r>
      <w:r w:rsidRPr="00CF5E6B">
        <w:t>upply component of the STPIS. In particular, E</w:t>
      </w:r>
      <w:r>
        <w:t xml:space="preserve">rgon </w:t>
      </w:r>
      <w:r w:rsidRPr="00CF5E6B">
        <w:t xml:space="preserve">Energy stated the </w:t>
      </w:r>
      <w:r>
        <w:t>introduction of the cap was inconsistent with our F&amp;A paper.</w:t>
      </w:r>
      <w:r>
        <w:rPr>
          <w:rStyle w:val="FootnoteReference"/>
        </w:rPr>
        <w:footnoteReference w:id="10"/>
      </w:r>
    </w:p>
    <w:p w:rsidR="004008AE" w:rsidRDefault="004008AE" w:rsidP="004008AE">
      <w:r w:rsidRPr="00CF5E6B">
        <w:t>We agree with E</w:t>
      </w:r>
      <w:r>
        <w:t xml:space="preserve">rgon </w:t>
      </w:r>
      <w:r w:rsidRPr="00CF5E6B">
        <w:t xml:space="preserve">Energy and amended </w:t>
      </w:r>
      <w:r>
        <w:t>our final decision to remove the cap on the reliability of supply component of the STPIS</w:t>
      </w:r>
      <w:r w:rsidRPr="00CF5E6B">
        <w:t>.</w:t>
      </w:r>
      <w:r>
        <w:t xml:space="preserve"> The removal of the reliability cap does not alter its revenue at risk (cap</w:t>
      </w:r>
      <w:r w:rsidR="000D0EF2">
        <w:t>ped</w:t>
      </w:r>
      <w:r>
        <w:t xml:space="preserve"> at </w:t>
      </w:r>
      <w:r w:rsidRPr="00CF5E6B">
        <w:t>±</w:t>
      </w:r>
      <w:r w:rsidR="00982738">
        <w:t xml:space="preserve"> </w:t>
      </w:r>
      <w:r>
        <w:t>2.0 per cent), its performance targets or the incentive rates.</w:t>
      </w:r>
    </w:p>
    <w:p w:rsidR="004008AE" w:rsidRPr="00B82706" w:rsidRDefault="004008AE" w:rsidP="004008AE">
      <w:pPr>
        <w:pStyle w:val="Heading3"/>
      </w:pPr>
      <w:bookmarkStart w:id="33" w:name="_Toc429476217"/>
      <w:bookmarkStart w:id="34" w:name="_Toc432666648"/>
      <w:r w:rsidRPr="00B82706">
        <w:t>Reliability of supply component</w:t>
      </w:r>
      <w:bookmarkEnd w:id="33"/>
      <w:bookmarkEnd w:id="34"/>
    </w:p>
    <w:p w:rsidR="004008AE" w:rsidRPr="00DF06C5" w:rsidRDefault="004008AE" w:rsidP="008503DA">
      <w:pPr>
        <w:pStyle w:val="HeadingBoldBlue"/>
      </w:pPr>
      <w:bookmarkStart w:id="35" w:name="_Toc432666649"/>
      <w:r w:rsidRPr="00DF06C5">
        <w:t>Applica</w:t>
      </w:r>
      <w:r>
        <w:t>ble</w:t>
      </w:r>
      <w:r w:rsidRPr="00DF06C5">
        <w:t xml:space="preserve"> components and parameters</w:t>
      </w:r>
      <w:bookmarkEnd w:id="35"/>
      <w:r w:rsidRPr="00DF06C5">
        <w:t xml:space="preserve"> </w:t>
      </w:r>
    </w:p>
    <w:p w:rsidR="004008AE" w:rsidRDefault="004008AE" w:rsidP="004008AE">
      <w:r w:rsidRPr="00B82706">
        <w:t>We will apply unplanned SAIDI</w:t>
      </w:r>
      <w:r>
        <w:t xml:space="preserve"> and </w:t>
      </w:r>
      <w:r w:rsidRPr="00B82706">
        <w:t>unplanned SAIFI</w:t>
      </w:r>
      <w:r>
        <w:t xml:space="preserve"> </w:t>
      </w:r>
      <w:r w:rsidRPr="00B82706">
        <w:t xml:space="preserve">parameters under the reliability of supply component to </w:t>
      </w:r>
      <w:r w:rsidR="000D0EF2">
        <w:t>Ergon Energy</w:t>
      </w:r>
      <w:r w:rsidR="0074318C">
        <w:t>'s</w:t>
      </w:r>
      <w:r>
        <w:t xml:space="preserve"> Urban, Short and Long rural feeders </w:t>
      </w:r>
      <w:r w:rsidRPr="00B82706">
        <w:t>for the 201</w:t>
      </w:r>
      <w:r>
        <w:t>5</w:t>
      </w:r>
      <w:r w:rsidRPr="00B82706">
        <w:t>–</w:t>
      </w:r>
      <w:r>
        <w:t>20</w:t>
      </w:r>
      <w:r w:rsidR="008503DA">
        <w:t xml:space="preserve"> regulatory control period</w:t>
      </w:r>
      <w:r w:rsidRPr="00B82706">
        <w:t>. Unplanned SAIDI measures the sum of the duration of each unplanned sustained customer interruption (in minutes) divided by the total number of distribution customers. Unplanned SAIFI measures the total number of unplanned sustained customer interruptions divided by the total number of distribution customers.</w:t>
      </w:r>
      <w:r>
        <w:t xml:space="preserve"> </w:t>
      </w:r>
    </w:p>
    <w:p w:rsidR="004008AE" w:rsidRPr="00B82706" w:rsidRDefault="004008AE" w:rsidP="008503DA">
      <w:pPr>
        <w:pStyle w:val="HeadingBoldBlue"/>
      </w:pPr>
      <w:bookmarkStart w:id="36" w:name="_Toc432666650"/>
      <w:r>
        <w:t>E</w:t>
      </w:r>
      <w:r w:rsidRPr="00B82706">
        <w:t>xclusions</w:t>
      </w:r>
      <w:bookmarkEnd w:id="36"/>
    </w:p>
    <w:p w:rsidR="004008AE" w:rsidRPr="00B82706" w:rsidRDefault="004008AE" w:rsidP="004008AE">
      <w:r w:rsidRPr="005473F3">
        <w:rPr>
          <w:rStyle w:val="AERbody"/>
        </w:rPr>
        <w:t xml:space="preserve">The STPIS allows certain events to be excluded from the calculation of the S-factor revenue adjustment. These exclusions include the events that are beyond the control of </w:t>
      </w:r>
      <w:r w:rsidR="000D0EF2">
        <w:rPr>
          <w:rStyle w:val="AERbody"/>
        </w:rPr>
        <w:t>Ergon Energy</w:t>
      </w:r>
      <w:r w:rsidRPr="005473F3">
        <w:rPr>
          <w:rStyle w:val="AERbody"/>
        </w:rPr>
        <w:t xml:space="preserve">, such as the effects of transmission network outages and other upstream events. They also exclude the effects of extreme weather events that have the potential to significantly affect </w:t>
      </w:r>
      <w:r w:rsidR="000D0EF2">
        <w:rPr>
          <w:rStyle w:val="AERbody"/>
        </w:rPr>
        <w:t>Ergon Energy</w:t>
      </w:r>
      <w:r>
        <w:rPr>
          <w:rStyle w:val="AERbody"/>
        </w:rPr>
        <w:t xml:space="preserve">'s </w:t>
      </w:r>
      <w:r w:rsidRPr="005473F3">
        <w:rPr>
          <w:rStyle w:val="AERbody"/>
        </w:rPr>
        <w:t>STPIS performance</w:t>
      </w:r>
      <w:r w:rsidRPr="00B82706">
        <w:t xml:space="preserve">. </w:t>
      </w:r>
    </w:p>
    <w:p w:rsidR="004008AE" w:rsidRDefault="000D0EF2" w:rsidP="004008AE">
      <w:r>
        <w:t>Ergon Energy</w:t>
      </w:r>
      <w:r w:rsidR="004008AE">
        <w:t xml:space="preserve"> </w:t>
      </w:r>
      <w:r w:rsidR="004008AE" w:rsidRPr="00B82706">
        <w:t xml:space="preserve">proposed to calculate </w:t>
      </w:r>
      <w:r w:rsidR="004008AE">
        <w:t>the major event day (</w:t>
      </w:r>
      <w:r w:rsidR="004008AE" w:rsidRPr="00B82706">
        <w:t>MED</w:t>
      </w:r>
      <w:r w:rsidR="004008AE">
        <w:t>)</w:t>
      </w:r>
      <w:r w:rsidR="004008AE" w:rsidRPr="00B82706">
        <w:t xml:space="preserve"> threshold using </w:t>
      </w:r>
      <w:r w:rsidR="004008AE">
        <w:t xml:space="preserve">the </w:t>
      </w:r>
      <w:r w:rsidR="004008AE" w:rsidRPr="00B82706">
        <w:t>2.</w:t>
      </w:r>
      <w:r w:rsidR="004008AE">
        <w:t>5</w:t>
      </w:r>
      <w:r w:rsidR="004008AE" w:rsidRPr="00B82706">
        <w:t xml:space="preserve"> beta</w:t>
      </w:r>
      <w:r w:rsidR="004008AE">
        <w:t xml:space="preserve"> </w:t>
      </w:r>
      <w:r w:rsidR="004008AE" w:rsidRPr="00B82706">
        <w:t xml:space="preserve">method </w:t>
      </w:r>
      <w:r w:rsidR="004008AE">
        <w:t>i</w:t>
      </w:r>
      <w:r w:rsidR="004008AE" w:rsidRPr="00B82706">
        <w:t xml:space="preserve">n accordance </w:t>
      </w:r>
      <w:r w:rsidR="004008AE">
        <w:t>the STPIS</w:t>
      </w:r>
      <w:r w:rsidR="004008AE" w:rsidRPr="00B82706">
        <w:t>.</w:t>
      </w:r>
      <w:r w:rsidR="004008AE">
        <w:t xml:space="preserve"> Since we have not received any submissions that we should depart from our F&amp;A, we accept </w:t>
      </w:r>
      <w:r>
        <w:t>Ergon Energy</w:t>
      </w:r>
      <w:r w:rsidR="004008AE">
        <w:t>'s proposal to apply the STPIS to calculate the MED.</w:t>
      </w:r>
    </w:p>
    <w:p w:rsidR="004008AE" w:rsidRPr="00574E96" w:rsidRDefault="004008AE" w:rsidP="004008AE">
      <w:pPr>
        <w:pStyle w:val="Heading3"/>
      </w:pPr>
      <w:bookmarkStart w:id="37" w:name="_Toc429476219"/>
      <w:bookmarkStart w:id="38" w:name="_Toc432666651"/>
      <w:bookmarkStart w:id="39" w:name="_Toc429476218"/>
      <w:r w:rsidRPr="00574E96">
        <w:t>Customer service component</w:t>
      </w:r>
      <w:bookmarkEnd w:id="37"/>
      <w:bookmarkEnd w:id="38"/>
    </w:p>
    <w:p w:rsidR="004008AE" w:rsidRPr="00574E96" w:rsidRDefault="004008AE" w:rsidP="004008AE">
      <w:r>
        <w:t>The national</w:t>
      </w:r>
      <w:r w:rsidRPr="00574E96">
        <w:t xml:space="preserve"> STPIS customer service target applicable to</w:t>
      </w:r>
      <w:r>
        <w:t xml:space="preserve"> </w:t>
      </w:r>
      <w:r w:rsidR="000D0EF2">
        <w:t>Ergon Energy</w:t>
      </w:r>
      <w:r w:rsidRPr="00574E96">
        <w:t xml:space="preserve"> is telephone response measured as the number of</w:t>
      </w:r>
      <w:r>
        <w:t xml:space="preserve"> </w:t>
      </w:r>
      <w:r w:rsidRPr="00574E96">
        <w:t>telephone calls answered within 30 seconds. This measure</w:t>
      </w:r>
      <w:r>
        <w:t xml:space="preserve"> </w:t>
      </w:r>
      <w:r w:rsidRPr="00574E96">
        <w:t>is referred to as the telephone Grade of Service (GOS).</w:t>
      </w:r>
    </w:p>
    <w:p w:rsidR="004008AE" w:rsidRDefault="004008AE" w:rsidP="004008AE">
      <w:r>
        <w:t xml:space="preserve">In accordance with our preliminary decision, we accept </w:t>
      </w:r>
      <w:r w:rsidR="000D0EF2">
        <w:t>Ergon Energy</w:t>
      </w:r>
      <w:r>
        <w:t>'s customer service tar</w:t>
      </w:r>
      <w:r w:rsidR="008503DA">
        <w:t>gets as it has applied a 5 year</w:t>
      </w:r>
      <w:r>
        <w:t xml:space="preserve"> historical average to derive them for the </w:t>
      </w:r>
      <w:r w:rsidR="008503DA">
        <w:t>2015</w:t>
      </w:r>
      <w:r w:rsidR="008503DA">
        <w:rPr>
          <w:rFonts w:cs="Arial"/>
        </w:rPr>
        <w:t>─</w:t>
      </w:r>
      <w:r w:rsidR="008503DA">
        <w:t xml:space="preserve">20 </w:t>
      </w:r>
      <w:r>
        <w:t xml:space="preserve">regulatory control period. This is consistent with our </w:t>
      </w:r>
      <w:r w:rsidR="008503DA">
        <w:t>N</w:t>
      </w:r>
      <w:r>
        <w:t>ational STPIS.</w:t>
      </w:r>
    </w:p>
    <w:p w:rsidR="004008AE" w:rsidRPr="00B82706" w:rsidRDefault="004008AE" w:rsidP="004008AE">
      <w:pPr>
        <w:pStyle w:val="Heading3"/>
      </w:pPr>
      <w:bookmarkStart w:id="40" w:name="_Toc432666652"/>
      <w:r>
        <w:lastRenderedPageBreak/>
        <w:t>Performance target</w:t>
      </w:r>
      <w:r w:rsidRPr="00B82706">
        <w:t>s</w:t>
      </w:r>
      <w:bookmarkEnd w:id="39"/>
      <w:bookmarkEnd w:id="40"/>
    </w:p>
    <w:p w:rsidR="004008AE" w:rsidRPr="00C639D9" w:rsidRDefault="004008AE" w:rsidP="004008AE">
      <w:r>
        <w:t>T</w:t>
      </w:r>
      <w:r w:rsidRPr="00B82706">
        <w:t xml:space="preserve">he STPIS </w:t>
      </w:r>
      <w:r>
        <w:t xml:space="preserve">specifies that the performance targets should be based on the </w:t>
      </w:r>
      <w:r w:rsidRPr="00C639D9">
        <w:t>average performance over the past five</w:t>
      </w:r>
      <w:r>
        <w:t xml:space="preserve"> </w:t>
      </w:r>
      <w:r w:rsidRPr="00C639D9">
        <w:t>regulatory years</w:t>
      </w:r>
      <w:r>
        <w:t xml:space="preserve">. It also states that the performance target must be modified for </w:t>
      </w:r>
      <w:r w:rsidRPr="00C639D9">
        <w:t>any reliability improvements completed or planned where the planned</w:t>
      </w:r>
      <w:r>
        <w:t xml:space="preserve"> </w:t>
      </w:r>
      <w:r w:rsidRPr="00C639D9">
        <w:t>reliability improvements are:</w:t>
      </w:r>
      <w:r>
        <w:rPr>
          <w:rStyle w:val="FootnoteReference"/>
        </w:rPr>
        <w:footnoteReference w:id="11"/>
      </w:r>
    </w:p>
    <w:p w:rsidR="004008AE" w:rsidRPr="00C639D9" w:rsidRDefault="004008AE" w:rsidP="004008AE">
      <w:pPr>
        <w:pStyle w:val="AERbulletlistfirststyle"/>
      </w:pPr>
      <w:r w:rsidRPr="00C639D9">
        <w:t xml:space="preserve">included in the expenditure program proposed by the </w:t>
      </w:r>
      <w:r>
        <w:t>distributor</w:t>
      </w:r>
      <w:r w:rsidRPr="00C639D9">
        <w:t xml:space="preserve"> in its</w:t>
      </w:r>
      <w:r>
        <w:t xml:space="preserve"> </w:t>
      </w:r>
      <w:r w:rsidRPr="00C639D9">
        <w:t>regulatory proposal, or</w:t>
      </w:r>
    </w:p>
    <w:p w:rsidR="004008AE" w:rsidRDefault="004008AE" w:rsidP="004008AE">
      <w:pPr>
        <w:pStyle w:val="AERbulletlistfirststyle"/>
      </w:pPr>
      <w:r w:rsidRPr="00C639D9">
        <w:t xml:space="preserve">proposed by the </w:t>
      </w:r>
      <w:r>
        <w:t>distributor</w:t>
      </w:r>
      <w:r w:rsidRPr="00C639D9">
        <w:t>, and the cost of the improvements is allowed</w:t>
      </w:r>
      <w:r>
        <w:t xml:space="preserve"> </w:t>
      </w:r>
      <w:r w:rsidRPr="00C639D9">
        <w:t xml:space="preserve">by the relevant regulator, in the </w:t>
      </w:r>
      <w:r>
        <w:t>distributor's</w:t>
      </w:r>
      <w:r w:rsidRPr="00C639D9">
        <w:t xml:space="preserve"> previous regulatory</w:t>
      </w:r>
      <w:r>
        <w:t xml:space="preserve"> </w:t>
      </w:r>
      <w:r w:rsidRPr="00C639D9">
        <w:t>proposal or regulatory submission</w:t>
      </w:r>
      <w:r>
        <w:t>, and</w:t>
      </w:r>
    </w:p>
    <w:p w:rsidR="004008AE" w:rsidRDefault="004008AE" w:rsidP="004008AE">
      <w:pPr>
        <w:pStyle w:val="AERbulletlistfirststyle"/>
      </w:pPr>
      <w:r>
        <w:t>expected to result in a material improvement in supply reliability.</w:t>
      </w:r>
    </w:p>
    <w:p w:rsidR="004008AE" w:rsidRDefault="000D0EF2" w:rsidP="004008AE">
      <w:r>
        <w:rPr>
          <w:rStyle w:val="AERbody"/>
        </w:rPr>
        <w:t>Ergon Energy</w:t>
      </w:r>
      <w:r w:rsidR="004008AE">
        <w:rPr>
          <w:rStyle w:val="AERbody"/>
        </w:rPr>
        <w:t xml:space="preserve"> accepted our preliminary decision on the performance targets</w:t>
      </w:r>
      <w:r w:rsidR="00CF3BB1">
        <w:rPr>
          <w:rStyle w:val="AERbody"/>
        </w:rPr>
        <w:t xml:space="preserve"> and the incentive rates</w:t>
      </w:r>
      <w:r w:rsidR="004008AE">
        <w:rPr>
          <w:rStyle w:val="AERbody"/>
        </w:rPr>
        <w:t xml:space="preserve">. </w:t>
      </w:r>
      <w:r w:rsidR="00AA43AF">
        <w:rPr>
          <w:rStyle w:val="AERbody"/>
        </w:rPr>
        <w:t>In accordance with our preliminary decision, o</w:t>
      </w:r>
      <w:r w:rsidR="004008AE" w:rsidRPr="00CE5BC6">
        <w:t xml:space="preserve">ur calculated performance targets for </w:t>
      </w:r>
      <w:r>
        <w:t>Ergon Energy</w:t>
      </w:r>
      <w:r w:rsidR="004008AE" w:rsidRPr="00CE5BC6">
        <w:t xml:space="preserve"> are presented in</w:t>
      </w:r>
      <w:bookmarkStart w:id="41" w:name="_Ref414974575"/>
      <w:r w:rsidR="008503DA">
        <w:t xml:space="preserve"> table 11.2 above</w:t>
      </w:r>
      <w:r w:rsidR="004008AE">
        <w:t>.</w:t>
      </w:r>
    </w:p>
    <w:bookmarkEnd w:id="41"/>
    <w:p w:rsidR="004008AE" w:rsidRPr="007D3DEA" w:rsidRDefault="004008AE" w:rsidP="004008AE">
      <w:pPr>
        <w:pStyle w:val="Heading3"/>
      </w:pPr>
      <w:r w:rsidRPr="007D3DEA">
        <w:tab/>
      </w:r>
      <w:bookmarkStart w:id="42" w:name="_Toc429476220"/>
      <w:bookmarkStart w:id="43" w:name="_Toc432666653"/>
      <w:r w:rsidRPr="007D3DEA">
        <w:t>Incentive rates</w:t>
      </w:r>
      <w:bookmarkEnd w:id="42"/>
      <w:bookmarkEnd w:id="43"/>
    </w:p>
    <w:p w:rsidR="004008AE" w:rsidRDefault="004008AE" w:rsidP="004008AE">
      <w:r w:rsidRPr="00E51231">
        <w:t xml:space="preserve">The </w:t>
      </w:r>
      <w:r>
        <w:t xml:space="preserve">incentive rates applicable to </w:t>
      </w:r>
      <w:r w:rsidR="000D0EF2">
        <w:t>Ergon Energy</w:t>
      </w:r>
      <w:r>
        <w:t xml:space="preserve"> </w:t>
      </w:r>
      <w:r w:rsidRPr="00E51231">
        <w:t xml:space="preserve">for the reliability of supply performance parameters of the STPIS have been calculated in accordance with clause 3.2.2 and using the formulae provided as </w:t>
      </w:r>
      <w:r>
        <w:t>a</w:t>
      </w:r>
      <w:r w:rsidRPr="00E51231">
        <w:t>ppendix B of the National STPIS.</w:t>
      </w:r>
      <w:r>
        <w:t xml:space="preserve"> </w:t>
      </w:r>
    </w:p>
    <w:p w:rsidR="004008AE" w:rsidRPr="003E1E52" w:rsidRDefault="00CF3BB1" w:rsidP="00DB2155">
      <w:pPr>
        <w:rPr>
          <w:rStyle w:val="AERbody"/>
          <w:color w:val="076A92" w:themeColor="text1"/>
          <w:sz w:val="24"/>
        </w:rPr>
      </w:pPr>
      <w:r>
        <w:rPr>
          <w:rStyle w:val="AERbody"/>
        </w:rPr>
        <w:t xml:space="preserve">Ergon Energy accepted our preliminary decision on the VCR </w:t>
      </w:r>
      <w:r w:rsidR="00DB2155">
        <w:rPr>
          <w:rStyle w:val="AERbody"/>
        </w:rPr>
        <w:t xml:space="preserve">for setting </w:t>
      </w:r>
      <w:r>
        <w:rPr>
          <w:rStyle w:val="AERbody"/>
        </w:rPr>
        <w:t>the incentive rates.</w:t>
      </w:r>
      <w:r>
        <w:rPr>
          <w:rStyle w:val="FootnoteReference"/>
        </w:rPr>
        <w:footnoteReference w:id="12"/>
      </w:r>
      <w:r>
        <w:rPr>
          <w:rStyle w:val="AERbody"/>
        </w:rPr>
        <w:t xml:space="preserve"> Consequently, t</w:t>
      </w:r>
      <w:r>
        <w:t xml:space="preserve">his final decision adopted the VCR outlined in </w:t>
      </w:r>
      <w:r w:rsidRPr="0095058F">
        <w:t xml:space="preserve">the preliminary decision </w:t>
      </w:r>
      <w:r>
        <w:t>in setting Ergon Energy's incentive rates for the 2015–20 regulatory control period.</w:t>
      </w:r>
    </w:p>
    <w:p w:rsidR="004008AE" w:rsidRPr="00E51231" w:rsidRDefault="004008AE" w:rsidP="004008AE">
      <w:r>
        <w:t>The final incentive rates based on the VCR and</w:t>
      </w:r>
      <w:r w:rsidR="00F650D3">
        <w:t xml:space="preserve"> </w:t>
      </w:r>
      <w:r w:rsidR="00652A7A">
        <w:t>expected revenue (</w:t>
      </w:r>
      <w:r w:rsidR="00F650D3">
        <w:t>smoothed</w:t>
      </w:r>
      <w:r w:rsidR="00652A7A">
        <w:t>)</w:t>
      </w:r>
      <w:r>
        <w:t xml:space="preserve"> are found in</w:t>
      </w:r>
      <w:r w:rsidR="008503DA">
        <w:t xml:space="preserve"> table 11.3</w:t>
      </w:r>
      <w:r>
        <w:t xml:space="preserve">. </w:t>
      </w:r>
      <w:r w:rsidRPr="002A3A62">
        <w:t xml:space="preserve">The incentive rate for the </w:t>
      </w:r>
      <w:r>
        <w:t xml:space="preserve">customer service component </w:t>
      </w:r>
      <w:r w:rsidRPr="002A3A62">
        <w:t xml:space="preserve">will be </w:t>
      </w:r>
      <w:r w:rsidR="008503DA">
        <w:rPr>
          <w:rFonts w:cs="Arial"/>
        </w:rPr>
        <w:t>─</w:t>
      </w:r>
      <w:r w:rsidR="00CF3BB1">
        <w:t>0.04</w:t>
      </w:r>
      <w:r w:rsidRPr="002A3A62">
        <w:t xml:space="preserve"> per cent per unit of the telephone answering parameter.</w:t>
      </w:r>
      <w:r w:rsidR="00435771">
        <w:rPr>
          <w:rStyle w:val="FootnoteReference"/>
        </w:rPr>
        <w:footnoteReference w:id="13"/>
      </w:r>
      <w:r>
        <w:t xml:space="preserve"> </w:t>
      </w:r>
    </w:p>
    <w:p w:rsidR="004008AE" w:rsidRPr="00A946AA" w:rsidRDefault="004008AE" w:rsidP="004008AE">
      <w:pPr>
        <w:pStyle w:val="Caption"/>
      </w:pPr>
      <w:bookmarkStart w:id="44" w:name="_Ref430165304"/>
      <w:r>
        <w:t xml:space="preserve">Table </w:t>
      </w:r>
      <w:fldSimple w:instr=" STYLEREF 1 \s ">
        <w:r w:rsidR="00764915">
          <w:rPr>
            <w:noProof/>
          </w:rPr>
          <w:t>11</w:t>
        </w:r>
      </w:fldSimple>
      <w:bookmarkEnd w:id="44"/>
      <w:r w:rsidR="008503DA">
        <w:t>.3</w:t>
      </w:r>
      <w:r>
        <w:tab/>
      </w:r>
      <w:r w:rsidR="008503DA">
        <w:t xml:space="preserve">AER final decision on </w:t>
      </w:r>
      <w:r>
        <w:t>STPIS i</w:t>
      </w:r>
      <w:r w:rsidRPr="00A946AA">
        <w:t>ncentive rates</w:t>
      </w:r>
      <w:r>
        <w:t xml:space="preserve"> for </w:t>
      </w:r>
      <w:r w:rsidR="000D0EF2">
        <w:t>Ergon Energy</w:t>
      </w:r>
      <w:r w:rsidRPr="00A946AA">
        <w:t xml:space="preserve"> </w:t>
      </w:r>
      <w:r>
        <w:t xml:space="preserve">for the 2015–20 regulatory </w:t>
      </w:r>
      <w:proofErr w:type="gramStart"/>
      <w:r>
        <w:t>period</w:t>
      </w:r>
      <w:proofErr w:type="gramEnd"/>
    </w:p>
    <w:tbl>
      <w:tblPr>
        <w:tblStyle w:val="AERtable-numbers"/>
        <w:tblW w:w="5000" w:type="pct"/>
        <w:tblLook w:val="04A0" w:firstRow="1" w:lastRow="0" w:firstColumn="1" w:lastColumn="0" w:noHBand="0" w:noVBand="1"/>
      </w:tblPr>
      <w:tblGrid>
        <w:gridCol w:w="1568"/>
        <w:gridCol w:w="2375"/>
        <w:gridCol w:w="2375"/>
        <w:gridCol w:w="2375"/>
      </w:tblGrid>
      <w:tr w:rsidR="0074318C" w:rsidRPr="00A946AA" w:rsidTr="0074318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 w:type="pct"/>
            <w:hideMark/>
          </w:tcPr>
          <w:p w:rsidR="0074318C" w:rsidRPr="004008AE" w:rsidRDefault="0074318C" w:rsidP="004008AE">
            <w:pPr>
              <w:pStyle w:val="Tabletext-centred"/>
            </w:pPr>
            <w:r w:rsidRPr="00A946AA">
              <w:t> </w:t>
            </w:r>
          </w:p>
        </w:tc>
        <w:tc>
          <w:tcPr>
            <w:tcW w:w="1366" w:type="pct"/>
          </w:tcPr>
          <w:p w:rsidR="0074318C" w:rsidRPr="004008AE" w:rsidRDefault="0074318C" w:rsidP="004008AE">
            <w:pPr>
              <w:pStyle w:val="AERtabletextright"/>
              <w:cnfStyle w:val="100000000000" w:firstRow="1" w:lastRow="0" w:firstColumn="0" w:lastColumn="0" w:oddVBand="0" w:evenVBand="0" w:oddHBand="0" w:evenHBand="0" w:firstRowFirstColumn="0" w:firstRowLastColumn="0" w:lastRowFirstColumn="0" w:lastRowLastColumn="0"/>
            </w:pPr>
            <w:r>
              <w:t>Urban</w:t>
            </w:r>
          </w:p>
        </w:tc>
        <w:tc>
          <w:tcPr>
            <w:tcW w:w="1366" w:type="pct"/>
          </w:tcPr>
          <w:p w:rsidR="0074318C" w:rsidRPr="004008AE" w:rsidRDefault="0074318C" w:rsidP="004008AE">
            <w:pPr>
              <w:pStyle w:val="AERtabletextright"/>
              <w:cnfStyle w:val="100000000000" w:firstRow="1" w:lastRow="0" w:firstColumn="0" w:lastColumn="0" w:oddVBand="0" w:evenVBand="0" w:oddHBand="0" w:evenHBand="0" w:firstRowFirstColumn="0" w:firstRowLastColumn="0" w:lastRowFirstColumn="0" w:lastRowLastColumn="0"/>
            </w:pPr>
            <w:r>
              <w:t>Rural short</w:t>
            </w:r>
          </w:p>
        </w:tc>
        <w:tc>
          <w:tcPr>
            <w:tcW w:w="1366" w:type="pct"/>
          </w:tcPr>
          <w:p w:rsidR="0074318C" w:rsidRPr="004008AE" w:rsidRDefault="0074318C" w:rsidP="004008AE">
            <w:pPr>
              <w:pStyle w:val="AERtabletextright"/>
              <w:cnfStyle w:val="100000000000" w:firstRow="1" w:lastRow="0" w:firstColumn="0" w:lastColumn="0" w:oddVBand="0" w:evenVBand="0" w:oddHBand="0" w:evenHBand="0" w:firstRowFirstColumn="0" w:firstRowLastColumn="0" w:lastRowFirstColumn="0" w:lastRowLastColumn="0"/>
            </w:pPr>
            <w:r>
              <w:t>Rural long</w:t>
            </w:r>
          </w:p>
        </w:tc>
      </w:tr>
      <w:tr w:rsidR="00D21BB7" w:rsidRPr="00D21BB7" w:rsidTr="00FB0A2E">
        <w:trPr>
          <w:trHeight w:val="465"/>
        </w:trPr>
        <w:tc>
          <w:tcPr>
            <w:cnfStyle w:val="001000000000" w:firstRow="0" w:lastRow="0" w:firstColumn="1" w:lastColumn="0" w:oddVBand="0" w:evenVBand="0" w:oddHBand="0" w:evenHBand="0" w:firstRowFirstColumn="0" w:firstRowLastColumn="0" w:lastRowFirstColumn="0" w:lastRowLastColumn="0"/>
            <w:tcW w:w="902" w:type="pct"/>
            <w:hideMark/>
          </w:tcPr>
          <w:p w:rsidR="00D21BB7" w:rsidRPr="00D21BB7" w:rsidRDefault="00D21BB7" w:rsidP="00D21BB7">
            <w:pPr>
              <w:pStyle w:val="AERtabletextleft"/>
              <w:rPr>
                <w:rStyle w:val="AERbody"/>
              </w:rPr>
            </w:pPr>
            <w:r w:rsidRPr="00D21BB7">
              <w:rPr>
                <w:rStyle w:val="AERbody"/>
              </w:rPr>
              <w:t>SAIDI</w:t>
            </w:r>
          </w:p>
        </w:tc>
        <w:tc>
          <w:tcPr>
            <w:tcW w:w="1366" w:type="pct"/>
            <w:vAlign w:val="top"/>
          </w:tcPr>
          <w:p w:rsidR="00D21BB7" w:rsidRPr="00D21BB7" w:rsidRDefault="00D21BB7" w:rsidP="00FB0A2E">
            <w:pPr>
              <w:cnfStyle w:val="000000000000" w:firstRow="0" w:lastRow="0" w:firstColumn="0" w:lastColumn="0" w:oddVBand="0" w:evenVBand="0" w:oddHBand="0" w:evenHBand="0" w:firstRowFirstColumn="0" w:firstRowLastColumn="0" w:lastRowFirstColumn="0" w:lastRowLastColumn="0"/>
              <w:rPr>
                <w:rStyle w:val="AERbody"/>
              </w:rPr>
            </w:pPr>
            <w:r w:rsidRPr="00D21BB7">
              <w:rPr>
                <w:rStyle w:val="AERbody"/>
              </w:rPr>
              <w:t>0.0159</w:t>
            </w:r>
          </w:p>
        </w:tc>
        <w:tc>
          <w:tcPr>
            <w:tcW w:w="1366" w:type="pct"/>
            <w:vAlign w:val="top"/>
          </w:tcPr>
          <w:p w:rsidR="00D21BB7" w:rsidRPr="00D21BB7" w:rsidRDefault="00D21BB7" w:rsidP="00FB0A2E">
            <w:pPr>
              <w:cnfStyle w:val="000000000000" w:firstRow="0" w:lastRow="0" w:firstColumn="0" w:lastColumn="0" w:oddVBand="0" w:evenVBand="0" w:oddHBand="0" w:evenHBand="0" w:firstRowFirstColumn="0" w:firstRowLastColumn="0" w:lastRowFirstColumn="0" w:lastRowLastColumn="0"/>
              <w:rPr>
                <w:rStyle w:val="AERbody"/>
              </w:rPr>
            </w:pPr>
            <w:r w:rsidRPr="00D21BB7">
              <w:rPr>
                <w:rStyle w:val="AERbody"/>
              </w:rPr>
              <w:t>0.0159</w:t>
            </w:r>
          </w:p>
        </w:tc>
        <w:tc>
          <w:tcPr>
            <w:tcW w:w="1366" w:type="pct"/>
            <w:vAlign w:val="top"/>
          </w:tcPr>
          <w:p w:rsidR="00D21BB7" w:rsidRPr="00D21BB7" w:rsidRDefault="00D21BB7" w:rsidP="00FB0A2E">
            <w:pPr>
              <w:cnfStyle w:val="000000000000" w:firstRow="0" w:lastRow="0" w:firstColumn="0" w:lastColumn="0" w:oddVBand="0" w:evenVBand="0" w:oddHBand="0" w:evenHBand="0" w:firstRowFirstColumn="0" w:firstRowLastColumn="0" w:lastRowFirstColumn="0" w:lastRowLastColumn="0"/>
              <w:rPr>
                <w:rStyle w:val="AERbody"/>
              </w:rPr>
            </w:pPr>
            <w:r w:rsidRPr="00D21BB7">
              <w:rPr>
                <w:rStyle w:val="AERbody"/>
              </w:rPr>
              <w:t>0.0034</w:t>
            </w:r>
          </w:p>
        </w:tc>
      </w:tr>
      <w:tr w:rsidR="00D21BB7" w:rsidRPr="00D21BB7" w:rsidTr="00FB0A2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02" w:type="pct"/>
          </w:tcPr>
          <w:p w:rsidR="00D21BB7" w:rsidRPr="00D21BB7" w:rsidRDefault="00D21BB7" w:rsidP="00D21BB7">
            <w:pPr>
              <w:pStyle w:val="AERtabletextleft"/>
              <w:rPr>
                <w:rStyle w:val="AERbody"/>
              </w:rPr>
            </w:pPr>
            <w:r w:rsidRPr="00D21BB7">
              <w:rPr>
                <w:rStyle w:val="AERbody"/>
              </w:rPr>
              <w:t>SAIFI</w:t>
            </w:r>
          </w:p>
        </w:tc>
        <w:tc>
          <w:tcPr>
            <w:tcW w:w="1366" w:type="pct"/>
            <w:vAlign w:val="top"/>
          </w:tcPr>
          <w:p w:rsidR="00D21BB7" w:rsidRPr="00D21BB7" w:rsidRDefault="00D21BB7" w:rsidP="00FB0A2E">
            <w:pPr>
              <w:cnfStyle w:val="000000010000" w:firstRow="0" w:lastRow="0" w:firstColumn="0" w:lastColumn="0" w:oddVBand="0" w:evenVBand="0" w:oddHBand="0" w:evenHBand="1" w:firstRowFirstColumn="0" w:firstRowLastColumn="0" w:lastRowFirstColumn="0" w:lastRowLastColumn="0"/>
              <w:rPr>
                <w:rStyle w:val="AERbody"/>
              </w:rPr>
            </w:pPr>
            <w:r w:rsidRPr="00D21BB7">
              <w:rPr>
                <w:rStyle w:val="AERbody"/>
              </w:rPr>
              <w:t>1.3823</w:t>
            </w:r>
          </w:p>
        </w:tc>
        <w:tc>
          <w:tcPr>
            <w:tcW w:w="1366" w:type="pct"/>
            <w:vAlign w:val="top"/>
          </w:tcPr>
          <w:p w:rsidR="00D21BB7" w:rsidRPr="00D21BB7" w:rsidRDefault="00D21BB7" w:rsidP="00FB0A2E">
            <w:pPr>
              <w:cnfStyle w:val="000000010000" w:firstRow="0" w:lastRow="0" w:firstColumn="0" w:lastColumn="0" w:oddVBand="0" w:evenVBand="0" w:oddHBand="0" w:evenHBand="1" w:firstRowFirstColumn="0" w:firstRowLastColumn="0" w:lastRowFirstColumn="0" w:lastRowLastColumn="0"/>
              <w:rPr>
                <w:rStyle w:val="AERbody"/>
              </w:rPr>
            </w:pPr>
            <w:r w:rsidRPr="00D21BB7">
              <w:rPr>
                <w:rStyle w:val="AERbody"/>
              </w:rPr>
              <w:t>1.8113</w:t>
            </w:r>
          </w:p>
        </w:tc>
        <w:tc>
          <w:tcPr>
            <w:tcW w:w="1366" w:type="pct"/>
            <w:vAlign w:val="top"/>
          </w:tcPr>
          <w:p w:rsidR="00D21BB7" w:rsidRPr="00D21BB7" w:rsidRDefault="00D21BB7" w:rsidP="00FB0A2E">
            <w:pPr>
              <w:cnfStyle w:val="000000010000" w:firstRow="0" w:lastRow="0" w:firstColumn="0" w:lastColumn="0" w:oddVBand="0" w:evenVBand="0" w:oddHBand="0" w:evenHBand="1" w:firstRowFirstColumn="0" w:firstRowLastColumn="0" w:lastRowFirstColumn="0" w:lastRowLastColumn="0"/>
              <w:rPr>
                <w:rStyle w:val="AERbody"/>
              </w:rPr>
            </w:pPr>
            <w:r w:rsidRPr="00D21BB7">
              <w:rPr>
                <w:rStyle w:val="AERbody"/>
              </w:rPr>
              <w:t>0.5167</w:t>
            </w:r>
          </w:p>
        </w:tc>
      </w:tr>
    </w:tbl>
    <w:p w:rsidR="004008AE" w:rsidRDefault="004008AE" w:rsidP="00E630C8">
      <w:pPr>
        <w:pStyle w:val="AERtablesource"/>
      </w:pPr>
      <w:r>
        <w:t>Source:</w:t>
      </w:r>
      <w:r>
        <w:tab/>
      </w:r>
      <w:r w:rsidRPr="00E630C8">
        <w:t>AER Analysis.</w:t>
      </w:r>
    </w:p>
    <w:p w:rsidR="004008AE" w:rsidRPr="00592250" w:rsidRDefault="004008AE" w:rsidP="004008AE">
      <w:pPr>
        <w:pStyle w:val="Heading2"/>
      </w:pPr>
      <w:bookmarkStart w:id="45" w:name="_Toc432666654"/>
      <w:r>
        <w:lastRenderedPageBreak/>
        <w:t xml:space="preserve">Other </w:t>
      </w:r>
      <w:r w:rsidRPr="00592250">
        <w:t>issues in applying the STPIS</w:t>
      </w:r>
      <w:bookmarkEnd w:id="45"/>
    </w:p>
    <w:p w:rsidR="004008AE" w:rsidRPr="00432754" w:rsidRDefault="004008AE" w:rsidP="004008AE">
      <w:pPr>
        <w:pStyle w:val="Heading3"/>
      </w:pPr>
      <w:bookmarkStart w:id="46" w:name="_Toc432666655"/>
      <w:r>
        <w:t>Accounting for step change between regulatory periods</w:t>
      </w:r>
      <w:bookmarkEnd w:id="46"/>
      <w:r>
        <w:t xml:space="preserve"> </w:t>
      </w:r>
    </w:p>
    <w:p w:rsidR="00920103" w:rsidRPr="00AF64B3" w:rsidRDefault="00920103" w:rsidP="00920103">
      <w:r w:rsidRPr="00AF64B3">
        <w:t xml:space="preserve">A </w:t>
      </w:r>
      <w:r>
        <w:t>distributor's</w:t>
      </w:r>
      <w:r w:rsidRPr="00AF64B3">
        <w:t xml:space="preserve"> performance in the last regulatory year of its regulatory control period</w:t>
      </w:r>
      <w:r>
        <w:t xml:space="preserve"> </w:t>
      </w:r>
      <w:r w:rsidRPr="00AF64B3">
        <w:t>will affect its revenue in the second regulatory year in the next regulatory control</w:t>
      </w:r>
      <w:r>
        <w:t xml:space="preserve"> </w:t>
      </w:r>
      <w:r w:rsidRPr="00AF64B3">
        <w:t>period.</w:t>
      </w:r>
    </w:p>
    <w:p w:rsidR="00920103" w:rsidRDefault="00920103" w:rsidP="00920103">
      <w:r w:rsidRPr="00AF64B3">
        <w:t xml:space="preserve">For example, if a </w:t>
      </w:r>
      <w:r>
        <w:t>distributor</w:t>
      </w:r>
      <w:r w:rsidRPr="00AF64B3">
        <w:t xml:space="preserve"> has a regulatory control period of 5 regulatory years</w:t>
      </w:r>
      <w:r>
        <w:t xml:space="preserve"> </w:t>
      </w:r>
      <w:r w:rsidRPr="00AF64B3">
        <w:t>between 1 July 2007 and 30 June 2012, its performance in the 2011–12 financial year</w:t>
      </w:r>
      <w:r>
        <w:t xml:space="preserve"> </w:t>
      </w:r>
      <w:r w:rsidRPr="00AF64B3">
        <w:t>will affect its revenues in the second regulatory year of the next regulatory control</w:t>
      </w:r>
      <w:r>
        <w:t xml:space="preserve"> </w:t>
      </w:r>
      <w:r w:rsidRPr="00AF64B3">
        <w:t>period (that is from 1 July 2014).</w:t>
      </w:r>
      <w:r>
        <w:rPr>
          <w:rStyle w:val="FootnoteReference"/>
        </w:rPr>
        <w:footnoteReference w:id="14"/>
      </w:r>
    </w:p>
    <w:p w:rsidR="004008AE" w:rsidRPr="00FD0BEC" w:rsidRDefault="004008AE" w:rsidP="004008AE">
      <w:r>
        <w:t xml:space="preserve">The STPIS provides a mechanism to </w:t>
      </w:r>
      <w:r w:rsidRPr="00FD0BEC">
        <w:t xml:space="preserve">account for any step change in revenues (or prices), via </w:t>
      </w:r>
      <m:oMath>
        <m:sSub>
          <m:sSubPr>
            <m:ctrlPr>
              <w:rPr>
                <w:rFonts w:ascii="Cambria Math" w:hAnsi="Cambria Math"/>
              </w:rPr>
            </m:ctrlPr>
          </m:sSubPr>
          <m:e>
            <m:r>
              <w:rPr>
                <w:rFonts w:ascii="Cambria Math" w:hAnsi="Cambria Math"/>
              </w:rPr>
              <m:t>X</m:t>
            </m:r>
          </m:e>
          <m:sub>
            <m:r>
              <w:rPr>
                <w:rFonts w:ascii="Cambria Math" w:hAnsi="Cambria Math"/>
              </w:rPr>
              <m:t>0</m:t>
            </m:r>
          </m:sub>
        </m:sSub>
      </m:oMath>
      <w:r w:rsidRPr="00FD0BEC">
        <w:t>, from one regulatory</w:t>
      </w:r>
      <w:r>
        <w:t xml:space="preserve"> </w:t>
      </w:r>
      <w:r w:rsidRPr="00FD0BEC">
        <w:t>control period to the next</w:t>
      </w:r>
      <w:r>
        <w:t xml:space="preserve">. For </w:t>
      </w:r>
      <w:r w:rsidR="000D0EF2">
        <w:t>Ergon Energy</w:t>
      </w:r>
      <w:r>
        <w:t>, t</w:t>
      </w:r>
      <w:r w:rsidRPr="00FD0BEC">
        <w:t>he ‘raw’ s-factor calculated for the last and second last regulatory years of the regulatory control period (which is applied in the first and second regulatory years of the next regulatory control period) is adjusted in accordance with the following formula:</w:t>
      </w:r>
      <w:r w:rsidRPr="00FD0BEC">
        <w:rPr>
          <w:rStyle w:val="FootnoteReference"/>
        </w:rPr>
        <w:footnoteReference w:id="15"/>
      </w:r>
      <w:r w:rsidRPr="00FD0BEC">
        <w:t xml:space="preserve"> </w:t>
      </w:r>
    </w:p>
    <w:p w:rsidR="004008AE" w:rsidRPr="006C7727" w:rsidRDefault="00D0196E" w:rsidP="004008AE">
      <m:oMath>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num>
          <m:den>
            <m:sSubSup>
              <m:sSubSupPr>
                <m:ctrlPr>
                  <w:rPr>
                    <w:rFonts w:ascii="Cambria Math" w:hAnsi="Cambria Math"/>
                  </w:rPr>
                </m:ctrlPr>
              </m:sSubSupPr>
              <m:e>
                <m:r>
                  <w:rPr>
                    <w:rFonts w:ascii="Cambria Math" w:hAnsi="Cambria Math"/>
                  </w:rPr>
                  <m:t>1-X</m:t>
                </m:r>
              </m:e>
              <m:sub>
                <m:r>
                  <w:rPr>
                    <w:rFonts w:ascii="Cambria Math" w:hAnsi="Cambria Math"/>
                  </w:rPr>
                  <m:t>0</m:t>
                </m:r>
              </m:sub>
              <m:sup/>
            </m:sSubSup>
          </m:den>
        </m:f>
      </m:oMath>
      <w:r w:rsidR="004008AE">
        <w:t xml:space="preserve"> </w:t>
      </w:r>
    </w:p>
    <w:p w:rsidR="004008AE" w:rsidRDefault="004008AE" w:rsidP="004008AE">
      <w:r>
        <w:t>Where:</w:t>
      </w:r>
    </w:p>
    <w:p w:rsidR="004008AE" w:rsidRDefault="00D0196E" w:rsidP="004008AE">
      <w:pPr>
        <w:pStyle w:val="AERbulletlistfirststyle"/>
      </w:pPr>
      <m:oMath>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AR</m:t>
                </m:r>
              </m:e>
              <m:sub>
                <m:r>
                  <m:rPr>
                    <m:sty m:val="p"/>
                  </m:rPr>
                  <w:rPr>
                    <w:rFonts w:ascii="Cambria Math" w:hAnsi="Cambria Math"/>
                  </w:rPr>
                  <m:t>2014–15</m:t>
                </m:r>
              </m:sub>
            </m:sSub>
            <m:r>
              <m:rPr>
                <m:sty m:val="p"/>
              </m:rPr>
              <w:rPr>
                <w:rFonts w:ascii="Cambria Math" w:hAnsi="Cambria Math"/>
              </w:rPr>
              <m:t>-</m:t>
            </m:r>
            <m:sSub>
              <m:sSubPr>
                <m:ctrlPr>
                  <w:rPr>
                    <w:rFonts w:ascii="Cambria Math" w:hAnsi="Cambria Math"/>
                  </w:rPr>
                </m:ctrlPr>
              </m:sSubPr>
              <m:e>
                <m:r>
                  <w:rPr>
                    <w:rFonts w:ascii="Cambria Math" w:hAnsi="Cambria Math"/>
                  </w:rPr>
                  <m:t>AR</m:t>
                </m:r>
              </m:e>
              <m:sub>
                <m:r>
                  <m:rPr>
                    <m:sty m:val="p"/>
                  </m:rPr>
                  <w:rPr>
                    <w:rFonts w:ascii="Cambria Math" w:hAnsi="Cambria Math"/>
                  </w:rPr>
                  <m:t>2015–16</m:t>
                </m:r>
              </m:sub>
            </m:sSub>
          </m:num>
          <m:den>
            <m:sSub>
              <m:sSubPr>
                <m:ctrlPr>
                  <w:rPr>
                    <w:rFonts w:ascii="Cambria Math" w:hAnsi="Cambria Math"/>
                  </w:rPr>
                </m:ctrlPr>
              </m:sSubPr>
              <m:e>
                <m:r>
                  <w:rPr>
                    <w:rFonts w:ascii="Cambria Math" w:hAnsi="Cambria Math"/>
                  </w:rPr>
                  <m:t>AR</m:t>
                </m:r>
              </m:e>
              <m:sub>
                <m:r>
                  <m:rPr>
                    <m:sty m:val="p"/>
                  </m:rPr>
                  <w:rPr>
                    <w:rFonts w:ascii="Cambria Math" w:hAnsi="Cambria Math"/>
                  </w:rPr>
                  <m:t>2014–15</m:t>
                </m:r>
              </m:sub>
            </m:sSub>
          </m:den>
        </m:f>
      </m:oMath>
      <w:r w:rsidR="004008AE">
        <w:t xml:space="preserve"> </w:t>
      </w:r>
    </w:p>
    <w:p w:rsidR="004008AE" w:rsidRDefault="00D0196E" w:rsidP="004008AE">
      <w:pPr>
        <w:pStyle w:val="AERbulletlistfirststyle"/>
      </w:pPr>
      <m:oMath>
        <m:sSub>
          <m:sSubPr>
            <m:ctrlPr>
              <w:rPr>
                <w:rFonts w:ascii="Cambria Math" w:hAnsi="Cambria Math"/>
              </w:rPr>
            </m:ctrlPr>
          </m:sSubPr>
          <m:e>
            <m:r>
              <w:rPr>
                <w:rFonts w:ascii="Cambria Math" w:hAnsi="Cambria Math"/>
              </w:rPr>
              <m:t>AR</m:t>
            </m:r>
          </m:e>
          <m:sub>
            <m:r>
              <m:rPr>
                <m:sty m:val="p"/>
              </m:rPr>
              <w:rPr>
                <w:rFonts w:ascii="Cambria Math" w:hAnsi="Cambria Math"/>
              </w:rPr>
              <m:t>2014–15</m:t>
            </m:r>
          </m:sub>
        </m:sSub>
      </m:oMath>
      <w:r w:rsidR="004008AE">
        <w:t xml:space="preserve"> is </w:t>
      </w:r>
      <w:r w:rsidR="000D0EF2">
        <w:t>Ergon Energy</w:t>
      </w:r>
      <w:r w:rsidR="004008AE">
        <w:t>'s</w:t>
      </w:r>
      <w:r w:rsidR="004008AE" w:rsidRPr="00CC2B78">
        <w:t xml:space="preserve"> </w:t>
      </w:r>
      <w:r w:rsidR="004008AE">
        <w:t>a</w:t>
      </w:r>
      <w:r w:rsidR="004008AE" w:rsidRPr="00CC2B78">
        <w:t xml:space="preserve">pproved </w:t>
      </w:r>
      <w:r w:rsidR="004008AE">
        <w:t>revenue in the 2014–15</w:t>
      </w:r>
      <w:r w:rsidR="004008AE" w:rsidRPr="00CC2B78">
        <w:t xml:space="preserve"> </w:t>
      </w:r>
      <w:r w:rsidR="004008AE">
        <w:t>p</w:t>
      </w:r>
      <w:r w:rsidR="004008AE" w:rsidRPr="00CC2B78">
        <w:t xml:space="preserve">ricing </w:t>
      </w:r>
      <w:r w:rsidR="004008AE">
        <w:t>p</w:t>
      </w:r>
      <w:r w:rsidR="004008AE" w:rsidRPr="00CC2B78">
        <w:t xml:space="preserve">roposal </w:t>
      </w:r>
    </w:p>
    <w:p w:rsidR="003E1E52" w:rsidRPr="00CC2B78" w:rsidRDefault="00D0196E" w:rsidP="003E1E52">
      <w:pPr>
        <w:pStyle w:val="AERbulletlistfirststyle"/>
        <w:numPr>
          <w:ilvl w:val="0"/>
          <w:numId w:val="0"/>
        </w:numPr>
        <w:ind w:left="357"/>
      </w:pPr>
      <m:oMath>
        <m:sSub>
          <m:sSubPr>
            <m:ctrlPr>
              <w:rPr>
                <w:rFonts w:ascii="Cambria Math" w:hAnsi="Cambria Math"/>
              </w:rPr>
            </m:ctrlPr>
          </m:sSubPr>
          <m:e>
            <m:r>
              <w:rPr>
                <w:rFonts w:ascii="Cambria Math" w:hAnsi="Cambria Math"/>
              </w:rPr>
              <m:t>AR</m:t>
            </m:r>
          </m:e>
          <m:sub>
            <m:r>
              <m:rPr>
                <m:sty m:val="p"/>
              </m:rPr>
              <w:rPr>
                <w:rFonts w:ascii="Cambria Math" w:hAnsi="Cambria Math"/>
              </w:rPr>
              <m:t>2015–16</m:t>
            </m:r>
          </m:sub>
        </m:sSub>
      </m:oMath>
      <w:r w:rsidR="004008AE" w:rsidRPr="00CC2B78">
        <w:t xml:space="preserve"> is </w:t>
      </w:r>
      <w:r w:rsidR="000D0EF2">
        <w:t>Ergon Energy</w:t>
      </w:r>
      <w:r w:rsidR="004008AE" w:rsidRPr="00CC2B78">
        <w:t xml:space="preserve">'s allowable revenue </w:t>
      </w:r>
      <w:r w:rsidR="004008AE">
        <w:t>in the</w:t>
      </w:r>
      <w:r w:rsidR="004008AE" w:rsidRPr="00CC2B78">
        <w:t xml:space="preserve"> final determination </w:t>
      </w:r>
      <w:r w:rsidR="004008AE">
        <w:t xml:space="preserve">for </w:t>
      </w:r>
      <w:r w:rsidR="004008AE" w:rsidRPr="00CC2B78">
        <w:t>2015–20.</w:t>
      </w:r>
    </w:p>
    <w:p w:rsidR="004008AE" w:rsidRDefault="004008AE" w:rsidP="004008AE">
      <w:pPr>
        <w:pStyle w:val="Heading3"/>
      </w:pPr>
      <w:bookmarkStart w:id="47" w:name="_Toc432666656"/>
      <w:r>
        <w:t>Submissions</w:t>
      </w:r>
      <w:bookmarkEnd w:id="47"/>
    </w:p>
    <w:p w:rsidR="004008AE" w:rsidRDefault="004008AE" w:rsidP="004008AE">
      <w:pPr>
        <w:rPr>
          <w:rStyle w:val="AERbody"/>
        </w:rPr>
      </w:pPr>
      <w:r>
        <w:rPr>
          <w:rStyle w:val="AERbody"/>
        </w:rPr>
        <w:t xml:space="preserve">We received a submission from the Alliance of Electricity Consumers of Queensland regarding </w:t>
      </w:r>
      <w:r w:rsidR="000D0EF2">
        <w:rPr>
          <w:rStyle w:val="AERbody"/>
        </w:rPr>
        <w:t>Ergon Energy</w:t>
      </w:r>
      <w:r>
        <w:rPr>
          <w:rStyle w:val="AERbody"/>
        </w:rPr>
        <w:t xml:space="preserve">'s STPIS proposal. </w:t>
      </w:r>
    </w:p>
    <w:p w:rsidR="004008AE" w:rsidRDefault="004008AE" w:rsidP="004008AE">
      <w:pPr>
        <w:rPr>
          <w:rStyle w:val="AERbody"/>
        </w:rPr>
      </w:pPr>
      <w:r>
        <w:rPr>
          <w:rStyle w:val="AERbody"/>
        </w:rPr>
        <w:t>The Consumer Challenge Panel did not provide a submission on the STPIS.</w:t>
      </w:r>
    </w:p>
    <w:p w:rsidR="004008AE" w:rsidRDefault="004008AE" w:rsidP="004008AE">
      <w:pPr>
        <w:rPr>
          <w:rStyle w:val="AERbody"/>
        </w:rPr>
      </w:pPr>
      <w:r w:rsidRPr="0039307D">
        <w:rPr>
          <w:rStyle w:val="AERbody"/>
        </w:rPr>
        <w:t>The Alliance of Electricity Consumers</w:t>
      </w:r>
      <w:r>
        <w:rPr>
          <w:rStyle w:val="AERbody"/>
        </w:rPr>
        <w:t xml:space="preserve"> re–</w:t>
      </w:r>
      <w:r w:rsidRPr="0039307D">
        <w:rPr>
          <w:rStyle w:val="AERbody"/>
        </w:rPr>
        <w:t xml:space="preserve">submitted that </w:t>
      </w:r>
      <w:r w:rsidR="000D0EF2">
        <w:rPr>
          <w:rStyle w:val="AERbody"/>
        </w:rPr>
        <w:t>Ergon Energy</w:t>
      </w:r>
      <w:r w:rsidRPr="0039307D">
        <w:rPr>
          <w:rStyle w:val="AERbody"/>
        </w:rPr>
        <w:t xml:space="preserve"> should not be rewarded for meeting its legislative level of service. As such, </w:t>
      </w:r>
      <w:r w:rsidR="008503DA">
        <w:rPr>
          <w:rStyle w:val="AERbody"/>
        </w:rPr>
        <w:t>we</w:t>
      </w:r>
      <w:r w:rsidRPr="0039307D">
        <w:rPr>
          <w:rStyle w:val="AERbody"/>
        </w:rPr>
        <w:t xml:space="preserve"> should revoke the </w:t>
      </w:r>
      <w:r>
        <w:rPr>
          <w:rStyle w:val="AERbody"/>
        </w:rPr>
        <w:t xml:space="preserve">STPIS </w:t>
      </w:r>
      <w:r w:rsidRPr="0039307D">
        <w:rPr>
          <w:rStyle w:val="AERbody"/>
        </w:rPr>
        <w:t>payment</w:t>
      </w:r>
      <w:r>
        <w:rPr>
          <w:rStyle w:val="AERbody"/>
        </w:rPr>
        <w:t>s</w:t>
      </w:r>
      <w:r w:rsidRPr="0039307D">
        <w:rPr>
          <w:rStyle w:val="AERbody"/>
        </w:rPr>
        <w:t xml:space="preserve"> </w:t>
      </w:r>
      <w:r w:rsidR="000D0EF2">
        <w:rPr>
          <w:rStyle w:val="AERbody"/>
        </w:rPr>
        <w:t>Ergon Energy</w:t>
      </w:r>
      <w:r>
        <w:rPr>
          <w:rStyle w:val="AERbody"/>
        </w:rPr>
        <w:t xml:space="preserve"> is seeking to recover in the next regulatory control period</w:t>
      </w:r>
      <w:r w:rsidRPr="0039307D">
        <w:rPr>
          <w:rStyle w:val="AERbody"/>
        </w:rPr>
        <w:t>.</w:t>
      </w:r>
      <w:r>
        <w:rPr>
          <w:rStyle w:val="FootnoteReference"/>
        </w:rPr>
        <w:footnoteReference w:id="16"/>
      </w:r>
    </w:p>
    <w:p w:rsidR="004008AE" w:rsidRDefault="004008AE" w:rsidP="004008AE">
      <w:pPr>
        <w:rPr>
          <w:rStyle w:val="AERbody"/>
        </w:rPr>
      </w:pPr>
      <w:r>
        <w:lastRenderedPageBreak/>
        <w:t xml:space="preserve">The </w:t>
      </w:r>
      <w:r w:rsidRPr="0039307D">
        <w:rPr>
          <w:rStyle w:val="AERbody"/>
        </w:rPr>
        <w:t>Alliance of Electricity Consumers</w:t>
      </w:r>
      <w:r>
        <w:rPr>
          <w:rStyle w:val="AERbody"/>
        </w:rPr>
        <w:t xml:space="preserve"> may be referring to the deterministic "N-1" planning standard for supply security.</w:t>
      </w:r>
      <w:r>
        <w:rPr>
          <w:rStyle w:val="FootnoteReference"/>
        </w:rPr>
        <w:footnoteReference w:id="17"/>
      </w:r>
      <w:r>
        <w:rPr>
          <w:rStyle w:val="AERbody"/>
        </w:rPr>
        <w:t xml:space="preserve"> The deterministic "N-1" planning standard is no longer enforced and has been replaced with cost/benefit trade-off "probabilistic" planning approach. Both deterministic and </w:t>
      </w:r>
      <w:r w:rsidRPr="00E020FB">
        <w:rPr>
          <w:rStyle w:val="AERbody"/>
        </w:rPr>
        <w:t xml:space="preserve">probabilistic </w:t>
      </w:r>
      <w:r>
        <w:rPr>
          <w:rStyle w:val="AERbody"/>
        </w:rPr>
        <w:t>planning standards mainly address capacity shortfalls rather than reliability outcomes.</w:t>
      </w:r>
      <w:r w:rsidRPr="004008AE">
        <w:rPr>
          <w:rStyle w:val="CommentReference"/>
        </w:rPr>
        <w:t xml:space="preserve"> </w:t>
      </w:r>
    </w:p>
    <w:p w:rsidR="004008AE" w:rsidRPr="00E928A1" w:rsidRDefault="004008AE" w:rsidP="004008AE">
      <w:r w:rsidRPr="00E928A1">
        <w:t xml:space="preserve">The STPIS </w:t>
      </w:r>
      <w:r>
        <w:t xml:space="preserve">on the other hand has a different purpose. It is an outcome focused mechanism </w:t>
      </w:r>
      <w:r w:rsidRPr="00E928A1">
        <w:t xml:space="preserve">intended to balance incentives to reduce expenditure with the need to maintain or improve service quality. It achieves this by providing financial incentives to </w:t>
      </w:r>
      <w:r>
        <w:t xml:space="preserve">electricity distributors </w:t>
      </w:r>
      <w:r w:rsidRPr="00E928A1">
        <w:t xml:space="preserve">maintain and improve service performance where customers are willing to pay for these improvements. </w:t>
      </w:r>
    </w:p>
    <w:p w:rsidR="004008AE" w:rsidRDefault="000D0EF2" w:rsidP="004008AE">
      <w:r>
        <w:t>Ergon Energy</w:t>
      </w:r>
      <w:r w:rsidR="004008AE">
        <w:t xml:space="preserve"> was rewarded under the STPIS in the current regulatory control period because it met it reliability targets or the intended outcome which was set above the reliability standard. </w:t>
      </w:r>
    </w:p>
    <w:p w:rsidR="00A328FF" w:rsidRDefault="00DD657F" w:rsidP="00DD657F">
      <w:pPr>
        <w:pStyle w:val="Heading2"/>
      </w:pPr>
      <w:bookmarkStart w:id="48" w:name="_Toc432666657"/>
      <w:r>
        <w:t>Revenue reduction and future reliability levels</w:t>
      </w:r>
      <w:bookmarkEnd w:id="48"/>
    </w:p>
    <w:p w:rsidR="00DD657F" w:rsidRDefault="00DD657F" w:rsidP="00DD657F">
      <w:r>
        <w:t>Ergon Energy's regulatory proposal submitted a reliability impact assessment by Jacobs. Th</w:t>
      </w:r>
      <w:r w:rsidR="005A03FA">
        <w:t>e report contends that our preliminary</w:t>
      </w:r>
      <w:r>
        <w:t xml:space="preserve"> decision to reduce Ergon Energy's </w:t>
      </w:r>
      <w:r w:rsidRPr="00DD657F">
        <w:t xml:space="preserve">capex and opex over historical levels </w:t>
      </w:r>
      <w:r>
        <w:t xml:space="preserve">may have an </w:t>
      </w:r>
      <w:r w:rsidRPr="00DD657F">
        <w:t xml:space="preserve">impact on the reliability of </w:t>
      </w:r>
      <w:r>
        <w:t xml:space="preserve">its </w:t>
      </w:r>
      <w:r w:rsidRPr="00DD657F">
        <w:t>network in subsequent years.</w:t>
      </w:r>
      <w:r w:rsidR="003E1E52">
        <w:rPr>
          <w:rStyle w:val="FootnoteReference"/>
        </w:rPr>
        <w:footnoteReference w:id="18"/>
      </w:r>
    </w:p>
    <w:p w:rsidR="00DD657F" w:rsidRDefault="00C33386" w:rsidP="00471DFD">
      <w:r>
        <w:t xml:space="preserve">This issue is addressed in our capex and opex attachments </w:t>
      </w:r>
      <w:r w:rsidR="008503DA">
        <w:t xml:space="preserve">(attachments 6 and 7) </w:t>
      </w:r>
      <w:r>
        <w:t>because Ergon</w:t>
      </w:r>
      <w:r w:rsidR="006345A0">
        <w:t xml:space="preserve"> Energy</w:t>
      </w:r>
      <w:r>
        <w:t xml:space="preserve"> has not applied for a departure for its STPIS. </w:t>
      </w:r>
      <w:r w:rsidR="004E4741">
        <w:t xml:space="preserve"> </w:t>
      </w:r>
    </w:p>
    <w:p w:rsidR="004E4741" w:rsidRDefault="004E4741" w:rsidP="00471DFD"/>
    <w:p w:rsidR="009D3FC8" w:rsidRDefault="009D3FC8" w:rsidP="00471DFD"/>
    <w:sectPr w:rsidR="009D3FC8"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A2E" w:rsidRPr="00290C63" w:rsidRDefault="00FB0A2E" w:rsidP="00290C63">
      <w:r>
        <w:separator/>
      </w:r>
    </w:p>
    <w:p w:rsidR="00FB0A2E" w:rsidRDefault="00FB0A2E"/>
  </w:endnote>
  <w:endnote w:type="continuationSeparator" w:id="0">
    <w:p w:rsidR="00FB0A2E" w:rsidRPr="00290C63" w:rsidRDefault="00FB0A2E" w:rsidP="00290C63">
      <w:r>
        <w:continuationSeparator/>
      </w:r>
    </w:p>
    <w:p w:rsidR="00FB0A2E" w:rsidRDefault="00FB0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A2E" w:rsidRPr="00290C63" w:rsidRDefault="00FB0A2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FB0A2E" w:rsidRDefault="00FB0A2E"/>
  <w:p w:rsidR="00FB0A2E" w:rsidRDefault="00FB0A2E"/>
  <w:p w:rsidR="00FB0A2E" w:rsidRDefault="00FB0A2E"/>
  <w:p w:rsidR="00FB0A2E" w:rsidRDefault="00FB0A2E"/>
  <w:p w:rsidR="00FB0A2E" w:rsidRDefault="00FB0A2E"/>
  <w:p w:rsidR="00FB0A2E" w:rsidRDefault="00FB0A2E"/>
  <w:p w:rsidR="00FB0A2E" w:rsidRDefault="00FB0A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FB0A2E" w:rsidRDefault="00FB0A2E">
        <w:pPr>
          <w:pStyle w:val="Footer"/>
        </w:pPr>
        <w:r>
          <w:t>11-</w:t>
        </w:r>
        <w:r>
          <w:fldChar w:fldCharType="begin"/>
        </w:r>
        <w:r>
          <w:instrText xml:space="preserve"> PAGE   \* MERGEFORMAT </w:instrText>
        </w:r>
        <w:r>
          <w:fldChar w:fldCharType="separate"/>
        </w:r>
        <w:r w:rsidR="00E14F58">
          <w:rPr>
            <w:noProof/>
          </w:rPr>
          <w:t>0</w:t>
        </w:r>
        <w:r>
          <w:rPr>
            <w:noProof/>
          </w:rPr>
          <w:fldChar w:fldCharType="end"/>
        </w:r>
        <w:r>
          <w:rPr>
            <w:noProof/>
          </w:rPr>
          <w:t xml:space="preserve">      </w:t>
        </w:r>
        <w:r>
          <w:t xml:space="preserve">           </w:t>
        </w:r>
        <w:r>
          <w:rPr>
            <w:noProof/>
          </w:rPr>
          <w:t xml:space="preserve">  Attachment 1</w:t>
        </w:r>
        <w:r>
          <w:t>1</w:t>
        </w:r>
        <w:r>
          <w:rPr>
            <w:noProof/>
          </w:rPr>
          <w:t xml:space="preserve"> </w:t>
        </w:r>
        <w:r>
          <w:rPr>
            <w:rFonts w:cs="Gautami"/>
            <w:noProof/>
          </w:rPr>
          <w:t xml:space="preserve">– </w:t>
        </w:r>
        <w:r>
          <w:t>STPIS</w:t>
        </w:r>
        <w:r>
          <w:rPr>
            <w:rFonts w:cs="Gautami"/>
            <w:noProof/>
          </w:rPr>
          <w:t xml:space="preserve"> | </w:t>
        </w:r>
        <w:r>
          <w:t>Ergon Energy</w:t>
        </w:r>
        <w:r>
          <w:rPr>
            <w:rFonts w:cs="Gautami"/>
            <w:noProof/>
          </w:rPr>
          <w:t xml:space="preserve"> determination 2015–20</w:t>
        </w:r>
      </w:p>
    </w:sdtContent>
  </w:sdt>
  <w:p w:rsidR="00FB0A2E" w:rsidRDefault="00FB0A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A2E" w:rsidRPr="00290C63" w:rsidRDefault="00FB0A2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FB0A2E" w:rsidRDefault="00FB0A2E">
    <w:pPr>
      <w:pStyle w:val="Footer"/>
    </w:pPr>
  </w:p>
  <w:p w:rsidR="00FB0A2E" w:rsidRDefault="00FB0A2E"/>
  <w:p w:rsidR="00FB0A2E" w:rsidRDefault="00FB0A2E"/>
  <w:p w:rsidR="00FB0A2E" w:rsidRDefault="00FB0A2E"/>
  <w:p w:rsidR="00FB0A2E" w:rsidRDefault="00FB0A2E"/>
  <w:p w:rsidR="00FB0A2E" w:rsidRDefault="00FB0A2E"/>
  <w:p w:rsidR="00FB0A2E" w:rsidRDefault="00FB0A2E"/>
  <w:p w:rsidR="00FB0A2E" w:rsidRDefault="00FB0A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A2E" w:rsidRPr="00290C63" w:rsidRDefault="00FB0A2E" w:rsidP="00290C63">
      <w:r>
        <w:separator/>
      </w:r>
    </w:p>
    <w:p w:rsidR="00FB0A2E" w:rsidRDefault="00FB0A2E"/>
  </w:footnote>
  <w:footnote w:type="continuationSeparator" w:id="0">
    <w:p w:rsidR="00FB0A2E" w:rsidRPr="00290C63" w:rsidRDefault="00FB0A2E" w:rsidP="00290C63">
      <w:r>
        <w:continuationSeparator/>
      </w:r>
    </w:p>
    <w:p w:rsidR="00FB0A2E" w:rsidRDefault="00FB0A2E"/>
  </w:footnote>
  <w:footnote w:id="1">
    <w:p w:rsidR="00FB0A2E" w:rsidRDefault="00FB0A2E" w:rsidP="004008AE">
      <w:pPr>
        <w:pStyle w:val="FootnoteText"/>
      </w:pPr>
      <w:r>
        <w:rPr>
          <w:rStyle w:val="FootnoteReference"/>
        </w:rPr>
        <w:footnoteRef/>
      </w:r>
      <w:r>
        <w:t xml:space="preserve"> </w:t>
      </w:r>
      <w:r>
        <w:tab/>
      </w:r>
      <w:r w:rsidRPr="005D44E7">
        <w:t xml:space="preserve">AER, </w:t>
      </w:r>
      <w:r w:rsidRPr="000565BE">
        <w:rPr>
          <w:rStyle w:val="AERtextitalic"/>
        </w:rPr>
        <w:t>Electricity distribution network service providers—service target performance incentive scheme</w:t>
      </w:r>
      <w:r w:rsidRPr="005D44E7">
        <w:t xml:space="preserve">, 1 November 2009. (AER, </w:t>
      </w:r>
      <w:r w:rsidRPr="000565BE">
        <w:rPr>
          <w:rStyle w:val="AERtextitalic"/>
        </w:rPr>
        <w:t>STPIS</w:t>
      </w:r>
      <w:r w:rsidRPr="005D44E7">
        <w:t>, Nov</w:t>
      </w:r>
      <w:r>
        <w:t>ember</w:t>
      </w:r>
      <w:r w:rsidRPr="005D44E7">
        <w:t xml:space="preserve"> 2009).</w:t>
      </w:r>
    </w:p>
  </w:footnote>
  <w:footnote w:id="2">
    <w:p w:rsidR="00FB0A2E" w:rsidRDefault="00FB0A2E" w:rsidP="009B2735">
      <w:pPr>
        <w:pStyle w:val="FootnoteText"/>
      </w:pPr>
      <w:r>
        <w:rPr>
          <w:rStyle w:val="FootnoteReference"/>
        </w:rPr>
        <w:footnoteRef/>
      </w:r>
      <w:r>
        <w:t xml:space="preserve"> </w:t>
      </w:r>
      <w:r>
        <w:tab/>
        <w:t xml:space="preserve">Ergon Energy, </w:t>
      </w:r>
      <w:proofErr w:type="gramStart"/>
      <w:r w:rsidRPr="00CF5E6B">
        <w:rPr>
          <w:rStyle w:val="AERtextitalic"/>
        </w:rPr>
        <w:t>03.01.03  Revised</w:t>
      </w:r>
      <w:proofErr w:type="gramEnd"/>
      <w:r w:rsidRPr="00CF5E6B">
        <w:rPr>
          <w:rStyle w:val="AERtextitalic"/>
        </w:rPr>
        <w:t xml:space="preserve"> Application of Incentive Schemes</w:t>
      </w:r>
      <w:r>
        <w:t>, 3 July 2015, p. 8.</w:t>
      </w:r>
    </w:p>
  </w:footnote>
  <w:footnote w:id="3">
    <w:p w:rsidR="00FB0A2E" w:rsidRDefault="00FB0A2E" w:rsidP="004008AE">
      <w:pPr>
        <w:pStyle w:val="FootnoteText"/>
      </w:pPr>
      <w:r>
        <w:rPr>
          <w:rStyle w:val="FootnoteReference"/>
        </w:rPr>
        <w:footnoteRef/>
      </w:r>
      <w:r>
        <w:t xml:space="preserve"> </w:t>
      </w:r>
      <w:r>
        <w:tab/>
        <w:t>NER, cl. 6.12.1(9).</w:t>
      </w:r>
    </w:p>
  </w:footnote>
  <w:footnote w:id="4">
    <w:p w:rsidR="00FB0A2E" w:rsidRDefault="00FB0A2E" w:rsidP="004008AE">
      <w:pPr>
        <w:pStyle w:val="FootnoteText"/>
      </w:pPr>
      <w:r>
        <w:rPr>
          <w:rStyle w:val="FootnoteReference"/>
        </w:rPr>
        <w:footnoteRef/>
      </w:r>
      <w:r>
        <w:t xml:space="preserve"> </w:t>
      </w:r>
      <w:r>
        <w:tab/>
        <w:t>AER, STPIS, cl. 2.1(d).</w:t>
      </w:r>
    </w:p>
  </w:footnote>
  <w:footnote w:id="5">
    <w:p w:rsidR="00FB0A2E" w:rsidRDefault="00FB0A2E" w:rsidP="004008AE">
      <w:pPr>
        <w:pStyle w:val="FootnoteText"/>
      </w:pPr>
      <w:r>
        <w:rPr>
          <w:rStyle w:val="FootnoteReference"/>
        </w:rPr>
        <w:footnoteRef/>
      </w:r>
      <w:r>
        <w:t xml:space="preserve"> </w:t>
      </w:r>
      <w:r>
        <w:tab/>
        <w:t xml:space="preserve">AER, </w:t>
      </w:r>
      <w:r w:rsidRPr="003D6AD9">
        <w:rPr>
          <w:rStyle w:val="AERtextitalic"/>
        </w:rPr>
        <w:t>Final Framew</w:t>
      </w:r>
      <w:r>
        <w:rPr>
          <w:rStyle w:val="AERtextitalic"/>
        </w:rPr>
        <w:t xml:space="preserve">ork and approach for Ergon Energy an Ergon </w:t>
      </w:r>
      <w:r w:rsidRPr="003D6AD9">
        <w:rPr>
          <w:rStyle w:val="AERtextitalic"/>
        </w:rPr>
        <w:t>Energy Regulatory control period commencing 1 July 2015</w:t>
      </w:r>
      <w:r>
        <w:t xml:space="preserve">, </w:t>
      </w:r>
      <w:r w:rsidRPr="003D6AD9">
        <w:t>April 2014</w:t>
      </w:r>
      <w:r>
        <w:t>, p. 70-71.</w:t>
      </w:r>
    </w:p>
  </w:footnote>
  <w:footnote w:id="6">
    <w:p w:rsidR="00FB0A2E" w:rsidRDefault="00FB0A2E" w:rsidP="004008AE">
      <w:pPr>
        <w:pStyle w:val="FootnoteText"/>
      </w:pPr>
      <w:r>
        <w:rPr>
          <w:rStyle w:val="FootnoteReference"/>
        </w:rPr>
        <w:footnoteRef/>
      </w:r>
      <w:r>
        <w:t xml:space="preserve"> </w:t>
      </w:r>
      <w:r>
        <w:tab/>
      </w:r>
      <w:r w:rsidRPr="00881D15">
        <w:t xml:space="preserve">AER, </w:t>
      </w:r>
      <w:r w:rsidRPr="00170B0D">
        <w:rPr>
          <w:rStyle w:val="AERtextitalic"/>
        </w:rPr>
        <w:t>STPIS</w:t>
      </w:r>
      <w:r w:rsidRPr="00881D15">
        <w:t>, November 2009, cl</w:t>
      </w:r>
      <w:r>
        <w:t>.</w:t>
      </w:r>
      <w:r w:rsidRPr="00881D15">
        <w:t xml:space="preserve"> </w:t>
      </w:r>
      <w:r>
        <w:t>1.8</w:t>
      </w:r>
      <w:r w:rsidRPr="00881D15">
        <w:t>(</w:t>
      </w:r>
      <w:r>
        <w:t>f</w:t>
      </w:r>
      <w:r w:rsidRPr="00881D15">
        <w:t>).</w:t>
      </w:r>
    </w:p>
  </w:footnote>
  <w:footnote w:id="7">
    <w:p w:rsidR="00FB0A2E" w:rsidRDefault="00FB0A2E" w:rsidP="004008AE">
      <w:pPr>
        <w:pStyle w:val="FootnoteText"/>
      </w:pPr>
      <w:r>
        <w:rPr>
          <w:rStyle w:val="FootnoteReference"/>
        </w:rPr>
        <w:footnoteRef/>
      </w:r>
      <w:r>
        <w:t xml:space="preserve"> </w:t>
      </w:r>
      <w:r>
        <w:tab/>
        <w:t>NER, cl. 6.6.2(b)(3)(iv).</w:t>
      </w:r>
    </w:p>
  </w:footnote>
  <w:footnote w:id="8">
    <w:p w:rsidR="00FB0A2E" w:rsidRDefault="00FB0A2E" w:rsidP="004008AE">
      <w:pPr>
        <w:pStyle w:val="FootnoteText"/>
      </w:pPr>
      <w:r>
        <w:rPr>
          <w:rStyle w:val="FootnoteReference"/>
        </w:rPr>
        <w:footnoteRef/>
      </w:r>
      <w:r>
        <w:t xml:space="preserve"> </w:t>
      </w:r>
      <w:r>
        <w:tab/>
        <w:t xml:space="preserve">AER, </w:t>
      </w:r>
      <w:r w:rsidRPr="008A5AB3">
        <w:rPr>
          <w:rStyle w:val="AERtextitalic"/>
        </w:rPr>
        <w:t>STPIS</w:t>
      </w:r>
      <w:r>
        <w:t>, November 2009, cl. 1.5(b)(5).</w:t>
      </w:r>
    </w:p>
  </w:footnote>
  <w:footnote w:id="9">
    <w:p w:rsidR="00FB0A2E" w:rsidRDefault="00FB0A2E" w:rsidP="004008AE">
      <w:pPr>
        <w:pStyle w:val="FootnoteText"/>
      </w:pPr>
      <w:r>
        <w:rPr>
          <w:rStyle w:val="FootnoteReference"/>
        </w:rPr>
        <w:footnoteRef/>
      </w:r>
      <w:r>
        <w:t xml:space="preserve"> </w:t>
      </w:r>
      <w:r>
        <w:tab/>
        <w:t xml:space="preserve">AER, </w:t>
      </w:r>
      <w:r w:rsidRPr="003D6AD9">
        <w:rPr>
          <w:rStyle w:val="AERtextitalic"/>
        </w:rPr>
        <w:t>Final Framew</w:t>
      </w:r>
      <w:r>
        <w:rPr>
          <w:rStyle w:val="AERtextitalic"/>
        </w:rPr>
        <w:t xml:space="preserve">ork and approach for Ergon Energy an Ergon </w:t>
      </w:r>
      <w:r w:rsidRPr="003D6AD9">
        <w:rPr>
          <w:rStyle w:val="AERtextitalic"/>
        </w:rPr>
        <w:t>Energy Regulatory control period commencing 1 July 2015</w:t>
      </w:r>
      <w:r>
        <w:t xml:space="preserve">, </w:t>
      </w:r>
      <w:r w:rsidRPr="003D6AD9">
        <w:t>April 2014</w:t>
      </w:r>
      <w:r>
        <w:t xml:space="preserve">, p. 70-71; AER, </w:t>
      </w:r>
      <w:r w:rsidRPr="00FE3211">
        <w:rPr>
          <w:rStyle w:val="AERtextitalic"/>
        </w:rPr>
        <w:t xml:space="preserve">Preliminary decision </w:t>
      </w:r>
      <w:r>
        <w:rPr>
          <w:rStyle w:val="AERtextitalic"/>
        </w:rPr>
        <w:t>Ergon Energy</w:t>
      </w:r>
      <w:r w:rsidRPr="00FE3211">
        <w:rPr>
          <w:rStyle w:val="AERtextitalic"/>
        </w:rPr>
        <w:t xml:space="preserve"> determination 2015−16 to 2019−20 Attachment 11 − Service target performance incentive scheme</w:t>
      </w:r>
      <w:r>
        <w:t xml:space="preserve">, </w:t>
      </w:r>
      <w:r w:rsidRPr="00FE3211">
        <w:t>April 2015</w:t>
      </w:r>
      <w:r>
        <w:t>.</w:t>
      </w:r>
    </w:p>
  </w:footnote>
  <w:footnote w:id="10">
    <w:p w:rsidR="00FB0A2E" w:rsidRDefault="00FB0A2E" w:rsidP="004008AE">
      <w:pPr>
        <w:pStyle w:val="FootnoteText"/>
      </w:pPr>
      <w:r>
        <w:rPr>
          <w:rStyle w:val="FootnoteReference"/>
        </w:rPr>
        <w:footnoteRef/>
      </w:r>
      <w:r>
        <w:t xml:space="preserve"> </w:t>
      </w:r>
      <w:r>
        <w:tab/>
        <w:t xml:space="preserve">Ergon Energy, </w:t>
      </w:r>
      <w:r w:rsidRPr="00CF5E6B">
        <w:rPr>
          <w:rStyle w:val="AERtextitalic"/>
        </w:rPr>
        <w:t>03.01.03  Revised Application of Incentive Schemes</w:t>
      </w:r>
      <w:r>
        <w:t>, 3 July 2015, p. 8.</w:t>
      </w:r>
    </w:p>
  </w:footnote>
  <w:footnote w:id="11">
    <w:p w:rsidR="00FB0A2E" w:rsidRDefault="00FB0A2E" w:rsidP="004008AE">
      <w:pPr>
        <w:pStyle w:val="FootnoteText"/>
      </w:pPr>
      <w:r>
        <w:rPr>
          <w:rStyle w:val="FootnoteReference"/>
        </w:rPr>
        <w:footnoteRef/>
      </w:r>
      <w:r>
        <w:t xml:space="preserve"> </w:t>
      </w:r>
      <w:r>
        <w:tab/>
        <w:t xml:space="preserve">AER, </w:t>
      </w:r>
      <w:r w:rsidRPr="000A1C5A">
        <w:rPr>
          <w:rStyle w:val="AERtextitalic"/>
        </w:rPr>
        <w:t>STPIS</w:t>
      </w:r>
      <w:r w:rsidRPr="000A1C5A">
        <w:t xml:space="preserve">, November 2009, </w:t>
      </w:r>
      <w:r>
        <w:t xml:space="preserve">cl. 3.2.1. </w:t>
      </w:r>
    </w:p>
  </w:footnote>
  <w:footnote w:id="12">
    <w:p w:rsidR="00FB0A2E" w:rsidRDefault="00FB0A2E" w:rsidP="00435771">
      <w:pPr>
        <w:pStyle w:val="FootnoteText"/>
      </w:pPr>
      <w:r>
        <w:rPr>
          <w:rStyle w:val="FootnoteReference"/>
        </w:rPr>
        <w:footnoteRef/>
      </w:r>
      <w:r>
        <w:t xml:space="preserve"> </w:t>
      </w:r>
      <w:r>
        <w:tab/>
        <w:t xml:space="preserve">Ergon Energy, </w:t>
      </w:r>
      <w:r w:rsidRPr="00CF5E6B">
        <w:rPr>
          <w:rStyle w:val="AERtextitalic"/>
        </w:rPr>
        <w:t>03.01.03  Revised Application of Incentive Schemes</w:t>
      </w:r>
      <w:r>
        <w:t>, 3 July 2015, p. 7.</w:t>
      </w:r>
    </w:p>
  </w:footnote>
  <w:footnote w:id="13">
    <w:p w:rsidR="00FB0A2E" w:rsidRDefault="00FB0A2E">
      <w:pPr>
        <w:pStyle w:val="FootnoteText"/>
      </w:pPr>
      <w:r>
        <w:rPr>
          <w:rStyle w:val="FootnoteReference"/>
        </w:rPr>
        <w:footnoteRef/>
      </w:r>
      <w:r>
        <w:t xml:space="preserve"> </w:t>
      </w:r>
      <w:r>
        <w:tab/>
        <w:t xml:space="preserve">AER, </w:t>
      </w:r>
      <w:r w:rsidRPr="008A5AB3">
        <w:rPr>
          <w:rStyle w:val="AERtextitalic"/>
        </w:rPr>
        <w:t>STPIS</w:t>
      </w:r>
      <w:r>
        <w:t>, November 2009, cl. 5.3.2 (a).</w:t>
      </w:r>
    </w:p>
  </w:footnote>
  <w:footnote w:id="14">
    <w:p w:rsidR="00FB0A2E" w:rsidRDefault="00FB0A2E" w:rsidP="00920103">
      <w:pPr>
        <w:pStyle w:val="FootnoteText"/>
      </w:pPr>
      <w:r>
        <w:rPr>
          <w:rStyle w:val="FootnoteReference"/>
        </w:rPr>
        <w:footnoteRef/>
      </w:r>
      <w:r>
        <w:t xml:space="preserve"> </w:t>
      </w:r>
      <w:r>
        <w:tab/>
        <w:t xml:space="preserve">AER, </w:t>
      </w:r>
      <w:r w:rsidRPr="008A5AB3">
        <w:rPr>
          <w:rStyle w:val="AERtextitalic"/>
        </w:rPr>
        <w:t>STPIS</w:t>
      </w:r>
      <w:r>
        <w:t>, November 2009, appendix C.</w:t>
      </w:r>
    </w:p>
  </w:footnote>
  <w:footnote w:id="15">
    <w:p w:rsidR="00FB0A2E" w:rsidRDefault="00FB0A2E" w:rsidP="004008AE">
      <w:pPr>
        <w:pStyle w:val="FootnoteText"/>
      </w:pPr>
      <w:r>
        <w:rPr>
          <w:rStyle w:val="FootnoteReference"/>
        </w:rPr>
        <w:footnoteRef/>
      </w:r>
      <w:r>
        <w:t xml:space="preserve"> </w:t>
      </w:r>
      <w:r>
        <w:tab/>
        <w:t xml:space="preserve">AER, </w:t>
      </w:r>
      <w:r w:rsidRPr="008A5AB3">
        <w:rPr>
          <w:rStyle w:val="AERtextitalic"/>
        </w:rPr>
        <w:t>STPIS</w:t>
      </w:r>
      <w:r>
        <w:t>, November 2009, Appendix C, pp. 33–34.</w:t>
      </w:r>
    </w:p>
  </w:footnote>
  <w:footnote w:id="16">
    <w:p w:rsidR="00FB0A2E" w:rsidRDefault="00FB0A2E" w:rsidP="004008AE">
      <w:pPr>
        <w:pStyle w:val="FootnoteText"/>
      </w:pPr>
      <w:r>
        <w:rPr>
          <w:rStyle w:val="FootnoteReference"/>
        </w:rPr>
        <w:footnoteRef/>
      </w:r>
      <w:r>
        <w:t xml:space="preserve"> </w:t>
      </w:r>
      <w:r>
        <w:tab/>
      </w:r>
      <w:r w:rsidRPr="002F40C8">
        <w:t>Alliance</w:t>
      </w:r>
      <w:r>
        <w:t xml:space="preserve"> </w:t>
      </w:r>
      <w:r w:rsidRPr="002F40C8">
        <w:t>of</w:t>
      </w:r>
      <w:r>
        <w:t xml:space="preserve"> </w:t>
      </w:r>
      <w:r w:rsidRPr="002F40C8">
        <w:t>Electricity</w:t>
      </w:r>
      <w:r>
        <w:t xml:space="preserve"> </w:t>
      </w:r>
      <w:r w:rsidRPr="002F40C8">
        <w:t>Consumers</w:t>
      </w:r>
      <w:r>
        <w:t xml:space="preserve">, </w:t>
      </w:r>
      <w:r w:rsidRPr="002F40C8">
        <w:rPr>
          <w:rStyle w:val="AERtextitalic"/>
        </w:rPr>
        <w:t xml:space="preserve">Submission </w:t>
      </w:r>
      <w:r>
        <w:rPr>
          <w:rStyle w:val="AERtextitalic"/>
        </w:rPr>
        <w:t>to the Australian Energy Regulator's preliminary decision (Queensland)</w:t>
      </w:r>
      <w:r>
        <w:t>, 3 July 2015, p.30.</w:t>
      </w:r>
    </w:p>
  </w:footnote>
  <w:footnote w:id="17">
    <w:p w:rsidR="00FB0A2E" w:rsidRDefault="00FB0A2E" w:rsidP="004008AE">
      <w:pPr>
        <w:pStyle w:val="FootnoteText"/>
      </w:pPr>
      <w:r>
        <w:rPr>
          <w:rStyle w:val="FootnoteReference"/>
        </w:rPr>
        <w:footnoteRef/>
      </w:r>
      <w:r>
        <w:t xml:space="preserve"> </w:t>
      </w:r>
      <w:r>
        <w:tab/>
      </w:r>
      <w:r w:rsidRPr="002F40C8">
        <w:t xml:space="preserve">Alliance of Electricity Consumers, </w:t>
      </w:r>
      <w:r w:rsidRPr="002F40C8">
        <w:rPr>
          <w:rStyle w:val="AERtextitalic"/>
        </w:rPr>
        <w:t xml:space="preserve">Submission </w:t>
      </w:r>
      <w:r>
        <w:rPr>
          <w:rStyle w:val="AERtextitalic"/>
        </w:rPr>
        <w:t>to the Australian Energy Regulator's preliminary decision (Queensland)</w:t>
      </w:r>
      <w:r>
        <w:t>, 3 July 2015, p.30.</w:t>
      </w:r>
    </w:p>
  </w:footnote>
  <w:footnote w:id="18">
    <w:p w:rsidR="00FB0A2E" w:rsidRDefault="00FB0A2E" w:rsidP="003E1E52">
      <w:pPr>
        <w:pStyle w:val="FootnoteText"/>
      </w:pPr>
      <w:r>
        <w:rPr>
          <w:rStyle w:val="FootnoteReference"/>
        </w:rPr>
        <w:footnoteRef/>
      </w:r>
      <w:r>
        <w:t xml:space="preserve"> </w:t>
      </w:r>
      <w:r>
        <w:tab/>
        <w:t xml:space="preserve">Jacobs, </w:t>
      </w:r>
      <w:r w:rsidRPr="009B2735">
        <w:rPr>
          <w:rStyle w:val="AERtextitalic"/>
        </w:rPr>
        <w:t>AER Preliminary Decision Response Ergon Energy Reliability Impact Assessment</w:t>
      </w:r>
      <w:r>
        <w:t xml:space="preserve">, </w:t>
      </w:r>
      <w:r w:rsidRPr="003E1E52">
        <w:t>12 June 2015</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95C7239"/>
    <w:multiLevelType w:val="multilevel"/>
    <w:tmpl w:val="950A1C52"/>
    <w:numStyleLink w:val="AERHeadings"/>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9327AC"/>
    <w:multiLevelType w:val="multilevel"/>
    <w:tmpl w:val="950A1C52"/>
    <w:numStyleLink w:val="AERHeadings"/>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5ECE4384"/>
    <w:multiLevelType w:val="multilevel"/>
    <w:tmpl w:val="62F0EC10"/>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6DE36827"/>
    <w:multiLevelType w:val="multilevel"/>
    <w:tmpl w:val="950A1C52"/>
    <w:numStyleLink w:val="AERHeadings"/>
  </w:abstractNum>
  <w:abstractNum w:abstractNumId="34">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E5D0E08"/>
    <w:multiLevelType w:val="multilevel"/>
    <w:tmpl w:val="EFEA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3"/>
  </w:num>
  <w:num w:numId="14">
    <w:abstractNumId w:val="10"/>
  </w:num>
  <w:num w:numId="15">
    <w:abstractNumId w:val="13"/>
  </w:num>
  <w:num w:numId="16">
    <w:abstractNumId w:val="26"/>
  </w:num>
  <w:num w:numId="17">
    <w:abstractNumId w:val="9"/>
  </w:num>
  <w:num w:numId="18">
    <w:abstractNumId w:val="17"/>
  </w:num>
  <w:num w:numId="19">
    <w:abstractNumId w:val="27"/>
  </w:num>
  <w:num w:numId="20">
    <w:abstractNumId w:val="34"/>
  </w:num>
  <w:num w:numId="21">
    <w:abstractNumId w:val="14"/>
  </w:num>
  <w:num w:numId="22">
    <w:abstractNumId w:val="30"/>
  </w:num>
  <w:num w:numId="23">
    <w:abstractNumId w:val="28"/>
  </w:num>
  <w:num w:numId="24">
    <w:abstractNumId w:val="20"/>
  </w:num>
  <w:num w:numId="25">
    <w:abstractNumId w:val="29"/>
  </w:num>
  <w:num w:numId="26">
    <w:abstractNumId w:val="31"/>
  </w:num>
  <w:num w:numId="27">
    <w:abstractNumId w:val="22"/>
  </w:num>
  <w:num w:numId="28">
    <w:abstractNumId w:val="19"/>
  </w:num>
  <w:num w:numId="29">
    <w:abstractNumId w:val="16"/>
  </w:num>
  <w:num w:numId="30">
    <w:abstractNumId w:val="35"/>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3"/>
  </w:num>
  <w:num w:numId="37">
    <w:abstractNumId w:val="21"/>
  </w:num>
  <w:num w:numId="38">
    <w:abstractNumId w:val="25"/>
  </w:num>
  <w:num w:numId="39">
    <w:abstractNumId w:val="18"/>
  </w:num>
  <w:num w:numId="40">
    <w:abstractNumId w:val="36"/>
  </w:num>
  <w:num w:numId="41">
    <w:abstractNumId w:val="37"/>
  </w:num>
  <w:num w:numId="42">
    <w:abstractNumId w:val="8"/>
    <w:lvlOverride w:ilvl="0">
      <w:startOverride w:val="1"/>
    </w:lvlOverride>
  </w:num>
  <w:num w:numId="43">
    <w:abstractNumId w:val="11"/>
  </w:num>
  <w:num w:numId="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b4E08GQCdWdrfeS9TmqSe+6kVB3YLr9ih76PHSmQnYc=" w:saltValue="WXs9WH4ctvSOo/IVCx1FUQ==" w:algorithmName="SHA-256"/>
  <w:defaultTabStop w:val="34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68\AER15 2543  Energex - Final decision - Attach 11 - STPIS.DOCX"/>
  </w:docVars>
  <w:rsids>
    <w:rsidRoot w:val="00961A4A"/>
    <w:rsid w:val="00007B4A"/>
    <w:rsid w:val="00017C70"/>
    <w:rsid w:val="00020563"/>
    <w:rsid w:val="00021202"/>
    <w:rsid w:val="0002517F"/>
    <w:rsid w:val="0002744A"/>
    <w:rsid w:val="0003578C"/>
    <w:rsid w:val="000425B0"/>
    <w:rsid w:val="00063247"/>
    <w:rsid w:val="000656D7"/>
    <w:rsid w:val="00070F9F"/>
    <w:rsid w:val="0007137B"/>
    <w:rsid w:val="000734AD"/>
    <w:rsid w:val="00080356"/>
    <w:rsid w:val="00081C08"/>
    <w:rsid w:val="00085663"/>
    <w:rsid w:val="00085EBF"/>
    <w:rsid w:val="00090759"/>
    <w:rsid w:val="000A3020"/>
    <w:rsid w:val="000A5C97"/>
    <w:rsid w:val="000A6C7B"/>
    <w:rsid w:val="000B054C"/>
    <w:rsid w:val="000B34B1"/>
    <w:rsid w:val="000B6781"/>
    <w:rsid w:val="000C0E01"/>
    <w:rsid w:val="000D0EF2"/>
    <w:rsid w:val="000D122C"/>
    <w:rsid w:val="000D12B9"/>
    <w:rsid w:val="000D67CF"/>
    <w:rsid w:val="000E1819"/>
    <w:rsid w:val="000E32E7"/>
    <w:rsid w:val="000E4821"/>
    <w:rsid w:val="000E6C72"/>
    <w:rsid w:val="000F19F9"/>
    <w:rsid w:val="000F6F3B"/>
    <w:rsid w:val="001140AD"/>
    <w:rsid w:val="00116EB2"/>
    <w:rsid w:val="001201F1"/>
    <w:rsid w:val="00124609"/>
    <w:rsid w:val="00126A4C"/>
    <w:rsid w:val="00132441"/>
    <w:rsid w:val="00142E3C"/>
    <w:rsid w:val="0014573B"/>
    <w:rsid w:val="00146981"/>
    <w:rsid w:val="00153D0D"/>
    <w:rsid w:val="001557D6"/>
    <w:rsid w:val="001573E4"/>
    <w:rsid w:val="00160756"/>
    <w:rsid w:val="0017232E"/>
    <w:rsid w:val="00174102"/>
    <w:rsid w:val="00180157"/>
    <w:rsid w:val="00185CB9"/>
    <w:rsid w:val="00186F77"/>
    <w:rsid w:val="001926A4"/>
    <w:rsid w:val="00192AD5"/>
    <w:rsid w:val="001B45A0"/>
    <w:rsid w:val="001D055E"/>
    <w:rsid w:val="001D2C63"/>
    <w:rsid w:val="001D3B8B"/>
    <w:rsid w:val="001F1259"/>
    <w:rsid w:val="001F3C8B"/>
    <w:rsid w:val="001F492E"/>
    <w:rsid w:val="001F6DA3"/>
    <w:rsid w:val="002010BC"/>
    <w:rsid w:val="00202E03"/>
    <w:rsid w:val="0020492C"/>
    <w:rsid w:val="00207C6B"/>
    <w:rsid w:val="0021595E"/>
    <w:rsid w:val="00220409"/>
    <w:rsid w:val="00221648"/>
    <w:rsid w:val="00224DB9"/>
    <w:rsid w:val="00233775"/>
    <w:rsid w:val="00237D84"/>
    <w:rsid w:val="002416BD"/>
    <w:rsid w:val="00245137"/>
    <w:rsid w:val="00251745"/>
    <w:rsid w:val="00263AC0"/>
    <w:rsid w:val="00264264"/>
    <w:rsid w:val="0026772D"/>
    <w:rsid w:val="00286874"/>
    <w:rsid w:val="00290C63"/>
    <w:rsid w:val="00296B65"/>
    <w:rsid w:val="002A3A62"/>
    <w:rsid w:val="002A7DEF"/>
    <w:rsid w:val="002C4848"/>
    <w:rsid w:val="002E7B22"/>
    <w:rsid w:val="002F7986"/>
    <w:rsid w:val="00301B40"/>
    <w:rsid w:val="003029EE"/>
    <w:rsid w:val="00303610"/>
    <w:rsid w:val="00305CC8"/>
    <w:rsid w:val="00306D50"/>
    <w:rsid w:val="00307F6D"/>
    <w:rsid w:val="003177A2"/>
    <w:rsid w:val="003271B5"/>
    <w:rsid w:val="00327A1E"/>
    <w:rsid w:val="00331264"/>
    <w:rsid w:val="00334C8D"/>
    <w:rsid w:val="00341304"/>
    <w:rsid w:val="00343A18"/>
    <w:rsid w:val="003518B3"/>
    <w:rsid w:val="00351F48"/>
    <w:rsid w:val="0035295E"/>
    <w:rsid w:val="00362B2B"/>
    <w:rsid w:val="003736F3"/>
    <w:rsid w:val="0037782C"/>
    <w:rsid w:val="003846F1"/>
    <w:rsid w:val="003B484F"/>
    <w:rsid w:val="003C65E2"/>
    <w:rsid w:val="003D5918"/>
    <w:rsid w:val="003D6AD9"/>
    <w:rsid w:val="003E1E52"/>
    <w:rsid w:val="003F174D"/>
    <w:rsid w:val="004008AE"/>
    <w:rsid w:val="00401F71"/>
    <w:rsid w:val="00410438"/>
    <w:rsid w:val="0041529E"/>
    <w:rsid w:val="00423A5B"/>
    <w:rsid w:val="00435771"/>
    <w:rsid w:val="00450CC0"/>
    <w:rsid w:val="004554E2"/>
    <w:rsid w:val="0045777E"/>
    <w:rsid w:val="00465766"/>
    <w:rsid w:val="0047143E"/>
    <w:rsid w:val="00471DFD"/>
    <w:rsid w:val="004727E0"/>
    <w:rsid w:val="00480B4B"/>
    <w:rsid w:val="004839B3"/>
    <w:rsid w:val="00485DC4"/>
    <w:rsid w:val="0049622C"/>
    <w:rsid w:val="00497AA7"/>
    <w:rsid w:val="004A128F"/>
    <w:rsid w:val="004A3612"/>
    <w:rsid w:val="004A43D1"/>
    <w:rsid w:val="004B1563"/>
    <w:rsid w:val="004B4412"/>
    <w:rsid w:val="004B7D52"/>
    <w:rsid w:val="004C348C"/>
    <w:rsid w:val="004D4535"/>
    <w:rsid w:val="004D55BA"/>
    <w:rsid w:val="004E22EC"/>
    <w:rsid w:val="004E39F7"/>
    <w:rsid w:val="004E3FB2"/>
    <w:rsid w:val="004E4741"/>
    <w:rsid w:val="00530128"/>
    <w:rsid w:val="00532467"/>
    <w:rsid w:val="005342E2"/>
    <w:rsid w:val="00543215"/>
    <w:rsid w:val="00563050"/>
    <w:rsid w:val="00564A4D"/>
    <w:rsid w:val="00567BA5"/>
    <w:rsid w:val="00571B35"/>
    <w:rsid w:val="00571D57"/>
    <w:rsid w:val="00573E52"/>
    <w:rsid w:val="00577A09"/>
    <w:rsid w:val="005829C2"/>
    <w:rsid w:val="00584D8F"/>
    <w:rsid w:val="0059403B"/>
    <w:rsid w:val="00596EED"/>
    <w:rsid w:val="005A03FA"/>
    <w:rsid w:val="005A404D"/>
    <w:rsid w:val="005B1E3C"/>
    <w:rsid w:val="005B37F4"/>
    <w:rsid w:val="005B5BCE"/>
    <w:rsid w:val="005C26CC"/>
    <w:rsid w:val="005C7251"/>
    <w:rsid w:val="005D5DEC"/>
    <w:rsid w:val="005D7BA2"/>
    <w:rsid w:val="005E03ED"/>
    <w:rsid w:val="005E1D1F"/>
    <w:rsid w:val="005E36C2"/>
    <w:rsid w:val="00602EFB"/>
    <w:rsid w:val="00612939"/>
    <w:rsid w:val="00615C6B"/>
    <w:rsid w:val="00621632"/>
    <w:rsid w:val="00621DCE"/>
    <w:rsid w:val="0063186A"/>
    <w:rsid w:val="00632D6D"/>
    <w:rsid w:val="006345A0"/>
    <w:rsid w:val="0063621E"/>
    <w:rsid w:val="00642C3E"/>
    <w:rsid w:val="00652A7A"/>
    <w:rsid w:val="0066104A"/>
    <w:rsid w:val="00663DAD"/>
    <w:rsid w:val="00675E20"/>
    <w:rsid w:val="00676679"/>
    <w:rsid w:val="00683C89"/>
    <w:rsid w:val="00692750"/>
    <w:rsid w:val="006B2395"/>
    <w:rsid w:val="006B4CF9"/>
    <w:rsid w:val="006B7AC8"/>
    <w:rsid w:val="006C3F85"/>
    <w:rsid w:val="006C7685"/>
    <w:rsid w:val="006D550F"/>
    <w:rsid w:val="00701CAB"/>
    <w:rsid w:val="00703D8C"/>
    <w:rsid w:val="00707563"/>
    <w:rsid w:val="007172C6"/>
    <w:rsid w:val="0072348C"/>
    <w:rsid w:val="00724A37"/>
    <w:rsid w:val="007303C3"/>
    <w:rsid w:val="007429BE"/>
    <w:rsid w:val="0074318C"/>
    <w:rsid w:val="00743223"/>
    <w:rsid w:val="00744DF5"/>
    <w:rsid w:val="00746E01"/>
    <w:rsid w:val="007552BD"/>
    <w:rsid w:val="00757BDF"/>
    <w:rsid w:val="007617C6"/>
    <w:rsid w:val="00763E5D"/>
    <w:rsid w:val="00764915"/>
    <w:rsid w:val="00767740"/>
    <w:rsid w:val="007756A9"/>
    <w:rsid w:val="00777EE6"/>
    <w:rsid w:val="007801CF"/>
    <w:rsid w:val="00780A33"/>
    <w:rsid w:val="00782EEA"/>
    <w:rsid w:val="007879E1"/>
    <w:rsid w:val="00794C57"/>
    <w:rsid w:val="0079650A"/>
    <w:rsid w:val="007A7E70"/>
    <w:rsid w:val="007B2C72"/>
    <w:rsid w:val="007B2E64"/>
    <w:rsid w:val="007B3DB9"/>
    <w:rsid w:val="007C041D"/>
    <w:rsid w:val="007C1C53"/>
    <w:rsid w:val="007C74BB"/>
    <w:rsid w:val="007D1DDE"/>
    <w:rsid w:val="007D3DEA"/>
    <w:rsid w:val="007D62FF"/>
    <w:rsid w:val="007E4904"/>
    <w:rsid w:val="007E4CB5"/>
    <w:rsid w:val="007F066B"/>
    <w:rsid w:val="008033C4"/>
    <w:rsid w:val="00806C88"/>
    <w:rsid w:val="0081034E"/>
    <w:rsid w:val="00825E58"/>
    <w:rsid w:val="008344F6"/>
    <w:rsid w:val="0083510F"/>
    <w:rsid w:val="00842503"/>
    <w:rsid w:val="00842E4B"/>
    <w:rsid w:val="00845711"/>
    <w:rsid w:val="008503DA"/>
    <w:rsid w:val="00851209"/>
    <w:rsid w:val="00854C16"/>
    <w:rsid w:val="00854CE1"/>
    <w:rsid w:val="008570FF"/>
    <w:rsid w:val="0086541F"/>
    <w:rsid w:val="008837AC"/>
    <w:rsid w:val="008976FC"/>
    <w:rsid w:val="008A587D"/>
    <w:rsid w:val="008A5AB3"/>
    <w:rsid w:val="008A6777"/>
    <w:rsid w:val="008B35CD"/>
    <w:rsid w:val="008B5FCC"/>
    <w:rsid w:val="008C5486"/>
    <w:rsid w:val="008D1661"/>
    <w:rsid w:val="008E7031"/>
    <w:rsid w:val="008E77DE"/>
    <w:rsid w:val="008F07A3"/>
    <w:rsid w:val="00900E1B"/>
    <w:rsid w:val="00903B73"/>
    <w:rsid w:val="00920103"/>
    <w:rsid w:val="009233EE"/>
    <w:rsid w:val="00924336"/>
    <w:rsid w:val="0093647A"/>
    <w:rsid w:val="009460AA"/>
    <w:rsid w:val="009466C1"/>
    <w:rsid w:val="00947767"/>
    <w:rsid w:val="00951978"/>
    <w:rsid w:val="00961A4A"/>
    <w:rsid w:val="009661DE"/>
    <w:rsid w:val="00975B5F"/>
    <w:rsid w:val="00982738"/>
    <w:rsid w:val="00983C25"/>
    <w:rsid w:val="009856B7"/>
    <w:rsid w:val="00985C86"/>
    <w:rsid w:val="009A5FC3"/>
    <w:rsid w:val="009B2735"/>
    <w:rsid w:val="009B5899"/>
    <w:rsid w:val="009B74B0"/>
    <w:rsid w:val="009C0D52"/>
    <w:rsid w:val="009C1AE5"/>
    <w:rsid w:val="009D3FC8"/>
    <w:rsid w:val="009D40C9"/>
    <w:rsid w:val="009D6B46"/>
    <w:rsid w:val="009E00C7"/>
    <w:rsid w:val="009F4940"/>
    <w:rsid w:val="009F5BA1"/>
    <w:rsid w:val="00A01745"/>
    <w:rsid w:val="00A02A88"/>
    <w:rsid w:val="00A031EC"/>
    <w:rsid w:val="00A048DE"/>
    <w:rsid w:val="00A0562E"/>
    <w:rsid w:val="00A0703E"/>
    <w:rsid w:val="00A0726D"/>
    <w:rsid w:val="00A213D3"/>
    <w:rsid w:val="00A26802"/>
    <w:rsid w:val="00A328FF"/>
    <w:rsid w:val="00A32FBB"/>
    <w:rsid w:val="00A345D1"/>
    <w:rsid w:val="00A40B28"/>
    <w:rsid w:val="00A428EE"/>
    <w:rsid w:val="00A4478A"/>
    <w:rsid w:val="00A44852"/>
    <w:rsid w:val="00A54E6D"/>
    <w:rsid w:val="00A57D04"/>
    <w:rsid w:val="00A60A26"/>
    <w:rsid w:val="00A61598"/>
    <w:rsid w:val="00A84A99"/>
    <w:rsid w:val="00A84F46"/>
    <w:rsid w:val="00A871F4"/>
    <w:rsid w:val="00A946AA"/>
    <w:rsid w:val="00AA2EB4"/>
    <w:rsid w:val="00AA43AF"/>
    <w:rsid w:val="00AA51D8"/>
    <w:rsid w:val="00AA7EC8"/>
    <w:rsid w:val="00AB7253"/>
    <w:rsid w:val="00AC1B2C"/>
    <w:rsid w:val="00AC3264"/>
    <w:rsid w:val="00AD411F"/>
    <w:rsid w:val="00AE1BF1"/>
    <w:rsid w:val="00AF0DD2"/>
    <w:rsid w:val="00AF3867"/>
    <w:rsid w:val="00AF55C5"/>
    <w:rsid w:val="00AF66BB"/>
    <w:rsid w:val="00B001C5"/>
    <w:rsid w:val="00B10CC5"/>
    <w:rsid w:val="00B13048"/>
    <w:rsid w:val="00B1716D"/>
    <w:rsid w:val="00B17A1D"/>
    <w:rsid w:val="00B17E26"/>
    <w:rsid w:val="00B207A0"/>
    <w:rsid w:val="00B34302"/>
    <w:rsid w:val="00B514DD"/>
    <w:rsid w:val="00B52AF0"/>
    <w:rsid w:val="00B52C38"/>
    <w:rsid w:val="00B561BD"/>
    <w:rsid w:val="00B56E03"/>
    <w:rsid w:val="00B7063F"/>
    <w:rsid w:val="00B8080B"/>
    <w:rsid w:val="00B82706"/>
    <w:rsid w:val="00B83039"/>
    <w:rsid w:val="00B868EE"/>
    <w:rsid w:val="00B87BA5"/>
    <w:rsid w:val="00B87C39"/>
    <w:rsid w:val="00B93F14"/>
    <w:rsid w:val="00BA4665"/>
    <w:rsid w:val="00BA5A26"/>
    <w:rsid w:val="00BB1A04"/>
    <w:rsid w:val="00BB2FB2"/>
    <w:rsid w:val="00BB3304"/>
    <w:rsid w:val="00BD3446"/>
    <w:rsid w:val="00BE1F1B"/>
    <w:rsid w:val="00BE47B5"/>
    <w:rsid w:val="00C02E16"/>
    <w:rsid w:val="00C16EC0"/>
    <w:rsid w:val="00C25FA6"/>
    <w:rsid w:val="00C33386"/>
    <w:rsid w:val="00C33819"/>
    <w:rsid w:val="00C52FD1"/>
    <w:rsid w:val="00C538A9"/>
    <w:rsid w:val="00C53B5A"/>
    <w:rsid w:val="00C54F5A"/>
    <w:rsid w:val="00C569B4"/>
    <w:rsid w:val="00C67A92"/>
    <w:rsid w:val="00C86679"/>
    <w:rsid w:val="00C90436"/>
    <w:rsid w:val="00C91158"/>
    <w:rsid w:val="00C93E1F"/>
    <w:rsid w:val="00CA489E"/>
    <w:rsid w:val="00CB0279"/>
    <w:rsid w:val="00CB666B"/>
    <w:rsid w:val="00CC262C"/>
    <w:rsid w:val="00CC4C3D"/>
    <w:rsid w:val="00CC6E50"/>
    <w:rsid w:val="00CC7F1D"/>
    <w:rsid w:val="00CE1BB7"/>
    <w:rsid w:val="00CE1FA1"/>
    <w:rsid w:val="00CF3BB1"/>
    <w:rsid w:val="00CF5E6B"/>
    <w:rsid w:val="00D006AE"/>
    <w:rsid w:val="00D0196E"/>
    <w:rsid w:val="00D01CF0"/>
    <w:rsid w:val="00D0442A"/>
    <w:rsid w:val="00D14D94"/>
    <w:rsid w:val="00D21BB7"/>
    <w:rsid w:val="00D400C3"/>
    <w:rsid w:val="00D61388"/>
    <w:rsid w:val="00D61A54"/>
    <w:rsid w:val="00D64DEA"/>
    <w:rsid w:val="00D7168E"/>
    <w:rsid w:val="00D71E57"/>
    <w:rsid w:val="00D72AA2"/>
    <w:rsid w:val="00D72D94"/>
    <w:rsid w:val="00D80893"/>
    <w:rsid w:val="00D84854"/>
    <w:rsid w:val="00D92CF1"/>
    <w:rsid w:val="00D92D38"/>
    <w:rsid w:val="00D950F5"/>
    <w:rsid w:val="00D95D38"/>
    <w:rsid w:val="00D97269"/>
    <w:rsid w:val="00DA38E0"/>
    <w:rsid w:val="00DA4752"/>
    <w:rsid w:val="00DA61F3"/>
    <w:rsid w:val="00DB0F93"/>
    <w:rsid w:val="00DB1A67"/>
    <w:rsid w:val="00DB2155"/>
    <w:rsid w:val="00DB4C30"/>
    <w:rsid w:val="00DB5074"/>
    <w:rsid w:val="00DC22D6"/>
    <w:rsid w:val="00DC7981"/>
    <w:rsid w:val="00DD2840"/>
    <w:rsid w:val="00DD5AC0"/>
    <w:rsid w:val="00DD657F"/>
    <w:rsid w:val="00DE1093"/>
    <w:rsid w:val="00DE1D89"/>
    <w:rsid w:val="00DE3209"/>
    <w:rsid w:val="00DE3A0D"/>
    <w:rsid w:val="00DE41B1"/>
    <w:rsid w:val="00DE4EFA"/>
    <w:rsid w:val="00DE5520"/>
    <w:rsid w:val="00DE563D"/>
    <w:rsid w:val="00DF06C5"/>
    <w:rsid w:val="00DF1F61"/>
    <w:rsid w:val="00DF7CCA"/>
    <w:rsid w:val="00E04818"/>
    <w:rsid w:val="00E06442"/>
    <w:rsid w:val="00E14F58"/>
    <w:rsid w:val="00E20BA5"/>
    <w:rsid w:val="00E23993"/>
    <w:rsid w:val="00E25B8C"/>
    <w:rsid w:val="00E32593"/>
    <w:rsid w:val="00E37324"/>
    <w:rsid w:val="00E4107A"/>
    <w:rsid w:val="00E630C8"/>
    <w:rsid w:val="00E64333"/>
    <w:rsid w:val="00E65C85"/>
    <w:rsid w:val="00E66199"/>
    <w:rsid w:val="00E755EC"/>
    <w:rsid w:val="00E7624D"/>
    <w:rsid w:val="00EA22F3"/>
    <w:rsid w:val="00EA3D42"/>
    <w:rsid w:val="00EA6B1B"/>
    <w:rsid w:val="00EA7D65"/>
    <w:rsid w:val="00EB5C4F"/>
    <w:rsid w:val="00ED7323"/>
    <w:rsid w:val="00EE28F3"/>
    <w:rsid w:val="00EE40A3"/>
    <w:rsid w:val="00EF5110"/>
    <w:rsid w:val="00EF686C"/>
    <w:rsid w:val="00F10411"/>
    <w:rsid w:val="00F15882"/>
    <w:rsid w:val="00F171E0"/>
    <w:rsid w:val="00F20BD3"/>
    <w:rsid w:val="00F22ACB"/>
    <w:rsid w:val="00F236B8"/>
    <w:rsid w:val="00F34393"/>
    <w:rsid w:val="00F373A5"/>
    <w:rsid w:val="00F47559"/>
    <w:rsid w:val="00F64C7B"/>
    <w:rsid w:val="00F650D3"/>
    <w:rsid w:val="00F662ED"/>
    <w:rsid w:val="00F676DD"/>
    <w:rsid w:val="00F74172"/>
    <w:rsid w:val="00F7538A"/>
    <w:rsid w:val="00F75A26"/>
    <w:rsid w:val="00F76706"/>
    <w:rsid w:val="00F83FAD"/>
    <w:rsid w:val="00F85530"/>
    <w:rsid w:val="00F948C8"/>
    <w:rsid w:val="00F952A0"/>
    <w:rsid w:val="00F9743D"/>
    <w:rsid w:val="00FA3C7F"/>
    <w:rsid w:val="00FA5ABE"/>
    <w:rsid w:val="00FB0A2E"/>
    <w:rsid w:val="00FB74E2"/>
    <w:rsid w:val="00FC10C4"/>
    <w:rsid w:val="00FC12A8"/>
    <w:rsid w:val="00FD5614"/>
    <w:rsid w:val="00FE0BE1"/>
    <w:rsid w:val="00FE1DE9"/>
    <w:rsid w:val="00FE36AF"/>
    <w:rsid w:val="00FE39C2"/>
    <w:rsid w:val="00FE3C32"/>
    <w:rsid w:val="00FE64AE"/>
    <w:rsid w:val="00FE7B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86541F"/>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86541F"/>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2964">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68079653">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0535341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86645889">
      <w:bodyDiv w:val="1"/>
      <w:marLeft w:val="0"/>
      <w:marRight w:val="0"/>
      <w:marTop w:val="0"/>
      <w:marBottom w:val="0"/>
      <w:divBdr>
        <w:top w:val="none" w:sz="0" w:space="0" w:color="auto"/>
        <w:left w:val="none" w:sz="0" w:space="0" w:color="auto"/>
        <w:bottom w:val="none" w:sz="0" w:space="0" w:color="auto"/>
        <w:right w:val="none" w:sz="0" w:space="0" w:color="auto"/>
      </w:divBdr>
    </w:div>
    <w:div w:id="1701007174">
      <w:bodyDiv w:val="1"/>
      <w:marLeft w:val="0"/>
      <w:marRight w:val="0"/>
      <w:marTop w:val="0"/>
      <w:marBottom w:val="0"/>
      <w:divBdr>
        <w:top w:val="none" w:sz="0" w:space="0" w:color="auto"/>
        <w:left w:val="none" w:sz="0" w:space="0" w:color="auto"/>
        <w:bottom w:val="none" w:sz="0" w:space="0" w:color="auto"/>
        <w:right w:val="none" w:sz="0" w:space="0" w:color="auto"/>
      </w:divBdr>
    </w:div>
    <w:div w:id="1929995647">
      <w:bodyDiv w:val="1"/>
      <w:marLeft w:val="0"/>
      <w:marRight w:val="0"/>
      <w:marTop w:val="0"/>
      <w:marBottom w:val="0"/>
      <w:divBdr>
        <w:top w:val="none" w:sz="0" w:space="0" w:color="auto"/>
        <w:left w:val="none" w:sz="0" w:space="0" w:color="auto"/>
        <w:bottom w:val="none" w:sz="0" w:space="0" w:color="auto"/>
        <w:right w:val="none" w:sz="0" w:space="0" w:color="auto"/>
      </w:divBdr>
    </w:div>
    <w:div w:id="1941911591">
      <w:bodyDiv w:val="1"/>
      <w:marLeft w:val="0"/>
      <w:marRight w:val="0"/>
      <w:marTop w:val="0"/>
      <w:marBottom w:val="0"/>
      <w:divBdr>
        <w:top w:val="none" w:sz="0" w:space="0" w:color="auto"/>
        <w:left w:val="none" w:sz="0" w:space="0" w:color="auto"/>
        <w:bottom w:val="none" w:sz="0" w:space="0" w:color="auto"/>
        <w:right w:val="none" w:sz="0" w:space="0" w:color="auto"/>
      </w:divBdr>
    </w:div>
    <w:div w:id="1999570242">
      <w:bodyDiv w:val="1"/>
      <w:marLeft w:val="0"/>
      <w:marRight w:val="0"/>
      <w:marTop w:val="0"/>
      <w:marBottom w:val="0"/>
      <w:divBdr>
        <w:top w:val="none" w:sz="0" w:space="0" w:color="auto"/>
        <w:left w:val="none" w:sz="0" w:space="0" w:color="auto"/>
        <w:bottom w:val="none" w:sz="0" w:space="0" w:color="auto"/>
        <w:right w:val="none" w:sz="0" w:space="0" w:color="auto"/>
      </w:divBdr>
    </w:div>
    <w:div w:id="2019579005">
      <w:bodyDiv w:val="1"/>
      <w:marLeft w:val="0"/>
      <w:marRight w:val="0"/>
      <w:marTop w:val="0"/>
      <w:marBottom w:val="0"/>
      <w:divBdr>
        <w:top w:val="none" w:sz="0" w:space="0" w:color="auto"/>
        <w:left w:val="none" w:sz="0" w:space="0" w:color="auto"/>
        <w:bottom w:val="none" w:sz="0" w:space="0" w:color="auto"/>
        <w:right w:val="none" w:sz="0" w:space="0" w:color="auto"/>
      </w:divBdr>
    </w:div>
    <w:div w:id="20210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A059A3-C626-4F5E-AC9B-C1BE4191B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32858BD5</Template>
  <TotalTime>0</TotalTime>
  <Pages>14</Pages>
  <Words>3002</Words>
  <Characters>17113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2015-10-24T07:15:00Z</dcterms:created>
  <dcterms:modified xsi:type="dcterms:W3CDTF">2015-10-24T07:15:00Z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8427800</vt:lpwstr>
  </property>
  <property fmtid="{D5CDD505-2E9C-101B-9397-08002B2CF9AE}" pid="3" name="_MarkAsFinal">
    <vt:bool>true</vt:bool>
  </property>
</Properties>
</file>