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9E7B05F" wp14:editId="58661A6E">
                <wp:simplePos x="0" y="0"/>
                <wp:positionH relativeFrom="column">
                  <wp:posOffset>-1104900</wp:posOffset>
                </wp:positionH>
                <wp:positionV relativeFrom="paragraph">
                  <wp:posOffset>-920999</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04C3B" w:rsidP="008F07A3">
          <w:pPr>
            <w:pStyle w:val="ReportSubtitle"/>
          </w:pPr>
          <w:r>
            <w:t>FINAL</w:t>
          </w:r>
          <w:r w:rsidR="00DA4752">
            <w:t xml:space="preserve"> DECISION</w:t>
          </w:r>
        </w:p>
        <w:p w:rsidR="000A6C7B" w:rsidRDefault="001201F1" w:rsidP="008F07A3">
          <w:pPr>
            <w:pStyle w:val="ReportSubtitle"/>
          </w:pPr>
          <w:r>
            <w:t>E</w:t>
          </w:r>
          <w:r w:rsidR="007C4D5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0F4FC9">
            <w:t>4</w:t>
          </w:r>
          <w:r>
            <w:t xml:space="preserve"> </w:t>
          </w:r>
          <w:r>
            <w:rPr>
              <w:rFonts w:cs="Arial"/>
            </w:rPr>
            <w:t>−</w:t>
          </w:r>
          <w:r>
            <w:t xml:space="preserve"> </w:t>
          </w:r>
          <w:r w:rsidR="000F4FC9">
            <w:t>Control mechanism</w:t>
          </w:r>
          <w:r w:rsidR="00E42820">
            <w:t>s</w:t>
          </w:r>
        </w:p>
        <w:p w:rsidR="000A6C7B" w:rsidRPr="00327A1E" w:rsidRDefault="00D04C3B"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E12CEA">
      <w:pPr>
        <w:pStyle w:val="UnnumberedHeading"/>
        <w:numPr>
          <w:ilvl w:val="0"/>
          <w:numId w:val="23"/>
        </w:numPr>
      </w:pPr>
      <w:bookmarkStart w:id="5" w:name="_Toc433299168"/>
      <w:r>
        <w:lastRenderedPageBreak/>
        <w:t>N</w:t>
      </w:r>
      <w:r w:rsidR="008F07A3">
        <w:t>ote</w:t>
      </w:r>
      <w:bookmarkEnd w:id="1"/>
      <w:bookmarkEnd w:id="2"/>
      <w:bookmarkEnd w:id="3"/>
      <w:bookmarkEnd w:id="4"/>
      <w:bookmarkEnd w:id="5"/>
    </w:p>
    <w:p w:rsidR="008F07A3" w:rsidRDefault="008F07A3" w:rsidP="00E12CEA">
      <w:pPr>
        <w:numPr>
          <w:ilvl w:val="0"/>
          <w:numId w:val="24"/>
        </w:numPr>
      </w:pPr>
      <w:r>
        <w:t xml:space="preserve">This attachment forms part of the AER's </w:t>
      </w:r>
      <w:r w:rsidR="00D04C3B">
        <w:t>final</w:t>
      </w:r>
      <w:r>
        <w:t xml:space="preserve"> decision on </w:t>
      </w:r>
      <w:r w:rsidR="001201F1">
        <w:t>E</w:t>
      </w:r>
      <w:r w:rsidR="007C4D59">
        <w:t>rgon Energy</w:t>
      </w:r>
      <w:r w:rsidR="001201F1">
        <w:t>'s</w:t>
      </w:r>
      <w:r>
        <w:t xml:space="preserve"> 2015–20 distribution determination. It should be read with </w:t>
      </w:r>
      <w:r w:rsidR="00D31F95">
        <w:t xml:space="preserve">all </w:t>
      </w:r>
      <w:r>
        <w:t xml:space="preserve">other parts of the </w:t>
      </w:r>
      <w:r w:rsidR="00D04C3B">
        <w:t>final</w:t>
      </w:r>
      <w:r>
        <w:t xml:space="preserve"> decision.</w:t>
      </w:r>
    </w:p>
    <w:p w:rsidR="008F07A3" w:rsidRDefault="008F07A3" w:rsidP="00E12CEA">
      <w:pPr>
        <w:numPr>
          <w:ilvl w:val="0"/>
          <w:numId w:val="24"/>
        </w:numPr>
      </w:pPr>
      <w:r>
        <w:t xml:space="preserve">The </w:t>
      </w:r>
      <w:r w:rsidR="00D04C3B">
        <w:t>final</w:t>
      </w:r>
      <w:r>
        <w:t xml:space="preserve"> decision includes the following documents:</w:t>
      </w:r>
    </w:p>
    <w:p w:rsidR="008F07A3" w:rsidRDefault="008F07A3" w:rsidP="00E12CEA">
      <w:pPr>
        <w:numPr>
          <w:ilvl w:val="0"/>
          <w:numId w:val="24"/>
        </w:numPr>
      </w:pPr>
      <w:r>
        <w:t>Overview</w:t>
      </w:r>
    </w:p>
    <w:p w:rsidR="008F07A3" w:rsidRDefault="008F07A3" w:rsidP="00E12CEA">
      <w:pPr>
        <w:numPr>
          <w:ilvl w:val="0"/>
          <w:numId w:val="24"/>
        </w:numPr>
      </w:pPr>
      <w:r>
        <w:t>Attachment 1 – Annual revenue requirement</w:t>
      </w:r>
    </w:p>
    <w:p w:rsidR="008F07A3" w:rsidRDefault="008F07A3" w:rsidP="00E12CEA">
      <w:pPr>
        <w:numPr>
          <w:ilvl w:val="0"/>
          <w:numId w:val="24"/>
        </w:numPr>
      </w:pPr>
      <w:r>
        <w:t>Attachment 2 – Regulatory asset base</w:t>
      </w:r>
    </w:p>
    <w:p w:rsidR="008F07A3" w:rsidRDefault="008F07A3" w:rsidP="00E12CEA">
      <w:pPr>
        <w:numPr>
          <w:ilvl w:val="0"/>
          <w:numId w:val="24"/>
        </w:numPr>
      </w:pPr>
      <w:r>
        <w:t>Attachment 3 – Rate of return</w:t>
      </w:r>
    </w:p>
    <w:p w:rsidR="008F07A3" w:rsidRDefault="008F07A3" w:rsidP="00E12CEA">
      <w:pPr>
        <w:numPr>
          <w:ilvl w:val="0"/>
          <w:numId w:val="24"/>
        </w:numPr>
      </w:pPr>
      <w:r>
        <w:t>Attachment 4 – Value of imputation credits</w:t>
      </w:r>
    </w:p>
    <w:p w:rsidR="008F07A3" w:rsidRDefault="008F07A3" w:rsidP="00E12CEA">
      <w:pPr>
        <w:numPr>
          <w:ilvl w:val="0"/>
          <w:numId w:val="24"/>
        </w:numPr>
      </w:pPr>
      <w:r>
        <w:t>Attachment 5 – Regulatory depreciation</w:t>
      </w:r>
    </w:p>
    <w:p w:rsidR="008F07A3" w:rsidRDefault="008F07A3" w:rsidP="00E12CEA">
      <w:pPr>
        <w:numPr>
          <w:ilvl w:val="0"/>
          <w:numId w:val="24"/>
        </w:numPr>
      </w:pPr>
      <w:r>
        <w:t xml:space="preserve">Attachment 6 – Capital expenditure </w:t>
      </w:r>
    </w:p>
    <w:p w:rsidR="008F07A3" w:rsidRDefault="008F07A3" w:rsidP="00E12CEA">
      <w:pPr>
        <w:numPr>
          <w:ilvl w:val="0"/>
          <w:numId w:val="24"/>
        </w:numPr>
      </w:pPr>
      <w:r>
        <w:t>Attachment 7 – Operating expenditure</w:t>
      </w:r>
    </w:p>
    <w:p w:rsidR="008F07A3" w:rsidRDefault="008F07A3" w:rsidP="00E12CEA">
      <w:pPr>
        <w:numPr>
          <w:ilvl w:val="0"/>
          <w:numId w:val="24"/>
        </w:numPr>
      </w:pPr>
      <w:r>
        <w:t>Attachment 8 – Corporate income tax</w:t>
      </w:r>
    </w:p>
    <w:p w:rsidR="008F07A3" w:rsidRDefault="008F07A3" w:rsidP="00E12CEA">
      <w:pPr>
        <w:numPr>
          <w:ilvl w:val="0"/>
          <w:numId w:val="24"/>
        </w:numPr>
      </w:pPr>
      <w:r>
        <w:t>Attachment 9 – Efficiency benefit sharing scheme</w:t>
      </w:r>
    </w:p>
    <w:p w:rsidR="008F07A3" w:rsidRDefault="008F07A3" w:rsidP="00E12CEA">
      <w:pPr>
        <w:numPr>
          <w:ilvl w:val="0"/>
          <w:numId w:val="24"/>
        </w:numPr>
      </w:pPr>
      <w:r>
        <w:t>Attachment 10 – Capital expenditure sharing scheme</w:t>
      </w:r>
    </w:p>
    <w:p w:rsidR="008F07A3" w:rsidRDefault="008F07A3" w:rsidP="00E12CEA">
      <w:pPr>
        <w:numPr>
          <w:ilvl w:val="0"/>
          <w:numId w:val="24"/>
        </w:numPr>
      </w:pPr>
      <w:r>
        <w:t>Attachment 11 – Service target performance incentive scheme</w:t>
      </w:r>
    </w:p>
    <w:p w:rsidR="008F07A3" w:rsidRDefault="008F07A3" w:rsidP="00E12CEA">
      <w:pPr>
        <w:numPr>
          <w:ilvl w:val="0"/>
          <w:numId w:val="24"/>
        </w:numPr>
      </w:pPr>
      <w:r>
        <w:t>Attachment 12 – Demand management incentive scheme</w:t>
      </w:r>
    </w:p>
    <w:p w:rsidR="008F07A3" w:rsidRDefault="008F07A3" w:rsidP="00E12CEA">
      <w:pPr>
        <w:numPr>
          <w:ilvl w:val="0"/>
          <w:numId w:val="24"/>
        </w:numPr>
      </w:pPr>
      <w:r>
        <w:t>Attachment 13 – Classification of services</w:t>
      </w:r>
    </w:p>
    <w:p w:rsidR="008F07A3" w:rsidRDefault="008F07A3" w:rsidP="00E12CEA">
      <w:pPr>
        <w:numPr>
          <w:ilvl w:val="0"/>
          <w:numId w:val="24"/>
        </w:numPr>
      </w:pPr>
      <w:r>
        <w:t>Attachment 14 – Control mechanism</w:t>
      </w:r>
    </w:p>
    <w:p w:rsidR="008F07A3" w:rsidRDefault="008F07A3" w:rsidP="00E12CEA">
      <w:pPr>
        <w:numPr>
          <w:ilvl w:val="0"/>
          <w:numId w:val="24"/>
        </w:numPr>
      </w:pPr>
      <w:r>
        <w:t>Attachment 15 – Pass through events</w:t>
      </w:r>
    </w:p>
    <w:p w:rsidR="008F07A3" w:rsidRDefault="008F07A3" w:rsidP="00E12CEA">
      <w:pPr>
        <w:numPr>
          <w:ilvl w:val="0"/>
          <w:numId w:val="24"/>
        </w:numPr>
      </w:pPr>
      <w:r>
        <w:t>Attachment 16 – Alternative control services</w:t>
      </w:r>
    </w:p>
    <w:p w:rsidR="008F07A3" w:rsidRDefault="008F07A3" w:rsidP="00E12CEA">
      <w:pPr>
        <w:numPr>
          <w:ilvl w:val="0"/>
          <w:numId w:val="24"/>
        </w:numPr>
      </w:pPr>
      <w:r>
        <w:t>Attachment 17 – Negotiated services framework and criteria</w:t>
      </w:r>
    </w:p>
    <w:p w:rsidR="008F07A3" w:rsidRPr="008B6C33" w:rsidRDefault="008F07A3" w:rsidP="00E12CEA">
      <w:pPr>
        <w:numPr>
          <w:ilvl w:val="0"/>
          <w:numId w:val="24"/>
        </w:numPr>
      </w:pPr>
      <w:r>
        <w:t xml:space="preserve">Attachment 18 – Connection </w:t>
      </w:r>
      <w:r w:rsidR="00F63FDA">
        <w:t xml:space="preserve">policy </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E12CEA">
      <w:pPr>
        <w:pStyle w:val="UnnumberedHeading"/>
        <w:numPr>
          <w:ilvl w:val="0"/>
          <w:numId w:val="23"/>
        </w:numPr>
      </w:pPr>
      <w:bookmarkStart w:id="6" w:name="_Toc403144133"/>
      <w:bookmarkStart w:id="7" w:name="_Toc43329916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04C3B" w:rsidRDefault="00D04C3B">
          <w:pPr>
            <w:pStyle w:val="TOC1"/>
          </w:pPr>
        </w:p>
        <w:p w:rsidR="0036422C" w:rsidRDefault="00D31F9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299168" w:history="1">
            <w:r w:rsidR="0036422C" w:rsidRPr="00D2580C">
              <w:rPr>
                <w:rStyle w:val="Hyperlink"/>
              </w:rPr>
              <w:t>Note</w:t>
            </w:r>
            <w:r w:rsidR="0036422C">
              <w:rPr>
                <w:webHidden/>
              </w:rPr>
              <w:tab/>
              <w:t>14-</w:t>
            </w:r>
            <w:r w:rsidR="0036422C">
              <w:rPr>
                <w:webHidden/>
              </w:rPr>
              <w:fldChar w:fldCharType="begin"/>
            </w:r>
            <w:r w:rsidR="0036422C">
              <w:rPr>
                <w:webHidden/>
              </w:rPr>
              <w:instrText xml:space="preserve"> PAGEREF _Toc433299168 \h </w:instrText>
            </w:r>
            <w:r w:rsidR="0036422C">
              <w:rPr>
                <w:webHidden/>
              </w:rPr>
            </w:r>
            <w:r w:rsidR="0036422C">
              <w:rPr>
                <w:webHidden/>
              </w:rPr>
              <w:fldChar w:fldCharType="separate"/>
            </w:r>
            <w:r w:rsidR="0036422C">
              <w:rPr>
                <w:webHidden/>
              </w:rPr>
              <w:t>2</w:t>
            </w:r>
            <w:r w:rsidR="0036422C">
              <w:rPr>
                <w:webHidden/>
              </w:rPr>
              <w:fldChar w:fldCharType="end"/>
            </w:r>
          </w:hyperlink>
        </w:p>
        <w:p w:rsidR="0036422C" w:rsidRDefault="001443EA">
          <w:pPr>
            <w:pStyle w:val="TOC1"/>
            <w:rPr>
              <w:rFonts w:asciiTheme="minorHAnsi" w:eastAsiaTheme="minorEastAsia" w:hAnsiTheme="minorHAnsi"/>
              <w:b w:val="0"/>
              <w:color w:val="auto"/>
              <w:sz w:val="22"/>
              <w:lang w:val="en-AU" w:eastAsia="en-AU"/>
            </w:rPr>
          </w:pPr>
          <w:hyperlink w:anchor="_Toc433299169" w:history="1">
            <w:r w:rsidR="0036422C" w:rsidRPr="00D2580C">
              <w:rPr>
                <w:rStyle w:val="Hyperlink"/>
              </w:rPr>
              <w:t>Contents</w:t>
            </w:r>
            <w:r w:rsidR="0036422C">
              <w:rPr>
                <w:webHidden/>
              </w:rPr>
              <w:tab/>
              <w:t>14-</w:t>
            </w:r>
            <w:r w:rsidR="0036422C">
              <w:rPr>
                <w:webHidden/>
              </w:rPr>
              <w:fldChar w:fldCharType="begin"/>
            </w:r>
            <w:r w:rsidR="0036422C">
              <w:rPr>
                <w:webHidden/>
              </w:rPr>
              <w:instrText xml:space="preserve"> PAGEREF _Toc433299169 \h </w:instrText>
            </w:r>
            <w:r w:rsidR="0036422C">
              <w:rPr>
                <w:webHidden/>
              </w:rPr>
            </w:r>
            <w:r w:rsidR="0036422C">
              <w:rPr>
                <w:webHidden/>
              </w:rPr>
              <w:fldChar w:fldCharType="separate"/>
            </w:r>
            <w:r w:rsidR="0036422C">
              <w:rPr>
                <w:webHidden/>
              </w:rPr>
              <w:t>3</w:t>
            </w:r>
            <w:r w:rsidR="0036422C">
              <w:rPr>
                <w:webHidden/>
              </w:rPr>
              <w:fldChar w:fldCharType="end"/>
            </w:r>
          </w:hyperlink>
        </w:p>
        <w:p w:rsidR="0036422C" w:rsidRDefault="001443EA">
          <w:pPr>
            <w:pStyle w:val="TOC1"/>
            <w:rPr>
              <w:rFonts w:asciiTheme="minorHAnsi" w:eastAsiaTheme="minorEastAsia" w:hAnsiTheme="minorHAnsi"/>
              <w:b w:val="0"/>
              <w:color w:val="auto"/>
              <w:sz w:val="22"/>
              <w:lang w:val="en-AU" w:eastAsia="en-AU"/>
            </w:rPr>
          </w:pPr>
          <w:hyperlink w:anchor="_Toc433299170" w:history="1">
            <w:r w:rsidR="0036422C" w:rsidRPr="00D2580C">
              <w:rPr>
                <w:rStyle w:val="Hyperlink"/>
              </w:rPr>
              <w:t>Shortened forms</w:t>
            </w:r>
            <w:r w:rsidR="0036422C">
              <w:rPr>
                <w:webHidden/>
              </w:rPr>
              <w:tab/>
              <w:t>14-</w:t>
            </w:r>
            <w:r w:rsidR="0036422C">
              <w:rPr>
                <w:webHidden/>
              </w:rPr>
              <w:fldChar w:fldCharType="begin"/>
            </w:r>
            <w:r w:rsidR="0036422C">
              <w:rPr>
                <w:webHidden/>
              </w:rPr>
              <w:instrText xml:space="preserve"> PAGEREF _Toc433299170 \h </w:instrText>
            </w:r>
            <w:r w:rsidR="0036422C">
              <w:rPr>
                <w:webHidden/>
              </w:rPr>
            </w:r>
            <w:r w:rsidR="0036422C">
              <w:rPr>
                <w:webHidden/>
              </w:rPr>
              <w:fldChar w:fldCharType="separate"/>
            </w:r>
            <w:r w:rsidR="0036422C">
              <w:rPr>
                <w:webHidden/>
              </w:rPr>
              <w:t>5</w:t>
            </w:r>
            <w:r w:rsidR="0036422C">
              <w:rPr>
                <w:webHidden/>
              </w:rPr>
              <w:fldChar w:fldCharType="end"/>
            </w:r>
          </w:hyperlink>
        </w:p>
        <w:p w:rsidR="0036422C" w:rsidRDefault="001443EA">
          <w:pPr>
            <w:pStyle w:val="TOC1"/>
            <w:rPr>
              <w:rFonts w:asciiTheme="minorHAnsi" w:eastAsiaTheme="minorEastAsia" w:hAnsiTheme="minorHAnsi"/>
              <w:b w:val="0"/>
              <w:color w:val="auto"/>
              <w:sz w:val="22"/>
              <w:lang w:val="en-AU" w:eastAsia="en-AU"/>
            </w:rPr>
          </w:pPr>
          <w:hyperlink w:anchor="_Toc433299171" w:history="1">
            <w:r w:rsidR="0036422C" w:rsidRPr="00D2580C">
              <w:rPr>
                <w:rStyle w:val="Hyperlink"/>
              </w:rPr>
              <w:t>14</w:t>
            </w:r>
            <w:r w:rsidR="0036422C">
              <w:rPr>
                <w:rFonts w:asciiTheme="minorHAnsi" w:eastAsiaTheme="minorEastAsia" w:hAnsiTheme="minorHAnsi"/>
                <w:b w:val="0"/>
                <w:color w:val="auto"/>
                <w:sz w:val="22"/>
                <w:lang w:val="en-AU" w:eastAsia="en-AU"/>
              </w:rPr>
              <w:tab/>
            </w:r>
            <w:r w:rsidR="0036422C" w:rsidRPr="00D2580C">
              <w:rPr>
                <w:rStyle w:val="Hyperlink"/>
              </w:rPr>
              <w:t>Control mechanisms for standard control services</w:t>
            </w:r>
            <w:r w:rsidR="0036422C">
              <w:rPr>
                <w:webHidden/>
              </w:rPr>
              <w:tab/>
              <w:t>14-</w:t>
            </w:r>
            <w:r w:rsidR="0036422C">
              <w:rPr>
                <w:webHidden/>
              </w:rPr>
              <w:fldChar w:fldCharType="begin"/>
            </w:r>
            <w:r w:rsidR="0036422C">
              <w:rPr>
                <w:webHidden/>
              </w:rPr>
              <w:instrText xml:space="preserve"> PAGEREF _Toc433299171 \h </w:instrText>
            </w:r>
            <w:r w:rsidR="0036422C">
              <w:rPr>
                <w:webHidden/>
              </w:rPr>
            </w:r>
            <w:r w:rsidR="0036422C">
              <w:rPr>
                <w:webHidden/>
              </w:rPr>
              <w:fldChar w:fldCharType="separate"/>
            </w:r>
            <w:r w:rsidR="0036422C">
              <w:rPr>
                <w:webHidden/>
              </w:rPr>
              <w:t>7</w:t>
            </w:r>
            <w:r w:rsidR="0036422C">
              <w:rPr>
                <w:webHidden/>
              </w:rPr>
              <w:fldChar w:fldCharType="end"/>
            </w:r>
          </w:hyperlink>
        </w:p>
        <w:p w:rsidR="0036422C" w:rsidRDefault="001443EA">
          <w:pPr>
            <w:pStyle w:val="TOC2"/>
            <w:tabs>
              <w:tab w:val="left" w:pos="1276"/>
            </w:tabs>
            <w:rPr>
              <w:rFonts w:asciiTheme="minorHAnsi" w:eastAsiaTheme="minorEastAsia" w:hAnsiTheme="minorHAnsi"/>
              <w:b w:val="0"/>
              <w:color w:val="auto"/>
              <w:sz w:val="22"/>
              <w:lang w:eastAsia="en-AU"/>
            </w:rPr>
          </w:pPr>
          <w:hyperlink w:anchor="_Toc433299172" w:history="1">
            <w:r w:rsidR="0036422C" w:rsidRPr="00D2580C">
              <w:rPr>
                <w:rStyle w:val="Hyperlink"/>
              </w:rPr>
              <w:t>14.1</w:t>
            </w:r>
            <w:r w:rsidR="0036422C">
              <w:rPr>
                <w:rFonts w:asciiTheme="minorHAnsi" w:eastAsiaTheme="minorEastAsia" w:hAnsiTheme="minorHAnsi"/>
                <w:b w:val="0"/>
                <w:color w:val="auto"/>
                <w:sz w:val="22"/>
                <w:lang w:eastAsia="en-AU"/>
              </w:rPr>
              <w:tab/>
            </w:r>
            <w:r w:rsidR="0036422C" w:rsidRPr="00D2580C">
              <w:rPr>
                <w:rStyle w:val="Hyperlink"/>
              </w:rPr>
              <w:t>Final decision</w:t>
            </w:r>
            <w:r w:rsidR="0036422C">
              <w:rPr>
                <w:webHidden/>
              </w:rPr>
              <w:tab/>
              <w:t>14-</w:t>
            </w:r>
            <w:r w:rsidR="0036422C">
              <w:rPr>
                <w:webHidden/>
              </w:rPr>
              <w:fldChar w:fldCharType="begin"/>
            </w:r>
            <w:r w:rsidR="0036422C">
              <w:rPr>
                <w:webHidden/>
              </w:rPr>
              <w:instrText xml:space="preserve"> PAGEREF _Toc433299172 \h </w:instrText>
            </w:r>
            <w:r w:rsidR="0036422C">
              <w:rPr>
                <w:webHidden/>
              </w:rPr>
            </w:r>
            <w:r w:rsidR="0036422C">
              <w:rPr>
                <w:webHidden/>
              </w:rPr>
              <w:fldChar w:fldCharType="separate"/>
            </w:r>
            <w:r w:rsidR="0036422C">
              <w:rPr>
                <w:webHidden/>
              </w:rPr>
              <w:t>7</w:t>
            </w:r>
            <w:r w:rsidR="0036422C">
              <w:rPr>
                <w:webHidden/>
              </w:rPr>
              <w:fldChar w:fldCharType="end"/>
            </w:r>
          </w:hyperlink>
        </w:p>
        <w:p w:rsidR="0036422C" w:rsidRDefault="001443EA">
          <w:pPr>
            <w:pStyle w:val="TOC2"/>
            <w:tabs>
              <w:tab w:val="left" w:pos="1276"/>
            </w:tabs>
            <w:rPr>
              <w:rFonts w:asciiTheme="minorHAnsi" w:eastAsiaTheme="minorEastAsia" w:hAnsiTheme="minorHAnsi"/>
              <w:b w:val="0"/>
              <w:color w:val="auto"/>
              <w:sz w:val="22"/>
              <w:lang w:eastAsia="en-AU"/>
            </w:rPr>
          </w:pPr>
          <w:hyperlink w:anchor="_Toc433299173" w:history="1">
            <w:r w:rsidR="0036422C" w:rsidRPr="00D2580C">
              <w:rPr>
                <w:rStyle w:val="Hyperlink"/>
              </w:rPr>
              <w:t>14.2</w:t>
            </w:r>
            <w:r w:rsidR="0036422C">
              <w:rPr>
                <w:rFonts w:asciiTheme="minorHAnsi" w:eastAsiaTheme="minorEastAsia" w:hAnsiTheme="minorHAnsi"/>
                <w:b w:val="0"/>
                <w:color w:val="auto"/>
                <w:sz w:val="22"/>
                <w:lang w:eastAsia="en-AU"/>
              </w:rPr>
              <w:tab/>
            </w:r>
            <w:r w:rsidR="0036422C" w:rsidRPr="00D2580C">
              <w:rPr>
                <w:rStyle w:val="Hyperlink"/>
              </w:rPr>
              <w:t>Ergon Energy's revised proposal</w:t>
            </w:r>
            <w:r w:rsidR="0036422C">
              <w:rPr>
                <w:webHidden/>
              </w:rPr>
              <w:tab/>
              <w:t>14-</w:t>
            </w:r>
            <w:r w:rsidR="0036422C">
              <w:rPr>
                <w:webHidden/>
              </w:rPr>
              <w:fldChar w:fldCharType="begin"/>
            </w:r>
            <w:r w:rsidR="0036422C">
              <w:rPr>
                <w:webHidden/>
              </w:rPr>
              <w:instrText xml:space="preserve"> PAGEREF _Toc433299173 \h </w:instrText>
            </w:r>
            <w:r w:rsidR="0036422C">
              <w:rPr>
                <w:webHidden/>
              </w:rPr>
            </w:r>
            <w:r w:rsidR="0036422C">
              <w:rPr>
                <w:webHidden/>
              </w:rPr>
              <w:fldChar w:fldCharType="separate"/>
            </w:r>
            <w:r w:rsidR="0036422C">
              <w:rPr>
                <w:webHidden/>
              </w:rPr>
              <w:t>8</w:t>
            </w:r>
            <w:r w:rsidR="0036422C">
              <w:rPr>
                <w:webHidden/>
              </w:rPr>
              <w:fldChar w:fldCharType="end"/>
            </w:r>
          </w:hyperlink>
        </w:p>
        <w:p w:rsidR="0036422C" w:rsidRDefault="001443EA">
          <w:pPr>
            <w:pStyle w:val="TOC2"/>
            <w:tabs>
              <w:tab w:val="left" w:pos="1276"/>
            </w:tabs>
            <w:rPr>
              <w:rFonts w:asciiTheme="minorHAnsi" w:eastAsiaTheme="minorEastAsia" w:hAnsiTheme="minorHAnsi"/>
              <w:b w:val="0"/>
              <w:color w:val="auto"/>
              <w:sz w:val="22"/>
              <w:lang w:eastAsia="en-AU"/>
            </w:rPr>
          </w:pPr>
          <w:hyperlink w:anchor="_Toc433299174" w:history="1">
            <w:r w:rsidR="0036422C" w:rsidRPr="00D2580C">
              <w:rPr>
                <w:rStyle w:val="Hyperlink"/>
              </w:rPr>
              <w:t>14.3</w:t>
            </w:r>
            <w:r w:rsidR="0036422C">
              <w:rPr>
                <w:rFonts w:asciiTheme="minorHAnsi" w:eastAsiaTheme="minorEastAsia" w:hAnsiTheme="minorHAnsi"/>
                <w:b w:val="0"/>
                <w:color w:val="auto"/>
                <w:sz w:val="22"/>
                <w:lang w:eastAsia="en-AU"/>
              </w:rPr>
              <w:tab/>
            </w:r>
            <w:r w:rsidR="0036422C" w:rsidRPr="00D2580C">
              <w:rPr>
                <w:rStyle w:val="Hyperlink"/>
              </w:rPr>
              <w:t>AER’s assessment approach</w:t>
            </w:r>
            <w:r w:rsidR="0036422C">
              <w:rPr>
                <w:webHidden/>
              </w:rPr>
              <w:tab/>
              <w:t>14-</w:t>
            </w:r>
            <w:r w:rsidR="0036422C">
              <w:rPr>
                <w:webHidden/>
              </w:rPr>
              <w:fldChar w:fldCharType="begin"/>
            </w:r>
            <w:r w:rsidR="0036422C">
              <w:rPr>
                <w:webHidden/>
              </w:rPr>
              <w:instrText xml:space="preserve"> PAGEREF _Toc433299174 \h </w:instrText>
            </w:r>
            <w:r w:rsidR="0036422C">
              <w:rPr>
                <w:webHidden/>
              </w:rPr>
            </w:r>
            <w:r w:rsidR="0036422C">
              <w:rPr>
                <w:webHidden/>
              </w:rPr>
              <w:fldChar w:fldCharType="separate"/>
            </w:r>
            <w:r w:rsidR="0036422C">
              <w:rPr>
                <w:webHidden/>
              </w:rPr>
              <w:t>9</w:t>
            </w:r>
            <w:r w:rsidR="0036422C">
              <w:rPr>
                <w:webHidden/>
              </w:rPr>
              <w:fldChar w:fldCharType="end"/>
            </w:r>
          </w:hyperlink>
        </w:p>
        <w:p w:rsidR="0036422C" w:rsidRDefault="001443EA">
          <w:pPr>
            <w:pStyle w:val="TOC2"/>
            <w:tabs>
              <w:tab w:val="left" w:pos="1276"/>
            </w:tabs>
            <w:rPr>
              <w:rFonts w:asciiTheme="minorHAnsi" w:eastAsiaTheme="minorEastAsia" w:hAnsiTheme="minorHAnsi"/>
              <w:b w:val="0"/>
              <w:color w:val="auto"/>
              <w:sz w:val="22"/>
              <w:lang w:eastAsia="en-AU"/>
            </w:rPr>
          </w:pPr>
          <w:hyperlink w:anchor="_Toc433299175" w:history="1">
            <w:r w:rsidR="0036422C" w:rsidRPr="00D2580C">
              <w:rPr>
                <w:rStyle w:val="Hyperlink"/>
              </w:rPr>
              <w:t>14.4</w:t>
            </w:r>
            <w:r w:rsidR="0036422C">
              <w:rPr>
                <w:rFonts w:asciiTheme="minorHAnsi" w:eastAsiaTheme="minorEastAsia" w:hAnsiTheme="minorHAnsi"/>
                <w:b w:val="0"/>
                <w:color w:val="auto"/>
                <w:sz w:val="22"/>
                <w:lang w:eastAsia="en-AU"/>
              </w:rPr>
              <w:tab/>
            </w:r>
            <w:r w:rsidR="0036422C" w:rsidRPr="00D2580C">
              <w:rPr>
                <w:rStyle w:val="Hyperlink"/>
              </w:rPr>
              <w:t>Reasons for final decision</w:t>
            </w:r>
            <w:r w:rsidR="0036422C">
              <w:rPr>
                <w:webHidden/>
              </w:rPr>
              <w:tab/>
              <w:t>14-</w:t>
            </w:r>
            <w:r w:rsidR="0036422C">
              <w:rPr>
                <w:webHidden/>
              </w:rPr>
              <w:fldChar w:fldCharType="begin"/>
            </w:r>
            <w:r w:rsidR="0036422C">
              <w:rPr>
                <w:webHidden/>
              </w:rPr>
              <w:instrText xml:space="preserve"> PAGEREF _Toc433299175 \h </w:instrText>
            </w:r>
            <w:r w:rsidR="0036422C">
              <w:rPr>
                <w:webHidden/>
              </w:rPr>
            </w:r>
            <w:r w:rsidR="0036422C">
              <w:rPr>
                <w:webHidden/>
              </w:rPr>
              <w:fldChar w:fldCharType="separate"/>
            </w:r>
            <w:r w:rsidR="0036422C">
              <w:rPr>
                <w:webHidden/>
              </w:rPr>
              <w:t>9</w:t>
            </w:r>
            <w:r w:rsidR="0036422C">
              <w:rPr>
                <w:webHidden/>
              </w:rPr>
              <w:fldChar w:fldCharType="end"/>
            </w:r>
          </w:hyperlink>
        </w:p>
        <w:p w:rsidR="0036422C" w:rsidRDefault="001443EA">
          <w:pPr>
            <w:pStyle w:val="TOC3"/>
            <w:rPr>
              <w:rFonts w:asciiTheme="minorHAnsi" w:eastAsiaTheme="minorEastAsia" w:hAnsiTheme="minorHAnsi"/>
              <w:lang w:eastAsia="en-AU"/>
            </w:rPr>
          </w:pPr>
          <w:hyperlink w:anchor="_Toc433299176" w:history="1">
            <w:r w:rsidR="0036422C" w:rsidRPr="00D2580C">
              <w:rPr>
                <w:rStyle w:val="Hyperlink"/>
              </w:rPr>
              <w:t>14.4.1</w:t>
            </w:r>
            <w:r w:rsidR="0036422C">
              <w:rPr>
                <w:rFonts w:asciiTheme="minorHAnsi" w:eastAsiaTheme="minorEastAsia" w:hAnsiTheme="minorHAnsi"/>
                <w:lang w:eastAsia="en-AU"/>
              </w:rPr>
              <w:tab/>
            </w:r>
            <w:r w:rsidR="0036422C" w:rsidRPr="00D2580C">
              <w:rPr>
                <w:rStyle w:val="Hyperlink"/>
              </w:rPr>
              <w:t>Application of the revenue cap</w:t>
            </w:r>
            <w:r w:rsidR="0036422C">
              <w:rPr>
                <w:webHidden/>
              </w:rPr>
              <w:tab/>
              <w:t>14-</w:t>
            </w:r>
            <w:r w:rsidR="0036422C">
              <w:rPr>
                <w:webHidden/>
              </w:rPr>
              <w:fldChar w:fldCharType="begin"/>
            </w:r>
            <w:r w:rsidR="0036422C">
              <w:rPr>
                <w:webHidden/>
              </w:rPr>
              <w:instrText xml:space="preserve"> PAGEREF _Toc433299176 \h </w:instrText>
            </w:r>
            <w:r w:rsidR="0036422C">
              <w:rPr>
                <w:webHidden/>
              </w:rPr>
            </w:r>
            <w:r w:rsidR="0036422C">
              <w:rPr>
                <w:webHidden/>
              </w:rPr>
              <w:fldChar w:fldCharType="separate"/>
            </w:r>
            <w:r w:rsidR="0036422C">
              <w:rPr>
                <w:webHidden/>
              </w:rPr>
              <w:t>9</w:t>
            </w:r>
            <w:r w:rsidR="0036422C">
              <w:rPr>
                <w:webHidden/>
              </w:rPr>
              <w:fldChar w:fldCharType="end"/>
            </w:r>
          </w:hyperlink>
        </w:p>
        <w:p w:rsidR="0036422C" w:rsidRDefault="001443EA">
          <w:pPr>
            <w:pStyle w:val="TOC3"/>
            <w:rPr>
              <w:rFonts w:asciiTheme="minorHAnsi" w:eastAsiaTheme="minorEastAsia" w:hAnsiTheme="minorHAnsi"/>
              <w:lang w:eastAsia="en-AU"/>
            </w:rPr>
          </w:pPr>
          <w:hyperlink w:anchor="_Toc433299183" w:history="1">
            <w:r w:rsidR="0036422C" w:rsidRPr="00D2580C">
              <w:rPr>
                <w:rStyle w:val="Hyperlink"/>
              </w:rPr>
              <w:t>14.4.2</w:t>
            </w:r>
            <w:r w:rsidR="0036422C">
              <w:rPr>
                <w:rFonts w:asciiTheme="minorHAnsi" w:eastAsiaTheme="minorEastAsia" w:hAnsiTheme="minorHAnsi"/>
                <w:lang w:eastAsia="en-AU"/>
              </w:rPr>
              <w:tab/>
            </w:r>
            <w:r w:rsidR="0036422C" w:rsidRPr="00D2580C">
              <w:rPr>
                <w:rStyle w:val="Hyperlink"/>
              </w:rPr>
              <w:t>Reporting on designated pricing proposal charges</w:t>
            </w:r>
            <w:r w:rsidR="0036422C">
              <w:rPr>
                <w:webHidden/>
              </w:rPr>
              <w:tab/>
              <w:t>14-</w:t>
            </w:r>
            <w:r w:rsidR="0036422C">
              <w:rPr>
                <w:webHidden/>
              </w:rPr>
              <w:fldChar w:fldCharType="begin"/>
            </w:r>
            <w:r w:rsidR="0036422C">
              <w:rPr>
                <w:webHidden/>
              </w:rPr>
              <w:instrText xml:space="preserve"> PAGEREF _Toc433299183 \h </w:instrText>
            </w:r>
            <w:r w:rsidR="0036422C">
              <w:rPr>
                <w:webHidden/>
              </w:rPr>
            </w:r>
            <w:r w:rsidR="0036422C">
              <w:rPr>
                <w:webHidden/>
              </w:rPr>
              <w:fldChar w:fldCharType="separate"/>
            </w:r>
            <w:r w:rsidR="0036422C">
              <w:rPr>
                <w:webHidden/>
              </w:rPr>
              <w:t>16</w:t>
            </w:r>
            <w:r w:rsidR="0036422C">
              <w:rPr>
                <w:webHidden/>
              </w:rPr>
              <w:fldChar w:fldCharType="end"/>
            </w:r>
          </w:hyperlink>
        </w:p>
        <w:p w:rsidR="0036422C" w:rsidRDefault="001443EA">
          <w:pPr>
            <w:pStyle w:val="TOC3"/>
            <w:rPr>
              <w:rFonts w:asciiTheme="minorHAnsi" w:eastAsiaTheme="minorEastAsia" w:hAnsiTheme="minorHAnsi"/>
              <w:lang w:eastAsia="en-AU"/>
            </w:rPr>
          </w:pPr>
          <w:hyperlink w:anchor="_Toc433299184" w:history="1">
            <w:r w:rsidR="0036422C" w:rsidRPr="00D2580C">
              <w:rPr>
                <w:rStyle w:val="Hyperlink"/>
              </w:rPr>
              <w:t>14.4.3</w:t>
            </w:r>
            <w:r w:rsidR="0036422C">
              <w:rPr>
                <w:rFonts w:asciiTheme="minorHAnsi" w:eastAsiaTheme="minorEastAsia" w:hAnsiTheme="minorHAnsi"/>
                <w:lang w:eastAsia="en-AU"/>
              </w:rPr>
              <w:tab/>
            </w:r>
            <w:r w:rsidR="0036422C" w:rsidRPr="00D2580C">
              <w:rPr>
                <w:rStyle w:val="Hyperlink"/>
              </w:rPr>
              <w:t>Reporting on jurisdictional scheme amounts</w:t>
            </w:r>
            <w:r w:rsidR="0036422C">
              <w:rPr>
                <w:webHidden/>
              </w:rPr>
              <w:tab/>
              <w:t>14-</w:t>
            </w:r>
            <w:r w:rsidR="0036422C">
              <w:rPr>
                <w:webHidden/>
              </w:rPr>
              <w:fldChar w:fldCharType="begin"/>
            </w:r>
            <w:r w:rsidR="0036422C">
              <w:rPr>
                <w:webHidden/>
              </w:rPr>
              <w:instrText xml:space="preserve"> PAGEREF _Toc433299184 \h </w:instrText>
            </w:r>
            <w:r w:rsidR="0036422C">
              <w:rPr>
                <w:webHidden/>
              </w:rPr>
            </w:r>
            <w:r w:rsidR="0036422C">
              <w:rPr>
                <w:webHidden/>
              </w:rPr>
              <w:fldChar w:fldCharType="separate"/>
            </w:r>
            <w:r w:rsidR="0036422C">
              <w:rPr>
                <w:webHidden/>
              </w:rPr>
              <w:t>17</w:t>
            </w:r>
            <w:r w:rsidR="0036422C">
              <w:rPr>
                <w:webHidden/>
              </w:rPr>
              <w:fldChar w:fldCharType="end"/>
            </w:r>
          </w:hyperlink>
        </w:p>
        <w:p w:rsidR="0036422C" w:rsidRDefault="001443EA">
          <w:pPr>
            <w:pStyle w:val="TOC3"/>
            <w:rPr>
              <w:rFonts w:asciiTheme="minorHAnsi" w:eastAsiaTheme="minorEastAsia" w:hAnsiTheme="minorHAnsi"/>
              <w:lang w:eastAsia="en-AU"/>
            </w:rPr>
          </w:pPr>
          <w:hyperlink w:anchor="_Toc433299185" w:history="1">
            <w:r w:rsidR="0036422C" w:rsidRPr="00D2580C">
              <w:rPr>
                <w:rStyle w:val="Hyperlink"/>
              </w:rPr>
              <w:t>14.4.4</w:t>
            </w:r>
            <w:r w:rsidR="0036422C">
              <w:rPr>
                <w:rFonts w:asciiTheme="minorHAnsi" w:eastAsiaTheme="minorEastAsia" w:hAnsiTheme="minorHAnsi"/>
                <w:lang w:eastAsia="en-AU"/>
              </w:rPr>
              <w:tab/>
            </w:r>
            <w:r w:rsidR="0036422C" w:rsidRPr="00D2580C">
              <w:rPr>
                <w:rStyle w:val="Hyperlink"/>
              </w:rPr>
              <w:t>Side constraints</w:t>
            </w:r>
            <w:r w:rsidR="0036422C">
              <w:rPr>
                <w:webHidden/>
              </w:rPr>
              <w:tab/>
              <w:t>14-</w:t>
            </w:r>
            <w:r w:rsidR="0036422C">
              <w:rPr>
                <w:webHidden/>
              </w:rPr>
              <w:fldChar w:fldCharType="begin"/>
            </w:r>
            <w:r w:rsidR="0036422C">
              <w:rPr>
                <w:webHidden/>
              </w:rPr>
              <w:instrText xml:space="preserve"> PAGEREF _Toc433299185 \h </w:instrText>
            </w:r>
            <w:r w:rsidR="0036422C">
              <w:rPr>
                <w:webHidden/>
              </w:rPr>
            </w:r>
            <w:r w:rsidR="0036422C">
              <w:rPr>
                <w:webHidden/>
              </w:rPr>
              <w:fldChar w:fldCharType="separate"/>
            </w:r>
            <w:r w:rsidR="0036422C">
              <w:rPr>
                <w:webHidden/>
              </w:rPr>
              <w:t>18</w:t>
            </w:r>
            <w:r w:rsidR="0036422C">
              <w:rPr>
                <w:webHidden/>
              </w:rPr>
              <w:fldChar w:fldCharType="end"/>
            </w:r>
          </w:hyperlink>
        </w:p>
        <w:p w:rsidR="0036422C" w:rsidRDefault="001443EA">
          <w:pPr>
            <w:pStyle w:val="TOC3"/>
            <w:rPr>
              <w:rFonts w:asciiTheme="minorHAnsi" w:eastAsiaTheme="minorEastAsia" w:hAnsiTheme="minorHAnsi"/>
              <w:lang w:eastAsia="en-AU"/>
            </w:rPr>
          </w:pPr>
          <w:hyperlink w:anchor="_Toc433299186" w:history="1">
            <w:r w:rsidR="0036422C" w:rsidRPr="00D2580C">
              <w:rPr>
                <w:rStyle w:val="Hyperlink"/>
              </w:rPr>
              <w:t>14.4.5</w:t>
            </w:r>
            <w:r w:rsidR="0036422C">
              <w:rPr>
                <w:rFonts w:asciiTheme="minorHAnsi" w:eastAsiaTheme="minorEastAsia" w:hAnsiTheme="minorHAnsi"/>
                <w:lang w:eastAsia="en-AU"/>
              </w:rPr>
              <w:tab/>
            </w:r>
            <w:r w:rsidR="0036422C" w:rsidRPr="00D2580C">
              <w:rPr>
                <w:rStyle w:val="Hyperlink"/>
              </w:rPr>
              <w:t>Control mechanism formulae</w:t>
            </w:r>
            <w:r w:rsidR="0036422C">
              <w:rPr>
                <w:webHidden/>
              </w:rPr>
              <w:tab/>
              <w:t>14-</w:t>
            </w:r>
            <w:r w:rsidR="0036422C">
              <w:rPr>
                <w:webHidden/>
              </w:rPr>
              <w:fldChar w:fldCharType="begin"/>
            </w:r>
            <w:r w:rsidR="0036422C">
              <w:rPr>
                <w:webHidden/>
              </w:rPr>
              <w:instrText xml:space="preserve"> PAGEREF _Toc433299186 \h </w:instrText>
            </w:r>
            <w:r w:rsidR="0036422C">
              <w:rPr>
                <w:webHidden/>
              </w:rPr>
            </w:r>
            <w:r w:rsidR="0036422C">
              <w:rPr>
                <w:webHidden/>
              </w:rPr>
              <w:fldChar w:fldCharType="separate"/>
            </w:r>
            <w:r w:rsidR="0036422C">
              <w:rPr>
                <w:webHidden/>
              </w:rPr>
              <w:t>18</w:t>
            </w:r>
            <w:r w:rsidR="0036422C">
              <w:rPr>
                <w:webHidden/>
              </w:rPr>
              <w:fldChar w:fldCharType="end"/>
            </w:r>
          </w:hyperlink>
        </w:p>
        <w:p w:rsidR="0036422C" w:rsidRDefault="001443EA">
          <w:pPr>
            <w:pStyle w:val="TOC1"/>
            <w:rPr>
              <w:rFonts w:asciiTheme="minorHAnsi" w:eastAsiaTheme="minorEastAsia" w:hAnsiTheme="minorHAnsi"/>
              <w:b w:val="0"/>
              <w:color w:val="auto"/>
              <w:sz w:val="22"/>
              <w:lang w:val="en-AU" w:eastAsia="en-AU"/>
            </w:rPr>
          </w:pPr>
          <w:hyperlink w:anchor="_Toc433299187" w:history="1">
            <w:r w:rsidR="0036422C" w:rsidRPr="00D2580C">
              <w:rPr>
                <w:rStyle w:val="Hyperlink"/>
              </w:rPr>
              <w:t>A</w:t>
            </w:r>
            <w:r w:rsidR="0036422C">
              <w:rPr>
                <w:rFonts w:asciiTheme="minorHAnsi" w:eastAsiaTheme="minorEastAsia" w:hAnsiTheme="minorHAnsi"/>
                <w:b w:val="0"/>
                <w:color w:val="auto"/>
                <w:sz w:val="22"/>
                <w:lang w:val="en-AU" w:eastAsia="en-AU"/>
              </w:rPr>
              <w:tab/>
            </w:r>
            <w:r w:rsidR="0036422C" w:rsidRPr="00D2580C">
              <w:rPr>
                <w:rStyle w:val="Hyperlink"/>
              </w:rPr>
              <w:t>DUoS unders and overs account</w:t>
            </w:r>
            <w:r w:rsidR="0036422C">
              <w:rPr>
                <w:webHidden/>
              </w:rPr>
              <w:tab/>
              <w:t>14-</w:t>
            </w:r>
            <w:r w:rsidR="0036422C">
              <w:rPr>
                <w:webHidden/>
              </w:rPr>
              <w:fldChar w:fldCharType="begin"/>
            </w:r>
            <w:r w:rsidR="0036422C">
              <w:rPr>
                <w:webHidden/>
              </w:rPr>
              <w:instrText xml:space="preserve"> PAGEREF _Toc433299187 \h </w:instrText>
            </w:r>
            <w:r w:rsidR="0036422C">
              <w:rPr>
                <w:webHidden/>
              </w:rPr>
            </w:r>
            <w:r w:rsidR="0036422C">
              <w:rPr>
                <w:webHidden/>
              </w:rPr>
              <w:fldChar w:fldCharType="separate"/>
            </w:r>
            <w:r w:rsidR="0036422C">
              <w:rPr>
                <w:webHidden/>
              </w:rPr>
              <w:t>23</w:t>
            </w:r>
            <w:r w:rsidR="0036422C">
              <w:rPr>
                <w:webHidden/>
              </w:rPr>
              <w:fldChar w:fldCharType="end"/>
            </w:r>
          </w:hyperlink>
        </w:p>
        <w:p w:rsidR="0036422C" w:rsidRDefault="001443EA">
          <w:pPr>
            <w:pStyle w:val="TOC1"/>
            <w:rPr>
              <w:rFonts w:asciiTheme="minorHAnsi" w:eastAsiaTheme="minorEastAsia" w:hAnsiTheme="minorHAnsi"/>
              <w:b w:val="0"/>
              <w:color w:val="auto"/>
              <w:sz w:val="22"/>
              <w:lang w:val="en-AU" w:eastAsia="en-AU"/>
            </w:rPr>
          </w:pPr>
          <w:hyperlink w:anchor="_Toc433299188" w:history="1">
            <w:r w:rsidR="0036422C" w:rsidRPr="00D2580C">
              <w:rPr>
                <w:rStyle w:val="Hyperlink"/>
              </w:rPr>
              <w:t>B</w:t>
            </w:r>
            <w:r w:rsidR="0036422C">
              <w:rPr>
                <w:rFonts w:asciiTheme="minorHAnsi" w:eastAsiaTheme="minorEastAsia" w:hAnsiTheme="minorHAnsi"/>
                <w:b w:val="0"/>
                <w:color w:val="auto"/>
                <w:sz w:val="22"/>
                <w:lang w:val="en-AU" w:eastAsia="en-AU"/>
              </w:rPr>
              <w:tab/>
            </w:r>
            <w:r w:rsidR="0036422C" w:rsidRPr="00D2580C">
              <w:rPr>
                <w:rStyle w:val="Hyperlink"/>
              </w:rPr>
              <w:t>Designated pricing proposal charges unders and overs account</w:t>
            </w:r>
            <w:r w:rsidR="0036422C">
              <w:rPr>
                <w:webHidden/>
              </w:rPr>
              <w:tab/>
              <w:t>14-</w:t>
            </w:r>
            <w:r w:rsidR="0036422C">
              <w:rPr>
                <w:webHidden/>
              </w:rPr>
              <w:fldChar w:fldCharType="begin"/>
            </w:r>
            <w:r w:rsidR="0036422C">
              <w:rPr>
                <w:webHidden/>
              </w:rPr>
              <w:instrText xml:space="preserve"> PAGEREF _Toc433299188 \h </w:instrText>
            </w:r>
            <w:r w:rsidR="0036422C">
              <w:rPr>
                <w:webHidden/>
              </w:rPr>
            </w:r>
            <w:r w:rsidR="0036422C">
              <w:rPr>
                <w:webHidden/>
              </w:rPr>
              <w:fldChar w:fldCharType="separate"/>
            </w:r>
            <w:r w:rsidR="0036422C">
              <w:rPr>
                <w:webHidden/>
              </w:rPr>
              <w:t>25</w:t>
            </w:r>
            <w:r w:rsidR="0036422C">
              <w:rPr>
                <w:webHidden/>
              </w:rPr>
              <w:fldChar w:fldCharType="end"/>
            </w:r>
          </w:hyperlink>
        </w:p>
        <w:p w:rsidR="0036422C" w:rsidRDefault="001443EA">
          <w:pPr>
            <w:pStyle w:val="TOC1"/>
            <w:rPr>
              <w:rFonts w:asciiTheme="minorHAnsi" w:eastAsiaTheme="minorEastAsia" w:hAnsiTheme="minorHAnsi"/>
              <w:b w:val="0"/>
              <w:color w:val="auto"/>
              <w:sz w:val="22"/>
              <w:lang w:val="en-AU" w:eastAsia="en-AU"/>
            </w:rPr>
          </w:pPr>
          <w:hyperlink w:anchor="_Toc433299189" w:history="1">
            <w:r w:rsidR="0036422C" w:rsidRPr="00D2580C">
              <w:rPr>
                <w:rStyle w:val="Hyperlink"/>
              </w:rPr>
              <w:t>C</w:t>
            </w:r>
            <w:r w:rsidR="0036422C">
              <w:rPr>
                <w:rFonts w:asciiTheme="minorHAnsi" w:eastAsiaTheme="minorEastAsia" w:hAnsiTheme="minorHAnsi"/>
                <w:b w:val="0"/>
                <w:color w:val="auto"/>
                <w:sz w:val="22"/>
                <w:lang w:val="en-AU" w:eastAsia="en-AU"/>
              </w:rPr>
              <w:tab/>
            </w:r>
            <w:r w:rsidR="0036422C" w:rsidRPr="00D2580C">
              <w:rPr>
                <w:rStyle w:val="Hyperlink"/>
              </w:rPr>
              <w:t>Jurisdictional scheme amounts unders and overs account</w:t>
            </w:r>
            <w:r w:rsidR="0036422C">
              <w:rPr>
                <w:webHidden/>
              </w:rPr>
              <w:tab/>
              <w:t>14-</w:t>
            </w:r>
            <w:r w:rsidR="0036422C">
              <w:rPr>
                <w:webHidden/>
              </w:rPr>
              <w:fldChar w:fldCharType="begin"/>
            </w:r>
            <w:r w:rsidR="0036422C">
              <w:rPr>
                <w:webHidden/>
              </w:rPr>
              <w:instrText xml:space="preserve"> PAGEREF _Toc433299189 \h </w:instrText>
            </w:r>
            <w:r w:rsidR="0036422C">
              <w:rPr>
                <w:webHidden/>
              </w:rPr>
            </w:r>
            <w:r w:rsidR="0036422C">
              <w:rPr>
                <w:webHidden/>
              </w:rPr>
              <w:fldChar w:fldCharType="separate"/>
            </w:r>
            <w:r w:rsidR="0036422C">
              <w:rPr>
                <w:webHidden/>
              </w:rPr>
              <w:t>27</w:t>
            </w:r>
            <w:r w:rsidR="0036422C">
              <w:rPr>
                <w:webHidden/>
              </w:rPr>
              <w:fldChar w:fldCharType="end"/>
            </w:r>
          </w:hyperlink>
        </w:p>
        <w:p w:rsidR="0036422C" w:rsidRDefault="001443EA">
          <w:pPr>
            <w:pStyle w:val="TOC1"/>
            <w:rPr>
              <w:rFonts w:asciiTheme="minorHAnsi" w:eastAsiaTheme="minorEastAsia" w:hAnsiTheme="minorHAnsi"/>
              <w:b w:val="0"/>
              <w:color w:val="auto"/>
              <w:sz w:val="22"/>
              <w:lang w:val="en-AU" w:eastAsia="en-AU"/>
            </w:rPr>
          </w:pPr>
          <w:hyperlink w:anchor="_Toc433299190" w:history="1">
            <w:r w:rsidR="0036422C" w:rsidRPr="00D2580C">
              <w:rPr>
                <w:rStyle w:val="Hyperlink"/>
              </w:rPr>
              <w:t>D</w:t>
            </w:r>
            <w:r w:rsidR="0036422C">
              <w:rPr>
                <w:rFonts w:asciiTheme="minorHAnsi" w:eastAsiaTheme="minorEastAsia" w:hAnsiTheme="minorHAnsi"/>
                <w:b w:val="0"/>
                <w:color w:val="auto"/>
                <w:sz w:val="22"/>
                <w:lang w:val="en-AU" w:eastAsia="en-AU"/>
              </w:rPr>
              <w:tab/>
            </w:r>
            <w:r w:rsidR="0036422C" w:rsidRPr="00D2580C">
              <w:rPr>
                <w:rStyle w:val="Hyperlink"/>
              </w:rPr>
              <w:t>Assigning retail customers to tariff classes</w:t>
            </w:r>
            <w:r w:rsidR="0036422C">
              <w:rPr>
                <w:webHidden/>
              </w:rPr>
              <w:tab/>
              <w:t>14-</w:t>
            </w:r>
            <w:r w:rsidR="0036422C">
              <w:rPr>
                <w:webHidden/>
              </w:rPr>
              <w:fldChar w:fldCharType="begin"/>
            </w:r>
            <w:r w:rsidR="0036422C">
              <w:rPr>
                <w:webHidden/>
              </w:rPr>
              <w:instrText xml:space="preserve"> PAGEREF _Toc433299190 \h </w:instrText>
            </w:r>
            <w:r w:rsidR="0036422C">
              <w:rPr>
                <w:webHidden/>
              </w:rPr>
            </w:r>
            <w:r w:rsidR="0036422C">
              <w:rPr>
                <w:webHidden/>
              </w:rPr>
              <w:fldChar w:fldCharType="separate"/>
            </w:r>
            <w:r w:rsidR="0036422C">
              <w:rPr>
                <w:webHidden/>
              </w:rPr>
              <w:t>29</w:t>
            </w:r>
            <w:r w:rsidR="0036422C">
              <w:rPr>
                <w:webHidden/>
              </w:rPr>
              <w:fldChar w:fldCharType="end"/>
            </w:r>
          </w:hyperlink>
        </w:p>
        <w:p w:rsidR="0036422C" w:rsidRDefault="001443EA">
          <w:pPr>
            <w:pStyle w:val="TOC2"/>
            <w:rPr>
              <w:rFonts w:asciiTheme="minorHAnsi" w:eastAsiaTheme="minorEastAsia" w:hAnsiTheme="minorHAnsi"/>
              <w:b w:val="0"/>
              <w:color w:val="auto"/>
              <w:sz w:val="22"/>
              <w:lang w:eastAsia="en-AU"/>
            </w:rPr>
          </w:pPr>
          <w:hyperlink w:anchor="_Toc433299191" w:history="1">
            <w:r w:rsidR="0036422C" w:rsidRPr="00D2580C">
              <w:rPr>
                <w:rStyle w:val="Hyperlink"/>
              </w:rPr>
              <w:t>D.1</w:t>
            </w:r>
            <w:r w:rsidR="0036422C">
              <w:rPr>
                <w:rFonts w:asciiTheme="minorHAnsi" w:eastAsiaTheme="minorEastAsia" w:hAnsiTheme="minorHAnsi"/>
                <w:b w:val="0"/>
                <w:color w:val="auto"/>
                <w:sz w:val="22"/>
                <w:lang w:eastAsia="en-AU"/>
              </w:rPr>
              <w:tab/>
            </w:r>
            <w:r w:rsidR="0036422C" w:rsidRPr="00D2580C">
              <w:rPr>
                <w:rStyle w:val="Hyperlink"/>
              </w:rPr>
              <w:t>AER's assessment approach</w:t>
            </w:r>
            <w:r w:rsidR="0036422C">
              <w:rPr>
                <w:webHidden/>
              </w:rPr>
              <w:tab/>
              <w:t>14-</w:t>
            </w:r>
            <w:r w:rsidR="0036422C">
              <w:rPr>
                <w:webHidden/>
              </w:rPr>
              <w:fldChar w:fldCharType="begin"/>
            </w:r>
            <w:r w:rsidR="0036422C">
              <w:rPr>
                <w:webHidden/>
              </w:rPr>
              <w:instrText xml:space="preserve"> PAGEREF _Toc433299191 \h </w:instrText>
            </w:r>
            <w:r w:rsidR="0036422C">
              <w:rPr>
                <w:webHidden/>
              </w:rPr>
            </w:r>
            <w:r w:rsidR="0036422C">
              <w:rPr>
                <w:webHidden/>
              </w:rPr>
              <w:fldChar w:fldCharType="separate"/>
            </w:r>
            <w:r w:rsidR="0036422C">
              <w:rPr>
                <w:webHidden/>
              </w:rPr>
              <w:t>29</w:t>
            </w:r>
            <w:r w:rsidR="0036422C">
              <w:rPr>
                <w:webHidden/>
              </w:rPr>
              <w:fldChar w:fldCharType="end"/>
            </w:r>
          </w:hyperlink>
        </w:p>
        <w:p w:rsidR="0036422C" w:rsidRDefault="001443EA">
          <w:pPr>
            <w:pStyle w:val="TOC2"/>
            <w:rPr>
              <w:rFonts w:asciiTheme="minorHAnsi" w:eastAsiaTheme="minorEastAsia" w:hAnsiTheme="minorHAnsi"/>
              <w:b w:val="0"/>
              <w:color w:val="auto"/>
              <w:sz w:val="22"/>
              <w:lang w:eastAsia="en-AU"/>
            </w:rPr>
          </w:pPr>
          <w:hyperlink w:anchor="_Toc433299192" w:history="1">
            <w:r w:rsidR="0036422C" w:rsidRPr="00D2580C">
              <w:rPr>
                <w:rStyle w:val="Hyperlink"/>
              </w:rPr>
              <w:t>D.2</w:t>
            </w:r>
            <w:r w:rsidR="0036422C">
              <w:rPr>
                <w:rFonts w:asciiTheme="minorHAnsi" w:eastAsiaTheme="minorEastAsia" w:hAnsiTheme="minorHAnsi"/>
                <w:b w:val="0"/>
                <w:color w:val="auto"/>
                <w:sz w:val="22"/>
                <w:lang w:eastAsia="en-AU"/>
              </w:rPr>
              <w:tab/>
            </w:r>
            <w:r w:rsidR="0036422C" w:rsidRPr="00D2580C">
              <w:rPr>
                <w:rStyle w:val="Hyperlink"/>
              </w:rPr>
              <w:t>Reasons for the final decision</w:t>
            </w:r>
            <w:r w:rsidR="0036422C">
              <w:rPr>
                <w:webHidden/>
              </w:rPr>
              <w:tab/>
              <w:t>14-</w:t>
            </w:r>
            <w:r w:rsidR="0036422C">
              <w:rPr>
                <w:webHidden/>
              </w:rPr>
              <w:fldChar w:fldCharType="begin"/>
            </w:r>
            <w:r w:rsidR="0036422C">
              <w:rPr>
                <w:webHidden/>
              </w:rPr>
              <w:instrText xml:space="preserve"> PAGEREF _Toc433299192 \h </w:instrText>
            </w:r>
            <w:r w:rsidR="0036422C">
              <w:rPr>
                <w:webHidden/>
              </w:rPr>
            </w:r>
            <w:r w:rsidR="0036422C">
              <w:rPr>
                <w:webHidden/>
              </w:rPr>
              <w:fldChar w:fldCharType="separate"/>
            </w:r>
            <w:r w:rsidR="0036422C">
              <w:rPr>
                <w:webHidden/>
              </w:rPr>
              <w:t>29</w:t>
            </w:r>
            <w:r w:rsidR="0036422C">
              <w:rPr>
                <w:webHidden/>
              </w:rPr>
              <w:fldChar w:fldCharType="end"/>
            </w:r>
          </w:hyperlink>
        </w:p>
        <w:p w:rsidR="0036422C" w:rsidRDefault="001443EA">
          <w:pPr>
            <w:pStyle w:val="TOC3"/>
            <w:rPr>
              <w:rFonts w:asciiTheme="minorHAnsi" w:eastAsiaTheme="minorEastAsia" w:hAnsiTheme="minorHAnsi"/>
              <w:lang w:eastAsia="en-AU"/>
            </w:rPr>
          </w:pPr>
          <w:hyperlink w:anchor="_Toc433299193" w:history="1">
            <w:r w:rsidR="0036422C" w:rsidRPr="00D2580C">
              <w:rPr>
                <w:rStyle w:val="Hyperlink"/>
              </w:rPr>
              <w:t>D.2.1</w:t>
            </w:r>
            <w:r w:rsidR="0036422C">
              <w:rPr>
                <w:rFonts w:asciiTheme="minorHAnsi" w:eastAsiaTheme="minorEastAsia" w:hAnsiTheme="minorHAnsi"/>
                <w:lang w:eastAsia="en-AU"/>
              </w:rPr>
              <w:tab/>
            </w:r>
            <w:r w:rsidR="0036422C" w:rsidRPr="00D2580C">
              <w:rPr>
                <w:rStyle w:val="Hyperlink"/>
              </w:rPr>
              <w:t>Approach of notifying retailers instead of the affected customer</w:t>
            </w:r>
            <w:r w:rsidR="0036422C">
              <w:rPr>
                <w:webHidden/>
              </w:rPr>
              <w:tab/>
              <w:t>14-</w:t>
            </w:r>
            <w:r w:rsidR="0036422C">
              <w:rPr>
                <w:webHidden/>
              </w:rPr>
              <w:fldChar w:fldCharType="begin"/>
            </w:r>
            <w:r w:rsidR="0036422C">
              <w:rPr>
                <w:webHidden/>
              </w:rPr>
              <w:instrText xml:space="preserve"> PAGEREF _Toc433299193 \h </w:instrText>
            </w:r>
            <w:r w:rsidR="0036422C">
              <w:rPr>
                <w:webHidden/>
              </w:rPr>
            </w:r>
            <w:r w:rsidR="0036422C">
              <w:rPr>
                <w:webHidden/>
              </w:rPr>
              <w:fldChar w:fldCharType="separate"/>
            </w:r>
            <w:r w:rsidR="0036422C">
              <w:rPr>
                <w:webHidden/>
              </w:rPr>
              <w:t>30</w:t>
            </w:r>
            <w:r w:rsidR="0036422C">
              <w:rPr>
                <w:webHidden/>
              </w:rPr>
              <w:fldChar w:fldCharType="end"/>
            </w:r>
          </w:hyperlink>
        </w:p>
        <w:p w:rsidR="0036422C" w:rsidRDefault="001443EA">
          <w:pPr>
            <w:pStyle w:val="TOC3"/>
            <w:rPr>
              <w:rFonts w:asciiTheme="minorHAnsi" w:eastAsiaTheme="minorEastAsia" w:hAnsiTheme="minorHAnsi"/>
              <w:lang w:eastAsia="en-AU"/>
            </w:rPr>
          </w:pPr>
          <w:hyperlink w:anchor="_Toc433299194" w:history="1">
            <w:r w:rsidR="0036422C" w:rsidRPr="00D2580C">
              <w:rPr>
                <w:rStyle w:val="Hyperlink"/>
              </w:rPr>
              <w:t>D.2.2</w:t>
            </w:r>
            <w:r w:rsidR="0036422C">
              <w:rPr>
                <w:rFonts w:asciiTheme="minorHAnsi" w:eastAsiaTheme="minorEastAsia" w:hAnsiTheme="minorHAnsi"/>
                <w:lang w:eastAsia="en-AU"/>
              </w:rPr>
              <w:tab/>
            </w:r>
            <w:r w:rsidR="0036422C" w:rsidRPr="00D2580C">
              <w:rPr>
                <w:rStyle w:val="Hyperlink"/>
              </w:rPr>
              <w:t>Energy and Water Ombudsman Queensland powers</w:t>
            </w:r>
            <w:r w:rsidR="0036422C">
              <w:rPr>
                <w:webHidden/>
              </w:rPr>
              <w:tab/>
              <w:t>14-</w:t>
            </w:r>
            <w:r w:rsidR="0036422C">
              <w:rPr>
                <w:webHidden/>
              </w:rPr>
              <w:fldChar w:fldCharType="begin"/>
            </w:r>
            <w:r w:rsidR="0036422C">
              <w:rPr>
                <w:webHidden/>
              </w:rPr>
              <w:instrText xml:space="preserve"> PAGEREF _Toc433299194 \h </w:instrText>
            </w:r>
            <w:r w:rsidR="0036422C">
              <w:rPr>
                <w:webHidden/>
              </w:rPr>
            </w:r>
            <w:r w:rsidR="0036422C">
              <w:rPr>
                <w:webHidden/>
              </w:rPr>
              <w:fldChar w:fldCharType="separate"/>
            </w:r>
            <w:r w:rsidR="0036422C">
              <w:rPr>
                <w:webHidden/>
              </w:rPr>
              <w:t>30</w:t>
            </w:r>
            <w:r w:rsidR="0036422C">
              <w:rPr>
                <w:webHidden/>
              </w:rPr>
              <w:fldChar w:fldCharType="end"/>
            </w:r>
          </w:hyperlink>
        </w:p>
        <w:p w:rsidR="0036422C" w:rsidRDefault="001443EA">
          <w:pPr>
            <w:pStyle w:val="TOC3"/>
            <w:rPr>
              <w:rFonts w:asciiTheme="minorHAnsi" w:eastAsiaTheme="minorEastAsia" w:hAnsiTheme="minorHAnsi"/>
              <w:lang w:eastAsia="en-AU"/>
            </w:rPr>
          </w:pPr>
          <w:hyperlink w:anchor="_Toc433299195" w:history="1">
            <w:r w:rsidR="0036422C" w:rsidRPr="00D2580C">
              <w:rPr>
                <w:rStyle w:val="Hyperlink"/>
              </w:rPr>
              <w:t>D.2.3</w:t>
            </w:r>
            <w:r w:rsidR="0036422C">
              <w:rPr>
                <w:rFonts w:asciiTheme="minorHAnsi" w:eastAsiaTheme="minorEastAsia" w:hAnsiTheme="minorHAnsi"/>
                <w:lang w:eastAsia="en-AU"/>
              </w:rPr>
              <w:tab/>
            </w:r>
            <w:r w:rsidR="0036422C" w:rsidRPr="00D2580C">
              <w:rPr>
                <w:rStyle w:val="Hyperlink"/>
              </w:rPr>
              <w:t>Adjustments to retail customers tariffs if objection is upheld</w:t>
            </w:r>
            <w:r w:rsidR="0036422C">
              <w:rPr>
                <w:webHidden/>
              </w:rPr>
              <w:tab/>
              <w:t>14-</w:t>
            </w:r>
            <w:r w:rsidR="0036422C">
              <w:rPr>
                <w:webHidden/>
              </w:rPr>
              <w:fldChar w:fldCharType="begin"/>
            </w:r>
            <w:r w:rsidR="0036422C">
              <w:rPr>
                <w:webHidden/>
              </w:rPr>
              <w:instrText xml:space="preserve"> PAGEREF _Toc433299195 \h </w:instrText>
            </w:r>
            <w:r w:rsidR="0036422C">
              <w:rPr>
                <w:webHidden/>
              </w:rPr>
            </w:r>
            <w:r w:rsidR="0036422C">
              <w:rPr>
                <w:webHidden/>
              </w:rPr>
              <w:fldChar w:fldCharType="separate"/>
            </w:r>
            <w:r w:rsidR="0036422C">
              <w:rPr>
                <w:webHidden/>
              </w:rPr>
              <w:t>31</w:t>
            </w:r>
            <w:r w:rsidR="0036422C">
              <w:rPr>
                <w:webHidden/>
              </w:rPr>
              <w:fldChar w:fldCharType="end"/>
            </w:r>
          </w:hyperlink>
        </w:p>
        <w:p w:rsidR="0036422C" w:rsidRDefault="001443EA">
          <w:pPr>
            <w:pStyle w:val="TOC3"/>
            <w:rPr>
              <w:rFonts w:asciiTheme="minorHAnsi" w:eastAsiaTheme="minorEastAsia" w:hAnsiTheme="minorHAnsi"/>
              <w:lang w:eastAsia="en-AU"/>
            </w:rPr>
          </w:pPr>
          <w:hyperlink w:anchor="_Toc433299196" w:history="1">
            <w:r w:rsidR="0036422C" w:rsidRPr="00D2580C">
              <w:rPr>
                <w:rStyle w:val="Hyperlink"/>
              </w:rPr>
              <w:t>D.2.4</w:t>
            </w:r>
            <w:r w:rsidR="0036422C">
              <w:rPr>
                <w:rFonts w:asciiTheme="minorHAnsi" w:eastAsiaTheme="minorEastAsia" w:hAnsiTheme="minorHAnsi"/>
                <w:lang w:eastAsia="en-AU"/>
              </w:rPr>
              <w:tab/>
            </w:r>
            <w:r w:rsidR="0036422C" w:rsidRPr="00D2580C">
              <w:rPr>
                <w:rStyle w:val="Hyperlink"/>
              </w:rPr>
              <w:t>Principles for assigning or reassigning retail customers to alternative control services</w:t>
            </w:r>
            <w:r w:rsidR="0036422C">
              <w:rPr>
                <w:webHidden/>
              </w:rPr>
              <w:tab/>
              <w:t>14-</w:t>
            </w:r>
            <w:r w:rsidR="0036422C">
              <w:rPr>
                <w:webHidden/>
              </w:rPr>
              <w:fldChar w:fldCharType="begin"/>
            </w:r>
            <w:r w:rsidR="0036422C">
              <w:rPr>
                <w:webHidden/>
              </w:rPr>
              <w:instrText xml:space="preserve"> PAGEREF _Toc433299196 \h </w:instrText>
            </w:r>
            <w:r w:rsidR="0036422C">
              <w:rPr>
                <w:webHidden/>
              </w:rPr>
            </w:r>
            <w:r w:rsidR="0036422C">
              <w:rPr>
                <w:webHidden/>
              </w:rPr>
              <w:fldChar w:fldCharType="separate"/>
            </w:r>
            <w:r w:rsidR="0036422C">
              <w:rPr>
                <w:webHidden/>
              </w:rPr>
              <w:t>31</w:t>
            </w:r>
            <w:r w:rsidR="0036422C">
              <w:rPr>
                <w:webHidden/>
              </w:rPr>
              <w:fldChar w:fldCharType="end"/>
            </w:r>
          </w:hyperlink>
        </w:p>
        <w:p w:rsidR="0036422C" w:rsidRDefault="001443EA">
          <w:pPr>
            <w:pStyle w:val="TOC2"/>
            <w:rPr>
              <w:rFonts w:asciiTheme="minorHAnsi" w:eastAsiaTheme="minorEastAsia" w:hAnsiTheme="minorHAnsi"/>
              <w:b w:val="0"/>
              <w:color w:val="auto"/>
              <w:sz w:val="22"/>
              <w:lang w:eastAsia="en-AU"/>
            </w:rPr>
          </w:pPr>
          <w:hyperlink w:anchor="_Toc433299197" w:history="1">
            <w:r w:rsidR="0036422C" w:rsidRPr="00D2580C">
              <w:rPr>
                <w:rStyle w:val="Hyperlink"/>
              </w:rPr>
              <w:t>D.3</w:t>
            </w:r>
            <w:r w:rsidR="0036422C">
              <w:rPr>
                <w:rFonts w:asciiTheme="minorHAnsi" w:eastAsiaTheme="minorEastAsia" w:hAnsiTheme="minorHAnsi"/>
                <w:b w:val="0"/>
                <w:color w:val="auto"/>
                <w:sz w:val="22"/>
                <w:lang w:eastAsia="en-AU"/>
              </w:rPr>
              <w:tab/>
            </w:r>
            <w:r w:rsidR="0036422C" w:rsidRPr="00D2580C">
              <w:rPr>
                <w:rStyle w:val="Hyperlink"/>
              </w:rPr>
              <w:t>Procedures for assigning or reassigning retail customers to tariff classes</w:t>
            </w:r>
            <w:r w:rsidR="0036422C">
              <w:rPr>
                <w:webHidden/>
              </w:rPr>
              <w:tab/>
              <w:t>14-</w:t>
            </w:r>
            <w:r w:rsidR="0036422C">
              <w:rPr>
                <w:webHidden/>
              </w:rPr>
              <w:fldChar w:fldCharType="begin"/>
            </w:r>
            <w:r w:rsidR="0036422C">
              <w:rPr>
                <w:webHidden/>
              </w:rPr>
              <w:instrText xml:space="preserve"> PAGEREF _Toc433299197 \h </w:instrText>
            </w:r>
            <w:r w:rsidR="0036422C">
              <w:rPr>
                <w:webHidden/>
              </w:rPr>
            </w:r>
            <w:r w:rsidR="0036422C">
              <w:rPr>
                <w:webHidden/>
              </w:rPr>
              <w:fldChar w:fldCharType="separate"/>
            </w:r>
            <w:r w:rsidR="0036422C">
              <w:rPr>
                <w:webHidden/>
              </w:rPr>
              <w:t>31</w:t>
            </w:r>
            <w:r w:rsidR="0036422C">
              <w:rPr>
                <w:webHidden/>
              </w:rPr>
              <w:fldChar w:fldCharType="end"/>
            </w:r>
          </w:hyperlink>
        </w:p>
        <w:p w:rsidR="00DE563D" w:rsidRDefault="00D31F95" w:rsidP="00D31F95">
          <w:pPr>
            <w:pStyle w:val="TOC1"/>
          </w:pPr>
          <w:r>
            <w:rPr>
              <w:color w:val="auto"/>
              <w:sz w:val="22"/>
            </w:rPr>
            <w:fldChar w:fldCharType="end"/>
          </w:r>
        </w:p>
      </w:sdtContent>
    </w:sdt>
    <w:p w:rsidR="00DE563D" w:rsidRDefault="00DE563D">
      <w:pPr>
        <w:spacing w:line="240" w:lineRule="auto"/>
      </w:pPr>
    </w:p>
    <w:p w:rsidR="00DE563D" w:rsidRDefault="00DE563D" w:rsidP="00E12CEA">
      <w:pPr>
        <w:pStyle w:val="UnnumberedHeading"/>
        <w:numPr>
          <w:ilvl w:val="0"/>
          <w:numId w:val="23"/>
        </w:numPr>
      </w:pPr>
      <w:bookmarkStart w:id="8" w:name="_Toc404700925"/>
      <w:bookmarkStart w:id="9" w:name="_Toc433299170"/>
      <w:r>
        <w:lastRenderedPageBreak/>
        <w:t>Shortened forms</w:t>
      </w:r>
      <w:bookmarkEnd w:id="8"/>
      <w:bookmarkEnd w:id="9"/>
    </w:p>
    <w:tbl>
      <w:tblPr>
        <w:tblStyle w:val="AERtable-text0"/>
        <w:tblW w:w="0" w:type="auto"/>
        <w:tblLook w:val="04A0" w:firstRow="1" w:lastRow="0" w:firstColumn="1" w:lastColumn="0" w:noHBand="0" w:noVBand="1"/>
      </w:tblPr>
      <w:tblGrid>
        <w:gridCol w:w="4341"/>
        <w:gridCol w:w="4352"/>
      </w:tblGrid>
      <w:tr w:rsidR="00DE563D" w:rsidTr="0036422C">
        <w:trPr>
          <w:cnfStyle w:val="100000000000" w:firstRow="1" w:lastRow="0" w:firstColumn="0" w:lastColumn="0" w:oddVBand="0" w:evenVBand="0" w:oddHBand="0" w:evenHBand="0" w:firstRowFirstColumn="0" w:firstRowLastColumn="0" w:lastRowFirstColumn="0" w:lastRowLastColumn="0"/>
          <w:tblHeader/>
        </w:trPr>
        <w:tc>
          <w:tcPr>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pPr>
            <w:r>
              <w:t>Extended form</w:t>
            </w:r>
          </w:p>
        </w:tc>
      </w:tr>
      <w:tr w:rsidR="00DE563D" w:rsidTr="0036422C">
        <w:tc>
          <w:tcPr>
            <w:tcW w:w="4341" w:type="dxa"/>
          </w:tcPr>
          <w:p w:rsidR="00DE563D" w:rsidRDefault="00DE563D" w:rsidP="00DE563D">
            <w:pPr>
              <w:pStyle w:val="AERtabletextleft"/>
            </w:pPr>
            <w:r>
              <w:t>AEMC</w:t>
            </w:r>
          </w:p>
        </w:tc>
        <w:tc>
          <w:tcPr>
            <w:tcW w:w="4352" w:type="dxa"/>
          </w:tcPr>
          <w:p w:rsidR="00DE563D" w:rsidRDefault="00DE563D" w:rsidP="00DE563D">
            <w:pPr>
              <w:pStyle w:val="AERtabletextleft"/>
            </w:pPr>
            <w:r>
              <w:t>Australian Energy Market Commission</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AEMO</w:t>
            </w:r>
          </w:p>
        </w:tc>
        <w:tc>
          <w:tcPr>
            <w:tcW w:w="4352" w:type="dxa"/>
          </w:tcPr>
          <w:p w:rsidR="00DE563D" w:rsidRDefault="00DE563D" w:rsidP="00DE563D">
            <w:pPr>
              <w:pStyle w:val="AERtabletextleft"/>
            </w:pPr>
            <w:r>
              <w:t>Australian Energy Market Operator</w:t>
            </w:r>
          </w:p>
        </w:tc>
      </w:tr>
      <w:tr w:rsidR="00DE563D" w:rsidTr="0036422C">
        <w:tc>
          <w:tcPr>
            <w:tcW w:w="4341" w:type="dxa"/>
          </w:tcPr>
          <w:p w:rsidR="00DE563D" w:rsidRDefault="00DE563D" w:rsidP="00DE563D">
            <w:pPr>
              <w:pStyle w:val="AERtabletextleft"/>
            </w:pPr>
            <w:r>
              <w:t>AER</w:t>
            </w:r>
          </w:p>
        </w:tc>
        <w:tc>
          <w:tcPr>
            <w:tcW w:w="4352" w:type="dxa"/>
          </w:tcPr>
          <w:p w:rsidR="00DE563D" w:rsidRDefault="00DE563D" w:rsidP="00DE563D">
            <w:pPr>
              <w:pStyle w:val="AERtabletextleft"/>
            </w:pPr>
            <w:r>
              <w:t>Australian Energy Regulator</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augex</w:t>
            </w:r>
          </w:p>
        </w:tc>
        <w:tc>
          <w:tcPr>
            <w:tcW w:w="4352" w:type="dxa"/>
          </w:tcPr>
          <w:p w:rsidR="00DE563D" w:rsidRDefault="00DE563D" w:rsidP="00DE563D">
            <w:pPr>
              <w:pStyle w:val="AERtabletextleft"/>
            </w:pPr>
            <w:r>
              <w:t>augmentation expenditure</w:t>
            </w:r>
          </w:p>
        </w:tc>
      </w:tr>
      <w:tr w:rsidR="00DE563D" w:rsidTr="0036422C">
        <w:tc>
          <w:tcPr>
            <w:tcW w:w="4341" w:type="dxa"/>
          </w:tcPr>
          <w:p w:rsidR="00DE563D" w:rsidRDefault="00DE563D" w:rsidP="00DE563D">
            <w:pPr>
              <w:pStyle w:val="AERtabletextleft"/>
            </w:pPr>
            <w:r>
              <w:t>capex</w:t>
            </w:r>
          </w:p>
        </w:tc>
        <w:tc>
          <w:tcPr>
            <w:tcW w:w="4352" w:type="dxa"/>
          </w:tcPr>
          <w:p w:rsidR="00DE563D" w:rsidRDefault="00DE563D" w:rsidP="00DE563D">
            <w:pPr>
              <w:pStyle w:val="AERtabletextleft"/>
            </w:pPr>
            <w:r>
              <w:t>capital expenditure</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CCP</w:t>
            </w:r>
          </w:p>
        </w:tc>
        <w:tc>
          <w:tcPr>
            <w:tcW w:w="4352" w:type="dxa"/>
          </w:tcPr>
          <w:p w:rsidR="00DE563D" w:rsidRDefault="00DE563D" w:rsidP="00DE563D">
            <w:pPr>
              <w:pStyle w:val="AERtabletextleft"/>
            </w:pPr>
            <w:r>
              <w:t>Consumer Challenge Panel</w:t>
            </w:r>
          </w:p>
        </w:tc>
      </w:tr>
      <w:tr w:rsidR="00DE563D" w:rsidTr="0036422C">
        <w:tc>
          <w:tcPr>
            <w:tcW w:w="4341" w:type="dxa"/>
          </w:tcPr>
          <w:p w:rsidR="00DE563D" w:rsidRDefault="00DE563D" w:rsidP="00DE563D">
            <w:pPr>
              <w:pStyle w:val="AERtabletextleft"/>
            </w:pPr>
            <w:r>
              <w:t>CESS</w:t>
            </w:r>
          </w:p>
        </w:tc>
        <w:tc>
          <w:tcPr>
            <w:tcW w:w="4352" w:type="dxa"/>
          </w:tcPr>
          <w:p w:rsidR="00DE563D" w:rsidRDefault="00DE563D" w:rsidP="00DE563D">
            <w:pPr>
              <w:pStyle w:val="AERtabletextleft"/>
            </w:pPr>
            <w:r>
              <w:t>capital expenditure sharing scheme</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CPI</w:t>
            </w:r>
          </w:p>
        </w:tc>
        <w:tc>
          <w:tcPr>
            <w:tcW w:w="4352" w:type="dxa"/>
          </w:tcPr>
          <w:p w:rsidR="00DE563D" w:rsidRDefault="00DE563D" w:rsidP="00DE563D">
            <w:pPr>
              <w:pStyle w:val="AERtabletextleft"/>
            </w:pPr>
            <w:r>
              <w:t>consumer price index</w:t>
            </w:r>
          </w:p>
        </w:tc>
      </w:tr>
      <w:tr w:rsidR="00DE563D" w:rsidTr="0036422C">
        <w:tc>
          <w:tcPr>
            <w:tcW w:w="4341" w:type="dxa"/>
          </w:tcPr>
          <w:p w:rsidR="00DE563D" w:rsidRDefault="00DE563D" w:rsidP="00DE563D">
            <w:pPr>
              <w:pStyle w:val="AERtabletextleft"/>
            </w:pPr>
            <w:r>
              <w:t>DRP</w:t>
            </w:r>
          </w:p>
        </w:tc>
        <w:tc>
          <w:tcPr>
            <w:tcW w:w="4352" w:type="dxa"/>
          </w:tcPr>
          <w:p w:rsidR="00DE563D" w:rsidRDefault="00DE563D" w:rsidP="00DE563D">
            <w:pPr>
              <w:pStyle w:val="AERtabletextleft"/>
            </w:pPr>
            <w:r>
              <w:t>debt risk premium</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DMIA</w:t>
            </w:r>
          </w:p>
        </w:tc>
        <w:tc>
          <w:tcPr>
            <w:tcW w:w="4352" w:type="dxa"/>
          </w:tcPr>
          <w:p w:rsidR="00DE563D" w:rsidRDefault="00DE563D" w:rsidP="00DE563D">
            <w:pPr>
              <w:pStyle w:val="AERtabletextleft"/>
            </w:pPr>
            <w:r>
              <w:t>demand management innovation allowance</w:t>
            </w:r>
          </w:p>
        </w:tc>
      </w:tr>
      <w:tr w:rsidR="00DE563D" w:rsidTr="0036422C">
        <w:tc>
          <w:tcPr>
            <w:tcW w:w="4341" w:type="dxa"/>
          </w:tcPr>
          <w:p w:rsidR="00DE563D" w:rsidRDefault="00DE563D" w:rsidP="00DE563D">
            <w:pPr>
              <w:pStyle w:val="AERtabletextleft"/>
            </w:pPr>
            <w:r>
              <w:t>DMIS</w:t>
            </w:r>
          </w:p>
        </w:tc>
        <w:tc>
          <w:tcPr>
            <w:tcW w:w="4352" w:type="dxa"/>
          </w:tcPr>
          <w:p w:rsidR="00DE563D" w:rsidRDefault="00DE563D" w:rsidP="00DE563D">
            <w:pPr>
              <w:pStyle w:val="AERtabletextleft"/>
            </w:pPr>
            <w:r>
              <w:t>demand management incentive scheme</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distributor</w:t>
            </w:r>
          </w:p>
        </w:tc>
        <w:tc>
          <w:tcPr>
            <w:tcW w:w="4352" w:type="dxa"/>
          </w:tcPr>
          <w:p w:rsidR="00DE563D" w:rsidRDefault="00DE563D" w:rsidP="00DE563D">
            <w:pPr>
              <w:pStyle w:val="AERtabletextleft"/>
            </w:pPr>
            <w:r>
              <w:t>distribution network service provider</w:t>
            </w:r>
          </w:p>
        </w:tc>
      </w:tr>
      <w:tr w:rsidR="00DE563D" w:rsidTr="0036422C">
        <w:tc>
          <w:tcPr>
            <w:tcW w:w="4341" w:type="dxa"/>
          </w:tcPr>
          <w:p w:rsidR="00DE563D" w:rsidRDefault="00DE563D" w:rsidP="00DE563D">
            <w:pPr>
              <w:pStyle w:val="AERtabletextleft"/>
            </w:pPr>
            <w:r>
              <w:t>DUoS</w:t>
            </w:r>
          </w:p>
        </w:tc>
        <w:tc>
          <w:tcPr>
            <w:tcW w:w="4352" w:type="dxa"/>
          </w:tcPr>
          <w:p w:rsidR="00DE563D" w:rsidRDefault="00DE563D" w:rsidP="00DE563D">
            <w:pPr>
              <w:pStyle w:val="AERtabletextleft"/>
            </w:pPr>
            <w:r>
              <w:t>distribution use of system</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EBSS</w:t>
            </w:r>
          </w:p>
        </w:tc>
        <w:tc>
          <w:tcPr>
            <w:tcW w:w="4352" w:type="dxa"/>
          </w:tcPr>
          <w:p w:rsidR="00DE563D" w:rsidRDefault="00DE563D" w:rsidP="00DE563D">
            <w:pPr>
              <w:pStyle w:val="AERtabletextleft"/>
            </w:pPr>
            <w:r>
              <w:t>efficiency benefit sharing scheme</w:t>
            </w:r>
          </w:p>
        </w:tc>
      </w:tr>
      <w:tr w:rsidR="00DE563D" w:rsidTr="0036422C">
        <w:tc>
          <w:tcPr>
            <w:tcW w:w="4341" w:type="dxa"/>
          </w:tcPr>
          <w:p w:rsidR="00DE563D" w:rsidRDefault="00DE563D" w:rsidP="00DE563D">
            <w:pPr>
              <w:pStyle w:val="AERtabletextleft"/>
            </w:pPr>
            <w:r>
              <w:t>ERP</w:t>
            </w:r>
          </w:p>
        </w:tc>
        <w:tc>
          <w:tcPr>
            <w:tcW w:w="4352" w:type="dxa"/>
          </w:tcPr>
          <w:p w:rsidR="00DE563D" w:rsidRDefault="00DE563D" w:rsidP="00DE563D">
            <w:pPr>
              <w:pStyle w:val="AERtabletextleft"/>
            </w:pPr>
            <w:r>
              <w:t>equity risk premium</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261276" w:rsidP="00261276">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D31F95" w:rsidP="00D31F95">
            <w:pPr>
              <w:pStyle w:val="AERtabletextleft"/>
            </w:pPr>
            <w:r>
              <w:t>Expenditure F</w:t>
            </w:r>
            <w:r w:rsidR="00DE563D">
              <w:t xml:space="preserve">orecast </w:t>
            </w:r>
            <w:r>
              <w:t>A</w:t>
            </w:r>
            <w:r w:rsidR="00DE563D">
              <w:t xml:space="preserve">ssessment </w:t>
            </w:r>
            <w:r w:rsidR="00261276">
              <w:t>G</w:t>
            </w:r>
            <w:r w:rsidR="00DE563D">
              <w:t>uideline for electricity distribution</w:t>
            </w:r>
          </w:p>
        </w:tc>
      </w:tr>
      <w:tr w:rsidR="00DE563D" w:rsidTr="0036422C">
        <w:tc>
          <w:tcPr>
            <w:tcW w:w="4341" w:type="dxa"/>
          </w:tcPr>
          <w:p w:rsidR="00DE563D" w:rsidRDefault="00DE563D" w:rsidP="00DE563D">
            <w:pPr>
              <w:pStyle w:val="AERtabletextleft"/>
            </w:pPr>
            <w:r>
              <w:t>F&amp;A</w:t>
            </w:r>
          </w:p>
        </w:tc>
        <w:tc>
          <w:tcPr>
            <w:tcW w:w="4352" w:type="dxa"/>
          </w:tcPr>
          <w:p w:rsidR="00DE563D" w:rsidRDefault="00DE563D" w:rsidP="00DE563D">
            <w:pPr>
              <w:pStyle w:val="AERtabletextleft"/>
            </w:pPr>
            <w:r>
              <w:t>framework and approach</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MRP</w:t>
            </w:r>
          </w:p>
        </w:tc>
        <w:tc>
          <w:tcPr>
            <w:tcW w:w="4352" w:type="dxa"/>
          </w:tcPr>
          <w:p w:rsidR="00DE563D" w:rsidRDefault="00DE563D" w:rsidP="00DE563D">
            <w:pPr>
              <w:pStyle w:val="AERtabletextleft"/>
            </w:pPr>
            <w:r>
              <w:t>market risk premium</w:t>
            </w:r>
          </w:p>
        </w:tc>
      </w:tr>
      <w:tr w:rsidR="00DE563D" w:rsidTr="0036422C">
        <w:tc>
          <w:tcPr>
            <w:tcW w:w="4341" w:type="dxa"/>
          </w:tcPr>
          <w:p w:rsidR="00DE563D" w:rsidRDefault="00DE563D" w:rsidP="00DE563D">
            <w:pPr>
              <w:pStyle w:val="AERtabletextleft"/>
            </w:pPr>
            <w:r>
              <w:t>NEL</w:t>
            </w:r>
          </w:p>
        </w:tc>
        <w:tc>
          <w:tcPr>
            <w:tcW w:w="4352" w:type="dxa"/>
          </w:tcPr>
          <w:p w:rsidR="00DE563D" w:rsidRDefault="00DE563D" w:rsidP="00DE563D">
            <w:pPr>
              <w:pStyle w:val="AERtabletextleft"/>
            </w:pPr>
            <w:r>
              <w:t>national electricity law</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NEM</w:t>
            </w:r>
          </w:p>
        </w:tc>
        <w:tc>
          <w:tcPr>
            <w:tcW w:w="4352" w:type="dxa"/>
          </w:tcPr>
          <w:p w:rsidR="00DE563D" w:rsidRDefault="00DE563D" w:rsidP="00DE563D">
            <w:pPr>
              <w:pStyle w:val="AERtabletextleft"/>
            </w:pPr>
            <w:r>
              <w:t>national electricity market</w:t>
            </w:r>
          </w:p>
        </w:tc>
      </w:tr>
      <w:tr w:rsidR="00DE563D" w:rsidTr="0036422C">
        <w:tc>
          <w:tcPr>
            <w:tcW w:w="4341" w:type="dxa"/>
          </w:tcPr>
          <w:p w:rsidR="00DE563D" w:rsidRDefault="00DE563D" w:rsidP="00DE563D">
            <w:pPr>
              <w:pStyle w:val="AERtabletextleft"/>
            </w:pPr>
            <w:r>
              <w:t>NEO</w:t>
            </w:r>
          </w:p>
        </w:tc>
        <w:tc>
          <w:tcPr>
            <w:tcW w:w="4352" w:type="dxa"/>
          </w:tcPr>
          <w:p w:rsidR="00DE563D" w:rsidRDefault="00DE563D" w:rsidP="00DE563D">
            <w:pPr>
              <w:pStyle w:val="AERtabletextleft"/>
            </w:pPr>
            <w:r>
              <w:t>national electricity objective</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NER</w:t>
            </w:r>
          </w:p>
        </w:tc>
        <w:tc>
          <w:tcPr>
            <w:tcW w:w="4352" w:type="dxa"/>
          </w:tcPr>
          <w:p w:rsidR="00DE563D" w:rsidRDefault="00DE563D" w:rsidP="00DE563D">
            <w:pPr>
              <w:pStyle w:val="AERtabletextleft"/>
            </w:pPr>
            <w:r>
              <w:t>national electricity rules</w:t>
            </w:r>
          </w:p>
        </w:tc>
      </w:tr>
      <w:tr w:rsidR="00DE563D" w:rsidTr="0036422C">
        <w:tc>
          <w:tcPr>
            <w:tcW w:w="4341" w:type="dxa"/>
          </w:tcPr>
          <w:p w:rsidR="00DE563D" w:rsidRDefault="00DE563D" w:rsidP="00DE563D">
            <w:pPr>
              <w:pStyle w:val="AERtabletextleft"/>
            </w:pPr>
            <w:r>
              <w:t>NSP</w:t>
            </w:r>
          </w:p>
        </w:tc>
        <w:tc>
          <w:tcPr>
            <w:tcW w:w="4352" w:type="dxa"/>
          </w:tcPr>
          <w:p w:rsidR="00DE563D" w:rsidRDefault="00DE563D" w:rsidP="00DE563D">
            <w:pPr>
              <w:pStyle w:val="AERtabletextleft"/>
            </w:pPr>
            <w:r>
              <w:t>network service provider</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opex</w:t>
            </w:r>
          </w:p>
        </w:tc>
        <w:tc>
          <w:tcPr>
            <w:tcW w:w="4352" w:type="dxa"/>
          </w:tcPr>
          <w:p w:rsidR="00DE563D" w:rsidRDefault="00DE563D" w:rsidP="00DE563D">
            <w:pPr>
              <w:pStyle w:val="AERtabletextleft"/>
            </w:pPr>
            <w:r>
              <w:t>operating expenditure</w:t>
            </w:r>
          </w:p>
        </w:tc>
      </w:tr>
      <w:tr w:rsidR="00DE563D" w:rsidTr="0036422C">
        <w:tc>
          <w:tcPr>
            <w:tcW w:w="4341" w:type="dxa"/>
          </w:tcPr>
          <w:p w:rsidR="00DE563D" w:rsidRDefault="00DE563D" w:rsidP="00DE563D">
            <w:pPr>
              <w:pStyle w:val="AERtabletextleft"/>
            </w:pPr>
            <w:r>
              <w:t>PPI</w:t>
            </w:r>
          </w:p>
        </w:tc>
        <w:tc>
          <w:tcPr>
            <w:tcW w:w="4352" w:type="dxa"/>
          </w:tcPr>
          <w:p w:rsidR="00DE563D" w:rsidRDefault="00DE563D" w:rsidP="00DE563D">
            <w:pPr>
              <w:pStyle w:val="AERtabletextleft"/>
            </w:pPr>
            <w:r>
              <w:t>partial performance indicators</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pPr>
            <w:r>
              <w:t>post-tax revenue model</w:t>
            </w:r>
          </w:p>
        </w:tc>
      </w:tr>
      <w:tr w:rsidR="00DE563D" w:rsidTr="0036422C">
        <w:tc>
          <w:tcPr>
            <w:tcW w:w="4341" w:type="dxa"/>
          </w:tcPr>
          <w:p w:rsidR="00DE563D" w:rsidRDefault="00DE563D" w:rsidP="00DE563D">
            <w:pPr>
              <w:pStyle w:val="AERtabletextleft"/>
            </w:pPr>
            <w:r>
              <w:t>RAB</w:t>
            </w:r>
          </w:p>
        </w:tc>
        <w:tc>
          <w:tcPr>
            <w:tcW w:w="4352" w:type="dxa"/>
          </w:tcPr>
          <w:p w:rsidR="00DE563D" w:rsidRDefault="00DE563D" w:rsidP="00DE563D">
            <w:pPr>
              <w:pStyle w:val="AERtabletextleft"/>
            </w:pPr>
            <w:r>
              <w:t>regulatory asset base</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RBA</w:t>
            </w:r>
          </w:p>
        </w:tc>
        <w:tc>
          <w:tcPr>
            <w:tcW w:w="4352" w:type="dxa"/>
          </w:tcPr>
          <w:p w:rsidR="00DE563D" w:rsidRDefault="00DE563D" w:rsidP="00DE563D">
            <w:pPr>
              <w:pStyle w:val="AERtabletextleft"/>
            </w:pPr>
            <w:r>
              <w:t>Reserve Bank of Australia</w:t>
            </w:r>
          </w:p>
        </w:tc>
      </w:tr>
      <w:tr w:rsidR="00DE563D" w:rsidTr="0036422C">
        <w:tc>
          <w:tcPr>
            <w:tcW w:w="4341" w:type="dxa"/>
          </w:tcPr>
          <w:p w:rsidR="00DE563D" w:rsidRDefault="00DE563D" w:rsidP="00DE563D">
            <w:pPr>
              <w:pStyle w:val="AERtabletextleft"/>
            </w:pPr>
            <w:r>
              <w:t>repex</w:t>
            </w:r>
          </w:p>
        </w:tc>
        <w:tc>
          <w:tcPr>
            <w:tcW w:w="4352" w:type="dxa"/>
          </w:tcPr>
          <w:p w:rsidR="00DE563D" w:rsidRDefault="00DE563D" w:rsidP="00DE563D">
            <w:pPr>
              <w:pStyle w:val="AERtabletextleft"/>
            </w:pPr>
            <w:r>
              <w:t>replacement expenditure</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RFM</w:t>
            </w:r>
          </w:p>
        </w:tc>
        <w:tc>
          <w:tcPr>
            <w:tcW w:w="4352" w:type="dxa"/>
          </w:tcPr>
          <w:p w:rsidR="00DE563D" w:rsidRDefault="00DE563D" w:rsidP="00DE563D">
            <w:pPr>
              <w:pStyle w:val="AERtabletextleft"/>
            </w:pPr>
            <w:r>
              <w:t>roll forward model</w:t>
            </w:r>
          </w:p>
        </w:tc>
      </w:tr>
      <w:tr w:rsidR="00DE563D" w:rsidTr="0036422C">
        <w:tc>
          <w:tcPr>
            <w:tcW w:w="4341" w:type="dxa"/>
          </w:tcPr>
          <w:p w:rsidR="00DE563D" w:rsidRDefault="00DE563D" w:rsidP="00DE563D">
            <w:pPr>
              <w:pStyle w:val="AERtabletextleft"/>
            </w:pPr>
            <w:r>
              <w:t>RIN</w:t>
            </w:r>
          </w:p>
        </w:tc>
        <w:tc>
          <w:tcPr>
            <w:tcW w:w="4352" w:type="dxa"/>
          </w:tcPr>
          <w:p w:rsidR="00DE563D" w:rsidRDefault="00DE563D" w:rsidP="00DE563D">
            <w:pPr>
              <w:pStyle w:val="AERtabletextleft"/>
            </w:pPr>
            <w:r>
              <w:t>regulatory information notice</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RPP</w:t>
            </w:r>
          </w:p>
        </w:tc>
        <w:tc>
          <w:tcPr>
            <w:tcW w:w="4352" w:type="dxa"/>
          </w:tcPr>
          <w:p w:rsidR="00DE563D" w:rsidRDefault="00DE563D" w:rsidP="00DE563D">
            <w:pPr>
              <w:pStyle w:val="AERtabletextleft"/>
            </w:pPr>
            <w:r>
              <w:t xml:space="preserve">revenue </w:t>
            </w:r>
            <w:r w:rsidR="00261276">
              <w:t xml:space="preserve">and </w:t>
            </w:r>
            <w:r>
              <w:t>pricing principles</w:t>
            </w:r>
          </w:p>
        </w:tc>
      </w:tr>
      <w:tr w:rsidR="00DE563D" w:rsidTr="0036422C">
        <w:tc>
          <w:tcPr>
            <w:tcW w:w="4341" w:type="dxa"/>
          </w:tcPr>
          <w:p w:rsidR="00DE563D" w:rsidRDefault="00DE563D" w:rsidP="00DE563D">
            <w:pPr>
              <w:pStyle w:val="AERtabletextleft"/>
            </w:pPr>
            <w:r>
              <w:t>SAIDI</w:t>
            </w:r>
          </w:p>
        </w:tc>
        <w:tc>
          <w:tcPr>
            <w:tcW w:w="4352" w:type="dxa"/>
          </w:tcPr>
          <w:p w:rsidR="00DE563D" w:rsidRDefault="00DE563D" w:rsidP="00DE563D">
            <w:pPr>
              <w:pStyle w:val="AERtabletextleft"/>
            </w:pPr>
            <w:r>
              <w:t>system average interruption duration index</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pPr>
            <w:r>
              <w:t>system average interruption frequency index</w:t>
            </w:r>
          </w:p>
        </w:tc>
      </w:tr>
      <w:tr w:rsidR="00DE563D" w:rsidTr="0036422C">
        <w:tc>
          <w:tcPr>
            <w:tcW w:w="4341" w:type="dxa"/>
          </w:tcPr>
          <w:p w:rsidR="00DE563D" w:rsidRDefault="00DE563D" w:rsidP="00DE563D">
            <w:pPr>
              <w:pStyle w:val="AERtabletextleft"/>
            </w:pPr>
            <w:r>
              <w:t>SLCAPM</w:t>
            </w:r>
          </w:p>
        </w:tc>
        <w:tc>
          <w:tcPr>
            <w:tcW w:w="4352" w:type="dxa"/>
          </w:tcPr>
          <w:p w:rsidR="00DE563D" w:rsidRDefault="00DE563D" w:rsidP="00DE563D">
            <w:pPr>
              <w:pStyle w:val="AERtabletextleft"/>
            </w:pPr>
            <w:r>
              <w:t>Sharpe-Lintner capital asset pricing model</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pPr>
            <w:r>
              <w:t>service target performance incentive scheme</w:t>
            </w:r>
          </w:p>
        </w:tc>
      </w:tr>
      <w:tr w:rsidR="00084027" w:rsidTr="0036422C">
        <w:tc>
          <w:tcPr>
            <w:tcW w:w="4341" w:type="dxa"/>
          </w:tcPr>
          <w:p w:rsidR="00084027" w:rsidRDefault="00084027" w:rsidP="00DE563D">
            <w:pPr>
              <w:pStyle w:val="AERtabletextleft"/>
            </w:pPr>
            <w:r>
              <w:t>TAR</w:t>
            </w:r>
          </w:p>
        </w:tc>
        <w:tc>
          <w:tcPr>
            <w:tcW w:w="4352" w:type="dxa"/>
          </w:tcPr>
          <w:p w:rsidR="00084027" w:rsidRDefault="00084027" w:rsidP="0036422C">
            <w:pPr>
              <w:pStyle w:val="AERtabletextleft"/>
            </w:pPr>
            <w:r>
              <w:t>total annual revenue</w:t>
            </w:r>
          </w:p>
        </w:tc>
      </w:tr>
      <w:tr w:rsidR="00DE563D" w:rsidTr="0036422C">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WACC</w:t>
            </w:r>
          </w:p>
        </w:tc>
        <w:tc>
          <w:tcPr>
            <w:tcW w:w="4352" w:type="dxa"/>
          </w:tcPr>
          <w:p w:rsidR="00DE563D" w:rsidRDefault="00DE563D" w:rsidP="00DE563D">
            <w:pPr>
              <w:pStyle w:val="AERtabletextleft"/>
            </w:pPr>
            <w:r>
              <w:t>weighted average cost of capital</w:t>
            </w:r>
          </w:p>
        </w:tc>
      </w:tr>
    </w:tbl>
    <w:p w:rsidR="00DE563D" w:rsidRPr="00271F7C" w:rsidRDefault="00DE563D" w:rsidP="00E12CEA">
      <w:pPr>
        <w:numPr>
          <w:ilvl w:val="0"/>
          <w:numId w:val="24"/>
        </w:numPr>
      </w:pPr>
    </w:p>
    <w:p w:rsidR="00DE563D" w:rsidRPr="00436A39" w:rsidRDefault="00DE563D" w:rsidP="00E12CEA">
      <w:pPr>
        <w:numPr>
          <w:ilvl w:val="0"/>
          <w:numId w:val="24"/>
        </w:numPr>
      </w:pPr>
    </w:p>
    <w:p w:rsidR="00DE563D" w:rsidRDefault="00DE563D" w:rsidP="00DE563D"/>
    <w:p w:rsidR="00084027" w:rsidRDefault="00084027" w:rsidP="00084027">
      <w:pPr>
        <w:pStyle w:val="Heading1"/>
      </w:pPr>
      <w:bookmarkStart w:id="10" w:name="_Toc413422293"/>
      <w:bookmarkStart w:id="11" w:name="_Toc433299171"/>
      <w:r w:rsidRPr="00DD5AA4">
        <w:lastRenderedPageBreak/>
        <w:t>Control mechanisms</w:t>
      </w:r>
      <w:bookmarkEnd w:id="10"/>
      <w:r>
        <w:t xml:space="preserve"> for standard control services</w:t>
      </w:r>
      <w:bookmarkEnd w:id="11"/>
    </w:p>
    <w:p w:rsidR="001C1C7B" w:rsidRDefault="00CC6F02" w:rsidP="001C1C7B">
      <w:r w:rsidRPr="00CC6F02">
        <w:t>A control mechanism imposes limits over the prices of direct control services and/or the revenues that a distribution net</w:t>
      </w:r>
      <w:r w:rsidR="002D038C">
        <w:t>work service provider can recover</w:t>
      </w:r>
      <w:r w:rsidRPr="00CC6F02">
        <w:t xml:space="preserve"> from customers. For standard control services, the </w:t>
      </w:r>
      <w:r w:rsidR="0036422C">
        <w:t>NER</w:t>
      </w:r>
      <w:r w:rsidRPr="00CC6F02">
        <w:t xml:space="preserve"> requires the control mechanism be of the prospective CPI–X form (or some incentive-based variant).</w:t>
      </w:r>
      <w:r>
        <w:rPr>
          <w:rStyle w:val="FootnoteReference"/>
        </w:rPr>
        <w:footnoteReference w:id="1"/>
      </w:r>
    </w:p>
    <w:p w:rsidR="00CC6F02" w:rsidRDefault="00CC6F02" w:rsidP="001C1C7B">
      <w:r w:rsidRPr="00CC6F02">
        <w:t xml:space="preserve">This attachment sets out the revenue cap formulae as the control mechanism for </w:t>
      </w:r>
      <w:r w:rsidR="002D038C">
        <w:t>Ergon Energy's</w:t>
      </w:r>
      <w:r w:rsidR="002D038C" w:rsidRPr="00CC6F02">
        <w:t xml:space="preserve"> </w:t>
      </w:r>
      <w:r w:rsidRPr="00CC6F02">
        <w:t>standard control services for the 201</w:t>
      </w:r>
      <w:r w:rsidR="00B24567">
        <w:t>5</w:t>
      </w:r>
      <w:r w:rsidRPr="00CC6F02">
        <w:t>–20 regulatory control period. It discusses:</w:t>
      </w:r>
    </w:p>
    <w:p w:rsidR="00CC6F02" w:rsidRPr="00CC6F02" w:rsidRDefault="00CC6F02" w:rsidP="00CC6F02">
      <w:pPr>
        <w:pStyle w:val="AERbulletlistfirststyle"/>
      </w:pPr>
      <w:r w:rsidRPr="00CC6F02">
        <w:t>how we will apply the revenue cap</w:t>
      </w:r>
    </w:p>
    <w:p w:rsidR="00CC6F02" w:rsidRDefault="00CC6F02" w:rsidP="00CC6F02">
      <w:pPr>
        <w:pStyle w:val="AERbulletlistfirststyle"/>
      </w:pPr>
      <w:r w:rsidRPr="00CC6F02">
        <w:t>how we will determine compliance with the price controls</w:t>
      </w:r>
      <w:r>
        <w:rPr>
          <w:rStyle w:val="FootnoteReference"/>
        </w:rPr>
        <w:footnoteReference w:id="2"/>
      </w:r>
    </w:p>
    <w:p w:rsidR="00CC6F02" w:rsidRDefault="00CC6F02" w:rsidP="00CC6F02">
      <w:pPr>
        <w:pStyle w:val="AERbulletlistfirststyle"/>
      </w:pPr>
      <w:r w:rsidRPr="00CC6F02">
        <w:t xml:space="preserve">the mechanism through which </w:t>
      </w:r>
      <w:r>
        <w:t>Ergon Energy</w:t>
      </w:r>
      <w:r w:rsidRPr="00CC6F02">
        <w:t xml:space="preserve"> will recover distribution use of system (DUoS) charges—including adjustments for revenue under or over recovery—in the 201</w:t>
      </w:r>
      <w:r w:rsidR="00B24567">
        <w:t>5</w:t>
      </w:r>
      <w:r w:rsidRPr="00CC6F02">
        <w:t>–20 regulatory control period</w:t>
      </w:r>
      <w:r>
        <w:rPr>
          <w:rStyle w:val="FootnoteReference"/>
        </w:rPr>
        <w:footnoteReference w:id="3"/>
      </w:r>
    </w:p>
    <w:p w:rsidR="00CC6F02" w:rsidRDefault="00CC6F02" w:rsidP="00CC6F02">
      <w:pPr>
        <w:pStyle w:val="AERbulletlistfirststyle"/>
      </w:pPr>
      <w:r w:rsidRPr="00CC6F02">
        <w:t xml:space="preserve">how </w:t>
      </w:r>
      <w:r>
        <w:t>Ergon Energy</w:t>
      </w:r>
      <w:r w:rsidRPr="00CC6F02">
        <w:t xml:space="preserve"> must report to us on its recovery of designated pricing proposal charges and jurisdictional scheme amounts</w:t>
      </w:r>
      <w:r>
        <w:rPr>
          <w:rStyle w:val="FootnoteReference"/>
        </w:rPr>
        <w:footnoteReference w:id="4"/>
      </w:r>
    </w:p>
    <w:p w:rsidR="00CC6F02" w:rsidRDefault="00CC6F02" w:rsidP="00CC6F02">
      <w:pPr>
        <w:pStyle w:val="AERbulletlistfirststyle"/>
      </w:pPr>
      <w:r w:rsidRPr="00CC6F02">
        <w:t xml:space="preserve">the procedures </w:t>
      </w:r>
      <w:r>
        <w:t>Ergon Energy</w:t>
      </w:r>
      <w:r w:rsidRPr="00CC6F02">
        <w:t xml:space="preserve"> must apply for assigning or reassigning retail customers to tariff classes.</w:t>
      </w:r>
      <w:r>
        <w:rPr>
          <w:rStyle w:val="FootnoteReference"/>
        </w:rPr>
        <w:footnoteReference w:id="5"/>
      </w:r>
    </w:p>
    <w:p w:rsidR="00C80F7C" w:rsidRPr="001C1C7B" w:rsidRDefault="00C80F7C" w:rsidP="00C80F7C">
      <w:r w:rsidRPr="00C80F7C">
        <w:t xml:space="preserve">The control mechanisms applying to </w:t>
      </w:r>
      <w:r>
        <w:t>Ergon Energy's</w:t>
      </w:r>
      <w:r w:rsidRPr="00C80F7C">
        <w:t xml:space="preserve"> alternative control services are set out separately in attachment 16.</w:t>
      </w:r>
    </w:p>
    <w:p w:rsidR="00084027" w:rsidRDefault="00D04C3B" w:rsidP="00084027">
      <w:pPr>
        <w:pStyle w:val="Heading2"/>
      </w:pPr>
      <w:bookmarkStart w:id="12" w:name="_Toc403144136"/>
      <w:bookmarkStart w:id="13" w:name="_Toc413422294"/>
      <w:bookmarkStart w:id="14" w:name="_Toc433299172"/>
      <w:r>
        <w:t>Final</w:t>
      </w:r>
      <w:r w:rsidR="00084027" w:rsidRPr="00DD5AA4">
        <w:t xml:space="preserve"> decision</w:t>
      </w:r>
      <w:bookmarkEnd w:id="12"/>
      <w:bookmarkEnd w:id="13"/>
      <w:bookmarkEnd w:id="14"/>
    </w:p>
    <w:p w:rsidR="00CC6F02" w:rsidRDefault="00C80F7C" w:rsidP="00CC6F02">
      <w:r>
        <w:t>Our final decision for Ergon Energy is as follows:</w:t>
      </w:r>
    </w:p>
    <w:p w:rsidR="00BD2002" w:rsidRDefault="00BD2002" w:rsidP="00BD2002">
      <w:pPr>
        <w:pStyle w:val="AERbulletlistfirststyle"/>
      </w:pPr>
      <w:r w:rsidRPr="00BD2002">
        <w:t>The control mechanism for standard control services is a revenue cap.</w:t>
      </w:r>
      <w:r>
        <w:rPr>
          <w:rStyle w:val="FootnoteReference"/>
        </w:rPr>
        <w:footnoteReference w:id="6"/>
      </w:r>
    </w:p>
    <w:p w:rsidR="00BD2002" w:rsidRDefault="008929E9" w:rsidP="008929E9">
      <w:pPr>
        <w:pStyle w:val="AERbulletlistfirststyle"/>
      </w:pPr>
      <w:r>
        <w:t xml:space="preserve">Section </w:t>
      </w:r>
      <w:r w:rsidR="00182D19">
        <w:fldChar w:fldCharType="begin"/>
      </w:r>
      <w:r w:rsidR="00182D19">
        <w:instrText xml:space="preserve"> REF _Ref428542827 \r \h </w:instrText>
      </w:r>
      <w:r w:rsidR="00182D19">
        <w:fldChar w:fldCharType="separate"/>
      </w:r>
      <w:r w:rsidR="00C668EE">
        <w:t>14.4.5</w:t>
      </w:r>
      <w:r w:rsidR="00182D19">
        <w:fldChar w:fldCharType="end"/>
      </w:r>
      <w:r w:rsidR="00182D19">
        <w:t xml:space="preserve"> </w:t>
      </w:r>
      <w:r w:rsidRPr="008929E9">
        <w:t xml:space="preserve">contains the revenue cap </w:t>
      </w:r>
      <w:r w:rsidR="00FF366D" w:rsidRPr="008929E9">
        <w:t>formula</w:t>
      </w:r>
      <w:r w:rsidR="00FF366D">
        <w:t>e</w:t>
      </w:r>
      <w:r w:rsidR="00FF366D" w:rsidRPr="008929E9">
        <w:t xml:space="preserve"> that give</w:t>
      </w:r>
      <w:r w:rsidRPr="008929E9">
        <w:t xml:space="preserve"> effect to the control mechanism for standard control services.</w:t>
      </w:r>
      <w:r>
        <w:rPr>
          <w:rStyle w:val="FootnoteReference"/>
        </w:rPr>
        <w:footnoteReference w:id="7"/>
      </w:r>
      <w:r>
        <w:t xml:space="preserve"> </w:t>
      </w:r>
      <w:r w:rsidRPr="008929E9">
        <w:t>The revenue cap for any given regulatory year is the total annual revenue</w:t>
      </w:r>
      <w:r w:rsidR="00284447">
        <w:t>, or</w:t>
      </w:r>
      <w:r w:rsidRPr="008929E9">
        <w:t xml:space="preserve"> TAR</w:t>
      </w:r>
      <w:r w:rsidR="00284447">
        <w:t>,</w:t>
      </w:r>
      <w:r w:rsidRPr="008929E9">
        <w:t xml:space="preserve"> for </w:t>
      </w:r>
      <w:r w:rsidR="00FB2F4A">
        <w:t xml:space="preserve">standard control </w:t>
      </w:r>
      <w:r w:rsidRPr="008929E9">
        <w:t>services calculated using the formula in</w:t>
      </w:r>
      <w:r>
        <w:t xml:space="preserve"> </w:t>
      </w:r>
      <w:r w:rsidR="00182D19">
        <w:fldChar w:fldCharType="begin"/>
      </w:r>
      <w:r w:rsidR="00182D19">
        <w:instrText xml:space="preserve"> REF  _Ref428542843 \* Lower \h </w:instrText>
      </w:r>
      <w:r w:rsidR="00182D19">
        <w:fldChar w:fldCharType="separate"/>
      </w:r>
      <w:r w:rsidR="00C668EE">
        <w:t xml:space="preserve">figure </w:t>
      </w:r>
      <w:r w:rsidR="00C668EE">
        <w:rPr>
          <w:noProof/>
        </w:rPr>
        <w:t>14</w:t>
      </w:r>
      <w:r w:rsidR="00C668EE">
        <w:t>.</w:t>
      </w:r>
      <w:r w:rsidR="00C668EE">
        <w:rPr>
          <w:noProof/>
        </w:rPr>
        <w:t>1</w:t>
      </w:r>
      <w:r w:rsidR="00182D19">
        <w:fldChar w:fldCharType="end"/>
      </w:r>
      <w:r>
        <w:t>.</w:t>
      </w:r>
    </w:p>
    <w:p w:rsidR="008929E9" w:rsidRPr="008929E9" w:rsidRDefault="008929E9" w:rsidP="00B10342">
      <w:pPr>
        <w:pStyle w:val="AERbulletlistfirststyle"/>
      </w:pPr>
      <w:r w:rsidRPr="008929E9">
        <w:lastRenderedPageBreak/>
        <w:t xml:space="preserve">The side constraints applying to the price movements of each </w:t>
      </w:r>
      <w:r>
        <w:t>Ergon Energy</w:t>
      </w:r>
      <w:r w:rsidRPr="008929E9">
        <w:t xml:space="preserve"> tariff class must be consistent with the formula in </w:t>
      </w:r>
      <w:r w:rsidR="00B10342">
        <w:fldChar w:fldCharType="begin"/>
      </w:r>
      <w:r w:rsidR="00B10342">
        <w:instrText xml:space="preserve"> REF  _Ref428947805 \* Lower \h </w:instrText>
      </w:r>
      <w:r w:rsidR="00B10342">
        <w:fldChar w:fldCharType="separate"/>
      </w:r>
      <w:r w:rsidR="00C668EE">
        <w:t xml:space="preserve">figure </w:t>
      </w:r>
      <w:r w:rsidR="00C668EE">
        <w:rPr>
          <w:noProof/>
        </w:rPr>
        <w:t>14</w:t>
      </w:r>
      <w:r w:rsidR="00C668EE">
        <w:t>.</w:t>
      </w:r>
      <w:r w:rsidR="00C668EE">
        <w:rPr>
          <w:noProof/>
        </w:rPr>
        <w:t>2</w:t>
      </w:r>
      <w:r w:rsidR="00B10342">
        <w:fldChar w:fldCharType="end"/>
      </w:r>
      <w:r w:rsidRPr="008929E9">
        <w:t>.</w:t>
      </w:r>
    </w:p>
    <w:p w:rsidR="008929E9" w:rsidRPr="008929E9" w:rsidRDefault="008929E9" w:rsidP="008929E9">
      <w:pPr>
        <w:pStyle w:val="AERbulletlistfirststyle"/>
      </w:pPr>
      <w:r>
        <w:t>Ergon Energy</w:t>
      </w:r>
      <w:r w:rsidRPr="008929E9">
        <w:t xml:space="preserve"> must demonstrate compliance with the control mechanism for standard control services</w:t>
      </w:r>
      <w:r>
        <w:t xml:space="preserve"> in accordance with </w:t>
      </w:r>
      <w:r w:rsidR="00182D19">
        <w:fldChar w:fldCharType="begin"/>
      </w:r>
      <w:r w:rsidR="00182D19">
        <w:instrText xml:space="preserve"> REF  _Ref428542843 \* Lower \h </w:instrText>
      </w:r>
      <w:r w:rsidR="00182D19">
        <w:fldChar w:fldCharType="separate"/>
      </w:r>
      <w:r w:rsidR="00C668EE">
        <w:t xml:space="preserve">figure </w:t>
      </w:r>
      <w:r w:rsidR="00C668EE">
        <w:rPr>
          <w:noProof/>
        </w:rPr>
        <w:t>14</w:t>
      </w:r>
      <w:r w:rsidR="00C668EE">
        <w:t>.</w:t>
      </w:r>
      <w:r w:rsidR="00C668EE">
        <w:rPr>
          <w:noProof/>
        </w:rPr>
        <w:t>1</w:t>
      </w:r>
      <w:r w:rsidR="00182D19">
        <w:fldChar w:fldCharType="end"/>
      </w:r>
      <w:r w:rsidRPr="008929E9">
        <w:t>—including adjustments for</w:t>
      </w:r>
      <w:r>
        <w:t xml:space="preserve"> DUoS revenue under or over recovery</w:t>
      </w:r>
      <w:r w:rsidRPr="008929E9">
        <w:t xml:space="preserve"> in accordance with appendix </w:t>
      </w:r>
      <w:r w:rsidR="00182D19">
        <w:fldChar w:fldCharType="begin"/>
      </w:r>
      <w:r w:rsidR="00182D19">
        <w:instrText xml:space="preserve"> REF _Ref428542904 \r \h </w:instrText>
      </w:r>
      <w:r w:rsidR="00182D19">
        <w:fldChar w:fldCharType="separate"/>
      </w:r>
      <w:r w:rsidR="00C668EE">
        <w:t>A</w:t>
      </w:r>
      <w:r w:rsidR="00182D19">
        <w:fldChar w:fldCharType="end"/>
      </w:r>
      <w:r w:rsidRPr="008929E9">
        <w:t xml:space="preserve"> of this attachment.</w:t>
      </w:r>
    </w:p>
    <w:p w:rsidR="008929E9" w:rsidRDefault="008929E9" w:rsidP="008929E9">
      <w:pPr>
        <w:pStyle w:val="AERbulletlistfirststyle"/>
      </w:pPr>
      <w:r>
        <w:t>Ergon Energy</w:t>
      </w:r>
      <w:r w:rsidRPr="008929E9">
        <w:t xml:space="preserve"> must submit as part of its annual pricing proposal, a record of the amount of revenue recovered from designated pricing proposal charges and associated paymen</w:t>
      </w:r>
      <w:r>
        <w:t xml:space="preserve">ts in accordance with appendix </w:t>
      </w:r>
      <w:r w:rsidR="00182D19">
        <w:fldChar w:fldCharType="begin"/>
      </w:r>
      <w:r w:rsidR="00182D19">
        <w:instrText xml:space="preserve"> REF _Ref428542926 \r \h </w:instrText>
      </w:r>
      <w:r w:rsidR="00182D19">
        <w:fldChar w:fldCharType="separate"/>
      </w:r>
      <w:r w:rsidR="00C668EE">
        <w:t>B</w:t>
      </w:r>
      <w:r w:rsidR="00182D19">
        <w:fldChar w:fldCharType="end"/>
      </w:r>
      <w:r w:rsidR="00182D19">
        <w:t xml:space="preserve"> </w:t>
      </w:r>
      <w:r w:rsidRPr="008929E9">
        <w:t>of this attachment.</w:t>
      </w:r>
      <w:r w:rsidR="008E264A">
        <w:rPr>
          <w:rStyle w:val="FootnoteReference"/>
        </w:rPr>
        <w:footnoteReference w:id="8"/>
      </w:r>
    </w:p>
    <w:p w:rsidR="008929E9" w:rsidRPr="008929E9" w:rsidRDefault="008929E9" w:rsidP="008929E9">
      <w:pPr>
        <w:pStyle w:val="AERbulletlistfirststyle"/>
      </w:pPr>
      <w:r>
        <w:t>Ergon Energy</w:t>
      </w:r>
      <w:r w:rsidRPr="008929E9">
        <w:t xml:space="preserve"> must report to us its jurisdictional scheme amounts recove</w:t>
      </w:r>
      <w:r>
        <w:t xml:space="preserve">ry in accordance with appendix </w:t>
      </w:r>
      <w:r w:rsidR="00182D19">
        <w:fldChar w:fldCharType="begin"/>
      </w:r>
      <w:r w:rsidR="00182D19">
        <w:instrText xml:space="preserve"> REF _Ref428542933 \r \h </w:instrText>
      </w:r>
      <w:r w:rsidR="00182D19">
        <w:fldChar w:fldCharType="separate"/>
      </w:r>
      <w:r w:rsidR="00C668EE">
        <w:t>C</w:t>
      </w:r>
      <w:r w:rsidR="00182D19">
        <w:fldChar w:fldCharType="end"/>
      </w:r>
      <w:r w:rsidRPr="008929E9">
        <w:t xml:space="preserve"> of this attachment.</w:t>
      </w:r>
    </w:p>
    <w:p w:rsidR="00C80F7C" w:rsidRPr="00CC6F02" w:rsidRDefault="008929E9" w:rsidP="00CC6F02">
      <w:pPr>
        <w:pStyle w:val="AERbulletlistfirststyle"/>
      </w:pPr>
      <w:r>
        <w:t xml:space="preserve">Appendix </w:t>
      </w:r>
      <w:r w:rsidR="00182D19">
        <w:fldChar w:fldCharType="begin"/>
      </w:r>
      <w:r w:rsidR="00182D19">
        <w:instrText xml:space="preserve"> REF _Ref428542941 \r \h </w:instrText>
      </w:r>
      <w:r w:rsidR="00182D19">
        <w:fldChar w:fldCharType="separate"/>
      </w:r>
      <w:r w:rsidR="00C668EE">
        <w:t>D</w:t>
      </w:r>
      <w:r w:rsidR="00182D19">
        <w:fldChar w:fldCharType="end"/>
      </w:r>
      <w:r w:rsidRPr="008929E9">
        <w:t xml:space="preserve"> of this attachment specifies the procedures </w:t>
      </w:r>
      <w:r>
        <w:t>Ergon Energy</w:t>
      </w:r>
      <w:r w:rsidRPr="008929E9">
        <w:t xml:space="preserve"> must apply in assigning retail customers to tariff classes or reassigning retail customers from one tariff class to another.</w:t>
      </w:r>
    </w:p>
    <w:p w:rsidR="00084027" w:rsidRDefault="00084027" w:rsidP="00084027">
      <w:pPr>
        <w:pStyle w:val="Heading2"/>
      </w:pPr>
      <w:bookmarkStart w:id="15" w:name="_Toc403144137"/>
      <w:bookmarkStart w:id="16" w:name="_Toc413422295"/>
      <w:bookmarkStart w:id="17" w:name="_Toc433299173"/>
      <w:r w:rsidRPr="00DD5AA4">
        <w:t>E</w:t>
      </w:r>
      <w:r w:rsidR="007C4D59">
        <w:t>rgon Energy</w:t>
      </w:r>
      <w:r w:rsidRPr="00DD5AA4">
        <w:t xml:space="preserve">'s </w:t>
      </w:r>
      <w:r w:rsidR="00D04C3B">
        <w:t xml:space="preserve">revised </w:t>
      </w:r>
      <w:r w:rsidRPr="00DD5AA4">
        <w:t>proposal</w:t>
      </w:r>
      <w:bookmarkEnd w:id="15"/>
      <w:bookmarkEnd w:id="16"/>
      <w:bookmarkEnd w:id="17"/>
    </w:p>
    <w:p w:rsidR="008929E9" w:rsidRDefault="008929E9" w:rsidP="008929E9">
      <w:r>
        <w:t xml:space="preserve">Ergon Energy </w:t>
      </w:r>
      <w:r w:rsidR="009E7C8B">
        <w:t>did not accept</w:t>
      </w:r>
      <w:r>
        <w:t xml:space="preserve"> </w:t>
      </w:r>
      <w:r w:rsidR="008E264A">
        <w:t>our preliminary</w:t>
      </w:r>
      <w:r>
        <w:t xml:space="preserve"> decision on the control mechanism for standard control services.</w:t>
      </w:r>
      <w:r>
        <w:rPr>
          <w:rStyle w:val="FootnoteReference"/>
        </w:rPr>
        <w:footnoteReference w:id="9"/>
      </w:r>
      <w:r w:rsidR="007C63E5">
        <w:t xml:space="preserve"> </w:t>
      </w:r>
      <w:r w:rsidR="009E7C8B">
        <w:t>I</w:t>
      </w:r>
      <w:r w:rsidR="007C63E5">
        <w:t>t disagreed with the:</w:t>
      </w:r>
    </w:p>
    <w:p w:rsidR="007C63E5" w:rsidRDefault="007C63E5" w:rsidP="007C63E5">
      <w:pPr>
        <w:pStyle w:val="AERbulletlistfirststyle"/>
      </w:pPr>
      <w:r>
        <w:t>revenue cap formula</w:t>
      </w:r>
    </w:p>
    <w:p w:rsidR="007C63E5" w:rsidRDefault="00A65979" w:rsidP="007C63E5">
      <w:pPr>
        <w:pStyle w:val="AERbulletlistfirststyle"/>
      </w:pPr>
      <w:r>
        <w:t>revenue</w:t>
      </w:r>
      <w:r w:rsidR="007C63E5">
        <w:t xml:space="preserve"> under and over recovery mechanism for DUoS</w:t>
      </w:r>
      <w:r>
        <w:t xml:space="preserve"> charges</w:t>
      </w:r>
      <w:r w:rsidR="007C63E5">
        <w:t xml:space="preserve">, including the </w:t>
      </w:r>
      <w:r w:rsidR="00382B4F">
        <w:t>preliminary</w:t>
      </w:r>
      <w:r w:rsidR="007C63E5">
        <w:t xml:space="preserve"> decision not to apply tolerance limits</w:t>
      </w:r>
    </w:p>
    <w:p w:rsidR="007C63E5" w:rsidRDefault="006F6D3B" w:rsidP="007C63E5">
      <w:pPr>
        <w:pStyle w:val="AERbulletlistfirststyle"/>
      </w:pPr>
      <w:r>
        <w:t>approach for</w:t>
      </w:r>
      <w:r w:rsidR="00857B95">
        <w:t xml:space="preserve"> recovering</w:t>
      </w:r>
      <w:r w:rsidR="007C63E5">
        <w:t xml:space="preserve"> jurisdictional scheme amounts</w:t>
      </w:r>
    </w:p>
    <w:p w:rsidR="007C63E5" w:rsidRDefault="00857B95" w:rsidP="007C63E5">
      <w:pPr>
        <w:pStyle w:val="AERbulletlistfirststyle"/>
      </w:pPr>
      <w:r>
        <w:t xml:space="preserve">principles for </w:t>
      </w:r>
      <w:r w:rsidR="007C63E5">
        <w:t>assigning and reassigning customers to tariff classes.</w:t>
      </w:r>
      <w:r w:rsidR="007C63E5">
        <w:rPr>
          <w:rStyle w:val="FootnoteReference"/>
        </w:rPr>
        <w:footnoteReference w:id="10"/>
      </w:r>
    </w:p>
    <w:p w:rsidR="00857B95" w:rsidRDefault="00857B95" w:rsidP="00857B95">
      <w:r>
        <w:t>With respect to</w:t>
      </w:r>
      <w:r w:rsidR="006F6D3B">
        <w:t xml:space="preserve"> the</w:t>
      </w:r>
      <w:r>
        <w:t xml:space="preserve"> application of the</w:t>
      </w:r>
      <w:r w:rsidRPr="00182D19">
        <w:t xml:space="preserve"> revenue cap formula</w:t>
      </w:r>
      <w:r>
        <w:t>e, Ergon Energy considered</w:t>
      </w:r>
      <w:r w:rsidR="006F6D3B">
        <w:t> the</w:t>
      </w:r>
      <w:r>
        <w:t>:</w:t>
      </w:r>
      <w:r>
        <w:rPr>
          <w:rStyle w:val="FootnoteReference"/>
        </w:rPr>
        <w:footnoteReference w:id="11"/>
      </w:r>
    </w:p>
    <w:p w:rsidR="00857B95" w:rsidRDefault="005D4D3D" w:rsidP="00857B95">
      <w:pPr>
        <w:pStyle w:val="AERbulletlistfirststyle"/>
      </w:pPr>
      <w:r>
        <w:t>r</w:t>
      </w:r>
      <w:r w:rsidR="00857B95">
        <w:t>ewards or penalties associated with its performance under the s</w:t>
      </w:r>
      <w:r w:rsidR="00857B95" w:rsidRPr="0075323B">
        <w:t xml:space="preserve">ervice </w:t>
      </w:r>
      <w:r w:rsidR="00857B95">
        <w:t>t</w:t>
      </w:r>
      <w:r w:rsidR="00857B95" w:rsidRPr="0075323B">
        <w:t xml:space="preserve">arget </w:t>
      </w:r>
      <w:r w:rsidR="00857B95">
        <w:t>p</w:t>
      </w:r>
      <w:r w:rsidR="00857B95" w:rsidRPr="0075323B">
        <w:t>erf</w:t>
      </w:r>
      <w:r w:rsidR="00857B95">
        <w:t>ormance incentive scheme</w:t>
      </w:r>
      <w:r w:rsidR="00857B95" w:rsidRPr="0075323B">
        <w:t xml:space="preserve"> </w:t>
      </w:r>
      <w:r w:rsidR="00857B95">
        <w:t>should be included as an amount in the I</w:t>
      </w:r>
      <w:r w:rsidR="001919F1">
        <w:t> </w:t>
      </w:r>
      <w:r w:rsidR="00857B95">
        <w:t>factor</w:t>
      </w:r>
    </w:p>
    <w:p w:rsidR="00857B95" w:rsidRDefault="006F6D3B" w:rsidP="00857B95">
      <w:pPr>
        <w:pStyle w:val="AERbulletlistfirststyle"/>
      </w:pPr>
      <w:r>
        <w:t>B</w:t>
      </w:r>
      <w:r w:rsidR="001919F1">
        <w:t> </w:t>
      </w:r>
      <w:r>
        <w:t>factor</w:t>
      </w:r>
      <w:r w:rsidRPr="002C037A">
        <w:t xml:space="preserve"> </w:t>
      </w:r>
      <w:r>
        <w:t xml:space="preserve">include </w:t>
      </w:r>
      <w:r w:rsidR="00857B95" w:rsidRPr="002C037A">
        <w:t>DUoS revenue under or over recovery</w:t>
      </w:r>
      <w:r w:rsidR="00857B95">
        <w:t xml:space="preserve"> adjustments</w:t>
      </w:r>
    </w:p>
    <w:p w:rsidR="00857B95" w:rsidRDefault="00857B95" w:rsidP="00857B95">
      <w:pPr>
        <w:pStyle w:val="AERbulletlistfirststyle"/>
      </w:pPr>
      <w:r>
        <w:t>C</w:t>
      </w:r>
      <w:r w:rsidR="001919F1">
        <w:t> </w:t>
      </w:r>
      <w:r>
        <w:t>factor include a provision to address any 'other' one</w:t>
      </w:r>
      <w:r>
        <w:noBreakHyphen/>
        <w:t>off revenue adjustments that may occur during the regulatory control period.</w:t>
      </w:r>
    </w:p>
    <w:p w:rsidR="00084027" w:rsidRDefault="00084027" w:rsidP="00084027">
      <w:pPr>
        <w:pStyle w:val="Heading2"/>
      </w:pPr>
      <w:bookmarkStart w:id="18" w:name="_Toc403144138"/>
      <w:bookmarkStart w:id="19" w:name="_Toc413422296"/>
      <w:bookmarkStart w:id="20" w:name="_Toc433299174"/>
      <w:r w:rsidRPr="00DD5AA4">
        <w:lastRenderedPageBreak/>
        <w:t>AER’s assessment approach</w:t>
      </w:r>
      <w:bookmarkEnd w:id="18"/>
      <w:bookmarkEnd w:id="19"/>
      <w:bookmarkEnd w:id="20"/>
    </w:p>
    <w:p w:rsidR="007C63E5" w:rsidRDefault="007C63E5" w:rsidP="007C63E5">
      <w:r w:rsidRPr="007C63E5">
        <w:t>Our final framework and approach</w:t>
      </w:r>
      <w:r w:rsidR="008804C9">
        <w:t xml:space="preserve"> (final F&amp;A)</w:t>
      </w:r>
      <w:r w:rsidRPr="007C63E5">
        <w:t xml:space="preserve"> set the control mechanism for standard control services as a revenue cap.</w:t>
      </w:r>
      <w:r>
        <w:rPr>
          <w:rStyle w:val="FootnoteReference"/>
        </w:rPr>
        <w:footnoteReference w:id="12"/>
      </w:r>
      <w:r w:rsidRPr="007C63E5">
        <w:t xml:space="preserve"> The basis of the revenue cap must be of the prospective CPI–X form (or some incentive based variant).</w:t>
      </w:r>
      <w:r w:rsidR="00D8027D">
        <w:rPr>
          <w:rStyle w:val="FootnoteReference"/>
        </w:rPr>
        <w:footnoteReference w:id="13"/>
      </w:r>
    </w:p>
    <w:p w:rsidR="00B56E9C" w:rsidRDefault="00B56E9C" w:rsidP="00177D8B">
      <w:r w:rsidRPr="00B56E9C">
        <w:t>In determining the control mechanism for standard control services, we considered the factors in clause 6.2.5(c) of the NER for each revenue adjustment mechanism and its application.</w:t>
      </w:r>
      <w:r w:rsidR="000D43C9" w:rsidRPr="00B56E9C" w:rsidDel="000D43C9">
        <w:t xml:space="preserve"> </w:t>
      </w:r>
    </w:p>
    <w:p w:rsidR="00314AAE" w:rsidRPr="007C63E5" w:rsidRDefault="00314AAE" w:rsidP="00314AAE">
      <w:r w:rsidRPr="00C37E73">
        <w:t>Our final F&amp;A set out a generic formula to give effect to the control mechanism for standard control services.</w:t>
      </w:r>
      <w:r>
        <w:rPr>
          <w:rStyle w:val="FootnoteReference"/>
        </w:rPr>
        <w:footnoteReference w:id="14"/>
      </w:r>
      <w:r w:rsidRPr="00C37E73">
        <w:t xml:space="preserve"> The generic formula requires parameters that </w:t>
      </w:r>
      <w:r>
        <w:t xml:space="preserve">need to be specified with more precision </w:t>
      </w:r>
      <w:r w:rsidRPr="00C37E73">
        <w:t xml:space="preserve">in </w:t>
      </w:r>
      <w:r>
        <w:t>order to be implemented</w:t>
      </w:r>
      <w:r w:rsidRPr="00C37E73">
        <w:t xml:space="preserve">. This </w:t>
      </w:r>
      <w:r>
        <w:t xml:space="preserve">final </w:t>
      </w:r>
      <w:r w:rsidRPr="00C37E73">
        <w:t>decision clarifies our position regarding the control mechanism formula and its respective parameters.</w:t>
      </w:r>
    </w:p>
    <w:p w:rsidR="00084027" w:rsidRDefault="00084027" w:rsidP="00084027">
      <w:pPr>
        <w:pStyle w:val="Heading2"/>
      </w:pPr>
      <w:bookmarkStart w:id="21" w:name="_Toc403144140"/>
      <w:bookmarkStart w:id="22" w:name="_Toc413422297"/>
      <w:bookmarkStart w:id="23" w:name="_Toc433299175"/>
      <w:r>
        <w:t xml:space="preserve">Reasons for </w:t>
      </w:r>
      <w:r w:rsidR="00D04C3B">
        <w:t>final</w:t>
      </w:r>
      <w:r>
        <w:t xml:space="preserve"> decision</w:t>
      </w:r>
      <w:bookmarkEnd w:id="21"/>
      <w:bookmarkEnd w:id="22"/>
      <w:bookmarkEnd w:id="23"/>
      <w:r>
        <w:t xml:space="preserve"> </w:t>
      </w:r>
    </w:p>
    <w:p w:rsidR="00314AAE" w:rsidRDefault="00314AAE" w:rsidP="00B56E9C">
      <w:r w:rsidRPr="00314AAE">
        <w:t>Th</w:t>
      </w:r>
      <w:r w:rsidR="009239BF">
        <w:t xml:space="preserve">is section </w:t>
      </w:r>
      <w:r w:rsidRPr="00314AAE">
        <w:t>discusses the reasons for our final decision for each component of the revenue cap control mechanism, including the reporting on designated pricing proposal charges and jurisdictional scheme amounts.</w:t>
      </w:r>
    </w:p>
    <w:p w:rsidR="00B56E9C" w:rsidRDefault="00B56E9C" w:rsidP="000F181E">
      <w:pPr>
        <w:pStyle w:val="Heading3"/>
      </w:pPr>
      <w:bookmarkStart w:id="24" w:name="_Toc433299176"/>
      <w:r>
        <w:t>Application of the revenue cap</w:t>
      </w:r>
      <w:bookmarkEnd w:id="24"/>
    </w:p>
    <w:p w:rsidR="00B56E9C" w:rsidRPr="00B56E9C" w:rsidRDefault="00B56E9C" w:rsidP="00B56E9C">
      <w:pPr>
        <w:pStyle w:val="HeadingBoldBlue"/>
      </w:pPr>
      <w:bookmarkStart w:id="25" w:name="_Toc433299177"/>
      <w:r>
        <w:t>Total annual revenue</w:t>
      </w:r>
      <w:bookmarkEnd w:id="25"/>
    </w:p>
    <w:p w:rsidR="00B56E9C" w:rsidRDefault="007D563B" w:rsidP="00B56E9C">
      <w:r>
        <w:t xml:space="preserve">The revenue cap for any given regulatory year is the total annual revenue (TAR) for </w:t>
      </w:r>
      <w:r w:rsidR="00FB2F4A">
        <w:t xml:space="preserve">standard control </w:t>
      </w:r>
      <w:r>
        <w:t xml:space="preserve">services. </w:t>
      </w:r>
      <w:r w:rsidR="00C46FD3">
        <w:fldChar w:fldCharType="begin"/>
      </w:r>
      <w:r w:rsidR="00C46FD3">
        <w:instrText xml:space="preserve"> REF _Ref428542843 \h </w:instrText>
      </w:r>
      <w:r w:rsidR="00C46FD3">
        <w:fldChar w:fldCharType="separate"/>
      </w:r>
      <w:r w:rsidR="00C668EE">
        <w:t xml:space="preserve">Figure </w:t>
      </w:r>
      <w:r w:rsidR="00C668EE">
        <w:rPr>
          <w:noProof/>
        </w:rPr>
        <w:t>14</w:t>
      </w:r>
      <w:r w:rsidR="00C668EE">
        <w:t>.</w:t>
      </w:r>
      <w:r w:rsidR="00C668EE">
        <w:rPr>
          <w:noProof/>
        </w:rPr>
        <w:t>1</w:t>
      </w:r>
      <w:r w:rsidR="00C46FD3">
        <w:fldChar w:fldCharType="end"/>
      </w:r>
      <w:r w:rsidR="00C46FD3">
        <w:t xml:space="preserve"> </w:t>
      </w:r>
      <w:r>
        <w:t>contains the revenue cap formula</w:t>
      </w:r>
      <w:r w:rsidR="00182D19">
        <w:t>e</w:t>
      </w:r>
      <w:r>
        <w:t>.</w:t>
      </w:r>
    </w:p>
    <w:p w:rsidR="00B56E9C" w:rsidRDefault="00B56E9C" w:rsidP="00B56E9C">
      <w:pPr>
        <w:pStyle w:val="HeadingBoldBlue"/>
      </w:pPr>
      <w:bookmarkStart w:id="26" w:name="_Toc433299178"/>
      <w:r>
        <w:t>Intra</w:t>
      </w:r>
      <w:r>
        <w:noBreakHyphen/>
        <w:t>period adjustment to</w:t>
      </w:r>
      <w:r w:rsidR="00D926D1">
        <w:t xml:space="preserve"> the</w:t>
      </w:r>
      <w:r>
        <w:t xml:space="preserve"> </w:t>
      </w:r>
      <w:r w:rsidR="00AB690E">
        <w:t>weighted average cost of capital</w:t>
      </w:r>
      <w:bookmarkEnd w:id="26"/>
    </w:p>
    <w:p w:rsidR="00B56E9C" w:rsidRDefault="007B5428" w:rsidP="00B56E9C">
      <w:r>
        <w:t>As per our</w:t>
      </w:r>
      <w:r w:rsidR="00482438">
        <w:t xml:space="preserve"> preliminary</w:t>
      </w:r>
      <w:r w:rsidR="00B56E9C">
        <w:t xml:space="preserve"> decision, changes to the </w:t>
      </w:r>
      <w:r w:rsidR="006F6D3B">
        <w:t xml:space="preserve">TAR </w:t>
      </w:r>
      <w:r w:rsidR="00B56E9C">
        <w:t xml:space="preserve">resulting from the trailing </w:t>
      </w:r>
      <w:r w:rsidR="00B56E9C" w:rsidRPr="00B56E9C">
        <w:t xml:space="preserve">average cost of debt update </w:t>
      </w:r>
      <w:r w:rsidR="00195941">
        <w:t>will</w:t>
      </w:r>
      <w:r w:rsidR="00B56E9C" w:rsidRPr="00B56E9C">
        <w:t xml:space="preserve"> be implemented through</w:t>
      </w:r>
      <w:r w:rsidR="006F6D3B">
        <w:t xml:space="preserve"> annual</w:t>
      </w:r>
      <w:r w:rsidR="00B56E9C" w:rsidRPr="00B56E9C">
        <w:t xml:space="preserve"> re</w:t>
      </w:r>
      <w:r w:rsidR="006F6D3B">
        <w:t>visions to</w:t>
      </w:r>
      <w:r w:rsidR="00B56E9C" w:rsidRPr="00B56E9C">
        <w:t xml:space="preserve"> the X</w:t>
      </w:r>
      <w:r w:rsidR="006F6D3B">
        <w:t> </w:t>
      </w:r>
      <w:r w:rsidR="00B56E9C" w:rsidRPr="00B56E9C">
        <w:t>factors.</w:t>
      </w:r>
      <w:r w:rsidR="00566A3A" w:rsidRPr="00B56E9C" w:rsidDel="00566A3A">
        <w:t xml:space="preserve"> </w:t>
      </w:r>
      <w:r w:rsidR="00113CB1">
        <w:t>Further discussion on this adjustment can be found in a</w:t>
      </w:r>
      <w:r w:rsidR="00B56E9C" w:rsidRPr="00B56E9C">
        <w:t>ttachment 3—rate of return—</w:t>
      </w:r>
      <w:r w:rsidR="00113CB1">
        <w:t xml:space="preserve">which </w:t>
      </w:r>
      <w:r w:rsidR="00B56E9C" w:rsidRPr="00B56E9C">
        <w:t>discusses the WACC annual adjustment</w:t>
      </w:r>
      <w:r w:rsidR="00113CB1">
        <w:t xml:space="preserve"> and a</w:t>
      </w:r>
      <w:r w:rsidR="00B56E9C" w:rsidRPr="00B56E9C">
        <w:t>ttachment</w:t>
      </w:r>
      <w:r w:rsidR="00B56E9C">
        <w:t> </w:t>
      </w:r>
      <w:r w:rsidR="00B56E9C" w:rsidRPr="00B56E9C">
        <w:t>1—annual revenue requirement—</w:t>
      </w:r>
      <w:r w:rsidR="00113CB1">
        <w:t xml:space="preserve">which </w:t>
      </w:r>
      <w:r w:rsidR="00B56E9C" w:rsidRPr="00B56E9C">
        <w:t>details issues relating to X</w:t>
      </w:r>
      <w:r w:rsidR="006F6D3B">
        <w:t> </w:t>
      </w:r>
      <w:r w:rsidR="00B56E9C" w:rsidRPr="00B56E9C">
        <w:t>factors.</w:t>
      </w:r>
    </w:p>
    <w:p w:rsidR="00BA19BA" w:rsidRDefault="00D15F6F" w:rsidP="00D15F6F">
      <w:pPr>
        <w:pStyle w:val="HeadingBoldBlue"/>
      </w:pPr>
      <w:bookmarkStart w:id="27" w:name="_Toc433299179"/>
      <w:r>
        <w:t>Incentive scheme adjustments (I</w:t>
      </w:r>
      <w:r w:rsidR="00314AAE">
        <w:t> </w:t>
      </w:r>
      <w:r>
        <w:t>factor)</w:t>
      </w:r>
      <w:bookmarkEnd w:id="27"/>
    </w:p>
    <w:p w:rsidR="001E4557" w:rsidRPr="001E4557" w:rsidRDefault="00EF3277" w:rsidP="001E4557">
      <w:r>
        <w:t>T</w:t>
      </w:r>
      <w:r w:rsidR="007B5428">
        <w:t>he I</w:t>
      </w:r>
      <w:r w:rsidR="00314AAE">
        <w:t> </w:t>
      </w:r>
      <w:r w:rsidR="007B5428">
        <w:t xml:space="preserve">factor will include </w:t>
      </w:r>
      <w:r w:rsidR="001E4557">
        <w:t xml:space="preserve">the final </w:t>
      </w:r>
      <w:r w:rsidR="007B5428">
        <w:t xml:space="preserve">carryover amount </w:t>
      </w:r>
      <w:r w:rsidR="001E4557">
        <w:t>from</w:t>
      </w:r>
      <w:r w:rsidR="007B5428" w:rsidRPr="007B5428">
        <w:t xml:space="preserve"> the </w:t>
      </w:r>
      <w:r w:rsidR="00AA53B7">
        <w:t xml:space="preserve">conclusion of the </w:t>
      </w:r>
      <w:r w:rsidR="0075323B">
        <w:t>demand management incentive s</w:t>
      </w:r>
      <w:r w:rsidR="001E4557">
        <w:t>cheme</w:t>
      </w:r>
      <w:r w:rsidR="002B271B">
        <w:t xml:space="preserve"> (DMIS)</w:t>
      </w:r>
      <w:r w:rsidR="001E4557">
        <w:t xml:space="preserve"> applied to Ergon Energy</w:t>
      </w:r>
      <w:r w:rsidR="007B5428" w:rsidRPr="007B5428">
        <w:t xml:space="preserve"> in the 2010–15 </w:t>
      </w:r>
      <w:r w:rsidR="007B5428" w:rsidRPr="007B5428">
        <w:lastRenderedPageBreak/>
        <w:t>regulatory control period</w:t>
      </w:r>
      <w:r w:rsidR="001E4557">
        <w:t>.</w:t>
      </w:r>
      <w:r w:rsidR="001E4557">
        <w:rPr>
          <w:rStyle w:val="FootnoteReference"/>
        </w:rPr>
        <w:footnoteReference w:id="15"/>
      </w:r>
      <w:r w:rsidR="001E4557">
        <w:t xml:space="preserve"> </w:t>
      </w:r>
      <w:r w:rsidR="00AA53B7">
        <w:t xml:space="preserve">This amount is not known at the time of making the </w:t>
      </w:r>
      <w:r w:rsidR="006F6D3B">
        <w:t>final decision</w:t>
      </w:r>
      <w:r w:rsidR="00AA53B7">
        <w:t xml:space="preserve"> and must therefore be applied via the control mechanism. Specifically, t</w:t>
      </w:r>
      <w:r w:rsidR="001E4557" w:rsidRPr="001E4557">
        <w:t>he DMIS adjustment includes:</w:t>
      </w:r>
    </w:p>
    <w:p w:rsidR="001E4557" w:rsidRPr="001E4557" w:rsidRDefault="001E4557" w:rsidP="001E4557">
      <w:pPr>
        <w:pStyle w:val="AERbulletlistfirststyle"/>
      </w:pPr>
      <w:r w:rsidRPr="001E4557">
        <w:t xml:space="preserve">any amount of </w:t>
      </w:r>
      <w:r w:rsidR="00AA53B7">
        <w:t xml:space="preserve">the </w:t>
      </w:r>
      <w:r w:rsidRPr="001E4557">
        <w:t>allowance unspent or not approved</w:t>
      </w:r>
      <w:r w:rsidR="00D926D1">
        <w:t xml:space="preserve"> by the AER</w:t>
      </w:r>
      <w:r w:rsidRPr="001E4557">
        <w:t xml:space="preserve"> over the period</w:t>
      </w:r>
    </w:p>
    <w:p w:rsidR="001E4557" w:rsidRPr="001E4557" w:rsidRDefault="001E4557" w:rsidP="001E4557">
      <w:pPr>
        <w:pStyle w:val="AERbulletlistfirststyle"/>
      </w:pPr>
      <w:r w:rsidRPr="001E4557">
        <w:t>the time value of money accrued</w:t>
      </w:r>
      <w:r w:rsidR="00AA53B7">
        <w:t xml:space="preserve"> or </w:t>
      </w:r>
      <w:r w:rsidRPr="001E4557">
        <w:t>lost as a result of the expenditure profile selected by the distributor</w:t>
      </w:r>
      <w:r w:rsidR="00082088">
        <w:t>.</w:t>
      </w:r>
      <w:r w:rsidR="00082088">
        <w:rPr>
          <w:rStyle w:val="FootnoteReference"/>
        </w:rPr>
        <w:footnoteReference w:id="16"/>
      </w:r>
    </w:p>
    <w:p w:rsidR="00E66EDE" w:rsidRDefault="00195941" w:rsidP="001E4557">
      <w:r>
        <w:t>T</w:t>
      </w:r>
      <w:r w:rsidR="001E4557">
        <w:t xml:space="preserve">his adjustment will </w:t>
      </w:r>
      <w:r w:rsidR="00F01E1C">
        <w:t>be</w:t>
      </w:r>
      <w:r w:rsidR="008804C9">
        <w:t xml:space="preserve"> calculated</w:t>
      </w:r>
      <w:r w:rsidR="00AA53B7">
        <w:t xml:space="preserve"> by Ergon Energy </w:t>
      </w:r>
      <w:r w:rsidR="008804C9">
        <w:t>using the method set out in the DMIS and</w:t>
      </w:r>
      <w:r w:rsidR="008C7664">
        <w:t xml:space="preserve"> </w:t>
      </w:r>
      <w:r w:rsidR="00AA53B7">
        <w:t>added or deducted from</w:t>
      </w:r>
      <w:r w:rsidR="00F01E1C">
        <w:t xml:space="preserve"> the TAR </w:t>
      </w:r>
      <w:r w:rsidR="001E4557">
        <w:t xml:space="preserve">in </w:t>
      </w:r>
      <w:r w:rsidR="00AA53B7">
        <w:t xml:space="preserve">its </w:t>
      </w:r>
      <w:r w:rsidR="001E4557">
        <w:t xml:space="preserve">2016–17 </w:t>
      </w:r>
      <w:r w:rsidR="00F01E1C">
        <w:t>pricing proposal.</w:t>
      </w:r>
      <w:r w:rsidR="00AA53B7">
        <w:t xml:space="preserve"> </w:t>
      </w:r>
      <w:r w:rsidR="009F0D15">
        <w:t>We</w:t>
      </w:r>
      <w:r w:rsidR="00AA53B7">
        <w:t xml:space="preserve"> will approve these amounts as part of </w:t>
      </w:r>
      <w:r w:rsidR="009F0D15">
        <w:t>our</w:t>
      </w:r>
      <w:r w:rsidR="00AA53B7">
        <w:t xml:space="preserve"> assessment of that pricing proposal</w:t>
      </w:r>
      <w:r w:rsidR="009F0D15">
        <w:t>.</w:t>
      </w:r>
    </w:p>
    <w:p w:rsidR="00A5446B" w:rsidRDefault="007B5428" w:rsidP="00151A23">
      <w:r>
        <w:t>However, w</w:t>
      </w:r>
      <w:r w:rsidR="00240DCE">
        <w:t xml:space="preserve">e do not accept Ergon Energy's proposal to include </w:t>
      </w:r>
      <w:r w:rsidR="00F103AD">
        <w:t>in the I</w:t>
      </w:r>
      <w:r w:rsidR="00314AAE">
        <w:t> </w:t>
      </w:r>
      <w:r w:rsidR="00F103AD">
        <w:t>factor</w:t>
      </w:r>
      <w:r w:rsidR="00F103AD" w:rsidRPr="00240DCE">
        <w:t xml:space="preserve"> </w:t>
      </w:r>
      <w:r w:rsidR="00240DCE" w:rsidRPr="00240DCE">
        <w:t xml:space="preserve">any </w:t>
      </w:r>
      <w:r w:rsidR="00EF3277">
        <w:t xml:space="preserve">amount related to </w:t>
      </w:r>
      <w:r w:rsidR="003D5D83">
        <w:t>service target performance incentive s</w:t>
      </w:r>
      <w:r w:rsidR="00EF3277" w:rsidRPr="00240DCE">
        <w:t xml:space="preserve">cheme </w:t>
      </w:r>
      <w:r w:rsidR="00EF3277">
        <w:t>rewards or penalties</w:t>
      </w:r>
      <w:r w:rsidR="00F103AD">
        <w:t>.</w:t>
      </w:r>
      <w:r w:rsidR="00F103AD">
        <w:rPr>
          <w:rStyle w:val="FootnoteReference"/>
        </w:rPr>
        <w:footnoteReference w:id="17"/>
      </w:r>
      <w:r w:rsidR="00A5446B">
        <w:t xml:space="preserve"> </w:t>
      </w:r>
      <w:r w:rsidR="00AF2CEA">
        <w:t xml:space="preserve">Although Ergon Energy considered that adjusting </w:t>
      </w:r>
      <w:r w:rsidR="00FF366D">
        <w:t xml:space="preserve">revenue </w:t>
      </w:r>
      <w:r w:rsidR="00AF2CEA">
        <w:t>by a dollar amount is administratively simpl</w:t>
      </w:r>
      <w:r w:rsidR="00AB690E">
        <w:t>e</w:t>
      </w:r>
      <w:r w:rsidR="00AF2CEA">
        <w:t>,</w:t>
      </w:r>
      <w:r w:rsidR="00AF2CEA">
        <w:rPr>
          <w:rStyle w:val="FootnoteReference"/>
        </w:rPr>
        <w:footnoteReference w:id="18"/>
      </w:r>
      <w:r w:rsidR="00AF2CEA">
        <w:t xml:space="preserve"> </w:t>
      </w:r>
      <w:r w:rsidR="00306E2B">
        <w:t>t</w:t>
      </w:r>
      <w:r w:rsidR="00AF2CEA">
        <w:t xml:space="preserve">his </w:t>
      </w:r>
      <w:r w:rsidR="00A5446B">
        <w:t>approach</w:t>
      </w:r>
      <w:r w:rsidR="006E69AD">
        <w:t xml:space="preserve"> </w:t>
      </w:r>
      <w:r w:rsidR="00A5446B">
        <w:t xml:space="preserve">is inconsistent with the </w:t>
      </w:r>
      <w:r w:rsidR="00AB690E">
        <w:t>service scheme</w:t>
      </w:r>
      <w:r w:rsidR="00A5446B">
        <w:t xml:space="preserve">. The </w:t>
      </w:r>
      <w:r w:rsidR="00AA53B7">
        <w:t xml:space="preserve">scheme </w:t>
      </w:r>
      <w:r w:rsidR="00A5446B">
        <w:t xml:space="preserve">states </w:t>
      </w:r>
      <w:r w:rsidR="00AB690E">
        <w:t xml:space="preserve">that </w:t>
      </w:r>
      <w:r w:rsidR="00A5446B">
        <w:t xml:space="preserve">the </w:t>
      </w:r>
      <w:r w:rsidR="00FF366D">
        <w:t>TAR</w:t>
      </w:r>
      <w:r w:rsidR="00A5446B">
        <w:t xml:space="preserve"> will be adjusted by an </w:t>
      </w:r>
      <w:r w:rsidR="00151A23" w:rsidRPr="00151A23">
        <w:rPr>
          <w:rStyle w:val="AERbody"/>
        </w:rPr>
        <w:t>S</w:t>
      </w:r>
      <w:r w:rsidR="00314AAE">
        <w:rPr>
          <w:rStyle w:val="AERbody"/>
        </w:rPr>
        <w:t> </w:t>
      </w:r>
      <w:r w:rsidR="00151A23" w:rsidRPr="00151A23">
        <w:rPr>
          <w:rStyle w:val="AERbody"/>
        </w:rPr>
        <w:t>factor</w:t>
      </w:r>
      <w:r w:rsidR="00A5446B" w:rsidRPr="00151A23">
        <w:rPr>
          <w:rStyle w:val="AERbody"/>
        </w:rPr>
        <w:t>,</w:t>
      </w:r>
      <w:r w:rsidR="00A5446B">
        <w:t xml:space="preserve"> expressed as a </w:t>
      </w:r>
      <w:r w:rsidR="00A5446B" w:rsidRPr="003B4E8C">
        <w:rPr>
          <w:rStyle w:val="AERtextitalic"/>
        </w:rPr>
        <w:t>percentage change</w:t>
      </w:r>
      <w:r w:rsidR="00A5446B">
        <w:t xml:space="preserve"> in revenue, which is incorporated into the control mechanism.</w:t>
      </w:r>
      <w:r w:rsidR="00A5446B">
        <w:rPr>
          <w:rStyle w:val="FootnoteReference"/>
        </w:rPr>
        <w:footnoteReference w:id="19"/>
      </w:r>
      <w:r w:rsidR="00155310">
        <w:t xml:space="preserve"> Specifically, it</w:t>
      </w:r>
      <w:r w:rsidR="00306E2B">
        <w:t xml:space="preserve"> states:</w:t>
      </w:r>
    </w:p>
    <w:p w:rsidR="00306E2B" w:rsidRDefault="00306E2B" w:rsidP="00306E2B">
      <w:pPr>
        <w:pStyle w:val="AERquote"/>
      </w:pPr>
      <w:r>
        <w:t xml:space="preserve">The </w:t>
      </w:r>
      <w:r w:rsidRPr="00306E2B">
        <w:rPr>
          <w:rStyle w:val="AERtextitalic"/>
        </w:rPr>
        <w:t>s</w:t>
      </w:r>
      <w:r w:rsidRPr="00306E2B">
        <w:rPr>
          <w:rStyle w:val="AERtextitalic"/>
        </w:rPr>
        <w:noBreakHyphen/>
        <w:t>factor</w:t>
      </w:r>
      <w:r>
        <w:t xml:space="preserve"> is added to the control mechanism in the following way. The </w:t>
      </w:r>
      <w:r w:rsidRPr="00306E2B">
        <w:rPr>
          <w:rStyle w:val="AERtextitalic"/>
        </w:rPr>
        <w:t>s</w:t>
      </w:r>
      <w:r w:rsidRPr="00306E2B">
        <w:rPr>
          <w:rStyle w:val="AERtextitalic"/>
        </w:rPr>
        <w:noBreakHyphen/>
        <w:t>factor</w:t>
      </w:r>
      <w:r>
        <w:t xml:space="preserve"> is incorporated into the general form of a control mechanism as another multiplier, alongside the </w:t>
      </w:r>
      <w:r w:rsidRPr="00306E2B">
        <w:rPr>
          <w:rStyle w:val="AERtextitalic"/>
        </w:rPr>
        <w:t xml:space="preserve">CPI </w:t>
      </w:r>
      <w:r>
        <w:t>minus X adjustments to the revenue…</w:t>
      </w:r>
      <w:r>
        <w:rPr>
          <w:rStyle w:val="FootnoteReference"/>
        </w:rPr>
        <w:footnoteReference w:id="20"/>
      </w:r>
    </w:p>
    <w:p w:rsidR="000F1112" w:rsidRDefault="000F1112" w:rsidP="00306E2B">
      <w:r>
        <w:t>Therefore,</w:t>
      </w:r>
      <w:r w:rsidR="006D3584">
        <w:t xml:space="preserve"> consistent with the </w:t>
      </w:r>
      <w:r w:rsidR="00AB690E">
        <w:t>scheme</w:t>
      </w:r>
      <w:r w:rsidR="006D3584">
        <w:t>,</w:t>
      </w:r>
      <w:r>
        <w:t xml:space="preserve"> </w:t>
      </w:r>
      <w:r w:rsidR="00FF366D">
        <w:t>our final decision is to include an</w:t>
      </w:r>
      <w:r w:rsidR="00E52186">
        <w:t xml:space="preserve"> </w:t>
      </w:r>
      <w:r w:rsidR="00FF366D">
        <w:t>S</w:t>
      </w:r>
      <w:r w:rsidR="00314AAE">
        <w:t> </w:t>
      </w:r>
      <w:r w:rsidR="00FF366D">
        <w:t xml:space="preserve">factor in the </w:t>
      </w:r>
      <w:r w:rsidR="00E52186">
        <w:t>revenue cap formulae</w:t>
      </w:r>
      <w:r w:rsidR="00AB690E">
        <w:t xml:space="preserve"> such that a percentage adjustment, rather than a dollar adjustment, will be made to the total annual revenue</w:t>
      </w:r>
      <w:r w:rsidR="00FF366D">
        <w:t>.</w:t>
      </w:r>
      <w:r>
        <w:rPr>
          <w:rStyle w:val="FootnoteReference"/>
        </w:rPr>
        <w:footnoteReference w:id="21"/>
      </w:r>
    </w:p>
    <w:p w:rsidR="00306E2B" w:rsidRPr="00306E2B" w:rsidRDefault="00151A23" w:rsidP="00306E2B">
      <w:r>
        <w:t xml:space="preserve">Ergon Energy </w:t>
      </w:r>
      <w:r w:rsidR="001A6CBB">
        <w:t xml:space="preserve">also considered there was some uncertainty </w:t>
      </w:r>
      <w:r w:rsidR="000C389E">
        <w:t>i</w:t>
      </w:r>
      <w:r w:rsidR="001A6CBB">
        <w:t>n how the true</w:t>
      </w:r>
      <w:r w:rsidR="001A6CBB">
        <w:noBreakHyphen/>
        <w:t xml:space="preserve">up of revenue adjustments from the </w:t>
      </w:r>
      <w:r w:rsidR="00AB690E">
        <w:t xml:space="preserve">service scheme </w:t>
      </w:r>
      <w:r w:rsidR="001A6CBB">
        <w:t>would be accounted for across regulatory years.</w:t>
      </w:r>
      <w:r w:rsidR="001A6CBB">
        <w:rPr>
          <w:rStyle w:val="FootnoteReference"/>
        </w:rPr>
        <w:footnoteReference w:id="22"/>
      </w:r>
      <w:r w:rsidR="001A6CBB">
        <w:t xml:space="preserve"> This was part of Ergon Energy's reasoning for including a one</w:t>
      </w:r>
      <w:r w:rsidR="001A6CBB">
        <w:softHyphen/>
      </w:r>
      <w:r w:rsidR="001A6CBB">
        <w:noBreakHyphen/>
        <w:t xml:space="preserve">off </w:t>
      </w:r>
      <w:r w:rsidR="001A6CBB">
        <w:lastRenderedPageBreak/>
        <w:t>adjustment component in the C</w:t>
      </w:r>
      <w:r w:rsidR="00314AAE">
        <w:t> </w:t>
      </w:r>
      <w:r w:rsidR="001A6CBB">
        <w:t xml:space="preserve">factor—discussed below. However, the </w:t>
      </w:r>
      <w:r w:rsidR="00AB690E">
        <w:t xml:space="preserve">service scheme's </w:t>
      </w:r>
      <w:r w:rsidR="00C46FD3">
        <w:t>method for</w:t>
      </w:r>
      <w:r w:rsidR="00395821">
        <w:t xml:space="preserve"> calculating the S</w:t>
      </w:r>
      <w:r w:rsidR="00314AAE">
        <w:t> </w:t>
      </w:r>
      <w:r w:rsidR="00395821">
        <w:t>factor</w:t>
      </w:r>
      <w:r w:rsidR="006E69AD">
        <w:t xml:space="preserve"> already </w:t>
      </w:r>
      <w:r w:rsidR="00395821">
        <w:t xml:space="preserve">accounts </w:t>
      </w:r>
      <w:r w:rsidR="000F1112">
        <w:t>for</w:t>
      </w:r>
      <w:r w:rsidR="006E69AD">
        <w:t xml:space="preserve"> true</w:t>
      </w:r>
      <w:r w:rsidR="006E69AD">
        <w:noBreakHyphen/>
        <w:t>up</w:t>
      </w:r>
      <w:r w:rsidR="000F1112">
        <w:t xml:space="preserve"> </w:t>
      </w:r>
      <w:r w:rsidR="00836B20">
        <w:t>adjustments fr</w:t>
      </w:r>
      <w:r w:rsidR="006E69AD">
        <w:t>om one regulatory year</w:t>
      </w:r>
      <w:r w:rsidR="00836B20">
        <w:t xml:space="preserve"> to th</w:t>
      </w:r>
      <w:r w:rsidR="006E69AD">
        <w:t>e next</w:t>
      </w:r>
      <w:r w:rsidR="0098449E">
        <w:t>,</w:t>
      </w:r>
      <w:r w:rsidR="006E69AD">
        <w:t xml:space="preserve"> including across regulatory control periods</w:t>
      </w:r>
      <w:r w:rsidR="00836B20">
        <w:t>.</w:t>
      </w:r>
      <w:r w:rsidR="006E69AD">
        <w:t xml:space="preserve"> </w:t>
      </w:r>
      <w:r w:rsidR="000F1112">
        <w:t xml:space="preserve">Therefore, no additional adjustment </w:t>
      </w:r>
      <w:r w:rsidR="00AB690E">
        <w:t xml:space="preserve">of the kind sought by Ergon Energy </w:t>
      </w:r>
      <w:r w:rsidR="000F1112">
        <w:t xml:space="preserve">is required </w:t>
      </w:r>
      <w:r w:rsidR="00395821">
        <w:t xml:space="preserve">to address </w:t>
      </w:r>
      <w:r w:rsidR="00AB690E">
        <w:t xml:space="preserve">service scheme </w:t>
      </w:r>
      <w:r w:rsidR="0098449E">
        <w:t>related adjustments</w:t>
      </w:r>
      <w:r w:rsidR="00395821">
        <w:t>.</w:t>
      </w:r>
    </w:p>
    <w:p w:rsidR="00A72AFA" w:rsidRDefault="00A72AFA" w:rsidP="00A72AFA">
      <w:r>
        <w:t>The</w:t>
      </w:r>
      <w:r w:rsidR="00AB690E">
        <w:t xml:space="preserve"> service target performance incentive scheme</w:t>
      </w:r>
      <w:r>
        <w:t xml:space="preserve"> applying</w:t>
      </w:r>
      <w:r w:rsidRPr="00827BE1">
        <w:t xml:space="preserve"> to Ergon Energy in the 2015–20 regulatory control p</w:t>
      </w:r>
      <w:r>
        <w:t>eriod is discussed in attachment 11</w:t>
      </w:r>
      <w:r w:rsidR="0036422C">
        <w:t xml:space="preserve"> </w:t>
      </w:r>
      <w:r w:rsidR="0036422C">
        <w:rPr>
          <w:rFonts w:cs="Arial"/>
        </w:rPr>
        <w:t>─</w:t>
      </w:r>
      <w:r w:rsidR="0036422C">
        <w:t xml:space="preserve"> STPIS</w:t>
      </w:r>
      <w:r>
        <w:t>.</w:t>
      </w:r>
    </w:p>
    <w:p w:rsidR="00932C9F" w:rsidRDefault="000C389E" w:rsidP="00A72AFA">
      <w:r>
        <w:t>T</w:t>
      </w:r>
      <w:r w:rsidR="00E66EDE">
        <w:t>he Queensland Farmers' Federation stated we should specifically investigate Ergon Energy's proposed carryovers from incentive schemes.</w:t>
      </w:r>
      <w:r w:rsidR="00E66EDE">
        <w:rPr>
          <w:rStyle w:val="FootnoteReference"/>
        </w:rPr>
        <w:footnoteReference w:id="23"/>
      </w:r>
      <w:r w:rsidR="009B1144">
        <w:t xml:space="preserve"> We consider our ongoing assessment of the distributors' performance against the schemes already includes a</w:t>
      </w:r>
      <w:r w:rsidR="00F806F4">
        <w:t>n</w:t>
      </w:r>
      <w:r w:rsidR="009B1144">
        <w:t xml:space="preserve"> </w:t>
      </w:r>
      <w:r w:rsidR="00F806F4">
        <w:t xml:space="preserve">appropriate </w:t>
      </w:r>
      <w:r w:rsidR="00932C9F">
        <w:t>level of</w:t>
      </w:r>
      <w:r w:rsidR="009B1144">
        <w:t xml:space="preserve"> investigation</w:t>
      </w:r>
      <w:r w:rsidR="00932C9F">
        <w:t>. We also consider our final decision on the application of the I factor and S factor will provide stakeholders with transparency of carryover amounts which will be included in Ergon Energy's annual pricing proposals.</w:t>
      </w:r>
    </w:p>
    <w:p w:rsidR="00D15F6F" w:rsidRDefault="00D15F6F" w:rsidP="00D15F6F">
      <w:pPr>
        <w:pStyle w:val="HeadingBoldBlue"/>
      </w:pPr>
      <w:bookmarkStart w:id="28" w:name="_Toc433299180"/>
      <w:r>
        <w:t>Annual adjustments (B</w:t>
      </w:r>
      <w:r w:rsidR="00314AAE">
        <w:t> </w:t>
      </w:r>
      <w:r>
        <w:t>factor)</w:t>
      </w:r>
      <w:bookmarkEnd w:id="28"/>
    </w:p>
    <w:p w:rsidR="00827BE1" w:rsidRDefault="00C46FD3" w:rsidP="00827BE1">
      <w:r>
        <w:t>As per our preliminary dec</w:t>
      </w:r>
      <w:r w:rsidR="005C2119">
        <w:t>ision,</w:t>
      </w:r>
      <w:r w:rsidR="00836B20" w:rsidRPr="00836B20">
        <w:t xml:space="preserve"> </w:t>
      </w:r>
      <w:r w:rsidR="00836B20">
        <w:t>the B</w:t>
      </w:r>
      <w:r w:rsidR="00314AAE">
        <w:t> </w:t>
      </w:r>
      <w:r w:rsidR="00836B20">
        <w:t xml:space="preserve">factor will include </w:t>
      </w:r>
      <w:r w:rsidR="00896EBE">
        <w:t>adjustments</w:t>
      </w:r>
      <w:r w:rsidR="00836B20">
        <w:t xml:space="preserve"> to</w:t>
      </w:r>
      <w:r w:rsidR="00896EBE">
        <w:t xml:space="preserve"> true</w:t>
      </w:r>
      <w:r w:rsidR="00896EBE">
        <w:noBreakHyphen/>
        <w:t>up any</w:t>
      </w:r>
      <w:r w:rsidR="00836B20">
        <w:t xml:space="preserve"> under or over recovery of revenues </w:t>
      </w:r>
      <w:r w:rsidR="00AB690E">
        <w:t xml:space="preserve">in respect of </w:t>
      </w:r>
      <w:r w:rsidR="00836B20">
        <w:t xml:space="preserve">capital contributions and shared assets </w:t>
      </w:r>
      <w:r w:rsidR="00896EBE">
        <w:t>in</w:t>
      </w:r>
      <w:r w:rsidR="00836B20">
        <w:t xml:space="preserve"> 2013–14 and 2014–15.</w:t>
      </w:r>
      <w:r w:rsidR="00836B20">
        <w:rPr>
          <w:rStyle w:val="FootnoteReference"/>
        </w:rPr>
        <w:footnoteReference w:id="24"/>
      </w:r>
      <w:r w:rsidR="005C2119">
        <w:t xml:space="preserve"> We note this </w:t>
      </w:r>
      <w:r w:rsidR="00792F16">
        <w:t xml:space="preserve">adjustment </w:t>
      </w:r>
      <w:r w:rsidR="005C2119">
        <w:t>relates to obligations under the transitional rules.</w:t>
      </w:r>
      <w:r w:rsidR="005C2119">
        <w:rPr>
          <w:rStyle w:val="FootnoteReference"/>
        </w:rPr>
        <w:footnoteReference w:id="25"/>
      </w:r>
    </w:p>
    <w:p w:rsidR="005C2119" w:rsidRDefault="00896EBE" w:rsidP="00D42ACD">
      <w:r>
        <w:t>W</w:t>
      </w:r>
      <w:r w:rsidR="00A2063E" w:rsidRPr="00A5446B">
        <w:t>e have</w:t>
      </w:r>
      <w:r w:rsidR="00545A40">
        <w:t xml:space="preserve"> also</w:t>
      </w:r>
      <w:r w:rsidR="00A2063E" w:rsidRPr="00A5446B">
        <w:t xml:space="preserve"> amended </w:t>
      </w:r>
      <w:r w:rsidR="00A2063E">
        <w:t>the</w:t>
      </w:r>
      <w:r w:rsidR="00A2063E" w:rsidRPr="00A5446B">
        <w:t xml:space="preserve"> </w:t>
      </w:r>
      <w:r w:rsidR="00A2063E">
        <w:t>B</w:t>
      </w:r>
      <w:r w:rsidR="00314AAE">
        <w:t> </w:t>
      </w:r>
      <w:r w:rsidR="00A2063E">
        <w:t xml:space="preserve">factor since our preliminary decision to </w:t>
      </w:r>
      <w:r w:rsidR="00552DCB">
        <w:t xml:space="preserve">include </w:t>
      </w:r>
      <w:r w:rsidR="006D628F">
        <w:t xml:space="preserve">the </w:t>
      </w:r>
      <w:r w:rsidR="00836B20">
        <w:t>true</w:t>
      </w:r>
      <w:r w:rsidR="00836B20">
        <w:noBreakHyphen/>
      </w:r>
      <w:r w:rsidR="00836B20" w:rsidRPr="00836B20">
        <w:t>up</w:t>
      </w:r>
      <w:r w:rsidR="00B37943">
        <w:t xml:space="preserve"> of any</w:t>
      </w:r>
      <w:r w:rsidR="00836B20" w:rsidRPr="00836B20">
        <w:t xml:space="preserve"> under or over </w:t>
      </w:r>
      <w:r w:rsidR="00997176" w:rsidRPr="00836B20">
        <w:t>recover</w:t>
      </w:r>
      <w:r w:rsidR="00997176">
        <w:t>ies</w:t>
      </w:r>
      <w:r w:rsidR="00997176" w:rsidRPr="00836B20">
        <w:t xml:space="preserve"> </w:t>
      </w:r>
      <w:r w:rsidR="00836B20" w:rsidRPr="00836B20">
        <w:t xml:space="preserve">of </w:t>
      </w:r>
      <w:r w:rsidR="00CF23B6">
        <w:t xml:space="preserve">revenue related to DUoS </w:t>
      </w:r>
      <w:r w:rsidR="00836B20" w:rsidRPr="00836B20">
        <w:t>charges.</w:t>
      </w:r>
      <w:r w:rsidR="00A2063E">
        <w:t xml:space="preserve"> </w:t>
      </w:r>
      <w:r w:rsidR="00F806F4">
        <w:t>However</w:t>
      </w:r>
      <w:r w:rsidR="006D628F">
        <w:t>,</w:t>
      </w:r>
      <w:r w:rsidR="00534ED5">
        <w:t xml:space="preserve"> we do n</w:t>
      </w:r>
      <w:r w:rsidR="00126368">
        <w:t>o</w:t>
      </w:r>
      <w:r w:rsidR="008023A9">
        <w:t xml:space="preserve">t accept </w:t>
      </w:r>
      <w:r w:rsidR="00CF23B6">
        <w:t xml:space="preserve">Ergon Energy's </w:t>
      </w:r>
      <w:r w:rsidR="006D628F">
        <w:t xml:space="preserve">contention that tolerance limits should also </w:t>
      </w:r>
      <w:r w:rsidR="008023A9">
        <w:t>apply to this adjustment</w:t>
      </w:r>
      <w:r w:rsidR="0010091D">
        <w:t>. N</w:t>
      </w:r>
      <w:r w:rsidR="008023A9">
        <w:t xml:space="preserve">or do we accept </w:t>
      </w:r>
      <w:r w:rsidR="00CF23B6">
        <w:t>its</w:t>
      </w:r>
      <w:r w:rsidR="009F0D2F">
        <w:t xml:space="preserve"> proposed</w:t>
      </w:r>
      <w:r w:rsidR="0010091D">
        <w:t xml:space="preserve"> </w:t>
      </w:r>
      <w:r w:rsidR="008023A9">
        <w:t>alternative</w:t>
      </w:r>
      <w:r w:rsidR="0010091D">
        <w:t xml:space="preserve"> method </w:t>
      </w:r>
      <w:r w:rsidR="006D628F">
        <w:t xml:space="preserve">to calculate </w:t>
      </w:r>
      <w:r w:rsidR="0010091D">
        <w:t>this adjustment</w:t>
      </w:r>
      <w:r w:rsidR="000D43C9">
        <w:t xml:space="preserve"> if </w:t>
      </w:r>
      <w:r w:rsidR="0010091D">
        <w:t>we do not accept the</w:t>
      </w:r>
      <w:r w:rsidR="006D3584">
        <w:t xml:space="preserve"> proposed</w:t>
      </w:r>
      <w:r w:rsidR="0010091D">
        <w:t xml:space="preserve"> inclusion of tolerance limits.</w:t>
      </w:r>
      <w:r w:rsidR="00D42ACD">
        <w:t xml:space="preserve"> </w:t>
      </w:r>
      <w:r w:rsidR="00552DCB">
        <w:t>These issues</w:t>
      </w:r>
      <w:r w:rsidR="00D42ACD">
        <w:t xml:space="preserve"> are discussed</w:t>
      </w:r>
      <w:r w:rsidR="00552DCB">
        <w:t xml:space="preserve"> below.</w:t>
      </w:r>
    </w:p>
    <w:p w:rsidR="008023A9" w:rsidRDefault="008023A9" w:rsidP="00827BE1">
      <w:r>
        <w:t>We</w:t>
      </w:r>
      <w:r w:rsidR="00D42ACD">
        <w:t xml:space="preserve"> </w:t>
      </w:r>
      <w:r w:rsidR="00CF23B6">
        <w:t xml:space="preserve">have also amended </w:t>
      </w:r>
      <w:r>
        <w:t xml:space="preserve">the </w:t>
      </w:r>
      <w:r w:rsidR="0010091D">
        <w:t xml:space="preserve">method to calculate the </w:t>
      </w:r>
      <w:r>
        <w:t xml:space="preserve">DUoS </w:t>
      </w:r>
      <w:r w:rsidR="00792F16">
        <w:t>unders and overs</w:t>
      </w:r>
      <w:r>
        <w:t xml:space="preserve"> account </w:t>
      </w:r>
      <w:r w:rsidR="0010091D">
        <w:t xml:space="preserve">due </w:t>
      </w:r>
      <w:r w:rsidR="00D42ACD">
        <w:t>to</w:t>
      </w:r>
      <w:r w:rsidR="00563EAF">
        <w:t xml:space="preserve"> its outcomes being included</w:t>
      </w:r>
      <w:r>
        <w:t xml:space="preserve"> in the B</w:t>
      </w:r>
      <w:r w:rsidR="00314AAE">
        <w:t> </w:t>
      </w:r>
      <w:r>
        <w:t>factor</w:t>
      </w:r>
      <w:r w:rsidR="00104A3B">
        <w:t xml:space="preserve"> and no application of tolerance limits</w:t>
      </w:r>
      <w:r>
        <w:t>. The</w:t>
      </w:r>
      <w:r w:rsidR="00827751">
        <w:t xml:space="preserve"> amended</w:t>
      </w:r>
      <w:r w:rsidR="00076643">
        <w:t xml:space="preserve"> DUoS </w:t>
      </w:r>
      <w:r w:rsidR="00346578">
        <w:t>unders</w:t>
      </w:r>
      <w:r w:rsidR="00076643">
        <w:t xml:space="preserve"> and overs</w:t>
      </w:r>
      <w:r w:rsidR="00346578">
        <w:t xml:space="preserve"> account is </w:t>
      </w:r>
      <w:r>
        <w:t xml:space="preserve">detailed in appendix </w:t>
      </w:r>
      <w:r>
        <w:fldChar w:fldCharType="begin"/>
      </w:r>
      <w:r>
        <w:instrText xml:space="preserve"> REF _Ref428542904 \r \h </w:instrText>
      </w:r>
      <w:r>
        <w:fldChar w:fldCharType="separate"/>
      </w:r>
      <w:r w:rsidR="00C668EE">
        <w:t>A</w:t>
      </w:r>
      <w:r>
        <w:fldChar w:fldCharType="end"/>
      </w:r>
      <w:r>
        <w:t xml:space="preserve"> of this attachment.</w:t>
      </w:r>
    </w:p>
    <w:p w:rsidR="00552DCB" w:rsidRDefault="00552DCB" w:rsidP="00552DCB">
      <w:pPr>
        <w:pStyle w:val="HeadingBoldItalic"/>
      </w:pPr>
      <w:r w:rsidRPr="00552DCB">
        <w:t xml:space="preserve">DUoS </w:t>
      </w:r>
      <w:r>
        <w:t xml:space="preserve">revenue </w:t>
      </w:r>
      <w:r w:rsidRPr="00552DCB">
        <w:t>under and over</w:t>
      </w:r>
      <w:r>
        <w:t> </w:t>
      </w:r>
      <w:r w:rsidRPr="00552DCB">
        <w:t>recovery adjustments</w:t>
      </w:r>
    </w:p>
    <w:p w:rsidR="00F15B8C" w:rsidRDefault="00552DCB" w:rsidP="00421441">
      <w:r>
        <w:t>O</w:t>
      </w:r>
      <w:r w:rsidR="00836B20">
        <w:t>ur preliminary decision</w:t>
      </w:r>
      <w:r w:rsidR="00491EBE">
        <w:t xml:space="preserve"> to</w:t>
      </w:r>
      <w:r w:rsidR="001D2566">
        <w:t xml:space="preserve"> </w:t>
      </w:r>
      <w:r w:rsidR="00997176">
        <w:t>exclude</w:t>
      </w:r>
      <w:r w:rsidR="00B93F6C">
        <w:t xml:space="preserve"> the</w:t>
      </w:r>
      <w:r w:rsidR="00836B20">
        <w:t xml:space="preserve"> </w:t>
      </w:r>
      <w:r w:rsidR="001D2566">
        <w:t>DUoS revenue under and over recovery in the B</w:t>
      </w:r>
      <w:r w:rsidR="00314AAE">
        <w:t> </w:t>
      </w:r>
      <w:r w:rsidR="001D2566">
        <w:t xml:space="preserve">factor was to </w:t>
      </w:r>
      <w:r w:rsidR="00B93F6C">
        <w:t>ensure consistency</w:t>
      </w:r>
      <w:r w:rsidR="001D2566" w:rsidRPr="001D2566">
        <w:t xml:space="preserve"> with the approach in the 2010–15 regulatory control </w:t>
      </w:r>
      <w:r w:rsidR="001D2566" w:rsidRPr="001D2566">
        <w:lastRenderedPageBreak/>
        <w:t>period</w:t>
      </w:r>
      <w:r w:rsidR="001D2566">
        <w:t>.</w:t>
      </w:r>
      <w:r w:rsidR="001D2566">
        <w:rPr>
          <w:rStyle w:val="FootnoteReference"/>
        </w:rPr>
        <w:footnoteReference w:id="26"/>
      </w:r>
      <w:r w:rsidR="006F6D3B">
        <w:t xml:space="preserve"> </w:t>
      </w:r>
      <w:r w:rsidR="0094161F">
        <w:t xml:space="preserve">However, we </w:t>
      </w:r>
      <w:r w:rsidR="00AE0BAF">
        <w:t>acknowledge</w:t>
      </w:r>
      <w:r w:rsidR="0094161F">
        <w:t xml:space="preserve"> this approach </w:t>
      </w:r>
      <w:r w:rsidR="00EB2144">
        <w:t xml:space="preserve">potentially </w:t>
      </w:r>
      <w:r w:rsidR="0094161F">
        <w:t>reduces transparency in the process for setting prices</w:t>
      </w:r>
      <w:r w:rsidR="00D4460C">
        <w:t>. This occurs</w:t>
      </w:r>
      <w:r w:rsidR="00E55479">
        <w:t xml:space="preserve"> </w:t>
      </w:r>
      <w:r w:rsidR="00997176">
        <w:t xml:space="preserve">because </w:t>
      </w:r>
      <w:r w:rsidR="00E55479">
        <w:t>the</w:t>
      </w:r>
      <w:r w:rsidR="00421441">
        <w:t xml:space="preserve"> calculated</w:t>
      </w:r>
      <w:r w:rsidR="00E55479">
        <w:t xml:space="preserve"> TAR is not the total amount of revenue Ergon Energy is allowed to recover from customers. </w:t>
      </w:r>
      <w:r w:rsidR="00421441">
        <w:t>In practice the total amount of revenue would be</w:t>
      </w:r>
      <w:r w:rsidR="0094425C">
        <w:t xml:space="preserve"> determined by the</w:t>
      </w:r>
      <w:r w:rsidR="00421441">
        <w:t xml:space="preserve"> calculated</w:t>
      </w:r>
      <w:r w:rsidR="0094425C">
        <w:t xml:space="preserve"> TAR </w:t>
      </w:r>
      <w:r w:rsidR="0094425C" w:rsidRPr="003B4E8C">
        <w:rPr>
          <w:rStyle w:val="AERtextitalic"/>
        </w:rPr>
        <w:t>plus</w:t>
      </w:r>
      <w:r w:rsidR="0094425C">
        <w:t xml:space="preserve"> an</w:t>
      </w:r>
      <w:r w:rsidR="00792F16">
        <w:t xml:space="preserve"> </w:t>
      </w:r>
      <w:r w:rsidR="000A2431">
        <w:t>a</w:t>
      </w:r>
      <w:r w:rsidR="0094425C">
        <w:t>djustment</w:t>
      </w:r>
      <w:r w:rsidR="000A2431">
        <w:t xml:space="preserve"> for</w:t>
      </w:r>
      <w:r w:rsidR="00F15B8C">
        <w:t xml:space="preserve"> the amount calculated in the DUoS unders and overs account.</w:t>
      </w:r>
      <w:r w:rsidR="000A2431">
        <w:t xml:space="preserve"> </w:t>
      </w:r>
      <w:r w:rsidR="00997176">
        <w:t>Such an</w:t>
      </w:r>
      <w:r w:rsidR="003A511C">
        <w:t xml:space="preserve"> approach </w:t>
      </w:r>
      <w:r w:rsidR="000A2431">
        <w:t>can mislead c</w:t>
      </w:r>
      <w:r w:rsidR="00455ACF">
        <w:t>u</w:t>
      </w:r>
      <w:r w:rsidR="000A2431">
        <w:t>s</w:t>
      </w:r>
      <w:r w:rsidR="00455ACF">
        <w:t>to</w:t>
      </w:r>
      <w:r w:rsidR="000A2431">
        <w:t>mers and stakeholders</w:t>
      </w:r>
      <w:r w:rsidR="00997176">
        <w:t>,</w:t>
      </w:r>
      <w:r w:rsidR="000A2431">
        <w:t xml:space="preserve"> </w:t>
      </w:r>
      <w:r w:rsidR="004A0100">
        <w:t xml:space="preserve">as it is not transparent as to why </w:t>
      </w:r>
      <w:r w:rsidR="000A2431">
        <w:t>Ergon Energy is allowed to recover more revenue than the TAR.</w:t>
      </w:r>
      <w:r w:rsidR="006132D9">
        <w:t xml:space="preserve"> We note the Queensland Farmers' Federation indicated a desire for greater transparency in the recovery of under or over recovered revenues from DUoS charges.</w:t>
      </w:r>
      <w:r w:rsidR="006132D9">
        <w:rPr>
          <w:rStyle w:val="FootnoteReference"/>
        </w:rPr>
        <w:footnoteReference w:id="27"/>
      </w:r>
    </w:p>
    <w:p w:rsidR="00A72AFA" w:rsidRDefault="00997176" w:rsidP="0094161F">
      <w:r>
        <w:t>To overcome this</w:t>
      </w:r>
      <w:r w:rsidR="00B81211">
        <w:t xml:space="preserve"> issue, we requested Ergon Energy to include an additional DUoS factor in the revenue cap formula in its 2015–16 pricing proposal to make this adjustment to the TAR.</w:t>
      </w:r>
      <w:r w:rsidR="00B81211">
        <w:rPr>
          <w:rStyle w:val="FootnoteReference"/>
        </w:rPr>
        <w:footnoteReference w:id="28"/>
      </w:r>
      <w:r w:rsidR="00B81211">
        <w:t xml:space="preserve"> However, for our final decision we consider </w:t>
      </w:r>
      <w:r>
        <w:t>a</w:t>
      </w:r>
      <w:r w:rsidR="00E55479">
        <w:t xml:space="preserve"> more </w:t>
      </w:r>
      <w:r w:rsidR="000D43C9">
        <w:t xml:space="preserve">transparent </w:t>
      </w:r>
      <w:r w:rsidR="00E55479">
        <w:t xml:space="preserve">approach </w:t>
      </w:r>
      <w:r w:rsidR="00C16FBD">
        <w:t>is</w:t>
      </w:r>
      <w:r w:rsidR="003A511C">
        <w:t xml:space="preserve"> to include</w:t>
      </w:r>
      <w:r w:rsidR="00E55479">
        <w:t xml:space="preserve"> the</w:t>
      </w:r>
      <w:r w:rsidR="000A2431">
        <w:t xml:space="preserve"> amount calculated in the DUoS unders and overs account </w:t>
      </w:r>
      <w:r w:rsidR="003A511C">
        <w:t xml:space="preserve">in the </w:t>
      </w:r>
      <w:r w:rsidR="00E55479">
        <w:t>TAR</w:t>
      </w:r>
      <w:r w:rsidR="000A2431">
        <w:t xml:space="preserve"> </w:t>
      </w:r>
      <w:r>
        <w:t xml:space="preserve">via </w:t>
      </w:r>
      <w:r w:rsidR="00C16FBD">
        <w:t>the</w:t>
      </w:r>
      <w:r w:rsidR="00C16FBD" w:rsidRPr="006E688D">
        <w:t xml:space="preserve"> B</w:t>
      </w:r>
      <w:r w:rsidR="00314AAE">
        <w:t> </w:t>
      </w:r>
      <w:r w:rsidR="00C16FBD" w:rsidRPr="006E688D">
        <w:t>factor</w:t>
      </w:r>
      <w:r w:rsidR="000A2431">
        <w:t>.</w:t>
      </w:r>
      <w:r>
        <w:t xml:space="preserve"> Because the latter is a subset of the former, this ensures the published</w:t>
      </w:r>
      <w:r w:rsidR="000A2431">
        <w:t xml:space="preserve"> TAR </w:t>
      </w:r>
      <w:r>
        <w:t xml:space="preserve">is </w:t>
      </w:r>
      <w:r w:rsidR="000A2431">
        <w:t>the</w:t>
      </w:r>
      <w:r w:rsidR="000A2431" w:rsidRPr="000A2431">
        <w:t xml:space="preserve"> total amount of revenue Ergon Energy is allowed to recover from</w:t>
      </w:r>
      <w:r w:rsidR="00455ACF">
        <w:t xml:space="preserve"> its</w:t>
      </w:r>
      <w:r w:rsidR="000A2431" w:rsidRPr="000A2431">
        <w:t xml:space="preserve"> customers.</w:t>
      </w:r>
      <w:r>
        <w:rPr>
          <w:rStyle w:val="FootnoteReference"/>
        </w:rPr>
        <w:footnoteReference w:id="29"/>
      </w:r>
    </w:p>
    <w:p w:rsidR="00721265" w:rsidRDefault="000C389E" w:rsidP="00827BE1">
      <w:r>
        <w:t>W</w:t>
      </w:r>
      <w:r w:rsidR="00C046A1">
        <w:t xml:space="preserve">rapping </w:t>
      </w:r>
      <w:r w:rsidR="00054AEC">
        <w:t>the</w:t>
      </w:r>
      <w:r w:rsidR="00076643" w:rsidRPr="00076643">
        <w:t xml:space="preserve"> DUoS revenue under and over recovery in</w:t>
      </w:r>
      <w:r w:rsidR="00C046A1">
        <w:t>to</w:t>
      </w:r>
      <w:r w:rsidR="00076643" w:rsidRPr="00076643">
        <w:t xml:space="preserve"> the B</w:t>
      </w:r>
      <w:r w:rsidR="00314AAE">
        <w:t> </w:t>
      </w:r>
      <w:r w:rsidR="00076643" w:rsidRPr="00076643">
        <w:t>factor</w:t>
      </w:r>
      <w:r w:rsidR="00C046A1">
        <w:t xml:space="preserve"> mechanism</w:t>
      </w:r>
      <w:r w:rsidR="00076643">
        <w:t xml:space="preserve"> </w:t>
      </w:r>
      <w:r w:rsidR="00721265">
        <w:t>is consistent with our final F&amp;A.</w:t>
      </w:r>
      <w:r w:rsidR="00721265">
        <w:rPr>
          <w:rStyle w:val="FootnoteReference"/>
        </w:rPr>
        <w:footnoteReference w:id="30"/>
      </w:r>
      <w:r w:rsidR="00CA3289" w:rsidRPr="00CA3289">
        <w:t xml:space="preserve"> </w:t>
      </w:r>
      <w:r w:rsidR="00CA3289">
        <w:t xml:space="preserve">Appendix </w:t>
      </w:r>
      <w:r w:rsidR="00CA3289">
        <w:fldChar w:fldCharType="begin"/>
      </w:r>
      <w:r w:rsidR="00CA3289">
        <w:instrText xml:space="preserve"> REF _Ref428542904 \r \h </w:instrText>
      </w:r>
      <w:r w:rsidR="00CA3289">
        <w:fldChar w:fldCharType="separate"/>
      </w:r>
      <w:r w:rsidR="00C668EE">
        <w:t>A</w:t>
      </w:r>
      <w:r w:rsidR="00CA3289">
        <w:fldChar w:fldCharType="end"/>
      </w:r>
      <w:r w:rsidR="00CA3289">
        <w:t xml:space="preserve"> of this attachment sets out the method in which to calculate the under or over recovery amount to be included in the B</w:t>
      </w:r>
      <w:r w:rsidR="00314AAE">
        <w:t> </w:t>
      </w:r>
      <w:r w:rsidR="00CA3289">
        <w:t>factor.</w:t>
      </w:r>
    </w:p>
    <w:p w:rsidR="00380CC0" w:rsidRDefault="00380CC0" w:rsidP="00534ED5">
      <w:pPr>
        <w:pStyle w:val="HeadingBoldItalic"/>
      </w:pPr>
      <w:r>
        <w:t>Tolerance limits</w:t>
      </w:r>
    </w:p>
    <w:p w:rsidR="00D039C3" w:rsidRDefault="00D039C3" w:rsidP="00D039C3">
      <w:r>
        <w:t xml:space="preserve">As per our preliminary decision, we do not accept Ergon Energy's proposal to </w:t>
      </w:r>
      <w:r w:rsidR="005A41AC">
        <w:t>apply</w:t>
      </w:r>
      <w:r>
        <w:t xml:space="preserve"> tolerance limits in</w:t>
      </w:r>
      <w:r w:rsidRPr="00380CC0">
        <w:t xml:space="preserve"> t</w:t>
      </w:r>
      <w:r>
        <w:t>he DUoS unders and over account</w:t>
      </w:r>
      <w:r w:rsidRPr="00380CC0">
        <w:t xml:space="preserve"> in the 2015–20 regulatory control period.</w:t>
      </w:r>
      <w:r>
        <w:rPr>
          <w:rStyle w:val="FootnoteReference"/>
        </w:rPr>
        <w:footnoteReference w:id="31"/>
      </w:r>
      <w:r w:rsidRPr="00380CC0">
        <w:t xml:space="preserve"> We consider</w:t>
      </w:r>
      <w:r>
        <w:t xml:space="preserve"> </w:t>
      </w:r>
      <w:r w:rsidRPr="00380CC0">
        <w:t xml:space="preserve">the risks of applying tolerance limits (delayed price shocks and reduced cost reflectivity in prices) outweigh the benefits </w:t>
      </w:r>
      <w:r w:rsidR="00C046A1">
        <w:t>(</w:t>
      </w:r>
      <w:r w:rsidRPr="00380CC0">
        <w:t>potentially smooth</w:t>
      </w:r>
      <w:r w:rsidR="008D4DEB">
        <w:t>er</w:t>
      </w:r>
      <w:r w:rsidRPr="00380CC0">
        <w:t xml:space="preserve"> prices</w:t>
      </w:r>
      <w:r w:rsidR="00C046A1">
        <w:t>)</w:t>
      </w:r>
      <w:r w:rsidRPr="00380CC0">
        <w:t>.</w:t>
      </w:r>
    </w:p>
    <w:p w:rsidR="00E01E1A" w:rsidRDefault="00E01E1A" w:rsidP="00E01E1A">
      <w:r>
        <w:t>T</w:t>
      </w:r>
      <w:r w:rsidRPr="002058B8">
        <w:t>olerance limits</w:t>
      </w:r>
      <w:r>
        <w:t xml:space="preserve"> are boundaries</w:t>
      </w:r>
      <w:r w:rsidR="005E6066">
        <w:t xml:space="preserve"> </w:t>
      </w:r>
      <w:r w:rsidR="00966321">
        <w:t>may</w:t>
      </w:r>
      <w:r w:rsidR="005E6066">
        <w:t xml:space="preserve"> apply</w:t>
      </w:r>
      <w:r>
        <w:t xml:space="preserve"> within</w:t>
      </w:r>
      <w:r w:rsidR="005E6066">
        <w:t xml:space="preserve"> the</w:t>
      </w:r>
      <w:r>
        <w:t xml:space="preserve"> </w:t>
      </w:r>
      <w:r w:rsidR="005E6066" w:rsidRPr="005E6066">
        <w:t>DUoS unders and overs account</w:t>
      </w:r>
      <w:r w:rsidR="003603D7">
        <w:t xml:space="preserve">. They </w:t>
      </w:r>
      <w:r w:rsidR="005E6066">
        <w:t xml:space="preserve">determine how much under or over recovered revenue can be immediately </w:t>
      </w:r>
      <w:r w:rsidR="00E7401E">
        <w:t>passed through to custom</w:t>
      </w:r>
      <w:r w:rsidR="005E6066">
        <w:t xml:space="preserve">ers </w:t>
      </w:r>
      <w:r w:rsidR="00C046A1">
        <w:t xml:space="preserve">in a regulatory year </w:t>
      </w:r>
      <w:r w:rsidR="005E6066">
        <w:t>and how much can be deferred</w:t>
      </w:r>
      <w:r w:rsidR="00EE6C33">
        <w:t xml:space="preserve"> to be</w:t>
      </w:r>
      <w:r w:rsidR="007902E3">
        <w:t xml:space="preserve"> recovered </w:t>
      </w:r>
      <w:r w:rsidR="00C046A1">
        <w:t xml:space="preserve">in a </w:t>
      </w:r>
      <w:r w:rsidR="007902E3">
        <w:t>later</w:t>
      </w:r>
      <w:r w:rsidR="00C046A1">
        <w:t xml:space="preserve"> year/s</w:t>
      </w:r>
      <w:r w:rsidR="005E6066">
        <w:t>. T</w:t>
      </w:r>
      <w:r w:rsidR="003603D7">
        <w:t>olerance</w:t>
      </w:r>
      <w:r w:rsidR="005E6066">
        <w:t xml:space="preserve"> limits </w:t>
      </w:r>
      <w:r w:rsidRPr="002058B8">
        <w:t xml:space="preserve">potentially smooth price shocks that may occur </w:t>
      </w:r>
      <w:r>
        <w:t xml:space="preserve">due to </w:t>
      </w:r>
      <w:r w:rsidRPr="002058B8">
        <w:t>volume risk</w:t>
      </w:r>
      <w:r w:rsidR="00D46D73">
        <w:t xml:space="preserve"> and </w:t>
      </w:r>
      <w:r w:rsidRPr="002058B8">
        <w:t>may also offer flexibility to attain price stability.</w:t>
      </w:r>
    </w:p>
    <w:p w:rsidR="00C046A1" w:rsidRDefault="00D46D73" w:rsidP="00B55775">
      <w:r>
        <w:lastRenderedPageBreak/>
        <w:t xml:space="preserve">However, </w:t>
      </w:r>
      <w:r w:rsidR="00B55775">
        <w:t>tolerance limits can</w:t>
      </w:r>
      <w:r w:rsidR="00AB105F">
        <w:t xml:space="preserve"> result in</w:t>
      </w:r>
      <w:r w:rsidR="00B55775">
        <w:t xml:space="preserve"> large</w:t>
      </w:r>
      <w:r w:rsidR="00AB105F">
        <w:t xml:space="preserve"> under or over recoveries accumulating during the regulatory control period</w:t>
      </w:r>
      <w:r w:rsidR="00B55775">
        <w:t xml:space="preserve">. This can </w:t>
      </w:r>
      <w:r w:rsidR="00AB105F">
        <w:t>lead</w:t>
      </w:r>
      <w:r w:rsidR="00E7401E">
        <w:t xml:space="preserve"> to</w:t>
      </w:r>
      <w:r w:rsidR="00AB105F">
        <w:t xml:space="preserve"> large end</w:t>
      </w:r>
      <w:r w:rsidR="00AB105F">
        <w:noBreakHyphen/>
        <w:t>of</w:t>
      </w:r>
      <w:r w:rsidR="00AB105F">
        <w:noBreakHyphen/>
        <w:t>period adjustment</w:t>
      </w:r>
      <w:r w:rsidR="0095751D">
        <w:t>s</w:t>
      </w:r>
      <w:r w:rsidR="00AB105F">
        <w:t xml:space="preserve"> to eliminate or reduce the account balance</w:t>
      </w:r>
      <w:r w:rsidR="00B55775">
        <w:t xml:space="preserve">. </w:t>
      </w:r>
      <w:r w:rsidR="0037552E">
        <w:t>This occurred in Queensland</w:t>
      </w:r>
      <w:r w:rsidR="0037552E" w:rsidRPr="0037552E">
        <w:t xml:space="preserve"> </w:t>
      </w:r>
      <w:r w:rsidR="0037552E">
        <w:t>where the</w:t>
      </w:r>
      <w:r w:rsidR="000361BE">
        <w:t xml:space="preserve"> </w:t>
      </w:r>
      <w:r w:rsidR="000361BE" w:rsidRPr="007A6916">
        <w:t>consistent under</w:t>
      </w:r>
      <w:r w:rsidR="00EE6C33">
        <w:t xml:space="preserve"> </w:t>
      </w:r>
      <w:r w:rsidR="000361BE" w:rsidRPr="007A6916">
        <w:t xml:space="preserve">recovery </w:t>
      </w:r>
      <w:r w:rsidR="0037552E" w:rsidRPr="007A6916">
        <w:t xml:space="preserve">led to </w:t>
      </w:r>
      <w:r w:rsidR="00B665FF">
        <w:t>hundreds of</w:t>
      </w:r>
      <w:r w:rsidR="0037552E" w:rsidRPr="007A6916">
        <w:t xml:space="preserve"> million</w:t>
      </w:r>
      <w:r w:rsidR="00B665FF">
        <w:t>s</w:t>
      </w:r>
      <w:r w:rsidR="0037552E" w:rsidRPr="007A6916">
        <w:t xml:space="preserve"> in the account balance</w:t>
      </w:r>
      <w:r w:rsidR="0037552E">
        <w:t>.</w:t>
      </w:r>
    </w:p>
    <w:p w:rsidR="00EE6C33" w:rsidRDefault="00C046A1" w:rsidP="00B55775">
      <w:r>
        <w:t>T</w:t>
      </w:r>
      <w:r w:rsidR="00EE6C33">
        <w:t>his outcome is undesirable</w:t>
      </w:r>
      <w:r>
        <w:t xml:space="preserve"> because of</w:t>
      </w:r>
      <w:r w:rsidR="00EE6C33">
        <w:t xml:space="preserve"> </w:t>
      </w:r>
      <w:r>
        <w:t xml:space="preserve">the material </w:t>
      </w:r>
      <w:r w:rsidR="00EE6C33">
        <w:t xml:space="preserve">flow on effects in future </w:t>
      </w:r>
      <w:r>
        <w:t xml:space="preserve">regulatory </w:t>
      </w:r>
      <w:r w:rsidR="00EE6C33">
        <w:t xml:space="preserve">years where the under recovered revenues </w:t>
      </w:r>
      <w:r>
        <w:t xml:space="preserve">must eventually </w:t>
      </w:r>
      <w:r w:rsidR="00EE6C33">
        <w:t>be recovered</w:t>
      </w:r>
      <w:r>
        <w:t xml:space="preserve"> from customers—via higher prices</w:t>
      </w:r>
      <w:r w:rsidR="00EE6C33">
        <w:t>.</w:t>
      </w:r>
      <w:r w:rsidR="00966321">
        <w:t xml:space="preserve"> </w:t>
      </w:r>
      <w:r w:rsidR="00B570F7">
        <w:t>Therefore, w</w:t>
      </w:r>
      <w:r w:rsidR="00966321">
        <w:t>e have adopted our final decision approach for the following reasons.</w:t>
      </w:r>
    </w:p>
    <w:p w:rsidR="00DF1C60" w:rsidRDefault="00EE6C33" w:rsidP="00DF1C60">
      <w:r>
        <w:t xml:space="preserve">First, </w:t>
      </w:r>
      <w:r w:rsidR="00DF1C60">
        <w:t xml:space="preserve">the application of tolerance limits have not eliminated </w:t>
      </w:r>
      <w:r w:rsidR="00DF1C60" w:rsidRPr="00793442">
        <w:t>price shocks</w:t>
      </w:r>
      <w:r w:rsidR="00DF1C60">
        <w:t xml:space="preserve"> but </w:t>
      </w:r>
      <w:r w:rsidR="00DF1C60" w:rsidRPr="00793442">
        <w:t>merely delayed</w:t>
      </w:r>
      <w:r w:rsidR="00DF1C60">
        <w:t xml:space="preserve"> them</w:t>
      </w:r>
      <w:r w:rsidR="00DF1C60" w:rsidRPr="00793442">
        <w:t>.</w:t>
      </w:r>
      <w:r w:rsidR="00DF1C60">
        <w:t xml:space="preserve"> </w:t>
      </w:r>
      <w:r w:rsidR="003E14CB">
        <w:t>O</w:t>
      </w:r>
      <w:r w:rsidR="0027480B">
        <w:t>ur final decision has made provision</w:t>
      </w:r>
      <w:r w:rsidR="00DF1C60">
        <w:t xml:space="preserve"> in</w:t>
      </w:r>
      <w:r w:rsidR="00966321">
        <w:t xml:space="preserve"> the</w:t>
      </w:r>
      <w:r w:rsidR="0027480B">
        <w:t xml:space="preserve"> Queensland distributors'</w:t>
      </w:r>
      <w:r w:rsidR="00DF1C60">
        <w:t xml:space="preserve"> </w:t>
      </w:r>
      <w:r w:rsidR="00DF1C60" w:rsidRPr="00DF1C60">
        <w:t>annual revenue requirement</w:t>
      </w:r>
      <w:r w:rsidR="005E59F7">
        <w:t xml:space="preserve"> </w:t>
      </w:r>
      <w:r w:rsidR="006D3584">
        <w:t xml:space="preserve">over the 2015–20 regulatory control period </w:t>
      </w:r>
      <w:r w:rsidR="005E59F7">
        <w:t>to allow the</w:t>
      </w:r>
      <w:r w:rsidR="00C046A1">
        <w:t>m to recoup</w:t>
      </w:r>
      <w:r w:rsidR="005E59F7">
        <w:t xml:space="preserve"> accumulated under recover</w:t>
      </w:r>
      <w:r w:rsidR="00C046A1">
        <w:t>ies totalling hundreds of millions of dollars</w:t>
      </w:r>
      <w:r w:rsidR="005E59F7">
        <w:t>.</w:t>
      </w:r>
      <w:r w:rsidR="00674233">
        <w:t xml:space="preserve"> Given the materiality of this under recovery</w:t>
      </w:r>
      <w:r w:rsidR="0027480B">
        <w:t xml:space="preserve"> and the subsequent increase in revenue</w:t>
      </w:r>
      <w:r w:rsidR="00674233">
        <w:t xml:space="preserve">, customers </w:t>
      </w:r>
      <w:r w:rsidR="0027480B">
        <w:t>will incur</w:t>
      </w:r>
      <w:r w:rsidR="00674233">
        <w:t xml:space="preserve"> higher tariffs over the 2015–20 regulatory control period than if the tolerance limits had not previously applied.</w:t>
      </w:r>
      <w:r w:rsidR="00C046A1">
        <w:rPr>
          <w:rStyle w:val="FootnoteReference"/>
        </w:rPr>
        <w:footnoteReference w:id="32"/>
      </w:r>
    </w:p>
    <w:p w:rsidR="00A5130C" w:rsidRDefault="00EE6C33" w:rsidP="00B55775">
      <w:r>
        <w:t>Second</w:t>
      </w:r>
      <w:r w:rsidR="008915C4">
        <w:t>,</w:t>
      </w:r>
      <w:r>
        <w:t xml:space="preserve"> as per</w:t>
      </w:r>
      <w:r w:rsidR="00A5130C">
        <w:t xml:space="preserve"> </w:t>
      </w:r>
      <w:r w:rsidR="0071742C">
        <w:t>our preliminary decision</w:t>
      </w:r>
      <w:r>
        <w:t>, we</w:t>
      </w:r>
      <w:r w:rsidR="0071742C">
        <w:t xml:space="preserve"> consider</w:t>
      </w:r>
      <w:r w:rsidR="005872F8">
        <w:t xml:space="preserve"> that tolerance limits reduce</w:t>
      </w:r>
      <w:r w:rsidR="0071742C">
        <w:t xml:space="preserve"> the cost reflectivity of tariffs. </w:t>
      </w:r>
      <w:r w:rsidR="00A5130C">
        <w:t>Ergon Energy</w:t>
      </w:r>
      <w:r>
        <w:t xml:space="preserve"> stated</w:t>
      </w:r>
      <w:r w:rsidR="00A5130C">
        <w:t xml:space="preserve"> that cost reflectivity of tariffs should be considered over the long term</w:t>
      </w:r>
      <w:r w:rsidR="00287DE8">
        <w:t xml:space="preserve"> and not necessarily the cost of supply in each individual year</w:t>
      </w:r>
      <w:r w:rsidR="00A5130C">
        <w:t>.</w:t>
      </w:r>
      <w:r w:rsidR="00A5130C">
        <w:rPr>
          <w:rStyle w:val="FootnoteReference"/>
        </w:rPr>
        <w:footnoteReference w:id="33"/>
      </w:r>
      <w:r w:rsidR="00A5130C" w:rsidRPr="00A5130C">
        <w:t xml:space="preserve"> </w:t>
      </w:r>
      <w:r w:rsidR="005872F8">
        <w:t>It considered the application of tolerance limits allows this long term cost reflectivity. However, w</w:t>
      </w:r>
      <w:r w:rsidR="00A5130C">
        <w:t>e consider the application of tolerance limits</w:t>
      </w:r>
      <w:r w:rsidR="0071742C">
        <w:t xml:space="preserve"> </w:t>
      </w:r>
      <w:r w:rsidR="00A5130C">
        <w:t>reduces the cost reflectivity of tariffs both in the short term and the long term.</w:t>
      </w:r>
    </w:p>
    <w:p w:rsidR="00B570F7" w:rsidRDefault="00B570F7" w:rsidP="00B570F7">
      <w:r>
        <w:t>Cost reflective tariffs allow more reliable price signals to be sent to customers about their use of the network. That is, customers when faced with appropriate price signals can make more informed decisions about how they use the network. Howe</w:t>
      </w:r>
      <w:r w:rsidR="00E079AA">
        <w:t xml:space="preserve">ver, the greater distortion in </w:t>
      </w:r>
      <w:r>
        <w:t>price signals</w:t>
      </w:r>
      <w:r w:rsidRPr="002512BC">
        <w:t xml:space="preserve"> </w:t>
      </w:r>
      <w:r>
        <w:t xml:space="preserve">lessens customers' ability to make these informed decisions. As stated in our preliminary decision, this outcome is </w:t>
      </w:r>
      <w:r w:rsidRPr="004D33F6">
        <w:t>not consistent with the</w:t>
      </w:r>
      <w:r>
        <w:t xml:space="preserve"> NER</w:t>
      </w:r>
      <w:r w:rsidRPr="004D33F6">
        <w:t xml:space="preserve"> requirement that tariffs minimise distortions to price signals for efficient usage.</w:t>
      </w:r>
      <w:r>
        <w:rPr>
          <w:rStyle w:val="FootnoteReference"/>
        </w:rPr>
        <w:footnoteReference w:id="34"/>
      </w:r>
    </w:p>
    <w:p w:rsidR="007761A4" w:rsidRDefault="008915C4" w:rsidP="004D33F6">
      <w:r>
        <w:t xml:space="preserve">In the short term, </w:t>
      </w:r>
      <w:r w:rsidR="00C11A77">
        <w:t xml:space="preserve">the cost </w:t>
      </w:r>
      <w:r w:rsidR="00523E0A">
        <w:t>reflectivity of tariffs is</w:t>
      </w:r>
      <w:r w:rsidR="00C11A77">
        <w:t xml:space="preserve"> </w:t>
      </w:r>
      <w:r w:rsidR="00996B86">
        <w:t>reduced</w:t>
      </w:r>
      <w:r w:rsidR="00B46875">
        <w:t xml:space="preserve"> </w:t>
      </w:r>
      <w:r w:rsidR="00AF0539">
        <w:t xml:space="preserve">as </w:t>
      </w:r>
      <w:r w:rsidR="00B46875">
        <w:t>they</w:t>
      </w:r>
      <w:r w:rsidR="00AF0539">
        <w:t xml:space="preserve"> include more</w:t>
      </w:r>
      <w:r w:rsidR="00287DE8">
        <w:t xml:space="preserve"> </w:t>
      </w:r>
      <w:r w:rsidR="00AF0539">
        <w:t>than</w:t>
      </w:r>
      <w:r w:rsidR="00B46875">
        <w:t xml:space="preserve"> </w:t>
      </w:r>
      <w:r w:rsidR="00523E0A">
        <w:t>the cost</w:t>
      </w:r>
      <w:r w:rsidR="001F46EE">
        <w:t xml:space="preserve"> of supply</w:t>
      </w:r>
      <w:r w:rsidR="00B46875">
        <w:t xml:space="preserve"> </w:t>
      </w:r>
      <w:r w:rsidR="009F7CCF">
        <w:t xml:space="preserve">Ergon Energy requires </w:t>
      </w:r>
      <w:r w:rsidR="00AF0539">
        <w:t>for operating its network over the 2015–20 regulatory control period.</w:t>
      </w:r>
      <w:r w:rsidR="00AF0539" w:rsidRPr="00AF0539">
        <w:t xml:space="preserve"> </w:t>
      </w:r>
      <w:r w:rsidR="00AF0539">
        <w:t>This occurs because</w:t>
      </w:r>
      <w:r w:rsidR="001F46EE">
        <w:t xml:space="preserve"> a distributor's</w:t>
      </w:r>
      <w:r w:rsidR="00AF0539">
        <w:t xml:space="preserve"> revenues and </w:t>
      </w:r>
      <w:r w:rsidR="009F7CCF">
        <w:t>subsequently</w:t>
      </w:r>
      <w:r w:rsidR="00AF0539">
        <w:t xml:space="preserve"> </w:t>
      </w:r>
      <w:r w:rsidR="001F46EE">
        <w:t xml:space="preserve">its </w:t>
      </w:r>
      <w:r w:rsidR="00AF0539">
        <w:t xml:space="preserve">tariffs are based on the sum of the building </w:t>
      </w:r>
      <w:r w:rsidR="00287DE8">
        <w:t>block costs for each year of a</w:t>
      </w:r>
      <w:r w:rsidR="00AF0539">
        <w:t xml:space="preserve"> regulatory control period. However, the</w:t>
      </w:r>
      <w:r w:rsidR="00287DE8">
        <w:t xml:space="preserve"> </w:t>
      </w:r>
      <w:r w:rsidR="00AF0539">
        <w:t>tariffs over the 2015–20 regulatory control period</w:t>
      </w:r>
      <w:r w:rsidR="00287DE8">
        <w:t xml:space="preserve"> </w:t>
      </w:r>
      <w:r w:rsidR="001F46EE">
        <w:t>will</w:t>
      </w:r>
      <w:r w:rsidR="00AF0539">
        <w:t xml:space="preserve"> also incl</w:t>
      </w:r>
      <w:r w:rsidR="001F46EE">
        <w:t>ude some</w:t>
      </w:r>
      <w:r w:rsidR="00AF0539">
        <w:t xml:space="preserve"> of </w:t>
      </w:r>
      <w:r w:rsidR="00AF0539" w:rsidRPr="0097410D">
        <w:t>the building block costs</w:t>
      </w:r>
      <w:r w:rsidR="00AF0539">
        <w:t xml:space="preserve"> fr</w:t>
      </w:r>
      <w:r w:rsidR="00B570F7">
        <w:t>om</w:t>
      </w:r>
      <w:r w:rsidR="00AF0539">
        <w:t xml:space="preserve"> the 2010–15 regulatory control period in the form of the under recovered revenues.</w:t>
      </w:r>
      <w:r w:rsidR="007761A4" w:rsidRPr="007761A4">
        <w:t xml:space="preserve"> </w:t>
      </w:r>
      <w:r w:rsidR="007761A4">
        <w:t>Given the materiality of the under recovered revenues,</w:t>
      </w:r>
      <w:r w:rsidR="00287DE8">
        <w:t xml:space="preserve"> </w:t>
      </w:r>
      <w:r w:rsidR="00523E0A">
        <w:t>the distortion</w:t>
      </w:r>
      <w:r w:rsidR="009F7CCF">
        <w:t xml:space="preserve"> in the tariffs</w:t>
      </w:r>
      <w:r w:rsidR="00523E0A">
        <w:t xml:space="preserve"> of </w:t>
      </w:r>
      <w:r w:rsidR="001F46EE">
        <w:t>Ergon Energy's cost of supply for operating its network over the 2015</w:t>
      </w:r>
      <w:r w:rsidR="00523E0A">
        <w:t>–20 regulatory control period is considerable.</w:t>
      </w:r>
    </w:p>
    <w:p w:rsidR="00EE6C33" w:rsidRDefault="007761A4" w:rsidP="009F7CCF">
      <w:pPr>
        <w:rPr>
          <w:rFonts w:eastAsiaTheme="majorEastAsia" w:cstheme="majorBidi"/>
          <w:b/>
          <w:bCs/>
          <w:i/>
          <w:iCs/>
          <w:color w:val="51626F"/>
          <w:sz w:val="24"/>
        </w:rPr>
      </w:pPr>
      <w:r>
        <w:lastRenderedPageBreak/>
        <w:t xml:space="preserve">Further, </w:t>
      </w:r>
      <w:r w:rsidR="006E1FF8">
        <w:t>if</w:t>
      </w:r>
      <w:r w:rsidR="002512BC">
        <w:t xml:space="preserve"> </w:t>
      </w:r>
      <w:r w:rsidR="006E1FF8">
        <w:t xml:space="preserve">tolerance limits </w:t>
      </w:r>
      <w:r w:rsidR="002512BC">
        <w:t>continue to apply</w:t>
      </w:r>
      <w:r w:rsidR="00170307">
        <w:t xml:space="preserve"> the</w:t>
      </w:r>
      <w:r w:rsidR="002512BC">
        <w:t>n the</w:t>
      </w:r>
      <w:r w:rsidR="00170307">
        <w:t xml:space="preserve"> accumulation of</w:t>
      </w:r>
      <w:r w:rsidR="002512BC">
        <w:t xml:space="preserve"> </w:t>
      </w:r>
      <w:r w:rsidR="00170307">
        <w:t>under recovered revenues</w:t>
      </w:r>
      <w:r w:rsidR="002512BC">
        <w:t xml:space="preserve"> may</w:t>
      </w:r>
      <w:r w:rsidR="00170307">
        <w:t xml:space="preserve"> continue</w:t>
      </w:r>
      <w:r w:rsidR="002512BC">
        <w:t xml:space="preserve"> into the future</w:t>
      </w:r>
      <w:r w:rsidR="00687048">
        <w:t>, necessitating larg</w:t>
      </w:r>
      <w:r w:rsidR="006E1FF8">
        <w:t>e</w:t>
      </w:r>
      <w:r w:rsidR="00687048">
        <w:t xml:space="preserve"> revenue recovery </w:t>
      </w:r>
      <w:r w:rsidR="00170307">
        <w:t>beyond the 2015–20 regulatory control period</w:t>
      </w:r>
      <w:r w:rsidR="002512BC">
        <w:t xml:space="preserve">. This repetition would </w:t>
      </w:r>
      <w:r w:rsidR="00170307">
        <w:t>distort the cost reflectivity of tariffs in the long term.</w:t>
      </w:r>
      <w:r w:rsidR="00AB370B">
        <w:t xml:space="preserve"> </w:t>
      </w:r>
      <w:r w:rsidR="00687048">
        <w:t>Removing tolerance limits reduces this undesirable outcome.</w:t>
      </w:r>
    </w:p>
    <w:p w:rsidR="00AF4E31" w:rsidRDefault="00AF4E31" w:rsidP="00534ED5">
      <w:pPr>
        <w:pStyle w:val="HeadingBoldItalic"/>
      </w:pPr>
      <w:r>
        <w:t>Approach to unders and overs</w:t>
      </w:r>
    </w:p>
    <w:p w:rsidR="00534ED5" w:rsidRPr="00534ED5" w:rsidRDefault="00380CC0" w:rsidP="006302D8">
      <w:r>
        <w:t>W</w:t>
      </w:r>
      <w:r w:rsidR="00534ED5" w:rsidRPr="00534ED5">
        <w:t xml:space="preserve">e do not accept </w:t>
      </w:r>
      <w:r w:rsidR="00552DCB">
        <w:t>Ergon Energy's</w:t>
      </w:r>
      <w:r w:rsidR="00534ED5" w:rsidRPr="00534ED5">
        <w:t xml:space="preserve"> proposed</w:t>
      </w:r>
      <w:r w:rsidR="005E0319">
        <w:t xml:space="preserve"> alternative</w:t>
      </w:r>
      <w:r w:rsidR="00534ED5" w:rsidRPr="00534ED5">
        <w:t xml:space="preserve"> method to </w:t>
      </w:r>
      <w:r w:rsidR="00D60055">
        <w:t>calculate</w:t>
      </w:r>
      <w:r w:rsidR="005E0319">
        <w:t xml:space="preserve"> the DUoS unders and overs account. Ergon Energy</w:t>
      </w:r>
      <w:r w:rsidR="006302D8">
        <w:t xml:space="preserve"> </w:t>
      </w:r>
      <w:r w:rsidR="006E1FF8">
        <w:t>proposed an</w:t>
      </w:r>
      <w:r w:rsidR="006302D8">
        <w:t xml:space="preserve"> alternative method should we not</w:t>
      </w:r>
      <w:r w:rsidR="006E1FF8">
        <w:t xml:space="preserve"> accept the continuation of </w:t>
      </w:r>
      <w:r w:rsidR="006302D8">
        <w:t>tolerance limits.</w:t>
      </w:r>
      <w:r w:rsidR="006302D8">
        <w:rPr>
          <w:rStyle w:val="FootnoteReference"/>
        </w:rPr>
        <w:footnoteReference w:id="35"/>
      </w:r>
      <w:r w:rsidR="006302D8">
        <w:t xml:space="preserve"> The alternative method </w:t>
      </w:r>
      <w:r w:rsidR="006302D8" w:rsidRPr="006302D8">
        <w:t>includes a true–up for estimated under or over recovery of revenues for regulatory y</w:t>
      </w:r>
      <w:r w:rsidR="006302D8">
        <w:t xml:space="preserve">ear t–1 in addition to the </w:t>
      </w:r>
      <w:r w:rsidR="00D60055">
        <w:t>under or over recovery</w:t>
      </w:r>
      <w:r w:rsidR="006302D8" w:rsidRPr="006302D8">
        <w:t xml:space="preserve"> </w:t>
      </w:r>
      <w:r w:rsidR="006E1FF8">
        <w:t>true</w:t>
      </w:r>
      <w:r w:rsidR="006E1FF8">
        <w:noBreakHyphen/>
        <w:t>up for</w:t>
      </w:r>
      <w:r w:rsidR="006302D8" w:rsidRPr="006302D8">
        <w:t xml:space="preserve"> regulatory year t–2</w:t>
      </w:r>
      <w:r w:rsidR="006302D8">
        <w:t>.</w:t>
      </w:r>
      <w:r w:rsidR="00534ED5" w:rsidRPr="00534ED5">
        <w:t xml:space="preserve"> We consider the </w:t>
      </w:r>
      <w:r w:rsidR="006302D8">
        <w:t>alternative</w:t>
      </w:r>
      <w:r w:rsidR="00534ED5" w:rsidRPr="00534ED5">
        <w:t xml:space="preserve"> method introduces additional administrative burden, additional forecasting error and reduces transparency compared to the method set out in appendix </w:t>
      </w:r>
      <w:r w:rsidR="006302D8">
        <w:fldChar w:fldCharType="begin"/>
      </w:r>
      <w:r w:rsidR="006302D8">
        <w:instrText xml:space="preserve"> REF _Ref428542904 \r \h </w:instrText>
      </w:r>
      <w:r w:rsidR="006302D8">
        <w:fldChar w:fldCharType="separate"/>
      </w:r>
      <w:r w:rsidR="00C668EE">
        <w:t>A</w:t>
      </w:r>
      <w:r w:rsidR="006302D8">
        <w:fldChar w:fldCharType="end"/>
      </w:r>
      <w:r w:rsidR="00534ED5" w:rsidRPr="00534ED5">
        <w:t>.</w:t>
      </w:r>
    </w:p>
    <w:p w:rsidR="00534ED5" w:rsidRPr="00534ED5" w:rsidRDefault="00662619" w:rsidP="00534ED5">
      <w:r>
        <w:t>A</w:t>
      </w:r>
      <w:r w:rsidR="00534ED5" w:rsidRPr="00534ED5">
        <w:t>dditional administrative burden</w:t>
      </w:r>
      <w:r w:rsidR="007E0897">
        <w:t xml:space="preserve"> is imposed on</w:t>
      </w:r>
      <w:r w:rsidR="00534ED5" w:rsidRPr="00534ED5">
        <w:t xml:space="preserve"> </w:t>
      </w:r>
      <w:r w:rsidR="006302D8">
        <w:t>Ergon Energy</w:t>
      </w:r>
      <w:r w:rsidR="007E0897">
        <w:t xml:space="preserve"> as it </w:t>
      </w:r>
      <w:r w:rsidR="00534ED5" w:rsidRPr="00534ED5">
        <w:t>would be required</w:t>
      </w:r>
      <w:r w:rsidR="00D60055">
        <w:t xml:space="preserve"> to calculate an additional year of </w:t>
      </w:r>
      <w:r w:rsidR="002A6607">
        <w:t>r</w:t>
      </w:r>
      <w:r w:rsidR="007E0897">
        <w:t>evenue</w:t>
      </w:r>
      <w:r w:rsidR="002A6607">
        <w:t>. The</w:t>
      </w:r>
      <w:r w:rsidR="00394353">
        <w:t>ir</w:t>
      </w:r>
      <w:r w:rsidR="00534ED5" w:rsidRPr="00534ED5">
        <w:t xml:space="preserve"> </w:t>
      </w:r>
      <w:r w:rsidR="006302D8">
        <w:t xml:space="preserve">alternative </w:t>
      </w:r>
      <w:r w:rsidR="00534ED5" w:rsidRPr="00534ED5">
        <w:t xml:space="preserve">method would also impose additional administrative burden on us as we would be required to analyse whether the estimated revenue is reasonable. </w:t>
      </w:r>
      <w:r>
        <w:t>T</w:t>
      </w:r>
      <w:r w:rsidR="006302D8">
        <w:t xml:space="preserve">he method in appendix </w:t>
      </w:r>
      <w:r w:rsidR="006302D8">
        <w:fldChar w:fldCharType="begin"/>
      </w:r>
      <w:r w:rsidR="006302D8">
        <w:instrText xml:space="preserve"> REF _Ref428542904 \r \h </w:instrText>
      </w:r>
      <w:r w:rsidR="006302D8">
        <w:fldChar w:fldCharType="separate"/>
      </w:r>
      <w:r w:rsidR="00C668EE">
        <w:t>A</w:t>
      </w:r>
      <w:r w:rsidR="006302D8">
        <w:fldChar w:fldCharType="end"/>
      </w:r>
      <w:r w:rsidR="00534ED5" w:rsidRPr="00534ED5">
        <w:t xml:space="preserve"> will eliminate this </w:t>
      </w:r>
      <w:r w:rsidR="00394353">
        <w:t>unnecessary</w:t>
      </w:r>
      <w:r w:rsidR="00534ED5" w:rsidRPr="00534ED5">
        <w:t xml:space="preserve"> burden.</w:t>
      </w:r>
    </w:p>
    <w:p w:rsidR="00534ED5" w:rsidRPr="00534ED5" w:rsidRDefault="006302D8" w:rsidP="00534ED5">
      <w:r>
        <w:t>Ergon Energy's</w:t>
      </w:r>
      <w:r w:rsidR="00534ED5" w:rsidRPr="00534ED5">
        <w:t xml:space="preserve"> </w:t>
      </w:r>
      <w:r>
        <w:t>alternative</w:t>
      </w:r>
      <w:r w:rsidR="00534ED5" w:rsidRPr="00534ED5">
        <w:t xml:space="preserve"> method also introduce</w:t>
      </w:r>
      <w:r w:rsidR="006E1FF8">
        <w:t>s</w:t>
      </w:r>
      <w:r w:rsidR="00534ED5" w:rsidRPr="00534ED5">
        <w:t xml:space="preserve"> additional forecast</w:t>
      </w:r>
      <w:r>
        <w:t xml:space="preserve">ing error. This occurs because </w:t>
      </w:r>
      <w:r w:rsidR="006E1FF8">
        <w:t>the</w:t>
      </w:r>
      <w:r w:rsidR="00534ED5" w:rsidRPr="00534ED5">
        <w:t xml:space="preserve"> </w:t>
      </w:r>
      <w:r w:rsidR="006E1FF8" w:rsidRPr="00534ED5">
        <w:t xml:space="preserve">consumption </w:t>
      </w:r>
      <w:r w:rsidR="00534ED5" w:rsidRPr="00534ED5">
        <w:t xml:space="preserve">forecast for year t–1 would only be based on part year results </w:t>
      </w:r>
      <w:r w:rsidR="00394353">
        <w:t>because</w:t>
      </w:r>
      <w:r w:rsidR="00534ED5" w:rsidRPr="00534ED5">
        <w:t xml:space="preserve"> </w:t>
      </w:r>
      <w:r w:rsidR="006E1FF8">
        <w:t>Ergon Energy</w:t>
      </w:r>
      <w:r w:rsidR="00534ED5" w:rsidRPr="00534ED5">
        <w:t xml:space="preserve"> must submit its pricing proposal to us three months before the end of year t–1.</w:t>
      </w:r>
      <w:r>
        <w:rPr>
          <w:rStyle w:val="FootnoteReference"/>
        </w:rPr>
        <w:footnoteReference w:id="36"/>
      </w:r>
      <w:r w:rsidR="00534ED5" w:rsidRPr="00534ED5">
        <w:t xml:space="preserve"> </w:t>
      </w:r>
      <w:r w:rsidR="00E16931">
        <w:t>S</w:t>
      </w:r>
      <w:r w:rsidR="00534ED5" w:rsidRPr="00534ED5">
        <w:t xml:space="preserve">ince revenues are a function of charging parameters and consumption volumes, inaccuracies in the latter would create errors in the estimated under or over recovery for year t–1. Therefore year t </w:t>
      </w:r>
      <w:r w:rsidR="00BE7FA3">
        <w:t>r</w:t>
      </w:r>
      <w:r w:rsidR="00534ED5" w:rsidRPr="00534ED5">
        <w:t>evenues</w:t>
      </w:r>
      <w:r w:rsidR="00BE7FA3">
        <w:t xml:space="preserve"> </w:t>
      </w:r>
      <w:r w:rsidR="00534ED5" w:rsidRPr="00534ED5">
        <w:t xml:space="preserve">—which account for the estimated under or over recovery for year t–1—would always be higher or lower than they should be due to the forecasting error. This would mean that customers would be constantly </w:t>
      </w:r>
      <w:r w:rsidR="00801F6A">
        <w:t>under or over</w:t>
      </w:r>
      <w:r w:rsidR="00534ED5" w:rsidRPr="00534ED5">
        <w:t xml:space="preserve"> charged. We consider these burdens can be avoided by not i</w:t>
      </w:r>
      <w:r>
        <w:t>ncluding the true-up for year t–</w:t>
      </w:r>
      <w:r w:rsidR="00534ED5" w:rsidRPr="00534ED5">
        <w:t>1.</w:t>
      </w:r>
    </w:p>
    <w:p w:rsidR="00534ED5" w:rsidRPr="00534ED5" w:rsidRDefault="00BE7FA3" w:rsidP="00534ED5">
      <w:r>
        <w:t>Finally, Ergon Energy</w:t>
      </w:r>
      <w:r w:rsidR="00534ED5" w:rsidRPr="00534ED5">
        <w:t xml:space="preserve">'s proposed method also reduces transparency in the process for setting prices. As noted, the inaccuracy of the estimated revenues for year t–1 means that the charging parameters customers incur in year t will always be higher or lower than they otherwise would be. This distortion reduces the cost reflectivity of the charging parameters customers </w:t>
      </w:r>
      <w:r w:rsidR="00394353">
        <w:t>face</w:t>
      </w:r>
      <w:r w:rsidR="00534ED5" w:rsidRPr="00534ED5">
        <w:t>. Also, the difference between the estimate for year t–1 and the actual outcome could be significant which would also reduce the transparency of the likely future revenue and price impacts. We consider this lack of transparency created by i</w:t>
      </w:r>
      <w:r>
        <w:t>ncluding the true</w:t>
      </w:r>
      <w:r>
        <w:noBreakHyphen/>
      </w:r>
      <w:r w:rsidR="00534ED5" w:rsidRPr="00534ED5">
        <w:t>up of estimates for year t–1 is undesirable. Moreover, it is easily avoided without detriment to the customer or their distributor.</w:t>
      </w:r>
    </w:p>
    <w:p w:rsidR="00534ED5" w:rsidRPr="00534ED5" w:rsidRDefault="00534ED5" w:rsidP="00534ED5">
      <w:r w:rsidRPr="00534ED5">
        <w:lastRenderedPageBreak/>
        <w:t xml:space="preserve">We consider that by comparison, the method detailed in appendix </w:t>
      </w:r>
      <w:r w:rsidR="00BE7FA3">
        <w:fldChar w:fldCharType="begin"/>
      </w:r>
      <w:r w:rsidR="00BE7FA3">
        <w:instrText xml:space="preserve"> REF _Ref428542904 \r \h </w:instrText>
      </w:r>
      <w:r w:rsidR="00BE7FA3">
        <w:fldChar w:fldCharType="separate"/>
      </w:r>
      <w:r w:rsidR="00C668EE">
        <w:t>A</w:t>
      </w:r>
      <w:r w:rsidR="00BE7FA3">
        <w:fldChar w:fldCharType="end"/>
      </w:r>
      <w:r w:rsidRPr="00534ED5">
        <w:t xml:space="preserve"> which does not include adjustments for year t–1 is administratively simpler, removes additional forecasting error and is more transparent in the process for setting prices.</w:t>
      </w:r>
    </w:p>
    <w:p w:rsidR="00AF4E31" w:rsidRDefault="00BE7FA3" w:rsidP="00534ED5">
      <w:r>
        <w:t xml:space="preserve">Ergon Energy proposed </w:t>
      </w:r>
      <w:r w:rsidR="00100550" w:rsidRPr="00534ED5">
        <w:t xml:space="preserve">to apply </w:t>
      </w:r>
      <w:r>
        <w:t>the same alternative</w:t>
      </w:r>
      <w:r w:rsidR="00534ED5" w:rsidRPr="00534ED5">
        <w:t xml:space="preserve"> method to the under or over recovery of revenue related to its designated pricing proposal charges </w:t>
      </w:r>
      <w:r w:rsidR="00A17B40">
        <w:t xml:space="preserve">and </w:t>
      </w:r>
      <w:r w:rsidR="00534ED5" w:rsidRPr="00534ED5">
        <w:t>jurisdictional scheme amounts</w:t>
      </w:r>
      <w:r w:rsidR="00394353">
        <w:t>,</w:t>
      </w:r>
      <w:r w:rsidR="00534ED5" w:rsidRPr="00534ED5">
        <w:t xml:space="preserve"> </w:t>
      </w:r>
      <w:r w:rsidR="00A17B40">
        <w:t>should we not accept the tolerance limits</w:t>
      </w:r>
      <w:r w:rsidR="00534ED5" w:rsidRPr="00534ED5">
        <w:t>.</w:t>
      </w:r>
      <w:r w:rsidR="00A17B40">
        <w:rPr>
          <w:rStyle w:val="FootnoteReference"/>
        </w:rPr>
        <w:footnoteReference w:id="37"/>
      </w:r>
      <w:r w:rsidR="00534ED5" w:rsidRPr="00534ED5">
        <w:t xml:space="preserve"> For the r</w:t>
      </w:r>
      <w:r w:rsidR="004C5D70">
        <w:t>easons above, we do not accept Ergon Energy's alternative</w:t>
      </w:r>
      <w:r w:rsidR="00534ED5" w:rsidRPr="00534ED5">
        <w:t xml:space="preserve"> methods. Instead we will apply the methods detailed in appendices </w:t>
      </w:r>
      <w:r>
        <w:fldChar w:fldCharType="begin"/>
      </w:r>
      <w:r>
        <w:instrText xml:space="preserve"> REF _Ref428542926 \r \h </w:instrText>
      </w:r>
      <w:r>
        <w:fldChar w:fldCharType="separate"/>
      </w:r>
      <w:r w:rsidR="00C668EE">
        <w:t>B</w:t>
      </w:r>
      <w:r>
        <w:fldChar w:fldCharType="end"/>
      </w:r>
      <w:r w:rsidR="00534ED5" w:rsidRPr="00534ED5">
        <w:t xml:space="preserve"> and </w:t>
      </w:r>
      <w:r>
        <w:fldChar w:fldCharType="begin"/>
      </w:r>
      <w:r>
        <w:instrText xml:space="preserve"> REF _Ref428542933 \r \h </w:instrText>
      </w:r>
      <w:r>
        <w:fldChar w:fldCharType="separate"/>
      </w:r>
      <w:r w:rsidR="00C668EE">
        <w:t>C</w:t>
      </w:r>
      <w:r>
        <w:fldChar w:fldCharType="end"/>
      </w:r>
      <w:r w:rsidR="00534ED5" w:rsidRPr="00534ED5">
        <w:t xml:space="preserve"> of this attachment</w:t>
      </w:r>
      <w:r w:rsidR="00394353">
        <w:t>, which mimic those in attachment A</w:t>
      </w:r>
      <w:r w:rsidR="00534ED5" w:rsidRPr="00534ED5">
        <w:t>.</w:t>
      </w:r>
    </w:p>
    <w:p w:rsidR="00D15F6F" w:rsidRDefault="00D15F6F" w:rsidP="00D15F6F">
      <w:pPr>
        <w:pStyle w:val="HeadingBoldBlue"/>
      </w:pPr>
      <w:bookmarkStart w:id="29" w:name="_Toc433299181"/>
      <w:r>
        <w:t>Annual adjustments (C</w:t>
      </w:r>
      <w:r w:rsidR="000F181E">
        <w:t> </w:t>
      </w:r>
      <w:r>
        <w:t>factor)</w:t>
      </w:r>
      <w:bookmarkEnd w:id="29"/>
    </w:p>
    <w:p w:rsidR="00795461" w:rsidRDefault="00795461" w:rsidP="00795461">
      <w:pPr>
        <w:numPr>
          <w:ilvl w:val="0"/>
          <w:numId w:val="24"/>
        </w:numPr>
      </w:pPr>
      <w:r w:rsidRPr="00795461">
        <w:t>As per</w:t>
      </w:r>
      <w:r>
        <w:t xml:space="preserve"> our preliminary decision, the C</w:t>
      </w:r>
      <w:r w:rsidR="000F181E">
        <w:t> </w:t>
      </w:r>
      <w:r w:rsidRPr="00795461">
        <w:t>factor will include</w:t>
      </w:r>
      <w:r>
        <w:t>:</w:t>
      </w:r>
    </w:p>
    <w:p w:rsidR="00621EE3" w:rsidRDefault="00621EE3" w:rsidP="00621EE3">
      <w:pPr>
        <w:pStyle w:val="AERbulletlistfirststyle"/>
      </w:pPr>
      <w:r w:rsidRPr="00621EE3">
        <w:t>feed-in tariff pass through amounts relating to</w:t>
      </w:r>
      <w:r>
        <w:t xml:space="preserve"> the</w:t>
      </w:r>
      <w:r w:rsidRPr="00621EE3">
        <w:t xml:space="preserve"> 2013–14 and 2014–15</w:t>
      </w:r>
      <w:r>
        <w:t xml:space="preserve"> regulatory years</w:t>
      </w:r>
    </w:p>
    <w:p w:rsidR="00795461" w:rsidRDefault="00621EE3" w:rsidP="00621EE3">
      <w:pPr>
        <w:pStyle w:val="AERbulletlistfirststyle"/>
      </w:pPr>
      <w:r w:rsidRPr="00621EE3">
        <w:t>any AER approved</w:t>
      </w:r>
      <w:r w:rsidR="005872F8">
        <w:t xml:space="preserve"> cost</w:t>
      </w:r>
      <w:r w:rsidRPr="00621EE3">
        <w:t xml:space="preserve"> </w:t>
      </w:r>
      <w:r>
        <w:t>pass through amounts during 2015</w:t>
      </w:r>
      <w:r w:rsidRPr="00621EE3">
        <w:t>–20 regulatory control period</w:t>
      </w:r>
      <w:r>
        <w:t>.</w:t>
      </w:r>
    </w:p>
    <w:p w:rsidR="00621EE3" w:rsidRDefault="00621EE3" w:rsidP="00621EE3">
      <w:pPr>
        <w:numPr>
          <w:ilvl w:val="0"/>
          <w:numId w:val="24"/>
        </w:numPr>
      </w:pPr>
      <w:r w:rsidRPr="00621EE3">
        <w:t>However, we do not accept Ergon Energ</w:t>
      </w:r>
      <w:r>
        <w:t xml:space="preserve">y's proposal to include </w:t>
      </w:r>
      <w:r w:rsidR="00DD687E" w:rsidRPr="00621EE3">
        <w:t>an</w:t>
      </w:r>
      <w:r>
        <w:t xml:space="preserve"> 'other' one</w:t>
      </w:r>
      <w:r>
        <w:noBreakHyphen/>
        <w:t>off revenue adjustment</w:t>
      </w:r>
      <w:r w:rsidR="00A73DDB">
        <w:t xml:space="preserve"> parameter</w:t>
      </w:r>
      <w:r w:rsidR="00DD687E" w:rsidRPr="00DD687E">
        <w:t xml:space="preserve"> </w:t>
      </w:r>
      <w:r w:rsidR="00DD687E">
        <w:t>in the C</w:t>
      </w:r>
      <w:r w:rsidR="000F181E">
        <w:t> </w:t>
      </w:r>
      <w:r w:rsidR="00DD687E" w:rsidRPr="00621EE3">
        <w:t>factor</w:t>
      </w:r>
      <w:r w:rsidR="00A17B40">
        <w:t>.</w:t>
      </w:r>
      <w:r w:rsidR="00A17B40">
        <w:rPr>
          <w:rStyle w:val="FootnoteReference"/>
        </w:rPr>
        <w:footnoteReference w:id="38"/>
      </w:r>
      <w:r w:rsidR="00A17B40">
        <w:t xml:space="preserve"> </w:t>
      </w:r>
      <w:r w:rsidR="00D50BAD">
        <w:t>Ergon Energy consider</w:t>
      </w:r>
      <w:r w:rsidR="00BC1C35">
        <w:t>ed</w:t>
      </w:r>
      <w:r w:rsidR="00D50BAD">
        <w:t xml:space="preserve"> </w:t>
      </w:r>
      <w:r w:rsidR="00DD687E">
        <w:t>it</w:t>
      </w:r>
      <w:r w:rsidR="00BC1C35">
        <w:t xml:space="preserve"> should be added:</w:t>
      </w:r>
    </w:p>
    <w:p w:rsidR="00BC1C35" w:rsidRDefault="00BC1C35" w:rsidP="00BC1C35">
      <w:pPr>
        <w:pStyle w:val="AERbulletlistfirststyle"/>
      </w:pPr>
      <w:r>
        <w:t>to true</w:t>
      </w:r>
      <w:r>
        <w:noBreakHyphen/>
        <w:t>up any adjustments between the preliminary decision and final decision, where the other parameters of the revenue cap formulae are unable to do so. Ergon Energy noted as an example the true</w:t>
      </w:r>
      <w:r>
        <w:noBreakHyphen/>
        <w:t xml:space="preserve">up of any </w:t>
      </w:r>
      <w:r w:rsidR="00394353">
        <w:t xml:space="preserve">service scheme </w:t>
      </w:r>
      <w:r>
        <w:t>related adjustments.</w:t>
      </w:r>
    </w:p>
    <w:p w:rsidR="00BC1C35" w:rsidRDefault="00BC1C35" w:rsidP="00BC1C35">
      <w:pPr>
        <w:pStyle w:val="AERbulletlistfirststyle"/>
      </w:pPr>
      <w:r>
        <w:t>to address any future errors, changes and omission without the administrative burden of revoking and substituting the final decision.</w:t>
      </w:r>
      <w:r>
        <w:rPr>
          <w:rStyle w:val="FootnoteReference"/>
        </w:rPr>
        <w:footnoteReference w:id="39"/>
      </w:r>
    </w:p>
    <w:p w:rsidR="00394353" w:rsidRDefault="00BC1C35" w:rsidP="00394353">
      <w:pPr>
        <w:numPr>
          <w:ilvl w:val="0"/>
          <w:numId w:val="24"/>
        </w:numPr>
      </w:pPr>
      <w:r>
        <w:t>We</w:t>
      </w:r>
      <w:r w:rsidR="00DD687E">
        <w:t xml:space="preserve"> do</w:t>
      </w:r>
      <w:r w:rsidR="00100550">
        <w:t xml:space="preserve"> not accept the inclusion of the 'other' one</w:t>
      </w:r>
      <w:r w:rsidR="00100550">
        <w:noBreakHyphen/>
        <w:t>off</w:t>
      </w:r>
      <w:r w:rsidR="00A73DDB">
        <w:t xml:space="preserve"> </w:t>
      </w:r>
      <w:r w:rsidR="00DD687E">
        <w:t>parameter as we</w:t>
      </w:r>
      <w:r>
        <w:t xml:space="preserve"> consider our final </w:t>
      </w:r>
      <w:r w:rsidR="00F831BB">
        <w:t>decision</w:t>
      </w:r>
      <w:r w:rsidR="005943A4">
        <w:t>—including the control mechanism—</w:t>
      </w:r>
      <w:r w:rsidR="00100550">
        <w:t>accounts</w:t>
      </w:r>
      <w:r>
        <w:t xml:space="preserve"> for any true</w:t>
      </w:r>
      <w:r>
        <w:noBreakHyphen/>
        <w:t>up adjustments</w:t>
      </w:r>
      <w:r w:rsidR="00394353">
        <w:t xml:space="preserve"> to be made post the preliminary</w:t>
      </w:r>
      <w:r>
        <w:t xml:space="preserve"> decision.</w:t>
      </w:r>
      <w:r w:rsidR="00CC1EA4">
        <w:t xml:space="preserve"> Therefore</w:t>
      </w:r>
      <w:r w:rsidR="00360599">
        <w:t xml:space="preserve"> </w:t>
      </w:r>
      <w:r w:rsidR="00CC1EA4">
        <w:t>no additional component is required.</w:t>
      </w:r>
      <w:r>
        <w:t xml:space="preserve"> As noted above, the</w:t>
      </w:r>
      <w:r w:rsidR="00CC1EA4" w:rsidRPr="00CC1EA4">
        <w:t xml:space="preserve"> </w:t>
      </w:r>
      <w:r w:rsidR="00394353">
        <w:t>service scheme</w:t>
      </w:r>
      <w:r w:rsidR="00394353" w:rsidRPr="00CC1EA4">
        <w:t xml:space="preserve"> </w:t>
      </w:r>
      <w:r w:rsidR="005943A4">
        <w:t>already accounts for true</w:t>
      </w:r>
      <w:r w:rsidR="005943A4">
        <w:noBreakHyphen/>
      </w:r>
      <w:r w:rsidR="00CC1EA4" w:rsidRPr="00CC1EA4">
        <w:t>up adjustments from one regulatory year to the next, including across regulatory control periods.</w:t>
      </w:r>
      <w:r w:rsidR="00394353" w:rsidDel="00394353">
        <w:t xml:space="preserve"> </w:t>
      </w:r>
      <w:r w:rsidR="00394353">
        <w:t xml:space="preserve">In the instance where the final decision is revoked and substituted, </w:t>
      </w:r>
      <w:r w:rsidR="00446DA6">
        <w:t>our final decision</w:t>
      </w:r>
      <w:r w:rsidR="005943A4">
        <w:t xml:space="preserve"> control mechanism will be able to address any </w:t>
      </w:r>
      <w:r w:rsidR="00394353">
        <w:t xml:space="preserve">necessary </w:t>
      </w:r>
      <w:r w:rsidR="005943A4">
        <w:t>adjustments.</w:t>
      </w:r>
    </w:p>
    <w:p w:rsidR="00F831BB" w:rsidRDefault="005943A4" w:rsidP="00394353">
      <w:pPr>
        <w:numPr>
          <w:ilvl w:val="0"/>
          <w:numId w:val="24"/>
        </w:numPr>
      </w:pPr>
      <w:r>
        <w:lastRenderedPageBreak/>
        <w:t xml:space="preserve">Ergon Energy raised two instances during the 2010–15 regulatory control period it was directed by the Queensland </w:t>
      </w:r>
      <w:r w:rsidR="00394353">
        <w:t xml:space="preserve">Government </w:t>
      </w:r>
      <w:r>
        <w:t>to forgo revenue</w:t>
      </w:r>
      <w:r w:rsidR="00446DA6">
        <w:t xml:space="preserve"> as </w:t>
      </w:r>
      <w:r w:rsidR="00394353">
        <w:t xml:space="preserve">a </w:t>
      </w:r>
      <w:r w:rsidR="00446DA6">
        <w:t>reason why we should include this 'other' one</w:t>
      </w:r>
      <w:r w:rsidR="00446DA6">
        <w:noBreakHyphen/>
        <w:t>off parameter</w:t>
      </w:r>
      <w:r>
        <w:t>.</w:t>
      </w:r>
      <w:r>
        <w:rPr>
          <w:rStyle w:val="FootnoteReference"/>
        </w:rPr>
        <w:footnoteReference w:id="40"/>
      </w:r>
      <w:r w:rsidR="00446DA6">
        <w:t xml:space="preserve"> However,</w:t>
      </w:r>
      <w:r w:rsidR="00100550">
        <w:t xml:space="preserve"> </w:t>
      </w:r>
      <w:r w:rsidR="00446DA6">
        <w:t>in both of these inst</w:t>
      </w:r>
      <w:r w:rsidR="004F172F">
        <w:t xml:space="preserve">ances the control mechanism—including the DUoS unders and </w:t>
      </w:r>
      <w:r w:rsidR="00100550">
        <w:t>overs account—w</w:t>
      </w:r>
      <w:r w:rsidR="00CA43B4">
        <w:t>as</w:t>
      </w:r>
      <w:r w:rsidR="004F172F">
        <w:t xml:space="preserve"> able to accommodate t</w:t>
      </w:r>
      <w:r w:rsidR="00446DA6">
        <w:t>hese issues</w:t>
      </w:r>
      <w:r w:rsidR="00394353">
        <w:t>,</w:t>
      </w:r>
      <w:r w:rsidR="004F172F">
        <w:t xml:space="preserve"> without </w:t>
      </w:r>
      <w:r w:rsidR="00100550">
        <w:t>need for</w:t>
      </w:r>
      <w:r w:rsidR="00394353">
        <w:t xml:space="preserve"> the kind of</w:t>
      </w:r>
      <w:r w:rsidR="00100550">
        <w:t xml:space="preserve"> </w:t>
      </w:r>
      <w:r w:rsidR="004F172F">
        <w:t>amend</w:t>
      </w:r>
      <w:r w:rsidR="00100550">
        <w:t>ment</w:t>
      </w:r>
      <w:r w:rsidR="00394353">
        <w:t xml:space="preserve">s </w:t>
      </w:r>
      <w:r w:rsidR="00CA43B4">
        <w:t>Ergon Energy</w:t>
      </w:r>
      <w:r w:rsidR="00394353">
        <w:t xml:space="preserve"> now proposes</w:t>
      </w:r>
      <w:r w:rsidR="004F172F">
        <w:t>.</w:t>
      </w:r>
    </w:p>
    <w:p w:rsidR="00CC1EA4" w:rsidRDefault="00394353" w:rsidP="00CC1EA4">
      <w:pPr>
        <w:numPr>
          <w:ilvl w:val="0"/>
          <w:numId w:val="24"/>
        </w:numPr>
      </w:pPr>
      <w:r>
        <w:t>Our</w:t>
      </w:r>
      <w:r w:rsidR="00CC1EA4">
        <w:t xml:space="preserve"> preliminary decision</w:t>
      </w:r>
      <w:r>
        <w:t xml:space="preserve"> also observed that</w:t>
      </w:r>
      <w:r w:rsidR="00E33731" w:rsidRPr="00E33731">
        <w:t xml:space="preserve"> a general 'catch-all' </w:t>
      </w:r>
      <w:r w:rsidR="00446DA6">
        <w:t>parameter</w:t>
      </w:r>
      <w:r w:rsidR="00E33731" w:rsidRPr="00E33731">
        <w:t xml:space="preserve"> in the control mechanism formula</w:t>
      </w:r>
      <w:r w:rsidR="00100550">
        <w:t>e</w:t>
      </w:r>
      <w:r w:rsidR="00E33731" w:rsidRPr="00E33731">
        <w:t xml:space="preserve"> is not consistent with incentive regulation. A distributor should manage one-off events as part of its normal business practice, unless they come within the pass-through regime which is used for more exceptional cases. Incentive regulation is not intended to account for all events that may occur during a regulatory control period.</w:t>
      </w:r>
    </w:p>
    <w:p w:rsidR="00D15F6F" w:rsidRDefault="00D15F6F" w:rsidP="00D15F6F">
      <w:pPr>
        <w:pStyle w:val="HeadingBoldBlue"/>
      </w:pPr>
      <w:bookmarkStart w:id="30" w:name="_Toc433299182"/>
      <w:r>
        <w:t>Calculation of the consumer price index escalation</w:t>
      </w:r>
      <w:bookmarkEnd w:id="30"/>
    </w:p>
    <w:p w:rsidR="00827BE1" w:rsidRDefault="0015432F" w:rsidP="00827BE1">
      <w:r>
        <w:t xml:space="preserve">The </w:t>
      </w:r>
      <w:r w:rsidRPr="005A1721">
        <w:t xml:space="preserve">method for calculating the consumer price index (CPI) escalation </w:t>
      </w:r>
      <w:r>
        <w:t xml:space="preserve">is </w:t>
      </w:r>
      <w:r w:rsidRPr="005A1721">
        <w:t xml:space="preserve">based on the annual movement between the Australian Bureau of Statistics' (ABS) published </w:t>
      </w:r>
      <w:r>
        <w:t xml:space="preserve">December </w:t>
      </w:r>
      <w:r w:rsidRPr="005A1721">
        <w:t>quarter data.</w:t>
      </w:r>
      <w:r w:rsidR="00E33731">
        <w:t xml:space="preserve"> The application of this calculation is set out in </w:t>
      </w:r>
      <w:r w:rsidR="00E33731">
        <w:fldChar w:fldCharType="begin"/>
      </w:r>
      <w:r w:rsidR="00E33731">
        <w:instrText xml:space="preserve"> REF  _Ref428542843 \* Lower \h </w:instrText>
      </w:r>
      <w:r w:rsidR="00E33731">
        <w:fldChar w:fldCharType="separate"/>
      </w:r>
      <w:r w:rsidR="00C668EE">
        <w:t xml:space="preserve">figure </w:t>
      </w:r>
      <w:r w:rsidR="00C668EE">
        <w:rPr>
          <w:noProof/>
        </w:rPr>
        <w:t>14</w:t>
      </w:r>
      <w:r w:rsidR="00C668EE">
        <w:t>.</w:t>
      </w:r>
      <w:r w:rsidR="00C668EE">
        <w:rPr>
          <w:noProof/>
        </w:rPr>
        <w:t>1</w:t>
      </w:r>
      <w:r w:rsidR="00E33731">
        <w:fldChar w:fldCharType="end"/>
      </w:r>
      <w:r w:rsidR="00770E29">
        <w:t>.</w:t>
      </w:r>
    </w:p>
    <w:p w:rsidR="00BA19BA" w:rsidRDefault="00312C28" w:rsidP="000F181E">
      <w:pPr>
        <w:pStyle w:val="Heading3"/>
      </w:pPr>
      <w:bookmarkStart w:id="31" w:name="_Toc433299183"/>
      <w:r>
        <w:t>Reporting on</w:t>
      </w:r>
      <w:r w:rsidR="00BA19BA">
        <w:t xml:space="preserve"> designated pricing proposal charges</w:t>
      </w:r>
      <w:bookmarkEnd w:id="31"/>
    </w:p>
    <w:p w:rsidR="00BA19BA" w:rsidRDefault="00332B2F" w:rsidP="00BA19BA">
      <w:r w:rsidRPr="00C26338">
        <w:t xml:space="preserve">We must decide how Ergon Energy will report on the recovery of </w:t>
      </w:r>
      <w:r>
        <w:t xml:space="preserve">designated pricing proposal charges </w:t>
      </w:r>
      <w:r w:rsidRPr="00C26338">
        <w:t>f</w:t>
      </w:r>
      <w:r>
        <w:t>or each year of the 2015–20</w:t>
      </w:r>
      <w:r w:rsidRPr="00C26338">
        <w:t xml:space="preserve"> regulatory control period</w:t>
      </w:r>
      <w:r w:rsidR="00946617">
        <w:t xml:space="preserve"> and how to account for any under or over recovery of revenue </w:t>
      </w:r>
      <w:r w:rsidR="00770E29">
        <w:t xml:space="preserve">associated with </w:t>
      </w:r>
      <w:r w:rsidR="00946617">
        <w:t>those charges</w:t>
      </w:r>
      <w:r w:rsidRPr="00C26338">
        <w:t>.</w:t>
      </w:r>
      <w:r w:rsidRPr="00C26338">
        <w:rPr>
          <w:rStyle w:val="FootnoteReference"/>
        </w:rPr>
        <w:footnoteReference w:id="41"/>
      </w:r>
      <w:r>
        <w:t xml:space="preserve"> </w:t>
      </w:r>
      <w:r w:rsidR="00770E29">
        <w:t xml:space="preserve">Continuing the </w:t>
      </w:r>
      <w:r>
        <w:t>preliminary decision</w:t>
      </w:r>
      <w:r w:rsidR="00770E29">
        <w:t xml:space="preserve"> method</w:t>
      </w:r>
      <w:r>
        <w:t xml:space="preserve">, we </w:t>
      </w:r>
      <w:r w:rsidR="00F74E40" w:rsidRPr="00F74E40">
        <w:t xml:space="preserve">will apply an under and over recovery mechanism to </w:t>
      </w:r>
      <w:r>
        <w:t>facilitate this reporting</w:t>
      </w:r>
      <w:r w:rsidR="00946617">
        <w:t xml:space="preserve"> and account for the true</w:t>
      </w:r>
      <w:r w:rsidR="00946617">
        <w:noBreakHyphen/>
        <w:t>up of under and over recovery of revenue</w:t>
      </w:r>
      <w:r w:rsidR="00F74E40" w:rsidRPr="00F74E40">
        <w:t xml:space="preserve">. </w:t>
      </w:r>
      <w:r w:rsidR="00A304D0">
        <w:t>This</w:t>
      </w:r>
      <w:r w:rsidR="00F74E40" w:rsidRPr="00F74E40">
        <w:t xml:space="preserve"> approach is </w:t>
      </w:r>
      <w:r w:rsidR="00946617" w:rsidRPr="00F74E40">
        <w:t xml:space="preserve">consistent </w:t>
      </w:r>
      <w:r w:rsidR="00946617">
        <w:t>with</w:t>
      </w:r>
      <w:r w:rsidR="00F74E40" w:rsidRPr="00F74E40">
        <w:t xml:space="preserve"> the DUoS revenue under and over recovery</w:t>
      </w:r>
      <w:r w:rsidR="00946617">
        <w:t xml:space="preserve"> mechanism</w:t>
      </w:r>
      <w:r w:rsidR="00F74E40" w:rsidRPr="00F74E40">
        <w:t xml:space="preserve"> and requirements of the NER.</w:t>
      </w:r>
      <w:r w:rsidR="00360599">
        <w:rPr>
          <w:rStyle w:val="FootnoteReference"/>
        </w:rPr>
        <w:footnoteReference w:id="42"/>
      </w:r>
      <w:r w:rsidR="00F74E40" w:rsidRPr="00F74E40">
        <w:t xml:space="preserve"> The operation of this method is detailed in appendix </w:t>
      </w:r>
      <w:r w:rsidR="00BC1C35">
        <w:fldChar w:fldCharType="begin"/>
      </w:r>
      <w:r w:rsidR="00BC1C35">
        <w:instrText xml:space="preserve"> REF _Ref428542926 \r \h </w:instrText>
      </w:r>
      <w:r w:rsidR="00BC1C35">
        <w:fldChar w:fldCharType="separate"/>
      </w:r>
      <w:r w:rsidR="00C668EE">
        <w:t>B</w:t>
      </w:r>
      <w:r w:rsidR="00BC1C35">
        <w:fldChar w:fldCharType="end"/>
      </w:r>
      <w:r w:rsidR="00F74E40" w:rsidRPr="00F74E40">
        <w:t>.</w:t>
      </w:r>
    </w:p>
    <w:p w:rsidR="00332B2F" w:rsidRDefault="00332B2F" w:rsidP="00BA19BA">
      <w:r>
        <w:t xml:space="preserve">As per our preliminary decision, </w:t>
      </w:r>
      <w:r w:rsidRPr="00332B2F">
        <w:t>Ergon Energy will also recover, as part of designated pricing proposal charges, charges levied on it for the use of the Chumvale and Powerlink lines</w:t>
      </w:r>
      <w:r>
        <w:t>.</w:t>
      </w:r>
      <w:r>
        <w:rPr>
          <w:rStyle w:val="FootnoteReference"/>
        </w:rPr>
        <w:footnoteReference w:id="43"/>
      </w:r>
      <w:r>
        <w:t xml:space="preserve"> Ergon Energy accepted </w:t>
      </w:r>
      <w:r w:rsidR="004F1B6A">
        <w:t>this approach.</w:t>
      </w:r>
      <w:r w:rsidR="004F1B6A">
        <w:rPr>
          <w:rStyle w:val="FootnoteReference"/>
        </w:rPr>
        <w:footnoteReference w:id="44"/>
      </w:r>
    </w:p>
    <w:p w:rsidR="004F1B6A" w:rsidRDefault="00CA43B4" w:rsidP="00BA19BA">
      <w:r>
        <w:t>T</w:t>
      </w:r>
      <w:r w:rsidR="004F1B6A">
        <w:t xml:space="preserve">he presentation of the under and over recovery mechanism for designated pricing proposal charges has been </w:t>
      </w:r>
      <w:r w:rsidR="00770E29">
        <w:t xml:space="preserve">improved </w:t>
      </w:r>
      <w:r w:rsidR="008E4707">
        <w:t>since our preliminary decision</w:t>
      </w:r>
      <w:r w:rsidR="001B6FBC">
        <w:t xml:space="preserve"> </w:t>
      </w:r>
      <w:r w:rsidR="00A32242">
        <w:t>to be consistent with its</w:t>
      </w:r>
      <w:r w:rsidR="001B6FBC">
        <w:t xml:space="preserve"> application in other jurisdict</w:t>
      </w:r>
      <w:r w:rsidR="00946617">
        <w:t>ions and to be more transparent</w:t>
      </w:r>
      <w:r w:rsidR="001B6FBC">
        <w:t>.</w:t>
      </w:r>
      <w:r w:rsidR="009F4C26">
        <w:t xml:space="preserve"> It also includes an </w:t>
      </w:r>
      <w:r w:rsidR="009F4C26">
        <w:lastRenderedPageBreak/>
        <w:t xml:space="preserve">adjustment for avoided transmission use of system charges which </w:t>
      </w:r>
      <w:r w:rsidR="00CB4778">
        <w:t>was erroneously omitted from our</w:t>
      </w:r>
      <w:r w:rsidR="009F4C26">
        <w:t xml:space="preserve"> preliminary decision.</w:t>
      </w:r>
    </w:p>
    <w:p w:rsidR="00BA19BA" w:rsidRDefault="00185DF2" w:rsidP="000F181E">
      <w:pPr>
        <w:pStyle w:val="Heading3"/>
      </w:pPr>
      <w:bookmarkStart w:id="32" w:name="_Toc433299184"/>
      <w:r>
        <w:t>Reporting on</w:t>
      </w:r>
      <w:r w:rsidR="00BA19BA">
        <w:t xml:space="preserve"> jurisdictional scheme amounts</w:t>
      </w:r>
      <w:bookmarkEnd w:id="32"/>
    </w:p>
    <w:p w:rsidR="00AF4E31" w:rsidRDefault="00C26338" w:rsidP="00AF4E31">
      <w:r w:rsidRPr="00C26338">
        <w:t>We must decide how Ergon Energy will report on the recovery of jurisdictional scheme amounts f</w:t>
      </w:r>
      <w:r w:rsidR="00332B2F">
        <w:t>or each year of the 2015–20</w:t>
      </w:r>
      <w:r w:rsidRPr="00C26338">
        <w:t xml:space="preserve"> regulatory control period</w:t>
      </w:r>
      <w:r w:rsidR="00185DF2">
        <w:t xml:space="preserve"> and how to account for any under or over recovery of revenue of those charges</w:t>
      </w:r>
      <w:r w:rsidRPr="00C26338">
        <w:t>.</w:t>
      </w:r>
      <w:r w:rsidRPr="00C26338">
        <w:rPr>
          <w:rStyle w:val="FootnoteReference"/>
        </w:rPr>
        <w:footnoteReference w:id="45"/>
      </w:r>
      <w:r w:rsidR="00CD0345">
        <w:t xml:space="preserve"> Continuing the</w:t>
      </w:r>
      <w:r>
        <w:t xml:space="preserve"> preliminary decision</w:t>
      </w:r>
      <w:r w:rsidR="00CD0345">
        <w:t xml:space="preserve"> method</w:t>
      </w:r>
      <w:r>
        <w:t>, we will</w:t>
      </w:r>
      <w:r w:rsidR="00F74E40" w:rsidRPr="00F74E40">
        <w:t xml:space="preserve"> apply an under and over recovery mechanism </w:t>
      </w:r>
      <w:r>
        <w:t>to facilitate this reporting</w:t>
      </w:r>
      <w:r w:rsidR="00185DF2">
        <w:t xml:space="preserve"> and account for the true</w:t>
      </w:r>
      <w:r w:rsidR="00185DF2">
        <w:noBreakHyphen/>
        <w:t>up of under and over recovery of revenue</w:t>
      </w:r>
      <w:r>
        <w:t>.</w:t>
      </w:r>
      <w:r>
        <w:rPr>
          <w:rStyle w:val="FootnoteReference"/>
        </w:rPr>
        <w:footnoteReference w:id="46"/>
      </w:r>
      <w:r w:rsidR="00A304D0">
        <w:t xml:space="preserve"> T</w:t>
      </w:r>
      <w:r w:rsidR="00770E29">
        <w:t>his</w:t>
      </w:r>
      <w:r w:rsidR="00770E29" w:rsidRPr="00F74E40">
        <w:t xml:space="preserve"> </w:t>
      </w:r>
      <w:r w:rsidR="00F74E40" w:rsidRPr="00F74E40">
        <w:t xml:space="preserve">approach </w:t>
      </w:r>
      <w:r w:rsidR="00185DF2" w:rsidRPr="00F74E40">
        <w:t xml:space="preserve">is consistent </w:t>
      </w:r>
      <w:r w:rsidR="00185DF2">
        <w:t xml:space="preserve">with </w:t>
      </w:r>
      <w:r w:rsidR="00F74E40" w:rsidRPr="00F74E40">
        <w:t>the DUoS revenue under and over recovery</w:t>
      </w:r>
      <w:r w:rsidR="00185DF2">
        <w:t xml:space="preserve"> mechanism</w:t>
      </w:r>
      <w:r w:rsidR="00F74E40" w:rsidRPr="00F74E40">
        <w:t xml:space="preserve"> and requirements of the NER.</w:t>
      </w:r>
      <w:r w:rsidR="00360599">
        <w:rPr>
          <w:rStyle w:val="FootnoteReference"/>
        </w:rPr>
        <w:footnoteReference w:id="47"/>
      </w:r>
      <w:r w:rsidR="00F74E40" w:rsidRPr="00F74E40">
        <w:t xml:space="preserve"> The operation of this method is detailed in appendix </w:t>
      </w:r>
      <w:r w:rsidR="00360599">
        <w:fldChar w:fldCharType="begin"/>
      </w:r>
      <w:r w:rsidR="00360599">
        <w:instrText xml:space="preserve"> REF _Ref428542933 \r \h </w:instrText>
      </w:r>
      <w:r w:rsidR="00360599">
        <w:fldChar w:fldCharType="separate"/>
      </w:r>
      <w:r w:rsidR="00C668EE">
        <w:t>C</w:t>
      </w:r>
      <w:r w:rsidR="00360599">
        <w:fldChar w:fldCharType="end"/>
      </w:r>
      <w:r w:rsidR="00F74E40" w:rsidRPr="00F74E40">
        <w:t>.</w:t>
      </w:r>
    </w:p>
    <w:p w:rsidR="00360599" w:rsidRDefault="00770E29" w:rsidP="00AF4E31">
      <w:r>
        <w:t xml:space="preserve">Consistent with </w:t>
      </w:r>
      <w:r w:rsidR="00C26338">
        <w:t>our preliminary decision, w</w:t>
      </w:r>
      <w:r w:rsidR="00451650">
        <w:t xml:space="preserve">e do not accept Ergon Energy's </w:t>
      </w:r>
      <w:r w:rsidR="00691F29">
        <w:t>proposed method to</w:t>
      </w:r>
      <w:r w:rsidR="00451650">
        <w:t xml:space="preserve"> </w:t>
      </w:r>
      <w:r w:rsidR="00451650" w:rsidRPr="00451650">
        <w:t>recover jur</w:t>
      </w:r>
      <w:r w:rsidR="00691F29">
        <w:t>isdictional scheme amounts</w:t>
      </w:r>
      <w:r w:rsidR="00451650" w:rsidRPr="00451650">
        <w:t>.</w:t>
      </w:r>
      <w:r w:rsidR="00451650">
        <w:rPr>
          <w:rStyle w:val="FootnoteReference"/>
        </w:rPr>
        <w:footnoteReference w:id="48"/>
      </w:r>
      <w:r w:rsidR="00451650" w:rsidRPr="00451650">
        <w:t xml:space="preserve"> </w:t>
      </w:r>
      <w:r>
        <w:t>This would</w:t>
      </w:r>
      <w:r w:rsidR="00451650" w:rsidRPr="00451650">
        <w:t xml:space="preserve"> </w:t>
      </w:r>
      <w:r>
        <w:t xml:space="preserve">result in </w:t>
      </w:r>
      <w:r w:rsidR="00451650" w:rsidRPr="00451650">
        <w:t>Ergon Energy earn</w:t>
      </w:r>
      <w:r>
        <w:t>ing</w:t>
      </w:r>
      <w:r w:rsidR="00451650" w:rsidRPr="00451650">
        <w:t xml:space="preserve"> zero revenues from jurisdictional</w:t>
      </w:r>
      <w:r w:rsidR="00F607EB">
        <w:t xml:space="preserve"> scheme</w:t>
      </w:r>
      <w:r w:rsidR="00451650" w:rsidRPr="00451650">
        <w:t xml:space="preserve"> amounts in the year it incurs </w:t>
      </w:r>
      <w:r>
        <w:t xml:space="preserve">costs for </w:t>
      </w:r>
      <w:r w:rsidR="00451650" w:rsidRPr="00451650">
        <w:t>those amounts. It would then pass on the full amount after two years.</w:t>
      </w:r>
    </w:p>
    <w:p w:rsidR="00CD1FA7" w:rsidRDefault="00CD1FA7" w:rsidP="00AF4E31">
      <w:r>
        <w:t>Our final decision is that Ergon Energy will earn revenues from jurisdictional scheme amounts in the year it incurs those amounts</w:t>
      </w:r>
      <w:r w:rsidR="00770E29">
        <w:t>,</w:t>
      </w:r>
      <w:r>
        <w:t xml:space="preserve"> with a true</w:t>
      </w:r>
      <w:r>
        <w:noBreakHyphen/>
        <w:t>up of any under or over recovered revenues occurring on a two year lag. This true</w:t>
      </w:r>
      <w:r>
        <w:noBreakHyphen/>
        <w:t xml:space="preserve">up method is detailed in appendix </w:t>
      </w:r>
      <w:r>
        <w:fldChar w:fldCharType="begin"/>
      </w:r>
      <w:r>
        <w:instrText xml:space="preserve"> REF _Ref428542933 \r \h </w:instrText>
      </w:r>
      <w:r>
        <w:fldChar w:fldCharType="separate"/>
      </w:r>
      <w:r w:rsidR="00C668EE">
        <w:t>C</w:t>
      </w:r>
      <w:r>
        <w:fldChar w:fldCharType="end"/>
      </w:r>
      <w:r>
        <w:t xml:space="preserve"> which is consistent with the methods and approaches applied to Ergon Energy's</w:t>
      </w:r>
      <w:r w:rsidR="00691F29">
        <w:t xml:space="preserve"> DUoS charges and designated pricing proposal charges</w:t>
      </w:r>
      <w:r>
        <w:t>. This method is also consistent with that applied</w:t>
      </w:r>
      <w:r w:rsidR="00CE1B90">
        <w:t xml:space="preserve"> to distributors</w:t>
      </w:r>
      <w:r>
        <w:t xml:space="preserve"> across</w:t>
      </w:r>
      <w:r w:rsidR="00FB3DB7">
        <w:t xml:space="preserve"> jurisdictions</w:t>
      </w:r>
      <w:r>
        <w:t>.</w:t>
      </w:r>
      <w:r>
        <w:rPr>
          <w:rStyle w:val="FootnoteReference"/>
        </w:rPr>
        <w:footnoteReference w:id="49"/>
      </w:r>
    </w:p>
    <w:p w:rsidR="00DE5CAF" w:rsidRDefault="00DE5209" w:rsidP="00241164">
      <w:r>
        <w:t>Ergon Energy noted clause 6.18.7A of the NER was amended to give the AER greater flexibility in determining the method to true</w:t>
      </w:r>
      <w:r>
        <w:noBreakHyphen/>
        <w:t>up the under or over recovery of jurisdictional scheme amounts.</w:t>
      </w:r>
      <w:r>
        <w:rPr>
          <w:rStyle w:val="FootnoteReference"/>
        </w:rPr>
        <w:footnoteReference w:id="50"/>
      </w:r>
      <w:r>
        <w:t xml:space="preserve"> </w:t>
      </w:r>
      <w:r w:rsidR="00352786">
        <w:t>It</w:t>
      </w:r>
      <w:r w:rsidR="00FA532D">
        <w:t xml:space="preserve"> </w:t>
      </w:r>
      <w:r w:rsidR="00352786">
        <w:t>considered the intention of</w:t>
      </w:r>
      <w:r w:rsidR="00A52A60">
        <w:t xml:space="preserve"> the</w:t>
      </w:r>
      <w:r w:rsidR="00352786">
        <w:t xml:space="preserve"> amendments was</w:t>
      </w:r>
      <w:r w:rsidR="00241164">
        <w:t xml:space="preserve"> </w:t>
      </w:r>
      <w:r w:rsidR="00352786">
        <w:t>to enable a distributor</w:t>
      </w:r>
      <w:r w:rsidR="00241164">
        <w:t xml:space="preserve"> the flexibility to propose and have approved any method for determining how the true</w:t>
      </w:r>
      <w:r w:rsidR="00241164">
        <w:noBreakHyphen/>
        <w:t>up adjustments would apply.</w:t>
      </w:r>
    </w:p>
    <w:p w:rsidR="00DE5CAF" w:rsidRDefault="00DE5CAF" w:rsidP="00241164">
      <w:r>
        <w:t>However, we note the Australian Energy Market Commission in making these amendments also considered a need for a consistent approach.</w:t>
      </w:r>
      <w:r>
        <w:rPr>
          <w:rStyle w:val="FootnoteReference"/>
        </w:rPr>
        <w:footnoteReference w:id="51"/>
      </w:r>
      <w:r>
        <w:t xml:space="preserve"> </w:t>
      </w:r>
      <w:r w:rsidR="00770E29">
        <w:t>O</w:t>
      </w:r>
      <w:r>
        <w:t xml:space="preserve">ur final decision </w:t>
      </w:r>
      <w:r w:rsidR="007877CA">
        <w:t>creates</w:t>
      </w:r>
      <w:r>
        <w:t xml:space="preserve"> a consistent approach</w:t>
      </w:r>
      <w:r w:rsidR="007877CA">
        <w:t xml:space="preserve"> across </w:t>
      </w:r>
      <w:r>
        <w:t>Ergon Energy's DUoS charges</w:t>
      </w:r>
      <w:r w:rsidR="007877CA">
        <w:t xml:space="preserve">, designated </w:t>
      </w:r>
      <w:r w:rsidR="007877CA">
        <w:lastRenderedPageBreak/>
        <w:t xml:space="preserve">pricing proposal </w:t>
      </w:r>
      <w:r>
        <w:t>charges</w:t>
      </w:r>
      <w:r w:rsidR="007877CA">
        <w:t xml:space="preserve"> and j</w:t>
      </w:r>
      <w:r w:rsidR="001919F1">
        <w:t>urisdictional scheme amounts. This approach is</w:t>
      </w:r>
      <w:r w:rsidR="00770E29">
        <w:t xml:space="preserve"> </w:t>
      </w:r>
      <w:r w:rsidR="007877CA">
        <w:t xml:space="preserve">also </w:t>
      </w:r>
      <w:r w:rsidR="00E95B93">
        <w:t>consisten</w:t>
      </w:r>
      <w:r w:rsidR="007877CA">
        <w:t xml:space="preserve">t </w:t>
      </w:r>
      <w:r w:rsidR="00770E29">
        <w:t>across</w:t>
      </w:r>
      <w:r>
        <w:t xml:space="preserve"> jurisdictions.</w:t>
      </w:r>
    </w:p>
    <w:p w:rsidR="00BA19BA" w:rsidRDefault="00BA19BA" w:rsidP="000F181E">
      <w:pPr>
        <w:pStyle w:val="Heading3"/>
      </w:pPr>
      <w:bookmarkStart w:id="33" w:name="_Toc433299185"/>
      <w:r>
        <w:t>Side constraints</w:t>
      </w:r>
      <w:bookmarkEnd w:id="33"/>
    </w:p>
    <w:p w:rsidR="00AF4E31" w:rsidRDefault="00A8013D" w:rsidP="00AF4E31">
      <w:r>
        <w:fldChar w:fldCharType="begin"/>
      </w:r>
      <w:r>
        <w:instrText xml:space="preserve"> REF _Ref428947805 \h </w:instrText>
      </w:r>
      <w:r>
        <w:fldChar w:fldCharType="separate"/>
      </w:r>
      <w:r w:rsidR="00C668EE">
        <w:t xml:space="preserve">Figure </w:t>
      </w:r>
      <w:r w:rsidR="00C668EE">
        <w:rPr>
          <w:noProof/>
        </w:rPr>
        <w:t>14</w:t>
      </w:r>
      <w:r w:rsidR="00C668EE">
        <w:t>.</w:t>
      </w:r>
      <w:r w:rsidR="00C668EE">
        <w:rPr>
          <w:noProof/>
        </w:rPr>
        <w:t>2</w:t>
      </w:r>
      <w:r>
        <w:fldChar w:fldCharType="end"/>
      </w:r>
      <w:r>
        <w:t xml:space="preserve"> </w:t>
      </w:r>
      <w:r w:rsidR="00B73725" w:rsidRPr="00B73725">
        <w:t xml:space="preserve">sets out the side constraints formula. For each year after the first year of a regulatory control period, side constraints will apply to the weighted average revenue to be raised from each tariff class. In accordance with the NER, the permissible percentage </w:t>
      </w:r>
      <w:r>
        <w:t>increase is the greater of CPI–</w:t>
      </w:r>
      <w:r w:rsidR="00B73725" w:rsidRPr="00B73725">
        <w:t>X plus 2 per cent or CPI plus 2 per cent.</w:t>
      </w:r>
      <w:r w:rsidR="00B15D42" w:rsidRPr="00B15D42">
        <w:rPr>
          <w:rStyle w:val="FootnoteReference"/>
        </w:rPr>
        <w:footnoteReference w:id="52"/>
      </w:r>
      <w:r w:rsidR="00B73725" w:rsidRPr="00B15D42">
        <w:rPr>
          <w:rStyle w:val="FootnoteReference"/>
        </w:rPr>
        <w:t xml:space="preserve"> </w:t>
      </w:r>
      <w:r w:rsidR="00B73725" w:rsidRPr="00B73725">
        <w:t>Recovery of certain revenues, such as those to accommodate pass throughs, is disregarded in deciding whether the permissible percentage has been exceeded.</w:t>
      </w:r>
      <w:r w:rsidR="00B15D42" w:rsidRPr="00B15D42">
        <w:rPr>
          <w:rStyle w:val="FootnoteReference"/>
        </w:rPr>
        <w:footnoteReference w:id="53"/>
      </w:r>
    </w:p>
    <w:p w:rsidR="00FE6739" w:rsidRDefault="008B49AC" w:rsidP="00AF4E31">
      <w:r>
        <w:t xml:space="preserve">We do not accept Ergon Energy's </w:t>
      </w:r>
      <w:r w:rsidR="00FE6739">
        <w:t>proposed revisions to the side constraint formula.</w:t>
      </w:r>
      <w:r w:rsidR="00FE6739">
        <w:rPr>
          <w:rStyle w:val="FootnoteReference"/>
        </w:rPr>
        <w:footnoteReference w:id="54"/>
      </w:r>
      <w:r w:rsidR="00FE6739">
        <w:t xml:space="preserve"> </w:t>
      </w:r>
      <w:r w:rsidR="00CA43B4">
        <w:t>T</w:t>
      </w:r>
      <w:r w:rsidR="00FE6739">
        <w:t xml:space="preserve">hese revisions reflected </w:t>
      </w:r>
      <w:r w:rsidR="00CA43B4">
        <w:t>Ergon Energy'</w:t>
      </w:r>
      <w:r w:rsidR="00FE6739">
        <w:t>s proposal to include:</w:t>
      </w:r>
    </w:p>
    <w:p w:rsidR="00FE6739" w:rsidRDefault="00FE6739" w:rsidP="00FE6739">
      <w:pPr>
        <w:pStyle w:val="AERbulletlistfirststyle"/>
      </w:pPr>
      <w:r>
        <w:t xml:space="preserve">the rewards or penalties associated the </w:t>
      </w:r>
      <w:r w:rsidR="00770E29">
        <w:t xml:space="preserve">service scheme </w:t>
      </w:r>
      <w:r w:rsidR="000F181E">
        <w:t>in the I </w:t>
      </w:r>
      <w:r>
        <w:t>factor</w:t>
      </w:r>
    </w:p>
    <w:p w:rsidR="004900E1" w:rsidRPr="004900E1" w:rsidRDefault="004900E1" w:rsidP="004900E1">
      <w:pPr>
        <w:pStyle w:val="AERbulletlistfirststyle"/>
      </w:pPr>
      <w:r w:rsidRPr="004900E1">
        <w:t>DUoS revenue under or over recovery adjustments through the B</w:t>
      </w:r>
      <w:r w:rsidR="000F181E">
        <w:t> </w:t>
      </w:r>
      <w:r w:rsidRPr="004900E1">
        <w:t>factor</w:t>
      </w:r>
    </w:p>
    <w:p w:rsidR="00FE6739" w:rsidRDefault="00FE6739" w:rsidP="00FE6739">
      <w:pPr>
        <w:pStyle w:val="AERbulletlistfirststyle"/>
      </w:pPr>
      <w:r>
        <w:t>an 'other' one</w:t>
      </w:r>
      <w:r>
        <w:noBreakHyphen/>
        <w:t>off revenue adjustment in the C</w:t>
      </w:r>
      <w:r w:rsidR="000F181E">
        <w:t> </w:t>
      </w:r>
      <w:r>
        <w:t>factor.</w:t>
      </w:r>
    </w:p>
    <w:p w:rsidR="004900E1" w:rsidRDefault="00E45CCB" w:rsidP="00AF4E31">
      <w:r>
        <w:t>We have noted earlier that t</w:t>
      </w:r>
      <w:r w:rsidR="004900E1">
        <w:t>hese parameters</w:t>
      </w:r>
      <w:r w:rsidR="00FE6739">
        <w:t xml:space="preserve"> will not form part of the side constrain</w:t>
      </w:r>
      <w:r w:rsidR="004900E1">
        <w:t>ts formula.</w:t>
      </w:r>
    </w:p>
    <w:p w:rsidR="00E12CEA" w:rsidRPr="00AF4E31" w:rsidRDefault="00FE6739" w:rsidP="00AF4E31">
      <w:r>
        <w:t xml:space="preserve">We </w:t>
      </w:r>
      <w:r w:rsidR="00E45CCB">
        <w:t xml:space="preserve">reiterate that we </w:t>
      </w:r>
      <w:r w:rsidR="00E12CEA">
        <w:t>have</w:t>
      </w:r>
      <w:r>
        <w:t xml:space="preserve"> </w:t>
      </w:r>
      <w:r w:rsidR="00E45CCB">
        <w:t xml:space="preserve">also </w:t>
      </w:r>
      <w:r>
        <w:t>amended the side constraints formul</w:t>
      </w:r>
      <w:r w:rsidR="006E326B">
        <w:t>a from</w:t>
      </w:r>
      <w:r>
        <w:t xml:space="preserve"> our preliminary decision to </w:t>
      </w:r>
      <w:r w:rsidR="00E45CCB">
        <w:t>include</w:t>
      </w:r>
      <w:r w:rsidR="00E12CEA">
        <w:t xml:space="preserve"> DUoS unders</w:t>
      </w:r>
      <w:r w:rsidR="008B49AC">
        <w:t xml:space="preserve"> and overs account adjustments</w:t>
      </w:r>
      <w:r>
        <w:t xml:space="preserve"> </w:t>
      </w:r>
      <w:r w:rsidR="008B49AC">
        <w:t>in the B</w:t>
      </w:r>
      <w:r w:rsidR="000F181E">
        <w:t> </w:t>
      </w:r>
      <w:r w:rsidR="008B49AC">
        <w:t>factor</w:t>
      </w:r>
      <w:r w:rsidR="00E45CCB">
        <w:t>.</w:t>
      </w:r>
      <w:r>
        <w:t xml:space="preserve"> </w:t>
      </w:r>
      <w:r w:rsidR="00970E53">
        <w:t>Therefore we have removed the DUoS factor that applied in the preliminary decision side constraints formula.</w:t>
      </w:r>
    </w:p>
    <w:p w:rsidR="00BA19BA" w:rsidRDefault="00BA19BA" w:rsidP="001919F1">
      <w:pPr>
        <w:pStyle w:val="Heading3"/>
      </w:pPr>
      <w:bookmarkStart w:id="34" w:name="_Ref428542827"/>
      <w:bookmarkStart w:id="35" w:name="_Toc433299186"/>
      <w:r>
        <w:t>Control mechanism formulae</w:t>
      </w:r>
      <w:bookmarkEnd w:id="34"/>
      <w:bookmarkEnd w:id="35"/>
    </w:p>
    <w:p w:rsidR="00E45CCB" w:rsidRDefault="00BA19BA" w:rsidP="00BA19BA">
      <w:r>
        <w:t>Ergon Energy</w:t>
      </w:r>
      <w:r w:rsidRPr="00BA19BA">
        <w:t xml:space="preserve"> must submit annual pricing proposals to us with proposed tariffs and charging parameters.</w:t>
      </w:r>
      <w:r>
        <w:rPr>
          <w:rStyle w:val="FootnoteReference"/>
        </w:rPr>
        <w:footnoteReference w:id="55"/>
      </w:r>
      <w:r w:rsidRPr="00BA19BA">
        <w:t xml:space="preserve"> To the extent possible, </w:t>
      </w:r>
      <w:r>
        <w:t>Ergon Energy's</w:t>
      </w:r>
      <w:r w:rsidRPr="00BA19BA">
        <w:t xml:space="preserve"> pricing proposals should publicly disclose the separate charging parameters relating to DUoS, designated pricing proposal charges and jurisdictional scheme amounts.</w:t>
      </w:r>
    </w:p>
    <w:p w:rsidR="00E45CCB" w:rsidRDefault="00BA19BA" w:rsidP="00BA19BA">
      <w:r w:rsidRPr="00BA19BA">
        <w:t xml:space="preserve">That is, for each tariff and charging parameter element, </w:t>
      </w:r>
      <w:r w:rsidR="001A5454">
        <w:t xml:space="preserve">Ergon Energy must </w:t>
      </w:r>
      <w:r w:rsidRPr="00BA19BA">
        <w:t>show the breakdown of the DUoS, designated pricing proposal charges and jurisdictional scheme amounts separately—not</w:t>
      </w:r>
      <w:r w:rsidR="004D7DF1">
        <w:t xml:space="preserve"> just</w:t>
      </w:r>
      <w:r w:rsidRPr="00BA19BA">
        <w:t xml:space="preserve"> in combination.</w:t>
      </w:r>
    </w:p>
    <w:p w:rsidR="00BA19BA" w:rsidRPr="00BA19BA" w:rsidRDefault="00BA19BA" w:rsidP="00BA19BA">
      <w:r w:rsidRPr="00BA19BA">
        <w:t>This presentation</w:t>
      </w:r>
      <w:r w:rsidR="00E45CCB">
        <w:t xml:space="preserve"> style</w:t>
      </w:r>
      <w:r w:rsidRPr="00BA19BA">
        <w:t xml:space="preserve"> has been a common practice of distributors in other </w:t>
      </w:r>
      <w:r w:rsidR="00E45CCB" w:rsidRPr="00BA19BA">
        <w:t>jurisdictions</w:t>
      </w:r>
      <w:r w:rsidR="00E45CCB">
        <w:t xml:space="preserve">. It </w:t>
      </w:r>
      <w:r w:rsidRPr="00BA19BA">
        <w:t xml:space="preserve">enables regulators, retailers, policy makers and </w:t>
      </w:r>
      <w:r w:rsidR="00E45CCB">
        <w:t>consumers</w:t>
      </w:r>
      <w:r w:rsidRPr="00BA19BA">
        <w:t xml:space="preserve"> to see the varied pricing impacts and effects of the different charging parameter elements.</w:t>
      </w:r>
    </w:p>
    <w:p w:rsidR="00BA19BA" w:rsidRDefault="00BA19BA" w:rsidP="00BA19BA">
      <w:r>
        <w:lastRenderedPageBreak/>
        <w:t>Ergon Energy's</w:t>
      </w:r>
      <w:r w:rsidRPr="00BA19BA">
        <w:t xml:space="preserve"> revenues must be consistent with the total annual revenue formulae and side constraint formulae set out below.</w:t>
      </w:r>
    </w:p>
    <w:p w:rsidR="00BA19BA" w:rsidRDefault="00BA19BA" w:rsidP="00BA19BA">
      <w:pPr>
        <w:pStyle w:val="Caption"/>
      </w:pPr>
      <w:bookmarkStart w:id="36" w:name="_Ref428542843"/>
      <w:r>
        <w:t xml:space="preserve">Figure </w:t>
      </w:r>
      <w:r w:rsidR="001443EA">
        <w:fldChar w:fldCharType="begin"/>
      </w:r>
      <w:r w:rsidR="001443EA">
        <w:instrText xml:space="preserve"> STYLEREF 1 \s </w:instrText>
      </w:r>
      <w:r w:rsidR="001443EA">
        <w:fldChar w:fldCharType="separate"/>
      </w:r>
      <w:r w:rsidR="00C668EE">
        <w:rPr>
          <w:noProof/>
        </w:rPr>
        <w:t>14</w:t>
      </w:r>
      <w:r w:rsidR="001443EA">
        <w:rPr>
          <w:noProof/>
        </w:rPr>
        <w:fldChar w:fldCharType="end"/>
      </w:r>
      <w:r w:rsidR="00983EDD">
        <w:t>.</w:t>
      </w:r>
      <w:fldSimple w:instr=" SEQ Figure \* ARABIC \s 1 ">
        <w:r w:rsidR="00C668EE">
          <w:rPr>
            <w:noProof/>
          </w:rPr>
          <w:t>1</w:t>
        </w:r>
      </w:fldSimple>
      <w:bookmarkEnd w:id="36"/>
      <w:r>
        <w:t xml:space="preserve"> Revenue cap formulae</w:t>
      </w:r>
    </w:p>
    <w:p w:rsidR="00827BE1" w:rsidRDefault="00827BE1" w:rsidP="005B0486">
      <w:pPr>
        <w:pStyle w:val="ListNumber"/>
      </w:pPr>
      <w:r w:rsidRPr="00827BE1">
        <w:rPr>
          <w:position w:val="-30"/>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35.35pt" o:ole="">
            <v:imagedata r:id="rId15" o:title=""/>
          </v:shape>
          <o:OLEObject Type="Embed" ProgID="Equation.3" ShapeID="_x0000_i1025" DrawAspect="Content" ObjectID="_1507212391" r:id="rId16"/>
        </w:object>
      </w:r>
      <w:r w:rsidR="005B0486">
        <w:tab/>
      </w:r>
      <w:r w:rsidR="005B0486">
        <w:tab/>
      </w:r>
      <w:r w:rsidR="005B0486">
        <w:tab/>
      </w:r>
      <w:r w:rsidR="005B0486">
        <w:tab/>
      </w:r>
      <w:r w:rsidR="005B0486">
        <w:tab/>
      </w:r>
      <w:r w:rsidR="005B0486">
        <w:tab/>
      </w:r>
      <w:r w:rsidR="005B0486">
        <w:tab/>
      </w:r>
      <w:r w:rsidR="005B0486">
        <w:tab/>
      </w:r>
      <w:r w:rsidR="005B0486" w:rsidRPr="005B0486">
        <w:t>i=1,..,n and j=1,..,m and t=1,..,5</w:t>
      </w:r>
    </w:p>
    <w:p w:rsidR="00827BE1" w:rsidRDefault="00F22F16" w:rsidP="00827BE1">
      <w:pPr>
        <w:pStyle w:val="ListNumber"/>
      </w:pPr>
      <w:r w:rsidRPr="00827BE1">
        <w:rPr>
          <w:position w:val="-12"/>
        </w:rPr>
        <w:object w:dxaOrig="2480" w:dyaOrig="360">
          <v:shape id="_x0000_i1026" type="#_x0000_t75" style="width:127.65pt;height:19pt" o:ole="">
            <v:imagedata r:id="rId17" o:title=""/>
          </v:shape>
          <o:OLEObject Type="Embed" ProgID="Equation.3" ShapeID="_x0000_i1026" DrawAspect="Content" ObjectID="_1507212392" r:id="rId18"/>
        </w:object>
      </w:r>
      <w:r w:rsidR="005B0486">
        <w:tab/>
      </w:r>
      <w:r w:rsidR="005B0486">
        <w:tab/>
      </w:r>
      <w:r w:rsidR="005B0486">
        <w:tab/>
      </w:r>
      <w:r w:rsidR="005B0486">
        <w:tab/>
      </w:r>
      <w:r w:rsidR="005B0486">
        <w:tab/>
      </w:r>
      <w:r w:rsidR="005B0486">
        <w:tab/>
      </w:r>
      <w:r w:rsidR="005B0486">
        <w:tab/>
      </w:r>
      <w:r w:rsidR="005B0486" w:rsidRPr="009971D4">
        <w:t>t = 1,2,…,5</w:t>
      </w:r>
    </w:p>
    <w:p w:rsidR="004049AE" w:rsidRDefault="004049AE" w:rsidP="004049AE">
      <w:pPr>
        <w:pStyle w:val="ListNumber"/>
      </w:pPr>
      <w:r w:rsidRPr="004049AE">
        <w:object w:dxaOrig="3800" w:dyaOrig="360">
          <v:shape id="_x0000_i1027" type="#_x0000_t75" style="width:189.8pt;height:19pt" o:ole="">
            <v:imagedata r:id="rId19" o:title=""/>
          </v:shape>
          <o:OLEObject Type="Embed" ProgID="Equation.3" ShapeID="_x0000_i1027" DrawAspect="Content" ObjectID="_1507212393" r:id="rId20"/>
        </w:object>
      </w:r>
    </w:p>
    <w:p w:rsidR="00827BE1" w:rsidRDefault="005B0486" w:rsidP="00827BE1">
      <w:r>
        <w:t>where;</w:t>
      </w:r>
    </w:p>
    <w:p w:rsidR="004049AE" w:rsidRDefault="004049AE" w:rsidP="004049AE">
      <w:r w:rsidRPr="004049AE">
        <w:object w:dxaOrig="540" w:dyaOrig="360">
          <v:shape id="_x0000_i1028" type="#_x0000_t75" style="width:27.5pt;height:19pt" o:ole="">
            <v:imagedata r:id="rId21" o:title=""/>
          </v:shape>
          <o:OLEObject Type="Embed" ProgID="Equation.3" ShapeID="_x0000_i1028" DrawAspect="Content" ObjectID="_1507212394" r:id="rId22"/>
        </w:object>
      </w:r>
      <w:r>
        <w:tab/>
      </w:r>
      <w:r w:rsidRPr="00991A64">
        <w:t>is the total annual revenue in year t.</w:t>
      </w:r>
    </w:p>
    <w:p w:rsidR="004049AE" w:rsidRDefault="004049AE" w:rsidP="004049AE">
      <w:pPr>
        <w:rPr>
          <w:rStyle w:val="AERbody"/>
        </w:rPr>
      </w:pPr>
      <w:r w:rsidRPr="00991A64">
        <w:rPr>
          <w:rStyle w:val="AERbody"/>
        </w:rPr>
        <w:object w:dxaOrig="320" w:dyaOrig="380">
          <v:shape id="_x0000_i1029" type="#_x0000_t75" style="width:15.7pt;height:20.95pt" o:ole="">
            <v:imagedata r:id="rId23" o:title=""/>
          </v:shape>
          <o:OLEObject Type="Embed" ProgID="Equation.3" ShapeID="_x0000_i1029" DrawAspect="Content" ObjectID="_1507212395" r:id="rId24"/>
        </w:object>
      </w:r>
      <w:r>
        <w:rPr>
          <w:rStyle w:val="AERbody"/>
        </w:rPr>
        <w:tab/>
      </w:r>
      <w:r>
        <w:rPr>
          <w:rStyle w:val="AERbody"/>
        </w:rPr>
        <w:tab/>
      </w:r>
      <w:r w:rsidRPr="00991A64">
        <w:rPr>
          <w:rStyle w:val="AERbody"/>
        </w:rPr>
        <w:t xml:space="preserve">is the price of component </w:t>
      </w:r>
      <w:r w:rsidR="00C668EE">
        <w:rPr>
          <w:rStyle w:val="AERbody"/>
        </w:rPr>
        <w:t>'j'</w:t>
      </w:r>
      <w:r w:rsidRPr="00991A64">
        <w:rPr>
          <w:rStyle w:val="AERbody"/>
        </w:rPr>
        <w:t xml:space="preserve"> of tariff </w:t>
      </w:r>
      <w:r w:rsidR="00C668EE">
        <w:t>'i'</w:t>
      </w:r>
      <w:r w:rsidRPr="00991A64">
        <w:rPr>
          <w:rStyle w:val="AERbody"/>
        </w:rPr>
        <w:t xml:space="preserve"> in year t.</w:t>
      </w:r>
    </w:p>
    <w:p w:rsidR="004049AE" w:rsidRDefault="004049AE" w:rsidP="004049AE">
      <w:pPr>
        <w:rPr>
          <w:rStyle w:val="AERbody"/>
        </w:rPr>
      </w:pPr>
      <w:r w:rsidRPr="00991A64">
        <w:rPr>
          <w:rStyle w:val="AERbody"/>
        </w:rPr>
        <w:object w:dxaOrig="300" w:dyaOrig="380">
          <v:shape id="_x0000_i1030" type="#_x0000_t75" style="width:15.05pt;height:20.95pt" o:ole="">
            <v:imagedata r:id="rId25" o:title=""/>
          </v:shape>
          <o:OLEObject Type="Embed" ProgID="Equation.3" ShapeID="_x0000_i1030" DrawAspect="Content" ObjectID="_1507212396" r:id="rId26"/>
        </w:object>
      </w:r>
      <w:r>
        <w:rPr>
          <w:rStyle w:val="AERbody"/>
        </w:rPr>
        <w:tab/>
      </w:r>
      <w:r>
        <w:rPr>
          <w:rStyle w:val="AERbody"/>
        </w:rPr>
        <w:tab/>
      </w:r>
      <w:r w:rsidRPr="00991A64">
        <w:rPr>
          <w:rStyle w:val="AERbody"/>
        </w:rPr>
        <w:t xml:space="preserve">is the forecast quantity of component </w:t>
      </w:r>
      <w:r w:rsidR="00C668EE">
        <w:t>'j'</w:t>
      </w:r>
      <w:r w:rsidRPr="00991A64">
        <w:rPr>
          <w:rStyle w:val="AERbody"/>
        </w:rPr>
        <w:t xml:space="preserve"> of tariff </w:t>
      </w:r>
      <w:r w:rsidR="00C668EE">
        <w:t>'i'</w:t>
      </w:r>
      <w:r w:rsidRPr="00991A64">
        <w:rPr>
          <w:rStyle w:val="AERbody"/>
        </w:rPr>
        <w:t xml:space="preserve"> in year t.</w:t>
      </w:r>
    </w:p>
    <w:p w:rsidR="00827BE1" w:rsidRDefault="00CE1B90" w:rsidP="00827BE1">
      <w:pPr>
        <w:rPr>
          <w:rStyle w:val="AERbody"/>
        </w:rPr>
      </w:pPr>
      <w:r w:rsidRPr="00CE1B90">
        <w:rPr>
          <w:rStyle w:val="AERbody"/>
        </w:rPr>
        <w:object w:dxaOrig="440" w:dyaOrig="360">
          <v:shape id="_x0000_i1031" type="#_x0000_t75" style="width:22.25pt;height:19pt" o:ole="">
            <v:imagedata r:id="rId27" o:title=""/>
          </v:shape>
          <o:OLEObject Type="Embed" ProgID="Equation.3" ShapeID="_x0000_i1031" DrawAspect="Content" ObjectID="_1507212397" r:id="rId28"/>
        </w:object>
      </w:r>
      <w:r w:rsidR="00867026">
        <w:rPr>
          <w:rStyle w:val="AERbody"/>
        </w:rPr>
        <w:tab/>
      </w:r>
      <w:r w:rsidR="00867026" w:rsidRPr="00867026">
        <w:rPr>
          <w:rStyle w:val="AERbody"/>
        </w:rPr>
        <w:t>is the annual smoothed expected revenue for regulatory year t. For the first year of the 2015–20 regulatory control period, this amount will be equal to the smoothed revenue requirement for 2015–16 set out in the PTRM.</w:t>
      </w:r>
    </w:p>
    <w:p w:rsidR="004049AE" w:rsidRDefault="004049AE" w:rsidP="004049AE">
      <w:pPr>
        <w:rPr>
          <w:rStyle w:val="AERbody"/>
        </w:rPr>
      </w:pPr>
      <w:r w:rsidRPr="00CE1B90">
        <w:rPr>
          <w:rStyle w:val="AERbody"/>
        </w:rPr>
        <w:object w:dxaOrig="279" w:dyaOrig="380">
          <v:shape id="_x0000_i1032" type="#_x0000_t75" style="width:13.75pt;height:20.95pt" o:ole="">
            <v:imagedata r:id="rId29" o:title=""/>
          </v:shape>
          <o:OLEObject Type="Embed" ProgID="Equation.3" ShapeID="_x0000_i1032" DrawAspect="Content" ObjectID="_1507212398" r:id="rId30"/>
        </w:object>
      </w:r>
      <w:r>
        <w:rPr>
          <w:rStyle w:val="AERbody"/>
        </w:rPr>
        <w:tab/>
      </w:r>
      <w:r>
        <w:rPr>
          <w:rStyle w:val="AERbody"/>
        </w:rPr>
        <w:tab/>
      </w:r>
      <w:r w:rsidRPr="00991A64">
        <w:rPr>
          <w:rStyle w:val="AERbody"/>
        </w:rPr>
        <w:t>is the final carryover amount from the application of the DMIS from the 2010–15 distribution determination. This amount will be</w:t>
      </w:r>
      <w:r>
        <w:rPr>
          <w:rStyle w:val="AERbody"/>
        </w:rPr>
        <w:t xml:space="preserve"> calculated using the method set out in the DMIS and</w:t>
      </w:r>
      <w:r w:rsidRPr="00991A64">
        <w:rPr>
          <w:rStyle w:val="AERbody"/>
        </w:rPr>
        <w:t xml:space="preserve"> deducted from/added</w:t>
      </w:r>
      <w:r>
        <w:rPr>
          <w:rStyle w:val="AERbody"/>
        </w:rPr>
        <w:t xml:space="preserve"> to allowed revenue in the 2016–</w:t>
      </w:r>
      <w:r w:rsidRPr="00991A64">
        <w:rPr>
          <w:rStyle w:val="AERbody"/>
        </w:rPr>
        <w:t>17 pricing proposal.</w:t>
      </w:r>
    </w:p>
    <w:p w:rsidR="004049AE" w:rsidRDefault="004049AE" w:rsidP="004049AE">
      <w:pPr>
        <w:rPr>
          <w:rStyle w:val="AERbody"/>
        </w:rPr>
      </w:pPr>
      <w:r w:rsidRPr="00CE1B90">
        <w:rPr>
          <w:rStyle w:val="AERbody"/>
        </w:rPr>
        <w:object w:dxaOrig="320" w:dyaOrig="380">
          <v:shape id="_x0000_i1033" type="#_x0000_t75" style="width:15.7pt;height:20.95pt" o:ole="">
            <v:imagedata r:id="rId31" o:title=""/>
          </v:shape>
          <o:OLEObject Type="Embed" ProgID="Equation.3" ShapeID="_x0000_i1033" DrawAspect="Content" ObjectID="_1507212399" r:id="rId32"/>
        </w:object>
      </w:r>
      <w:r>
        <w:rPr>
          <w:rStyle w:val="AERbody"/>
        </w:rPr>
        <w:tab/>
      </w:r>
      <w:r>
        <w:rPr>
          <w:rStyle w:val="AERbody"/>
        </w:rPr>
        <w:tab/>
        <w:t>is the sum of:</w:t>
      </w:r>
    </w:p>
    <w:p w:rsidR="004049AE" w:rsidRDefault="004049AE" w:rsidP="004049AE">
      <w:pPr>
        <w:pStyle w:val="AERbulletlistfirststyle"/>
      </w:pPr>
      <w:r>
        <w:t>any under or over </w:t>
      </w:r>
      <w:r w:rsidRPr="00991A64">
        <w:t>recoveries relating to capital contributions and shared assets from 2013–14 and 2014–15</w:t>
      </w:r>
    </w:p>
    <w:p w:rsidR="004049AE" w:rsidRDefault="004049AE" w:rsidP="004049AE">
      <w:pPr>
        <w:pStyle w:val="AERbulletlistfirststyle"/>
      </w:pPr>
      <w:r w:rsidRPr="00991A64">
        <w:t>any under or over recovery of actual revenue collected through DUoS charges in regulatory year t–2 as calculated using the method in appendix</w:t>
      </w:r>
      <w:r>
        <w:t xml:space="preserve"> </w:t>
      </w:r>
      <w:r>
        <w:fldChar w:fldCharType="begin"/>
      </w:r>
      <w:r>
        <w:instrText xml:space="preserve"> REF _Ref428542904 \r \h </w:instrText>
      </w:r>
      <w:r>
        <w:fldChar w:fldCharType="separate"/>
      </w:r>
      <w:r w:rsidR="00C668EE">
        <w:t>A</w:t>
      </w:r>
      <w:r>
        <w:fldChar w:fldCharType="end"/>
      </w:r>
      <w:r>
        <w:t>.</w:t>
      </w:r>
    </w:p>
    <w:p w:rsidR="004049AE" w:rsidRDefault="004049AE" w:rsidP="004049AE">
      <w:pPr>
        <w:rPr>
          <w:rStyle w:val="AERbody"/>
        </w:rPr>
      </w:pPr>
      <w:r w:rsidRPr="00CE1B90">
        <w:rPr>
          <w:rStyle w:val="AERbody"/>
        </w:rPr>
        <w:object w:dxaOrig="320" w:dyaOrig="380">
          <v:shape id="_x0000_i1034" type="#_x0000_t75" style="width:15.7pt;height:20.95pt" o:ole="">
            <v:imagedata r:id="rId33" o:title=""/>
          </v:shape>
          <o:OLEObject Type="Embed" ProgID="Equation.3" ShapeID="_x0000_i1034" DrawAspect="Content" ObjectID="_1507212400" r:id="rId34"/>
        </w:object>
      </w:r>
      <w:r>
        <w:rPr>
          <w:rStyle w:val="AERbody"/>
        </w:rPr>
        <w:tab/>
      </w:r>
      <w:r>
        <w:rPr>
          <w:rStyle w:val="AERbody"/>
        </w:rPr>
        <w:tab/>
      </w:r>
      <w:r w:rsidRPr="00991A64">
        <w:rPr>
          <w:rStyle w:val="AERbody"/>
        </w:rPr>
        <w:t>is the sum of adjustments related to:</w:t>
      </w:r>
    </w:p>
    <w:p w:rsidR="004049AE" w:rsidRPr="00621EE3" w:rsidRDefault="004049AE" w:rsidP="004049AE">
      <w:pPr>
        <w:pStyle w:val="AERbulletlistfirststyle"/>
      </w:pPr>
      <w:r>
        <w:t>feed-in tariff</w:t>
      </w:r>
      <w:r w:rsidRPr="00621EE3">
        <w:t xml:space="preserve"> pass through amounts relating to the 2013–14 and 2014–15 regulatory years</w:t>
      </w:r>
    </w:p>
    <w:p w:rsidR="004049AE" w:rsidRPr="00621EE3" w:rsidRDefault="004049AE" w:rsidP="004049AE">
      <w:pPr>
        <w:pStyle w:val="AERbulletlistfirststyle"/>
      </w:pPr>
      <w:r w:rsidRPr="00621EE3">
        <w:t>any AER approved</w:t>
      </w:r>
      <w:r>
        <w:t xml:space="preserve"> cost</w:t>
      </w:r>
      <w:r w:rsidRPr="00621EE3">
        <w:t xml:space="preserve"> pass through amounts during 2015–20 regulatory control period.</w:t>
      </w:r>
    </w:p>
    <w:p w:rsidR="005B0486" w:rsidRDefault="005B0486" w:rsidP="00827BE1">
      <w:r w:rsidRPr="005B0486">
        <w:rPr>
          <w:position w:val="-12"/>
        </w:rPr>
        <w:object w:dxaOrig="720" w:dyaOrig="380">
          <v:shape id="_x0000_i1035" type="#_x0000_t75" style="width:36.65pt;height:19pt" o:ole="">
            <v:imagedata r:id="rId35" o:title=""/>
          </v:shape>
          <o:OLEObject Type="Embed" ProgID="Equation.3" ShapeID="_x0000_i1035" DrawAspect="Content" ObjectID="_1507212401" r:id="rId36"/>
        </w:object>
      </w:r>
      <w:r w:rsidRPr="005B0486">
        <w:t>is the annual percentage change in the ABS CPI All Groups, Weighted Average of Eight Capital Cities</w:t>
      </w:r>
      <w:r>
        <w:rPr>
          <w:rStyle w:val="FootnoteReference"/>
        </w:rPr>
        <w:footnoteReference w:id="56"/>
      </w:r>
      <w:r>
        <w:t xml:space="preserve"> from the December quarter in year t–2 to the December quarter in year t–</w:t>
      </w:r>
      <w:r w:rsidRPr="005B0486">
        <w:t>1</w:t>
      </w:r>
      <w:r>
        <w:t xml:space="preserve">, </w:t>
      </w:r>
      <w:r w:rsidRPr="005B0486">
        <w:t>calculated using the following method:</w:t>
      </w:r>
    </w:p>
    <w:p w:rsidR="005B0486" w:rsidRPr="005B0486" w:rsidRDefault="005B0486" w:rsidP="005B0486">
      <w:pPr>
        <w:pStyle w:val="ListContinue"/>
      </w:pPr>
      <w:r w:rsidRPr="005B0486">
        <w:t xml:space="preserve">The ABS CPI All Groups, Weighted Average of Eight Capital Cities for the </w:t>
      </w:r>
      <w:r>
        <w:t>December</w:t>
      </w:r>
      <w:r w:rsidRPr="005B0486">
        <w:t xml:space="preserve"> quarter in regulatory year t–1</w:t>
      </w:r>
    </w:p>
    <w:p w:rsidR="005B0486" w:rsidRPr="005B0486" w:rsidRDefault="005B0486" w:rsidP="005B0486">
      <w:pPr>
        <w:pStyle w:val="ListContinue"/>
      </w:pPr>
      <w:r w:rsidRPr="005B0486">
        <w:t>divided by</w:t>
      </w:r>
    </w:p>
    <w:p w:rsidR="005B0486" w:rsidRPr="005B0486" w:rsidRDefault="005B0486" w:rsidP="005B0486">
      <w:pPr>
        <w:pStyle w:val="ListContinue"/>
      </w:pPr>
      <w:r w:rsidRPr="005B0486">
        <w:t xml:space="preserve">The ABS CPI All Groups, Weighted Average of Eight Capital Cities for the </w:t>
      </w:r>
      <w:r>
        <w:t>December</w:t>
      </w:r>
      <w:r w:rsidRPr="005B0486">
        <w:t xml:space="preserve"> quarter in regulatory year t–2</w:t>
      </w:r>
    </w:p>
    <w:p w:rsidR="005B0486" w:rsidRDefault="005B0486" w:rsidP="005B0486">
      <w:pPr>
        <w:pStyle w:val="ListContinue"/>
      </w:pPr>
      <w:r w:rsidRPr="005B0486">
        <w:t>minus one.</w:t>
      </w:r>
    </w:p>
    <w:p w:rsidR="000067A7" w:rsidRDefault="005B0486" w:rsidP="00827BE1">
      <w:pPr>
        <w:rPr>
          <w:rStyle w:val="AERbody"/>
        </w:rPr>
      </w:pPr>
      <w:r w:rsidRPr="005B0486">
        <w:t xml:space="preserve">For example, for the 2015–16 year, t–2 is December </w:t>
      </w:r>
      <w:r w:rsidR="00497768">
        <w:t xml:space="preserve">quarter </w:t>
      </w:r>
      <w:r w:rsidRPr="005B0486">
        <w:t xml:space="preserve">2013 and t–1 is December </w:t>
      </w:r>
      <w:r w:rsidR="00497768">
        <w:t xml:space="preserve">quarter </w:t>
      </w:r>
      <w:r w:rsidRPr="005B0486">
        <w:t>2014 and in the 2016–17 year, t–2 is December</w:t>
      </w:r>
      <w:r w:rsidR="00497768">
        <w:t xml:space="preserve"> quarter</w:t>
      </w:r>
      <w:r w:rsidRPr="005B0486">
        <w:t xml:space="preserve"> 2014 and t–1 is December</w:t>
      </w:r>
      <w:r w:rsidR="00497768">
        <w:t xml:space="preserve"> quarter</w:t>
      </w:r>
      <w:r w:rsidRPr="005B0486">
        <w:t xml:space="preserve"> 2015 and so on.</w:t>
      </w:r>
    </w:p>
    <w:p w:rsidR="00867026" w:rsidRDefault="00CE1B90" w:rsidP="00827BE1">
      <w:r w:rsidRPr="00CE1B90">
        <w:rPr>
          <w:rStyle w:val="AERbody"/>
        </w:rPr>
        <w:object w:dxaOrig="360" w:dyaOrig="380">
          <v:shape id="_x0000_i1036" type="#_x0000_t75" style="width:19pt;height:20.95pt" o:ole="">
            <v:imagedata r:id="rId37" o:title=""/>
          </v:shape>
          <o:OLEObject Type="Embed" ProgID="Equation.3" ShapeID="_x0000_i1036" DrawAspect="Content" ObjectID="_1507212402" r:id="rId38"/>
        </w:object>
      </w:r>
      <w:r w:rsidR="007A7138">
        <w:rPr>
          <w:rStyle w:val="AERbody"/>
        </w:rPr>
        <w:tab/>
      </w:r>
      <w:r w:rsidR="00497768">
        <w:rPr>
          <w:rStyle w:val="AERbody"/>
        </w:rPr>
        <w:t>is the X</w:t>
      </w:r>
      <w:r w:rsidR="000F181E">
        <w:rPr>
          <w:rStyle w:val="AERbody"/>
        </w:rPr>
        <w:t> </w:t>
      </w:r>
      <w:r w:rsidR="007A7138" w:rsidRPr="007A7138">
        <w:rPr>
          <w:rStyle w:val="AERbody"/>
        </w:rPr>
        <w:t>factor for each year of the 201</w:t>
      </w:r>
      <w:r w:rsidR="004E547B">
        <w:rPr>
          <w:rStyle w:val="AERbody"/>
        </w:rPr>
        <w:t>5</w:t>
      </w:r>
      <w:r w:rsidR="007A7138" w:rsidRPr="007A7138">
        <w:rPr>
          <w:rStyle w:val="AERbody"/>
        </w:rPr>
        <w:t xml:space="preserve">–20 regulatory control period as determined in the PTRM, and annually revised for the return on debt update in accordance with the formula specified in </w:t>
      </w:r>
      <w:r w:rsidR="005B0486">
        <w:rPr>
          <w:rStyle w:val="AERbody"/>
        </w:rPr>
        <w:t>attachment</w:t>
      </w:r>
      <w:r w:rsidR="004049AE">
        <w:rPr>
          <w:rStyle w:val="AERbody"/>
        </w:rPr>
        <w:t xml:space="preserve"> 3—rate of</w:t>
      </w:r>
      <w:r w:rsidR="004049AE" w:rsidRPr="007A7138">
        <w:rPr>
          <w:rStyle w:val="AERbody"/>
        </w:rPr>
        <w:t xml:space="preserve"> return</w:t>
      </w:r>
      <w:r w:rsidR="004049AE">
        <w:rPr>
          <w:rStyle w:val="AERbody"/>
        </w:rPr>
        <w:t>—</w:t>
      </w:r>
      <w:r w:rsidR="007A7138" w:rsidRPr="007A7138">
        <w:rPr>
          <w:rStyle w:val="AERbody"/>
        </w:rPr>
        <w:t>calculated for the relevant year.</w:t>
      </w:r>
    </w:p>
    <w:p w:rsidR="00BA19BA" w:rsidRDefault="00CE1B90" w:rsidP="00BA19BA">
      <w:r w:rsidRPr="00CE1B90">
        <w:rPr>
          <w:rStyle w:val="AERbody"/>
        </w:rPr>
        <w:object w:dxaOrig="300" w:dyaOrig="380">
          <v:shape id="_x0000_i1037" type="#_x0000_t75" style="width:15.05pt;height:20.95pt" o:ole="">
            <v:imagedata r:id="rId39" o:title=""/>
          </v:shape>
          <o:OLEObject Type="Embed" ProgID="Equation.3" ShapeID="_x0000_i1037" DrawAspect="Content" ObjectID="_1507212403" r:id="rId40"/>
        </w:object>
      </w:r>
      <w:r w:rsidR="005B0486">
        <w:rPr>
          <w:rStyle w:val="AERbody"/>
        </w:rPr>
        <w:tab/>
      </w:r>
      <w:r w:rsidR="005B0486">
        <w:rPr>
          <w:rStyle w:val="AERbody"/>
        </w:rPr>
        <w:tab/>
      </w:r>
      <w:r w:rsidR="00C668EE" w:rsidRPr="007614B6">
        <w:t>is th</w:t>
      </w:r>
      <w:r w:rsidR="00C668EE">
        <w:t>e</w:t>
      </w:r>
      <w:r w:rsidR="00241AD6">
        <w:t xml:space="preserve"> s</w:t>
      </w:r>
      <w:r w:rsidR="00241AD6">
        <w:noBreakHyphen/>
      </w:r>
      <w:r w:rsidR="00C668EE">
        <w:t xml:space="preserve">factor determined in accordance with the </w:t>
      </w:r>
      <w:r w:rsidR="00241AD6">
        <w:t>service target performance incentive scheme (STPIS) for</w:t>
      </w:r>
      <w:r w:rsidR="00C668EE">
        <w:t xml:space="preserve"> regulatory year t</w:t>
      </w:r>
      <w:r w:rsidR="005B0486" w:rsidRPr="005B0486">
        <w:rPr>
          <w:rStyle w:val="AERbody"/>
        </w:rPr>
        <w:t>.</w:t>
      </w:r>
      <w:r w:rsidR="005B0486">
        <w:rPr>
          <w:rStyle w:val="FootnoteReference"/>
        </w:rPr>
        <w:footnoteReference w:id="57"/>
      </w:r>
    </w:p>
    <w:p w:rsidR="00BA19BA" w:rsidRDefault="00BA19BA" w:rsidP="00BA19BA">
      <w:pPr>
        <w:pStyle w:val="Caption"/>
      </w:pPr>
      <w:bookmarkStart w:id="37" w:name="_Ref428542856"/>
      <w:bookmarkStart w:id="38" w:name="_Ref428947805"/>
      <w:r>
        <w:t xml:space="preserve">Figure </w:t>
      </w:r>
      <w:r w:rsidR="001443EA">
        <w:fldChar w:fldCharType="begin"/>
      </w:r>
      <w:r w:rsidR="001443EA">
        <w:instrText xml:space="preserve"> STYLEREF 1 \s </w:instrText>
      </w:r>
      <w:r w:rsidR="001443EA">
        <w:fldChar w:fldCharType="separate"/>
      </w:r>
      <w:r w:rsidR="00C668EE">
        <w:rPr>
          <w:noProof/>
        </w:rPr>
        <w:t>14</w:t>
      </w:r>
      <w:r w:rsidR="001443EA">
        <w:rPr>
          <w:noProof/>
        </w:rPr>
        <w:fldChar w:fldCharType="end"/>
      </w:r>
      <w:r w:rsidR="00983EDD">
        <w:t>.</w:t>
      </w:r>
      <w:fldSimple w:instr=" SEQ Figure \* ARABIC \s 1 ">
        <w:r w:rsidR="00C668EE">
          <w:rPr>
            <w:noProof/>
          </w:rPr>
          <w:t>2</w:t>
        </w:r>
      </w:fldSimple>
      <w:bookmarkEnd w:id="37"/>
      <w:bookmarkEnd w:id="38"/>
      <w:r>
        <w:t xml:space="preserve"> Side constraints</w:t>
      </w:r>
    </w:p>
    <w:p w:rsidR="00C668EE" w:rsidRDefault="00C668EE" w:rsidP="00C668EE">
      <w:r w:rsidRPr="00C668EE">
        <w:object w:dxaOrig="6920" w:dyaOrig="1400">
          <v:shape id="_x0000_i1038" type="#_x0000_t75" style="width:343pt;height:70.05pt" o:ole="">
            <v:imagedata r:id="rId41" o:title=""/>
          </v:shape>
          <o:OLEObject Type="Embed" ProgID="Equation.3" ShapeID="_x0000_i1038" DrawAspect="Content" ObjectID="_1507212404" r:id="rId42"/>
        </w:object>
      </w:r>
    </w:p>
    <w:p w:rsidR="00C668EE" w:rsidRPr="00D84E38" w:rsidRDefault="00C668EE" w:rsidP="00C668EE">
      <w:pPr>
        <w:pStyle w:val="ListParagraph"/>
        <w:numPr>
          <w:ilvl w:val="0"/>
          <w:numId w:val="23"/>
        </w:numPr>
      </w:pPr>
      <w:r w:rsidRPr="00D84E38">
        <w:t>where each tariff class has "n" tariffs, with each up to "m" components, and where:</w:t>
      </w:r>
    </w:p>
    <w:p w:rsidR="00C668EE" w:rsidRPr="00D84E38" w:rsidRDefault="00C668EE" w:rsidP="00C668EE">
      <w:pPr>
        <w:pStyle w:val="ListParagraph"/>
        <w:numPr>
          <w:ilvl w:val="0"/>
          <w:numId w:val="23"/>
        </w:numPr>
        <w:rPr>
          <w:rStyle w:val="AERbody"/>
        </w:rPr>
      </w:pPr>
      <w:r w:rsidRPr="00D84E38">
        <w:rPr>
          <w:rStyle w:val="AERbody"/>
        </w:rPr>
        <w:object w:dxaOrig="320" w:dyaOrig="380">
          <v:shape id="_x0000_i1039" type="#_x0000_t75" style="width:15.7pt;height:20.95pt" o:ole="">
            <v:imagedata r:id="rId43" o:title=""/>
          </v:shape>
          <o:OLEObject Type="Embed" ProgID="Equation.3" ShapeID="_x0000_i1039" DrawAspect="Content" ObjectID="_1507212405" r:id="rId44"/>
        </w:object>
      </w:r>
      <w:r w:rsidRPr="00D84E38">
        <w:rPr>
          <w:rStyle w:val="AERbody"/>
        </w:rPr>
        <w:tab/>
      </w:r>
      <w:r w:rsidRPr="00D84E38">
        <w:rPr>
          <w:rStyle w:val="AERbody"/>
        </w:rPr>
        <w:tab/>
        <w:t>is the proposed price for component ‘j’ of tariff 'i' for year t.</w:t>
      </w:r>
    </w:p>
    <w:p w:rsidR="00C668EE" w:rsidRPr="00D84E38" w:rsidRDefault="00C668EE" w:rsidP="00C668EE">
      <w:pPr>
        <w:pStyle w:val="ListParagraph"/>
        <w:numPr>
          <w:ilvl w:val="0"/>
          <w:numId w:val="23"/>
        </w:numPr>
        <w:rPr>
          <w:rStyle w:val="AERbody"/>
        </w:rPr>
      </w:pPr>
      <w:r w:rsidRPr="00D84E38">
        <w:rPr>
          <w:rStyle w:val="AERbody"/>
        </w:rPr>
        <w:object w:dxaOrig="400" w:dyaOrig="380">
          <v:shape id="_x0000_i1040" type="#_x0000_t75" style="width:20.95pt;height:20.95pt" o:ole="">
            <v:imagedata r:id="rId45" o:title=""/>
          </v:shape>
          <o:OLEObject Type="Embed" ProgID="Equation.3" ShapeID="_x0000_i1040" DrawAspect="Content" ObjectID="_1507212406" r:id="rId46"/>
        </w:object>
      </w:r>
      <w:r w:rsidRPr="00D84E38">
        <w:rPr>
          <w:rStyle w:val="AERbody"/>
        </w:rPr>
        <w:tab/>
        <w:t>is the price charged for component ‘j’ of tariff 'i' in year t–1.</w:t>
      </w:r>
    </w:p>
    <w:p w:rsidR="00C668EE" w:rsidRPr="00D84E38" w:rsidRDefault="00C668EE" w:rsidP="00C668EE">
      <w:pPr>
        <w:pStyle w:val="ListParagraph"/>
        <w:numPr>
          <w:ilvl w:val="0"/>
          <w:numId w:val="23"/>
        </w:numPr>
        <w:rPr>
          <w:rStyle w:val="AERbody"/>
        </w:rPr>
      </w:pPr>
      <w:r w:rsidRPr="00D84E38">
        <w:rPr>
          <w:rStyle w:val="AERbody"/>
        </w:rPr>
        <w:object w:dxaOrig="300" w:dyaOrig="380">
          <v:shape id="_x0000_i1041" type="#_x0000_t75" style="width:13.75pt;height:20.95pt" o:ole="">
            <v:imagedata r:id="rId47" o:title=""/>
          </v:shape>
          <o:OLEObject Type="Embed" ProgID="Equation.3" ShapeID="_x0000_i1041" DrawAspect="Content" ObjectID="_1507212407" r:id="rId48"/>
        </w:object>
      </w:r>
      <w:r w:rsidRPr="00D84E38">
        <w:rPr>
          <w:rStyle w:val="AERbody"/>
        </w:rPr>
        <w:tab/>
      </w:r>
      <w:r w:rsidRPr="00D84E38">
        <w:rPr>
          <w:rStyle w:val="AERbody"/>
        </w:rPr>
        <w:tab/>
        <w:t>is the forecast quantity of component ‘j’ of tariff 'i' in year t.</w:t>
      </w:r>
    </w:p>
    <w:p w:rsidR="00E12CEA" w:rsidRDefault="00E12CEA" w:rsidP="00E12CEA">
      <w:r w:rsidRPr="00E12CEA">
        <w:rPr>
          <w:position w:val="-12"/>
        </w:rPr>
        <w:object w:dxaOrig="680" w:dyaOrig="360">
          <v:shape id="_x0000_i1042" type="#_x0000_t75" style="width:32.75pt;height:19pt" o:ole="">
            <v:imagedata r:id="rId49" o:title=""/>
          </v:shape>
          <o:OLEObject Type="Embed" ProgID="Equation.3" ShapeID="_x0000_i1042" DrawAspect="Content" ObjectID="_1507212408" r:id="rId50"/>
        </w:object>
      </w:r>
      <w:r w:rsidRPr="00E12CEA">
        <w:t xml:space="preserve"> </w:t>
      </w:r>
      <w:r w:rsidRPr="005B0486">
        <w:t>is the annual percentage change in the ABS CPI All Groups, Weighted Average of Eight Capital Cities</w:t>
      </w:r>
      <w:r>
        <w:rPr>
          <w:rStyle w:val="FootnoteReference"/>
        </w:rPr>
        <w:footnoteReference w:id="58"/>
      </w:r>
      <w:r>
        <w:t xml:space="preserve"> from the December quarter in year t–2 to the December quarter in year t–</w:t>
      </w:r>
      <w:r w:rsidRPr="005B0486">
        <w:t>1</w:t>
      </w:r>
      <w:r>
        <w:t xml:space="preserve">, </w:t>
      </w:r>
      <w:r w:rsidRPr="005B0486">
        <w:t>calculated using the following method:</w:t>
      </w:r>
    </w:p>
    <w:p w:rsidR="00E12CEA" w:rsidRPr="005B0486" w:rsidRDefault="00E12CEA" w:rsidP="00E12CEA">
      <w:pPr>
        <w:pStyle w:val="ListContinue"/>
      </w:pPr>
      <w:r w:rsidRPr="005B0486">
        <w:t xml:space="preserve">The ABS CPI All Groups, Weighted Average of Eight Capital Cities for the </w:t>
      </w:r>
      <w:r>
        <w:t>December</w:t>
      </w:r>
      <w:r w:rsidRPr="005B0486">
        <w:t xml:space="preserve"> quarter in regulatory year t–1</w:t>
      </w:r>
    </w:p>
    <w:p w:rsidR="00E12CEA" w:rsidRPr="005B0486" w:rsidRDefault="00E12CEA" w:rsidP="00E12CEA">
      <w:pPr>
        <w:pStyle w:val="ListContinue"/>
      </w:pPr>
      <w:r w:rsidRPr="005B0486">
        <w:t>divided by</w:t>
      </w:r>
    </w:p>
    <w:p w:rsidR="00E12CEA" w:rsidRPr="005B0486" w:rsidRDefault="00E12CEA" w:rsidP="00E12CEA">
      <w:pPr>
        <w:pStyle w:val="ListContinue"/>
      </w:pPr>
      <w:r w:rsidRPr="005B0486">
        <w:t xml:space="preserve">The ABS CPI All Groups, Weighted Average of Eight Capital Cities for the </w:t>
      </w:r>
      <w:r>
        <w:t>December</w:t>
      </w:r>
      <w:r w:rsidRPr="005B0486">
        <w:t xml:space="preserve"> quarter in regulatory year t–2</w:t>
      </w:r>
    </w:p>
    <w:p w:rsidR="00E12CEA" w:rsidRDefault="00E12CEA" w:rsidP="00E12CEA">
      <w:pPr>
        <w:pStyle w:val="ListContinue"/>
      </w:pPr>
      <w:r w:rsidRPr="005B0486">
        <w:t>minus one.</w:t>
      </w:r>
    </w:p>
    <w:p w:rsidR="00E12CEA" w:rsidRDefault="00E12CEA" w:rsidP="00E12CEA">
      <w:pPr>
        <w:rPr>
          <w:rStyle w:val="AERbody"/>
        </w:rPr>
      </w:pPr>
      <w:r w:rsidRPr="005B0486">
        <w:t xml:space="preserve">For example, for the 2015–16 year, t–2 is December </w:t>
      </w:r>
      <w:r>
        <w:t xml:space="preserve">quarter </w:t>
      </w:r>
      <w:r w:rsidRPr="005B0486">
        <w:t xml:space="preserve">2013 and t–1 is December </w:t>
      </w:r>
      <w:r>
        <w:t xml:space="preserve">quarter </w:t>
      </w:r>
      <w:r w:rsidRPr="005B0486">
        <w:t>2014 and in the 2016–17 year, t–2 is December</w:t>
      </w:r>
      <w:r>
        <w:t xml:space="preserve"> quarter</w:t>
      </w:r>
      <w:r w:rsidRPr="005B0486">
        <w:t xml:space="preserve"> 2014 and t–1 is December</w:t>
      </w:r>
      <w:r>
        <w:t xml:space="preserve"> quarter</w:t>
      </w:r>
      <w:r w:rsidRPr="005B0486">
        <w:t xml:space="preserve"> 2015 and so on.</w:t>
      </w:r>
    </w:p>
    <w:p w:rsidR="00E12CEA" w:rsidRPr="00E12CEA" w:rsidRDefault="00E12CEA" w:rsidP="00E12CEA">
      <w:r w:rsidRPr="00E12CEA">
        <w:rPr>
          <w:position w:val="-12"/>
        </w:rPr>
        <w:object w:dxaOrig="320" w:dyaOrig="360">
          <v:shape id="_x0000_i1043" type="#_x0000_t75" style="width:17pt;height:19pt" o:ole="">
            <v:imagedata r:id="rId51" o:title=""/>
          </v:shape>
          <o:OLEObject Type="Embed" ProgID="Equation.3" ShapeID="_x0000_i1043" DrawAspect="Content" ObjectID="_1507212409" r:id="rId52"/>
        </w:object>
      </w:r>
      <w:r w:rsidRPr="00E12CEA">
        <w:t xml:space="preserve"> </w:t>
      </w:r>
      <w:r w:rsidRPr="00E12CEA">
        <w:tab/>
      </w:r>
      <w:r w:rsidR="00C668EE">
        <w:rPr>
          <w:rStyle w:val="AERbody"/>
        </w:rPr>
        <w:t>is the X </w:t>
      </w:r>
      <w:r w:rsidR="00C668EE" w:rsidRPr="007A7138">
        <w:rPr>
          <w:rStyle w:val="AERbody"/>
        </w:rPr>
        <w:t>factor for each year of the 201</w:t>
      </w:r>
      <w:r w:rsidR="00C668EE">
        <w:rPr>
          <w:rStyle w:val="AERbody"/>
        </w:rPr>
        <w:t>5</w:t>
      </w:r>
      <w:r w:rsidR="00C668EE" w:rsidRPr="007A7138">
        <w:rPr>
          <w:rStyle w:val="AERbody"/>
        </w:rPr>
        <w:t xml:space="preserve">–20 regulatory control period as determined in the PTRM, and annually revised for the return on debt update in accordance with the formula specified in </w:t>
      </w:r>
      <w:r w:rsidR="00C668EE">
        <w:rPr>
          <w:rStyle w:val="AERbody"/>
        </w:rPr>
        <w:t>attachment 3—rate of</w:t>
      </w:r>
      <w:r w:rsidR="00C668EE" w:rsidRPr="007A7138">
        <w:rPr>
          <w:rStyle w:val="AERbody"/>
        </w:rPr>
        <w:t xml:space="preserve"> return</w:t>
      </w:r>
      <w:r w:rsidR="00C668EE">
        <w:rPr>
          <w:rStyle w:val="AERbody"/>
        </w:rPr>
        <w:t>—</w:t>
      </w:r>
      <w:r w:rsidR="00C668EE" w:rsidRPr="007A7138">
        <w:rPr>
          <w:rStyle w:val="AERbody"/>
        </w:rPr>
        <w:t>calculated for the relevant year.</w:t>
      </w:r>
      <w:r w:rsidR="00C43929" w:rsidRPr="00C43929">
        <w:t xml:space="preserve"> If X&gt;0, then X will be set equal to zero for the purposes of the side constraint formula.</w:t>
      </w:r>
    </w:p>
    <w:p w:rsidR="00E12CEA" w:rsidRPr="00E12CEA" w:rsidRDefault="00E12CEA" w:rsidP="00E12CEA">
      <w:r w:rsidRPr="00E12CEA">
        <w:object w:dxaOrig="300" w:dyaOrig="380">
          <v:shape id="_x0000_i1044" type="#_x0000_t75" style="width:15.05pt;height:20.95pt" o:ole="">
            <v:imagedata r:id="rId53" o:title=""/>
          </v:shape>
          <o:OLEObject Type="Embed" ProgID="Equation.3" ShapeID="_x0000_i1044" DrawAspect="Content" ObjectID="_1507212410" r:id="rId54"/>
        </w:object>
      </w:r>
      <w:r w:rsidRPr="00E12CEA">
        <w:tab/>
      </w:r>
      <w:r w:rsidRPr="00E12CEA">
        <w:tab/>
      </w:r>
      <w:r w:rsidR="00C668EE" w:rsidRPr="00C668EE">
        <w:t xml:space="preserve">is the </w:t>
      </w:r>
      <w:r w:rsidR="00241AD6">
        <w:t>s</w:t>
      </w:r>
      <w:r w:rsidR="00241AD6">
        <w:noBreakHyphen/>
      </w:r>
      <w:r w:rsidR="00C668EE" w:rsidRPr="00C668EE">
        <w:t>factor determined in accordance with the ST</w:t>
      </w:r>
      <w:r w:rsidR="00241AD6">
        <w:t>PIS for</w:t>
      </w:r>
      <w:r w:rsidR="00C668EE" w:rsidRPr="00C668EE">
        <w:t xml:space="preserve"> regulatory year</w:t>
      </w:r>
      <w:r w:rsidR="00C668EE">
        <w:t> </w:t>
      </w:r>
      <w:r w:rsidR="00C668EE" w:rsidRPr="00C668EE">
        <w:t>t</w:t>
      </w:r>
      <w:r w:rsidRPr="00E12CEA">
        <w:t>.</w:t>
      </w:r>
      <w:r w:rsidRPr="00624A8A">
        <w:rPr>
          <w:rStyle w:val="FootnoteReference"/>
        </w:rPr>
        <w:footnoteReference w:id="59"/>
      </w:r>
    </w:p>
    <w:p w:rsidR="00E12CEA" w:rsidRPr="00E12CEA" w:rsidRDefault="00C668EE" w:rsidP="00E12CEA">
      <w:r w:rsidRPr="00C668EE">
        <w:rPr>
          <w:position w:val="-12"/>
        </w:rPr>
        <w:object w:dxaOrig="240" w:dyaOrig="380">
          <v:shape id="_x0000_i1045" type="#_x0000_t75" style="width:13.1pt;height:20.95pt" o:ole="">
            <v:imagedata r:id="rId55" o:title=""/>
          </v:shape>
          <o:OLEObject Type="Embed" ProgID="Equation.3" ShapeID="_x0000_i1045" DrawAspect="Content" ObjectID="_1507212411" r:id="rId56"/>
        </w:object>
      </w:r>
      <w:r w:rsidR="00E12CEA" w:rsidRPr="00E12CEA">
        <w:tab/>
      </w:r>
      <w:r w:rsidR="00E12CEA" w:rsidRPr="00E12CEA">
        <w:tab/>
        <w:t>is the</w:t>
      </w:r>
      <w:r w:rsidR="004F564B">
        <w:t xml:space="preserve"> annual percentage change from the</w:t>
      </w:r>
      <w:r w:rsidR="00E12CEA" w:rsidRPr="00E12CEA">
        <w:t xml:space="preserve"> final carryover amount from the application of the DMIS from the 2010–15 distribution determination. This amount will be deducted from/added</w:t>
      </w:r>
      <w:r w:rsidR="00162CE3">
        <w:t xml:space="preserve"> to allowed revenue in the 2016–</w:t>
      </w:r>
      <w:r w:rsidR="00E12CEA" w:rsidRPr="00E12CEA">
        <w:t>17 pricing proposal.</w:t>
      </w:r>
    </w:p>
    <w:p w:rsidR="004F564B" w:rsidRPr="004F564B" w:rsidRDefault="00C668EE" w:rsidP="004F564B">
      <w:r w:rsidRPr="00C668EE">
        <w:rPr>
          <w:position w:val="-12"/>
        </w:rPr>
        <w:object w:dxaOrig="279" w:dyaOrig="380">
          <v:shape id="_x0000_i1046" type="#_x0000_t75" style="width:13.1pt;height:20.95pt" o:ole="">
            <v:imagedata r:id="rId57" o:title=""/>
          </v:shape>
          <o:OLEObject Type="Embed" ProgID="Equation.3" ShapeID="_x0000_i1046" DrawAspect="Content" ObjectID="_1507212412" r:id="rId58"/>
        </w:object>
      </w:r>
      <w:r w:rsidR="00E12CEA" w:rsidRPr="00E12CEA">
        <w:tab/>
      </w:r>
      <w:r w:rsidR="00E12CEA" w:rsidRPr="00E12CEA">
        <w:tab/>
        <w:t xml:space="preserve"> </w:t>
      </w:r>
      <w:r w:rsidR="004F564B" w:rsidRPr="004F564B">
        <w:t>is the</w:t>
      </w:r>
      <w:r w:rsidR="004F564B">
        <w:t xml:space="preserve"> annual percentage change from the</w:t>
      </w:r>
      <w:r w:rsidR="004F564B" w:rsidRPr="004F564B">
        <w:t xml:space="preserve"> sum of:</w:t>
      </w:r>
    </w:p>
    <w:p w:rsidR="004F564B" w:rsidRPr="004F564B" w:rsidRDefault="004F564B" w:rsidP="004F564B">
      <w:pPr>
        <w:pStyle w:val="AERbulletlistfirststyle"/>
      </w:pPr>
      <w:r w:rsidRPr="004F564B">
        <w:t>any under or over-recoveries relating to capital contributions and shared assets from 2013–14 and 2014–15</w:t>
      </w:r>
    </w:p>
    <w:p w:rsidR="00E12CEA" w:rsidRPr="00E12CEA" w:rsidRDefault="004F564B" w:rsidP="004F564B">
      <w:pPr>
        <w:pStyle w:val="AERbulletlistfirststyle"/>
      </w:pPr>
      <w:r w:rsidRPr="004F564B">
        <w:t xml:space="preserve">any under or over recovery of actual revenue collected through DUoS charges in regulatory year t–2 as calculated using the method in appendix </w:t>
      </w:r>
      <w:r>
        <w:fldChar w:fldCharType="begin"/>
      </w:r>
      <w:r>
        <w:instrText xml:space="preserve"> REF _Ref428542904 \r \h </w:instrText>
      </w:r>
      <w:r>
        <w:fldChar w:fldCharType="separate"/>
      </w:r>
      <w:r w:rsidR="00C668EE">
        <w:t>A</w:t>
      </w:r>
      <w:r>
        <w:fldChar w:fldCharType="end"/>
      </w:r>
      <w:r w:rsidRPr="004F564B">
        <w:t>.</w:t>
      </w:r>
    </w:p>
    <w:p w:rsidR="00E12CEA" w:rsidRPr="00E12CEA" w:rsidRDefault="00C668EE" w:rsidP="00E12CEA">
      <w:pPr>
        <w:numPr>
          <w:ilvl w:val="0"/>
          <w:numId w:val="23"/>
        </w:numPr>
      </w:pPr>
      <w:r w:rsidRPr="00C668EE">
        <w:rPr>
          <w:position w:val="-12"/>
        </w:rPr>
        <w:object w:dxaOrig="279" w:dyaOrig="380">
          <v:shape id="_x0000_i1047" type="#_x0000_t75" style="width:13.1pt;height:20.95pt" o:ole="">
            <v:imagedata r:id="rId59" o:title=""/>
          </v:shape>
          <o:OLEObject Type="Embed" ProgID="Equation.3" ShapeID="_x0000_i1047" DrawAspect="Content" ObjectID="_1507212413" r:id="rId60"/>
        </w:object>
      </w:r>
      <w:r w:rsidR="004F564B">
        <w:tab/>
      </w:r>
      <w:r w:rsidR="00E12CEA" w:rsidRPr="00E12CEA">
        <w:tab/>
        <w:t>is the</w:t>
      </w:r>
      <w:r w:rsidR="004F564B">
        <w:t xml:space="preserve"> annual percentage change from the</w:t>
      </w:r>
      <w:r w:rsidR="00E12CEA" w:rsidRPr="00E12CEA">
        <w:t xml:space="preserve"> sum of adjustments related to:</w:t>
      </w:r>
    </w:p>
    <w:p w:rsidR="00E12CEA" w:rsidRPr="00E12CEA" w:rsidRDefault="00E12CEA" w:rsidP="00E12CEA">
      <w:pPr>
        <w:pStyle w:val="AERbulletlistfirststyle"/>
      </w:pPr>
      <w:r w:rsidRPr="00E12CEA">
        <w:t>feed-in tariff pass through amounts relating to 2013-2014 and 2014-2015</w:t>
      </w:r>
    </w:p>
    <w:p w:rsidR="00E12CEA" w:rsidRPr="00E12CEA" w:rsidRDefault="00E12CEA" w:rsidP="00E12CEA">
      <w:pPr>
        <w:pStyle w:val="AERbulletlistfirststyle"/>
      </w:pPr>
      <w:r w:rsidRPr="00E12CEA">
        <w:lastRenderedPageBreak/>
        <w:t>amounts relating to the occurrence of any of the prescribed and nominated cost pass through events.</w:t>
      </w:r>
    </w:p>
    <w:p w:rsidR="00E12CEA" w:rsidRPr="00BA19BA" w:rsidRDefault="00E12CEA" w:rsidP="00BA19BA">
      <w:r w:rsidRPr="00E12CEA">
        <w:t>With the exception of the CPI</w:t>
      </w:r>
      <w:r w:rsidR="00CC1EA4">
        <w:t>,</w:t>
      </w:r>
      <w:r w:rsidR="004F564B">
        <w:t xml:space="preserve"> X</w:t>
      </w:r>
      <w:r w:rsidR="000F181E">
        <w:t> </w:t>
      </w:r>
      <w:r w:rsidRPr="00E12CEA">
        <w:t>factor</w:t>
      </w:r>
      <w:r w:rsidR="00CC1EA4">
        <w:t xml:space="preserve"> and S</w:t>
      </w:r>
      <w:r w:rsidR="000F181E">
        <w:t> </w:t>
      </w:r>
      <w:r w:rsidR="00CC1EA4">
        <w:t>factor</w:t>
      </w:r>
      <w:r w:rsidRPr="00E12CEA">
        <w:t>,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084027" w:rsidRDefault="007D563B" w:rsidP="00D31F95">
      <w:pPr>
        <w:pStyle w:val="Heading7"/>
      </w:pPr>
      <w:bookmarkStart w:id="39" w:name="_Ref428542904"/>
      <w:bookmarkStart w:id="40" w:name="_Toc433299187"/>
      <w:r>
        <w:lastRenderedPageBreak/>
        <w:t>DUoS unders and overs account</w:t>
      </w:r>
      <w:bookmarkEnd w:id="39"/>
      <w:bookmarkEnd w:id="40"/>
    </w:p>
    <w:p w:rsidR="00CB0279" w:rsidRDefault="007D563B" w:rsidP="00084027">
      <w:pPr>
        <w:pStyle w:val="ListNumber"/>
        <w:numPr>
          <w:ilvl w:val="0"/>
          <w:numId w:val="0"/>
        </w:numPr>
      </w:pPr>
      <w:r w:rsidRPr="007D563B">
        <w:t>To demonstrate compliance with the distribution determination applicable to it during the 201</w:t>
      </w:r>
      <w:r w:rsidR="00162CE3">
        <w:t>5</w:t>
      </w:r>
      <w:r w:rsidRPr="007D563B">
        <w:t xml:space="preserve">–20 regulatory control period, </w:t>
      </w:r>
      <w:r>
        <w:t>Ergon Energy</w:t>
      </w:r>
      <w:r w:rsidRPr="007D563B">
        <w:t xml:space="preserve"> must maintain a DUoS unders and overs account in its annual pricing proposal</w:t>
      </w:r>
      <w:r>
        <w:t>.</w:t>
      </w:r>
      <w:r>
        <w:rPr>
          <w:rStyle w:val="FootnoteReference"/>
        </w:rPr>
        <w:footnoteReference w:id="60"/>
      </w:r>
    </w:p>
    <w:p w:rsidR="00EF6482" w:rsidRPr="00EF6482" w:rsidRDefault="00EF6482" w:rsidP="00EF6482">
      <w:r>
        <w:t>Ergon </w:t>
      </w:r>
      <w:r w:rsidRPr="00EF6482">
        <w:t>Energy must provide the amounts for the following entries in their DUoS unders and overs account for the most recently completed regulatory year (t–2) and the next regulatory year (t):</w:t>
      </w:r>
    </w:p>
    <w:p w:rsidR="00EF6482" w:rsidRPr="00EF6482" w:rsidRDefault="00EF6482" w:rsidP="00E12CEA">
      <w:pPr>
        <w:pStyle w:val="ListNumber"/>
        <w:numPr>
          <w:ilvl w:val="0"/>
          <w:numId w:val="28"/>
        </w:numPr>
      </w:pPr>
      <w:r w:rsidRPr="00EF6482">
        <w:t>The amount of revenue recovered/to be recovered from DUoS charges, less the TAR for the regulatory years t–2 and t.</w:t>
      </w:r>
    </w:p>
    <w:p w:rsidR="00EF6482" w:rsidRPr="00EF6482" w:rsidRDefault="00EF6482" w:rsidP="00EF6482">
      <w:pPr>
        <w:pStyle w:val="ListNumber"/>
      </w:pPr>
      <w:r w:rsidRPr="00EF6482">
        <w:t>The calculated under/over recovery of revenue for regulatory years t–2 and t.</w:t>
      </w:r>
    </w:p>
    <w:p w:rsidR="00EF6482" w:rsidRPr="00EF6482" w:rsidRDefault="00EF6482" w:rsidP="00EF6482">
      <w:pPr>
        <w:pStyle w:val="ListNumber"/>
      </w:pPr>
      <w:r w:rsidRPr="00EF6482">
        <w:t xml:space="preserve">An interest charge for two years on the under/over recovery of revenue for regulatory year t–2. </w:t>
      </w:r>
      <w:r w:rsidR="00C668EE" w:rsidRPr="00C668EE">
        <w:t>This adjustment is to be calculated using the respective approved nominal weighted average cost of capital (WACC) for each intervening year between regulatory year t–2 and year t.</w:t>
      </w:r>
      <w:r w:rsidR="00C668EE" w:rsidRPr="00C668EE">
        <w:rPr>
          <w:rStyle w:val="FootnoteReference"/>
        </w:rPr>
        <w:footnoteReference w:id="61"/>
      </w:r>
      <w:r w:rsidR="00C668EE" w:rsidRPr="00C668EE">
        <w:t xml:space="preserve"> The WACC applied for each year will be that approved by the AER for the relevant year.</w:t>
      </w:r>
    </w:p>
    <w:p w:rsidR="00EF6482" w:rsidRPr="00EF6482" w:rsidRDefault="00EF6482" w:rsidP="00EF6482">
      <w:pPr>
        <w:pStyle w:val="ListNumber"/>
      </w:pPr>
      <w:r w:rsidRPr="00EF6482">
        <w:t>Sum of items 2–3 to derive a closing balance for regulatory year t</w:t>
      </w:r>
      <w:r w:rsidR="00F06AEE">
        <w:t>–</w:t>
      </w:r>
      <w:r w:rsidRPr="00EF6482">
        <w:t>2.</w:t>
      </w:r>
    </w:p>
    <w:p w:rsidR="00EF6482" w:rsidRPr="00EF6482" w:rsidRDefault="00EF6482" w:rsidP="00EF6482">
      <w:pPr>
        <w:pStyle w:val="ListNumber"/>
      </w:pPr>
      <w:r w:rsidRPr="00EF6482">
        <w:t>Opening balance in regulatory year t which is the closing balance in item 4.</w:t>
      </w:r>
    </w:p>
    <w:p w:rsidR="00EF6482" w:rsidRPr="00EF6482" w:rsidRDefault="00801F6A" w:rsidP="00EF6482">
      <w:pPr>
        <w:pStyle w:val="ListNumber"/>
      </w:pPr>
      <w:r>
        <w:t>Offsetting under/over</w:t>
      </w:r>
      <w:r w:rsidR="00EF6482" w:rsidRPr="00EF6482">
        <w:t xml:space="preserve"> recovery of revenue amount in item 5 to derive a closing balance</w:t>
      </w:r>
      <w:r w:rsidR="006C6C98">
        <w:t xml:space="preserve"> as close as practicable to</w:t>
      </w:r>
      <w:r w:rsidR="00EF6482" w:rsidRPr="00EF6482">
        <w:t xml:space="preserve"> zero for regulatory year t. This amount will become the approved DUoS revenue under/over recovery for regulatory year t.</w:t>
      </w:r>
    </w:p>
    <w:p w:rsidR="00EF6482" w:rsidRPr="00EF6482" w:rsidRDefault="00EF6482" w:rsidP="00EF6482">
      <w:r>
        <w:t>Ergon Energy</w:t>
      </w:r>
      <w:r w:rsidRPr="00EF6482">
        <w:t xml:space="preserve"> must provide details of calculations in the format set out in</w:t>
      </w:r>
      <w:r w:rsidR="00600A40">
        <w:t xml:space="preserve"> </w:t>
      </w:r>
      <w:r w:rsidR="00600A40">
        <w:fldChar w:fldCharType="begin"/>
      </w:r>
      <w:r w:rsidR="00600A40">
        <w:instrText xml:space="preserve"> REF  _Ref428900516 \* Lower \h </w:instrText>
      </w:r>
      <w:r w:rsidR="00600A40">
        <w:fldChar w:fldCharType="separate"/>
      </w:r>
      <w:r w:rsidR="00C668EE">
        <w:t xml:space="preserve">table </w:t>
      </w:r>
      <w:r w:rsidR="00C668EE">
        <w:rPr>
          <w:noProof/>
        </w:rPr>
        <w:t>14</w:t>
      </w:r>
      <w:r w:rsidR="00C668EE">
        <w:t>.</w:t>
      </w:r>
      <w:r w:rsidR="00C668EE">
        <w:rPr>
          <w:noProof/>
        </w:rPr>
        <w:t>1</w:t>
      </w:r>
      <w:r w:rsidR="00600A40">
        <w:fldChar w:fldCharType="end"/>
      </w:r>
      <w:r w:rsidRPr="00EF6482">
        <w:t>. Amounts provided for the most recently completed regulatory year (t–2) must be audited. Amounts provide for the next regulatory year (t) will be regard as a forecast.</w:t>
      </w:r>
    </w:p>
    <w:p w:rsidR="00EF6482" w:rsidRDefault="00EF6482" w:rsidP="00EF6482">
      <w:r w:rsidRPr="00EF6482">
        <w:t xml:space="preserve">In proposing variations to the amount and structure of DUoS charges, </w:t>
      </w:r>
      <w:r>
        <w:t>Ergon Energy</w:t>
      </w:r>
      <w:r w:rsidRPr="00EF6482">
        <w:t xml:space="preserve"> is expected to achieve a</w:t>
      </w:r>
      <w:r w:rsidR="006C6C98">
        <w:t xml:space="preserve"> closing balance as close as practicable to</w:t>
      </w:r>
      <w:r w:rsidRPr="00EF6482">
        <w:t xml:space="preserve"> zero </w:t>
      </w:r>
      <w:r w:rsidR="006C6C98">
        <w:t>in its</w:t>
      </w:r>
      <w:r w:rsidRPr="00EF6482">
        <w:t xml:space="preserve"> DUoS unders and overs account in each forecast year i</w:t>
      </w:r>
      <w:r w:rsidR="006C6C98">
        <w:t>n its annual pricing proposals during</w:t>
      </w:r>
      <w:r w:rsidRPr="00EF6482">
        <w:t xml:space="preserve"> the 201</w:t>
      </w:r>
      <w:r w:rsidR="00DE1379">
        <w:t>5</w:t>
      </w:r>
      <w:r w:rsidRPr="00EF6482">
        <w:t>–20 regulatory control period.</w:t>
      </w:r>
    </w:p>
    <w:p w:rsidR="00EF6482" w:rsidRDefault="00EF6482" w:rsidP="00EF6482">
      <w:r w:rsidRPr="00EF6482">
        <w:t>The proposed prices for each year t are based on the TAR for year t.</w:t>
      </w:r>
    </w:p>
    <w:p w:rsidR="00D65CCC" w:rsidRDefault="00D65CCC" w:rsidP="00EF6482"/>
    <w:p w:rsidR="00D65CCC" w:rsidRDefault="00D65CCC" w:rsidP="00EF6482"/>
    <w:p w:rsidR="003F1B2B" w:rsidRDefault="003F1B2B">
      <w:pPr>
        <w:spacing w:line="240" w:lineRule="auto"/>
      </w:pPr>
      <w:r>
        <w:br w:type="page"/>
      </w:r>
    </w:p>
    <w:p w:rsidR="00600A40" w:rsidRPr="00600A40" w:rsidRDefault="00600A40" w:rsidP="00600A40">
      <w:pPr>
        <w:pStyle w:val="Caption"/>
      </w:pPr>
      <w:bookmarkStart w:id="41" w:name="_Ref428900516"/>
      <w:r>
        <w:lastRenderedPageBreak/>
        <w:t xml:space="preserve">Table </w:t>
      </w:r>
      <w:r w:rsidR="001443EA">
        <w:fldChar w:fldCharType="begin"/>
      </w:r>
      <w:r w:rsidR="001443EA">
        <w:instrText xml:space="preserve"> STYLEREF 1 \s </w:instrText>
      </w:r>
      <w:r w:rsidR="001443EA">
        <w:fldChar w:fldCharType="separate"/>
      </w:r>
      <w:r w:rsidR="00C668EE">
        <w:rPr>
          <w:noProof/>
        </w:rPr>
        <w:t>14</w:t>
      </w:r>
      <w:r w:rsidR="001443EA">
        <w:rPr>
          <w:noProof/>
        </w:rPr>
        <w:fldChar w:fldCharType="end"/>
      </w:r>
      <w:r w:rsidR="0001063E">
        <w:t>.</w:t>
      </w:r>
      <w:r w:rsidR="001443EA">
        <w:fldChar w:fldCharType="begin"/>
      </w:r>
      <w:r w:rsidR="001443EA">
        <w:instrText xml:space="preserve"> SEQ Table \* ARABIC \s 1 </w:instrText>
      </w:r>
      <w:r w:rsidR="001443EA">
        <w:fldChar w:fldCharType="separate"/>
      </w:r>
      <w:r w:rsidR="00C668EE">
        <w:rPr>
          <w:noProof/>
        </w:rPr>
        <w:t>1</w:t>
      </w:r>
      <w:r w:rsidR="001443EA">
        <w:rPr>
          <w:noProof/>
        </w:rPr>
        <w:fldChar w:fldCharType="end"/>
      </w:r>
      <w:bookmarkEnd w:id="41"/>
      <w:r>
        <w:t xml:space="preserve"> Example calculation of DUoS unders and overs account ($'000, nominal)</w:t>
      </w:r>
    </w:p>
    <w:tbl>
      <w:tblPr>
        <w:tblStyle w:val="AERtable-numbers"/>
        <w:tblW w:w="0" w:type="auto"/>
        <w:tblLook w:val="04A0" w:firstRow="1" w:lastRow="0" w:firstColumn="1" w:lastColumn="0" w:noHBand="0" w:noVBand="1"/>
      </w:tblPr>
      <w:tblGrid>
        <w:gridCol w:w="5211"/>
        <w:gridCol w:w="1701"/>
        <w:gridCol w:w="1701"/>
      </w:tblGrid>
      <w:tr w:rsidR="00EF6482" w:rsidRPr="00EF6482" w:rsidTr="00EF6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EF6482"/>
        </w:tc>
        <w:tc>
          <w:tcPr>
            <w:tcW w:w="1701" w:type="dxa"/>
          </w:tcPr>
          <w:p w:rsidR="00EF6482" w:rsidRPr="00EF6482" w:rsidRDefault="00EF6482" w:rsidP="00EF6482">
            <w:pPr>
              <w:cnfStyle w:val="100000000000" w:firstRow="1" w:lastRow="0" w:firstColumn="0" w:lastColumn="0" w:oddVBand="0" w:evenVBand="0" w:oddHBand="0" w:evenHBand="0" w:firstRowFirstColumn="0" w:firstRowLastColumn="0" w:lastRowFirstColumn="0" w:lastRowLastColumn="0"/>
            </w:pPr>
            <w:r w:rsidRPr="00EF6482">
              <w:t>Year t–2</w:t>
            </w:r>
          </w:p>
          <w:p w:rsidR="00EF6482" w:rsidRPr="00EF6482" w:rsidRDefault="00EF6482" w:rsidP="00EF6482">
            <w:pPr>
              <w:cnfStyle w:val="100000000000" w:firstRow="1" w:lastRow="0" w:firstColumn="0" w:lastColumn="0" w:oddVBand="0" w:evenVBand="0" w:oddHBand="0" w:evenHBand="0" w:firstRowFirstColumn="0" w:firstRowLastColumn="0" w:lastRowFirstColumn="0" w:lastRowLastColumn="0"/>
            </w:pPr>
            <w:r w:rsidRPr="00EF6482">
              <w:t>(actual)</w:t>
            </w:r>
          </w:p>
        </w:tc>
        <w:tc>
          <w:tcPr>
            <w:tcW w:w="1701" w:type="dxa"/>
          </w:tcPr>
          <w:p w:rsidR="00EF6482" w:rsidRPr="00EF6482" w:rsidRDefault="00EF6482" w:rsidP="00EF6482">
            <w:pPr>
              <w:cnfStyle w:val="100000000000" w:firstRow="1" w:lastRow="0" w:firstColumn="0" w:lastColumn="0" w:oddVBand="0" w:evenVBand="0" w:oddHBand="0" w:evenHBand="0" w:firstRowFirstColumn="0" w:firstRowLastColumn="0" w:lastRowFirstColumn="0" w:lastRowLastColumn="0"/>
            </w:pPr>
            <w:r w:rsidRPr="00EF6482">
              <w:t>Year t</w:t>
            </w:r>
          </w:p>
          <w:p w:rsidR="00EF6482" w:rsidRPr="00EF6482" w:rsidRDefault="00EF6482" w:rsidP="00EF6482">
            <w:pPr>
              <w:cnfStyle w:val="100000000000" w:firstRow="1" w:lastRow="0" w:firstColumn="0" w:lastColumn="0" w:oddVBand="0" w:evenVBand="0" w:oddHBand="0" w:evenHBand="0" w:firstRowFirstColumn="0" w:firstRowLastColumn="0" w:lastRowFirstColumn="0" w:lastRowLastColumn="0"/>
            </w:pPr>
            <w:r w:rsidRPr="00EF6482">
              <w:t>(forecast)</w:t>
            </w:r>
          </w:p>
        </w:tc>
      </w:tr>
      <w:tr w:rsidR="00EF6482" w:rsidRPr="00EF6482" w:rsidTr="00EF6482">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EF6482">
            <w:pPr>
              <w:rPr>
                <w:rStyle w:val="Strong"/>
              </w:rPr>
            </w:pPr>
            <w:r w:rsidRPr="00EF6482">
              <w:rPr>
                <w:rStyle w:val="Strong"/>
              </w:rPr>
              <w:t>(A) Revenue from DUoS charges</w:t>
            </w:r>
          </w:p>
        </w:tc>
        <w:tc>
          <w:tcPr>
            <w:tcW w:w="1701" w:type="dxa"/>
          </w:tcPr>
          <w:p w:rsidR="00EF6482" w:rsidRPr="00EF6482" w:rsidRDefault="00EF6482" w:rsidP="00EF6482">
            <w:pPr>
              <w:cnfStyle w:val="000000000000" w:firstRow="0" w:lastRow="0" w:firstColumn="0" w:lastColumn="0" w:oddVBand="0" w:evenVBand="0" w:oddHBand="0" w:evenHBand="0" w:firstRowFirstColumn="0" w:firstRowLastColumn="0" w:lastRowFirstColumn="0" w:lastRowLastColumn="0"/>
              <w:rPr>
                <w:rStyle w:val="Strong"/>
              </w:rPr>
            </w:pPr>
            <w:r w:rsidRPr="00EF6482">
              <w:rPr>
                <w:rStyle w:val="Strong"/>
              </w:rPr>
              <w:t>46 779</w:t>
            </w:r>
          </w:p>
        </w:tc>
        <w:tc>
          <w:tcPr>
            <w:tcW w:w="1701" w:type="dxa"/>
          </w:tcPr>
          <w:p w:rsidR="00EF6482" w:rsidRPr="00EF6482" w:rsidRDefault="00D53883" w:rsidP="00D5388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40 306</w:t>
            </w:r>
          </w:p>
        </w:tc>
      </w:tr>
      <w:tr w:rsidR="00EF6482" w:rsidRPr="00EF6482" w:rsidTr="00EF6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EF6482">
            <w:pPr>
              <w:rPr>
                <w:rStyle w:val="Strong"/>
              </w:rPr>
            </w:pPr>
            <w:r w:rsidRPr="00EF6482">
              <w:rPr>
                <w:rStyle w:val="Strong"/>
              </w:rPr>
              <w:t>(B) Less TAR for regulatory year =</w:t>
            </w:r>
          </w:p>
        </w:tc>
        <w:tc>
          <w:tcPr>
            <w:tcW w:w="1701" w:type="dxa"/>
          </w:tcPr>
          <w:p w:rsidR="00EF6482" w:rsidRPr="00EF6482" w:rsidRDefault="00EF6482" w:rsidP="00EF6482">
            <w:pPr>
              <w:cnfStyle w:val="000000010000" w:firstRow="0" w:lastRow="0" w:firstColumn="0" w:lastColumn="0" w:oddVBand="0" w:evenVBand="0" w:oddHBand="0" w:evenHBand="1" w:firstRowFirstColumn="0" w:firstRowLastColumn="0" w:lastRowFirstColumn="0" w:lastRowLastColumn="0"/>
              <w:rPr>
                <w:rStyle w:val="Strong"/>
              </w:rPr>
            </w:pPr>
            <w:r w:rsidRPr="00EF6482">
              <w:rPr>
                <w:rStyle w:val="Strong"/>
              </w:rPr>
              <w:t>43 039</w:t>
            </w:r>
          </w:p>
        </w:tc>
        <w:tc>
          <w:tcPr>
            <w:tcW w:w="1701" w:type="dxa"/>
          </w:tcPr>
          <w:p w:rsidR="00EF6482" w:rsidRPr="00EF6482" w:rsidRDefault="00D53883" w:rsidP="00D53883">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40</w:t>
            </w:r>
            <w:r w:rsidR="00122D9F">
              <w:rPr>
                <w:rStyle w:val="Strong"/>
              </w:rPr>
              <w:t xml:space="preserve"> </w:t>
            </w:r>
            <w:r>
              <w:rPr>
                <w:rStyle w:val="Strong"/>
              </w:rPr>
              <w:t>306</w:t>
            </w:r>
          </w:p>
        </w:tc>
      </w:tr>
      <w:tr w:rsidR="00EF6482" w:rsidRPr="00EF6482" w:rsidTr="00EF6482">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CA3230" w:rsidP="00D65CCC">
            <w:pPr>
              <w:pStyle w:val="ListContinue"/>
            </w:pPr>
            <w:r>
              <w:t>+ A</w:t>
            </w:r>
            <w:r w:rsidR="00EF6482" w:rsidRPr="00EF6482">
              <w:t>nnual revenues (AR</w:t>
            </w:r>
            <w:r w:rsidR="00EF6482" w:rsidRPr="00CA3230">
              <w:rPr>
                <w:rStyle w:val="AERsubscript"/>
              </w:rPr>
              <w:t>t</w:t>
            </w:r>
            <w:r w:rsidR="00EF6482" w:rsidRPr="00EF6482">
              <w:t>)</w:t>
            </w:r>
          </w:p>
        </w:tc>
        <w:tc>
          <w:tcPr>
            <w:tcW w:w="1701" w:type="dxa"/>
          </w:tcPr>
          <w:p w:rsidR="00EF6482" w:rsidRPr="00EF6482" w:rsidRDefault="00EF6482" w:rsidP="00EF6482">
            <w:pPr>
              <w:cnfStyle w:val="000000000000" w:firstRow="0" w:lastRow="0" w:firstColumn="0" w:lastColumn="0" w:oddVBand="0" w:evenVBand="0" w:oddHBand="0" w:evenHBand="0" w:firstRowFirstColumn="0" w:firstRowLastColumn="0" w:lastRowFirstColumn="0" w:lastRowLastColumn="0"/>
            </w:pPr>
            <w:r w:rsidRPr="00EF6482">
              <w:t>34 820</w:t>
            </w:r>
          </w:p>
        </w:tc>
        <w:tc>
          <w:tcPr>
            <w:tcW w:w="1701" w:type="dxa"/>
          </w:tcPr>
          <w:p w:rsidR="00EF6482" w:rsidRPr="00EF6482" w:rsidRDefault="00D53883" w:rsidP="00EF6482">
            <w:pPr>
              <w:cnfStyle w:val="000000000000" w:firstRow="0" w:lastRow="0" w:firstColumn="0" w:lastColumn="0" w:oddVBand="0" w:evenVBand="0" w:oddHBand="0" w:evenHBand="0" w:firstRowFirstColumn="0" w:firstRowLastColumn="0" w:lastRowFirstColumn="0" w:lastRowLastColumn="0"/>
            </w:pPr>
            <w:r>
              <w:t>4</w:t>
            </w:r>
            <w:r w:rsidR="00EF6482" w:rsidRPr="00EF6482">
              <w:t>4 393</w:t>
            </w:r>
          </w:p>
        </w:tc>
      </w:tr>
      <w:tr w:rsidR="00EF6482" w:rsidRPr="00EF6482" w:rsidTr="00EF6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CA3230">
            <w:pPr>
              <w:pStyle w:val="ListContinue"/>
            </w:pPr>
            <w:r w:rsidRPr="00EF6482">
              <w:t xml:space="preserve">+ </w:t>
            </w:r>
            <w:r w:rsidR="00CA3230">
              <w:t>DMIS carryover amount</w:t>
            </w:r>
            <w:r w:rsidRPr="00EF6482">
              <w:t xml:space="preserve"> (I</w:t>
            </w:r>
            <w:r w:rsidRPr="00CA3230">
              <w:rPr>
                <w:rStyle w:val="AERsubscript"/>
              </w:rPr>
              <w:t>t</w:t>
            </w:r>
            <w:r w:rsidRPr="00EF6482">
              <w:t>)</w:t>
            </w:r>
          </w:p>
        </w:tc>
        <w:tc>
          <w:tcPr>
            <w:tcW w:w="1701" w:type="dxa"/>
          </w:tcPr>
          <w:p w:rsidR="00EF6482" w:rsidRPr="00EF6482" w:rsidRDefault="009A4498" w:rsidP="00EF6482">
            <w:pPr>
              <w:cnfStyle w:val="000000010000" w:firstRow="0" w:lastRow="0" w:firstColumn="0" w:lastColumn="0" w:oddVBand="0" w:evenVBand="0" w:oddHBand="0" w:evenHBand="1" w:firstRowFirstColumn="0" w:firstRowLastColumn="0" w:lastRowFirstColumn="0" w:lastRowLastColumn="0"/>
            </w:pPr>
            <w:r>
              <w:t>1013</w:t>
            </w:r>
          </w:p>
        </w:tc>
        <w:tc>
          <w:tcPr>
            <w:tcW w:w="1701" w:type="dxa"/>
          </w:tcPr>
          <w:p w:rsidR="00EF6482" w:rsidRPr="00EF6482" w:rsidRDefault="009A4498" w:rsidP="00EF6482">
            <w:pPr>
              <w:cnfStyle w:val="000000010000" w:firstRow="0" w:lastRow="0" w:firstColumn="0" w:lastColumn="0" w:oddVBand="0" w:evenVBand="0" w:oddHBand="0" w:evenHBand="1" w:firstRowFirstColumn="0" w:firstRowLastColumn="0" w:lastRowFirstColumn="0" w:lastRowLastColumn="0"/>
            </w:pPr>
            <w:r>
              <w:t>0</w:t>
            </w:r>
          </w:p>
        </w:tc>
      </w:tr>
      <w:tr w:rsidR="00EF6482" w:rsidRPr="00EF6482" w:rsidTr="00EF6482">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CA3230">
            <w:pPr>
              <w:pStyle w:val="ListContinue"/>
            </w:pPr>
            <w:r w:rsidRPr="00EF6482">
              <w:t xml:space="preserve">+ </w:t>
            </w:r>
            <w:r w:rsidR="00801F6A">
              <w:t>Sum of under or over</w:t>
            </w:r>
            <w:r w:rsidR="00CA3230">
              <w:t xml:space="preserve"> recoveries</w:t>
            </w:r>
            <w:r w:rsidRPr="00EF6482">
              <w:t xml:space="preserve"> (</w:t>
            </w:r>
            <w:r w:rsidR="00CA3230">
              <w:t>B</w:t>
            </w:r>
            <w:r w:rsidRPr="00CA3230">
              <w:rPr>
                <w:rStyle w:val="AERsubscript"/>
              </w:rPr>
              <w:t>t</w:t>
            </w:r>
            <w:r w:rsidRPr="00EF6482">
              <w:t xml:space="preserve">) </w:t>
            </w:r>
            <w:r w:rsidR="00CA3230">
              <w:t>=</w:t>
            </w:r>
          </w:p>
        </w:tc>
        <w:tc>
          <w:tcPr>
            <w:tcW w:w="1701" w:type="dxa"/>
          </w:tcPr>
          <w:p w:rsidR="00EF6482" w:rsidRPr="00EF6482" w:rsidRDefault="00122D9F" w:rsidP="00EF6482">
            <w:pPr>
              <w:cnfStyle w:val="000000000000" w:firstRow="0" w:lastRow="0" w:firstColumn="0" w:lastColumn="0" w:oddVBand="0" w:evenVBand="0" w:oddHBand="0" w:evenHBand="0" w:firstRowFirstColumn="0" w:firstRowLastColumn="0" w:lastRowFirstColumn="0" w:lastRowLastColumn="0"/>
            </w:pPr>
            <w:r>
              <w:t>5394</w:t>
            </w:r>
          </w:p>
        </w:tc>
        <w:tc>
          <w:tcPr>
            <w:tcW w:w="1701" w:type="dxa"/>
          </w:tcPr>
          <w:p w:rsidR="00EF6482" w:rsidRPr="00EF6482" w:rsidRDefault="00122D9F" w:rsidP="00EF6482">
            <w:pPr>
              <w:cnfStyle w:val="000000000000" w:firstRow="0" w:lastRow="0" w:firstColumn="0" w:lastColumn="0" w:oddVBand="0" w:evenVBand="0" w:oddHBand="0" w:evenHBand="0" w:firstRowFirstColumn="0" w:firstRowLastColumn="0" w:lastRowFirstColumn="0" w:lastRowLastColumn="0"/>
            </w:pPr>
            <w:r>
              <w:t>–4</w:t>
            </w:r>
            <w:r w:rsidR="00D53883">
              <w:t>123</w:t>
            </w:r>
          </w:p>
        </w:tc>
      </w:tr>
      <w:tr w:rsidR="00CA3230" w:rsidRPr="00014DCF" w:rsidTr="00EF6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A3230" w:rsidRPr="00014DCF" w:rsidRDefault="00CA3230" w:rsidP="00CA3230">
            <w:pPr>
              <w:pStyle w:val="ListContinue2"/>
              <w:rPr>
                <w:rStyle w:val="AERtextitalic"/>
              </w:rPr>
            </w:pPr>
            <w:r w:rsidRPr="00014DCF">
              <w:rPr>
                <w:rStyle w:val="AERtextitalic"/>
              </w:rPr>
              <w:t>+ Capital contributions/shared assets</w:t>
            </w:r>
          </w:p>
        </w:tc>
        <w:tc>
          <w:tcPr>
            <w:tcW w:w="1701" w:type="dxa"/>
          </w:tcPr>
          <w:p w:rsidR="00CA3230" w:rsidRPr="00014DCF" w:rsidRDefault="00122D9F" w:rsidP="00EF6482">
            <w:pPr>
              <w:cnfStyle w:val="000000010000" w:firstRow="0" w:lastRow="0" w:firstColumn="0" w:lastColumn="0" w:oddVBand="0" w:evenVBand="0" w:oddHBand="0" w:evenHBand="1" w:firstRowFirstColumn="0" w:firstRowLastColumn="0" w:lastRowFirstColumn="0" w:lastRowLastColumn="0"/>
              <w:rPr>
                <w:rStyle w:val="AERtextitalic"/>
              </w:rPr>
            </w:pPr>
            <w:r>
              <w:rPr>
                <w:rStyle w:val="AERtextitalic"/>
              </w:rPr>
              <w:t>25</w:t>
            </w:r>
          </w:p>
        </w:tc>
        <w:tc>
          <w:tcPr>
            <w:tcW w:w="1701" w:type="dxa"/>
          </w:tcPr>
          <w:p w:rsidR="00CA3230" w:rsidRPr="00014DCF" w:rsidRDefault="0028101C" w:rsidP="00EF6482">
            <w:pPr>
              <w:cnfStyle w:val="000000010000" w:firstRow="0" w:lastRow="0" w:firstColumn="0" w:lastColumn="0" w:oddVBand="0" w:evenVBand="0" w:oddHBand="0" w:evenHBand="1" w:firstRowFirstColumn="0" w:firstRowLastColumn="0" w:lastRowFirstColumn="0" w:lastRowLastColumn="0"/>
              <w:rPr>
                <w:rStyle w:val="AERtextitalic"/>
              </w:rPr>
            </w:pPr>
            <w:r>
              <w:rPr>
                <w:rStyle w:val="AERtextitalic"/>
              </w:rPr>
              <w:t>0</w:t>
            </w:r>
          </w:p>
        </w:tc>
      </w:tr>
      <w:tr w:rsidR="00CA3230" w:rsidRPr="00014DCF" w:rsidTr="00EF6482">
        <w:tc>
          <w:tcPr>
            <w:cnfStyle w:val="001000000000" w:firstRow="0" w:lastRow="0" w:firstColumn="1" w:lastColumn="0" w:oddVBand="0" w:evenVBand="0" w:oddHBand="0" w:evenHBand="0" w:firstRowFirstColumn="0" w:firstRowLastColumn="0" w:lastRowFirstColumn="0" w:lastRowLastColumn="0"/>
            <w:tcW w:w="5211" w:type="dxa"/>
          </w:tcPr>
          <w:p w:rsidR="00CA3230" w:rsidRPr="00014DCF" w:rsidRDefault="00CA3230" w:rsidP="00CA3230">
            <w:pPr>
              <w:pStyle w:val="ListContinue2"/>
              <w:rPr>
                <w:rStyle w:val="AERtextitalic"/>
              </w:rPr>
            </w:pPr>
            <w:r w:rsidRPr="00014DCF">
              <w:rPr>
                <w:rStyle w:val="AERtextitalic"/>
              </w:rPr>
              <w:t>+ DUoS revenue under/over recovery approved</w:t>
            </w:r>
          </w:p>
        </w:tc>
        <w:tc>
          <w:tcPr>
            <w:tcW w:w="1701" w:type="dxa"/>
          </w:tcPr>
          <w:p w:rsidR="00CA3230" w:rsidRPr="00014DCF" w:rsidRDefault="00014DCF" w:rsidP="00EF6482">
            <w:pPr>
              <w:cnfStyle w:val="000000000000" w:firstRow="0" w:lastRow="0" w:firstColumn="0" w:lastColumn="0" w:oddVBand="0" w:evenVBand="0" w:oddHBand="0" w:evenHBand="0" w:firstRowFirstColumn="0" w:firstRowLastColumn="0" w:lastRowFirstColumn="0" w:lastRowLastColumn="0"/>
              <w:rPr>
                <w:rStyle w:val="AERtextitalic"/>
              </w:rPr>
            </w:pPr>
            <w:r w:rsidRPr="00014DCF">
              <w:rPr>
                <w:rStyle w:val="AERtextitalic"/>
              </w:rPr>
              <w:t>5369</w:t>
            </w:r>
            <w:r w:rsidRPr="00014DCF">
              <w:rPr>
                <w:rStyle w:val="AERsuperscript"/>
              </w:rPr>
              <w:t>a</w:t>
            </w:r>
          </w:p>
        </w:tc>
        <w:tc>
          <w:tcPr>
            <w:tcW w:w="1701" w:type="dxa"/>
          </w:tcPr>
          <w:p w:rsidR="00CA3230" w:rsidRPr="00014DCF" w:rsidRDefault="00014DCF" w:rsidP="00D53883">
            <w:pPr>
              <w:cnfStyle w:val="000000000000" w:firstRow="0" w:lastRow="0" w:firstColumn="0" w:lastColumn="0" w:oddVBand="0" w:evenVBand="0" w:oddHBand="0" w:evenHBand="0" w:firstRowFirstColumn="0" w:firstRowLastColumn="0" w:lastRowFirstColumn="0" w:lastRowLastColumn="0"/>
              <w:rPr>
                <w:rStyle w:val="AERtextitalic"/>
              </w:rPr>
            </w:pPr>
            <w:r w:rsidRPr="00014DCF">
              <w:rPr>
                <w:rStyle w:val="AERtextitalic"/>
              </w:rPr>
              <w:t>–4</w:t>
            </w:r>
            <w:r w:rsidR="00D53883">
              <w:rPr>
                <w:rStyle w:val="AERtextitalic"/>
              </w:rPr>
              <w:t>123</w:t>
            </w:r>
            <w:r w:rsidR="004F564B">
              <w:rPr>
                <w:rStyle w:val="AERsuperscript"/>
              </w:rPr>
              <w:t>c</w:t>
            </w:r>
          </w:p>
        </w:tc>
      </w:tr>
      <w:tr w:rsidR="00EF6482" w:rsidRPr="00EF6482" w:rsidTr="00EF6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CA3230" w:rsidP="00797960">
            <w:pPr>
              <w:pStyle w:val="ListContinue"/>
            </w:pPr>
            <w:r>
              <w:t xml:space="preserve">+ Sum of </w:t>
            </w:r>
            <w:r w:rsidR="00797960">
              <w:t xml:space="preserve">pass through </w:t>
            </w:r>
            <w:r>
              <w:t>adjustments (C</w:t>
            </w:r>
            <w:r w:rsidR="00EF6482" w:rsidRPr="00CA3230">
              <w:rPr>
                <w:rStyle w:val="AERsubscript"/>
              </w:rPr>
              <w:t>t</w:t>
            </w:r>
            <w:r w:rsidR="00EF6482" w:rsidRPr="00EF6482">
              <w:t>) =</w:t>
            </w:r>
          </w:p>
        </w:tc>
        <w:tc>
          <w:tcPr>
            <w:tcW w:w="1701" w:type="dxa"/>
          </w:tcPr>
          <w:p w:rsidR="00EF6482" w:rsidRPr="00EF6482" w:rsidRDefault="009A4498" w:rsidP="00EF6482">
            <w:pPr>
              <w:cnfStyle w:val="000000010000" w:firstRow="0" w:lastRow="0" w:firstColumn="0" w:lastColumn="0" w:oddVBand="0" w:evenVBand="0" w:oddHBand="0" w:evenHBand="1" w:firstRowFirstColumn="0" w:firstRowLastColumn="0" w:lastRowFirstColumn="0" w:lastRowLastColumn="0"/>
            </w:pPr>
            <w:r>
              <w:t>18</w:t>
            </w:r>
            <w:r w:rsidR="00122D9F">
              <w:t>12</w:t>
            </w:r>
          </w:p>
        </w:tc>
        <w:tc>
          <w:tcPr>
            <w:tcW w:w="1701" w:type="dxa"/>
          </w:tcPr>
          <w:p w:rsidR="00EF6482" w:rsidRPr="00EF6482" w:rsidRDefault="0028101C" w:rsidP="00EF6482">
            <w:pPr>
              <w:cnfStyle w:val="000000010000" w:firstRow="0" w:lastRow="0" w:firstColumn="0" w:lastColumn="0" w:oddVBand="0" w:evenVBand="0" w:oddHBand="0" w:evenHBand="1" w:firstRowFirstColumn="0" w:firstRowLastColumn="0" w:lastRowFirstColumn="0" w:lastRowLastColumn="0"/>
            </w:pPr>
            <w:r>
              <w:t>36</w:t>
            </w:r>
          </w:p>
        </w:tc>
      </w:tr>
      <w:tr w:rsidR="00CA3230" w:rsidRPr="00CA3230" w:rsidTr="00EF6482">
        <w:tc>
          <w:tcPr>
            <w:cnfStyle w:val="001000000000" w:firstRow="0" w:lastRow="0" w:firstColumn="1" w:lastColumn="0" w:oddVBand="0" w:evenVBand="0" w:oddHBand="0" w:evenHBand="0" w:firstRowFirstColumn="0" w:firstRowLastColumn="0" w:lastRowFirstColumn="0" w:lastRowLastColumn="0"/>
            <w:tcW w:w="5211" w:type="dxa"/>
          </w:tcPr>
          <w:p w:rsidR="00EF6482" w:rsidRPr="00CA3230" w:rsidRDefault="00EF6482" w:rsidP="00CA3230">
            <w:pPr>
              <w:pStyle w:val="ListContinue2"/>
              <w:rPr>
                <w:rStyle w:val="AERtextitalic"/>
              </w:rPr>
            </w:pPr>
            <w:r w:rsidRPr="00CA3230">
              <w:rPr>
                <w:rStyle w:val="AERtextitalic"/>
              </w:rPr>
              <w:t xml:space="preserve">+ </w:t>
            </w:r>
            <w:r w:rsidR="00CA3230" w:rsidRPr="00CA3230">
              <w:rPr>
                <w:rStyle w:val="AERtextitalic"/>
              </w:rPr>
              <w:t>Feed</w:t>
            </w:r>
            <w:r w:rsidR="00CA3230" w:rsidRPr="00CA3230">
              <w:rPr>
                <w:rStyle w:val="AERtextitalic"/>
              </w:rPr>
              <w:noBreakHyphen/>
              <w:t>in tariff cost pass throughs</w:t>
            </w:r>
          </w:p>
        </w:tc>
        <w:tc>
          <w:tcPr>
            <w:tcW w:w="1701" w:type="dxa"/>
          </w:tcPr>
          <w:p w:rsidR="00EF6482" w:rsidRPr="00CA3230" w:rsidRDefault="00122D9F" w:rsidP="00EF6482">
            <w:pPr>
              <w:cnfStyle w:val="000000000000" w:firstRow="0" w:lastRow="0" w:firstColumn="0" w:lastColumn="0" w:oddVBand="0" w:evenVBand="0" w:oddHBand="0" w:evenHBand="0" w:firstRowFirstColumn="0" w:firstRowLastColumn="0" w:lastRowFirstColumn="0" w:lastRowLastColumn="0"/>
              <w:rPr>
                <w:rStyle w:val="AERtextitalic"/>
              </w:rPr>
            </w:pPr>
            <w:r>
              <w:rPr>
                <w:rStyle w:val="AERtextitalic"/>
              </w:rPr>
              <w:t>–12</w:t>
            </w:r>
          </w:p>
        </w:tc>
        <w:tc>
          <w:tcPr>
            <w:tcW w:w="1701" w:type="dxa"/>
          </w:tcPr>
          <w:p w:rsidR="00EF6482" w:rsidRPr="00CA3230" w:rsidRDefault="0028101C" w:rsidP="00EF6482">
            <w:pPr>
              <w:cnfStyle w:val="000000000000" w:firstRow="0" w:lastRow="0" w:firstColumn="0" w:lastColumn="0" w:oddVBand="0" w:evenVBand="0" w:oddHBand="0" w:evenHBand="0" w:firstRowFirstColumn="0" w:firstRowLastColumn="0" w:lastRowFirstColumn="0" w:lastRowLastColumn="0"/>
              <w:rPr>
                <w:rStyle w:val="AERtextitalic"/>
              </w:rPr>
            </w:pPr>
            <w:r>
              <w:rPr>
                <w:rStyle w:val="AERtextitalic"/>
              </w:rPr>
              <w:t>36</w:t>
            </w:r>
          </w:p>
        </w:tc>
      </w:tr>
      <w:tr w:rsidR="00CA3230" w:rsidRPr="00CA3230" w:rsidTr="00EF6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F6482" w:rsidRPr="00CA3230" w:rsidRDefault="00EF6482" w:rsidP="00CA3230">
            <w:pPr>
              <w:pStyle w:val="ListContinue2"/>
              <w:rPr>
                <w:rStyle w:val="AERtextitalic"/>
              </w:rPr>
            </w:pPr>
            <w:r w:rsidRPr="00CA3230">
              <w:rPr>
                <w:rStyle w:val="AERtextitalic"/>
              </w:rPr>
              <w:t>+ Approved pass through amounts</w:t>
            </w:r>
          </w:p>
        </w:tc>
        <w:tc>
          <w:tcPr>
            <w:tcW w:w="1701" w:type="dxa"/>
          </w:tcPr>
          <w:p w:rsidR="00EF6482" w:rsidRPr="00CA3230" w:rsidRDefault="00EF6482" w:rsidP="00EF6482">
            <w:pPr>
              <w:cnfStyle w:val="000000010000" w:firstRow="0" w:lastRow="0" w:firstColumn="0" w:lastColumn="0" w:oddVBand="0" w:evenVBand="0" w:oddHBand="0" w:evenHBand="1" w:firstRowFirstColumn="0" w:firstRowLastColumn="0" w:lastRowFirstColumn="0" w:lastRowLastColumn="0"/>
              <w:rPr>
                <w:rStyle w:val="AERtextitalic"/>
              </w:rPr>
            </w:pPr>
            <w:r w:rsidRPr="00CA3230">
              <w:rPr>
                <w:rStyle w:val="AERtextitalic"/>
              </w:rPr>
              <w:t>1824</w:t>
            </w:r>
          </w:p>
        </w:tc>
        <w:tc>
          <w:tcPr>
            <w:tcW w:w="1701" w:type="dxa"/>
          </w:tcPr>
          <w:p w:rsidR="00EF6482" w:rsidRPr="00CA3230" w:rsidRDefault="00EF6482" w:rsidP="00EF6482">
            <w:pPr>
              <w:cnfStyle w:val="000000010000" w:firstRow="0" w:lastRow="0" w:firstColumn="0" w:lastColumn="0" w:oddVBand="0" w:evenVBand="0" w:oddHBand="0" w:evenHBand="1" w:firstRowFirstColumn="0" w:firstRowLastColumn="0" w:lastRowFirstColumn="0" w:lastRowLastColumn="0"/>
              <w:rPr>
                <w:rStyle w:val="AERtextitalic"/>
              </w:rPr>
            </w:pPr>
            <w:r w:rsidRPr="00CA3230">
              <w:rPr>
                <w:rStyle w:val="AERtextitalic"/>
              </w:rPr>
              <w:t>0</w:t>
            </w:r>
          </w:p>
        </w:tc>
      </w:tr>
      <w:tr w:rsidR="00CA3230" w:rsidRPr="00EF6482" w:rsidTr="00EF6482">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EF6482"/>
        </w:tc>
        <w:tc>
          <w:tcPr>
            <w:tcW w:w="1701" w:type="dxa"/>
          </w:tcPr>
          <w:p w:rsidR="00EF6482" w:rsidRPr="00EF6482" w:rsidRDefault="00EF6482" w:rsidP="00EF6482">
            <w:pPr>
              <w:cnfStyle w:val="000000000000" w:firstRow="0" w:lastRow="0" w:firstColumn="0" w:lastColumn="0" w:oddVBand="0" w:evenVBand="0" w:oddHBand="0" w:evenHBand="0" w:firstRowFirstColumn="0" w:firstRowLastColumn="0" w:lastRowFirstColumn="0" w:lastRowLastColumn="0"/>
            </w:pPr>
          </w:p>
        </w:tc>
        <w:tc>
          <w:tcPr>
            <w:tcW w:w="1701" w:type="dxa"/>
          </w:tcPr>
          <w:p w:rsidR="00EF6482" w:rsidRPr="00EF6482" w:rsidRDefault="00EF6482" w:rsidP="00EF6482">
            <w:pPr>
              <w:cnfStyle w:val="000000000000" w:firstRow="0" w:lastRow="0" w:firstColumn="0" w:lastColumn="0" w:oddVBand="0" w:evenVBand="0" w:oddHBand="0" w:evenHBand="0" w:firstRowFirstColumn="0" w:firstRowLastColumn="0" w:lastRowFirstColumn="0" w:lastRowLastColumn="0"/>
            </w:pPr>
          </w:p>
        </w:tc>
      </w:tr>
      <w:tr w:rsidR="00CA3230" w:rsidRPr="00014DCF" w:rsidTr="00EF6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F6482" w:rsidRPr="00014DCF" w:rsidRDefault="00EF6482" w:rsidP="00EF6482">
            <w:pPr>
              <w:rPr>
                <w:rStyle w:val="Strong"/>
              </w:rPr>
            </w:pPr>
            <w:r w:rsidRPr="00014DCF">
              <w:rPr>
                <w:rStyle w:val="Strong"/>
              </w:rPr>
              <w:t>(A minus B) Under/over recovery of revenue for regulatory year</w:t>
            </w:r>
          </w:p>
        </w:tc>
        <w:tc>
          <w:tcPr>
            <w:tcW w:w="1701" w:type="dxa"/>
          </w:tcPr>
          <w:p w:rsidR="00EF6482" w:rsidRPr="00014DCF" w:rsidRDefault="00EF6482" w:rsidP="00EF6482">
            <w:pPr>
              <w:cnfStyle w:val="000000010000" w:firstRow="0" w:lastRow="0" w:firstColumn="0" w:lastColumn="0" w:oddVBand="0" w:evenVBand="0" w:oddHBand="0" w:evenHBand="1" w:firstRowFirstColumn="0" w:firstRowLastColumn="0" w:lastRowFirstColumn="0" w:lastRowLastColumn="0"/>
              <w:rPr>
                <w:rStyle w:val="Strong"/>
              </w:rPr>
            </w:pPr>
            <w:r w:rsidRPr="00014DCF">
              <w:rPr>
                <w:rStyle w:val="Strong"/>
              </w:rPr>
              <w:t>3740</w:t>
            </w:r>
          </w:p>
        </w:tc>
        <w:tc>
          <w:tcPr>
            <w:tcW w:w="1701" w:type="dxa"/>
          </w:tcPr>
          <w:p w:rsidR="00EF6482" w:rsidRPr="00014DCF" w:rsidRDefault="00EF6482" w:rsidP="00EF6482">
            <w:pPr>
              <w:cnfStyle w:val="000000010000" w:firstRow="0" w:lastRow="0" w:firstColumn="0" w:lastColumn="0" w:oddVBand="0" w:evenVBand="0" w:oddHBand="0" w:evenHBand="1" w:firstRowFirstColumn="0" w:firstRowLastColumn="0" w:lastRowFirstColumn="0" w:lastRowLastColumn="0"/>
              <w:rPr>
                <w:rStyle w:val="Strong"/>
              </w:rPr>
            </w:pPr>
            <w:r w:rsidRPr="00014DCF">
              <w:rPr>
                <w:rStyle w:val="Strong"/>
              </w:rPr>
              <w:t>0</w:t>
            </w:r>
          </w:p>
        </w:tc>
      </w:tr>
      <w:tr w:rsidR="00CA3230" w:rsidRPr="00EF6482" w:rsidTr="00EF6482">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EF6482"/>
        </w:tc>
        <w:tc>
          <w:tcPr>
            <w:tcW w:w="1701" w:type="dxa"/>
          </w:tcPr>
          <w:p w:rsidR="00EF6482" w:rsidRPr="00EF6482" w:rsidRDefault="00EF6482" w:rsidP="00EF6482">
            <w:pPr>
              <w:cnfStyle w:val="000000000000" w:firstRow="0" w:lastRow="0" w:firstColumn="0" w:lastColumn="0" w:oddVBand="0" w:evenVBand="0" w:oddHBand="0" w:evenHBand="0" w:firstRowFirstColumn="0" w:firstRowLastColumn="0" w:lastRowFirstColumn="0" w:lastRowLastColumn="0"/>
            </w:pPr>
          </w:p>
        </w:tc>
        <w:tc>
          <w:tcPr>
            <w:tcW w:w="1701" w:type="dxa"/>
          </w:tcPr>
          <w:p w:rsidR="00EF6482" w:rsidRPr="00EF6482" w:rsidRDefault="00EF6482" w:rsidP="00EF6482">
            <w:pPr>
              <w:cnfStyle w:val="000000000000" w:firstRow="0" w:lastRow="0" w:firstColumn="0" w:lastColumn="0" w:oddVBand="0" w:evenVBand="0" w:oddHBand="0" w:evenHBand="0" w:firstRowFirstColumn="0" w:firstRowLastColumn="0" w:lastRowFirstColumn="0" w:lastRowLastColumn="0"/>
            </w:pPr>
          </w:p>
        </w:tc>
      </w:tr>
      <w:tr w:rsidR="00EF6482" w:rsidRPr="00014DCF" w:rsidTr="00EF6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3"/>
          </w:tcPr>
          <w:p w:rsidR="00EF6482" w:rsidRPr="00014DCF" w:rsidRDefault="00EF6482" w:rsidP="00EF6482">
            <w:pPr>
              <w:rPr>
                <w:rStyle w:val="AERtextbolditalics"/>
              </w:rPr>
            </w:pPr>
            <w:r w:rsidRPr="00014DCF">
              <w:rPr>
                <w:rStyle w:val="AERtextbolditalics"/>
              </w:rPr>
              <w:t>DUoS unders and overs account</w:t>
            </w:r>
          </w:p>
        </w:tc>
      </w:tr>
      <w:tr w:rsidR="00CA3230" w:rsidRPr="00EF6482" w:rsidTr="00EF6482">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EF6482">
            <w:r w:rsidRPr="00EF6482">
              <w:t>Nominal WACC t–2 (per cent)</w:t>
            </w:r>
          </w:p>
        </w:tc>
        <w:tc>
          <w:tcPr>
            <w:tcW w:w="1701" w:type="dxa"/>
          </w:tcPr>
          <w:p w:rsidR="00EF6482" w:rsidRPr="00EF6482" w:rsidRDefault="00231037" w:rsidP="00231037">
            <w:pPr>
              <w:cnfStyle w:val="000000000000" w:firstRow="0" w:lastRow="0" w:firstColumn="0" w:lastColumn="0" w:oddVBand="0" w:evenVBand="0" w:oddHBand="0" w:evenHBand="0" w:firstRowFirstColumn="0" w:firstRowLastColumn="0" w:lastRowFirstColumn="0" w:lastRowLastColumn="0"/>
            </w:pPr>
            <w:r>
              <w:t>5.00</w:t>
            </w:r>
            <w:r w:rsidR="00EF6482" w:rsidRPr="00EF6482">
              <w:t>%</w:t>
            </w:r>
          </w:p>
        </w:tc>
        <w:tc>
          <w:tcPr>
            <w:tcW w:w="1701" w:type="dxa"/>
          </w:tcPr>
          <w:p w:rsidR="00EF6482" w:rsidRPr="00EF6482" w:rsidRDefault="00EF6482" w:rsidP="00EF6482">
            <w:pPr>
              <w:cnfStyle w:val="000000000000" w:firstRow="0" w:lastRow="0" w:firstColumn="0" w:lastColumn="0" w:oddVBand="0" w:evenVBand="0" w:oddHBand="0" w:evenHBand="0" w:firstRowFirstColumn="0" w:firstRowLastColumn="0" w:lastRowFirstColumn="0" w:lastRowLastColumn="0"/>
            </w:pPr>
          </w:p>
        </w:tc>
      </w:tr>
      <w:tr w:rsidR="00CA3230" w:rsidRPr="00EF6482" w:rsidTr="00EF6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EF6482">
            <w:r w:rsidRPr="00EF6482">
              <w:t>Nominal WACC t–1 (per cent)</w:t>
            </w:r>
          </w:p>
        </w:tc>
        <w:tc>
          <w:tcPr>
            <w:tcW w:w="1701" w:type="dxa"/>
          </w:tcPr>
          <w:p w:rsidR="00EF6482" w:rsidRPr="00EF6482" w:rsidRDefault="00231037" w:rsidP="00EF6482">
            <w:pPr>
              <w:cnfStyle w:val="000000010000" w:firstRow="0" w:lastRow="0" w:firstColumn="0" w:lastColumn="0" w:oddVBand="0" w:evenVBand="0" w:oddHBand="0" w:evenHBand="1" w:firstRowFirstColumn="0" w:firstRowLastColumn="0" w:lastRowFirstColumn="0" w:lastRowLastColumn="0"/>
            </w:pPr>
            <w:r>
              <w:t>5.00</w:t>
            </w:r>
            <w:r w:rsidR="00EF6482" w:rsidRPr="00EF6482">
              <w:t>%</w:t>
            </w:r>
          </w:p>
        </w:tc>
        <w:tc>
          <w:tcPr>
            <w:tcW w:w="1701" w:type="dxa"/>
          </w:tcPr>
          <w:p w:rsidR="00EF6482" w:rsidRPr="00EF6482" w:rsidRDefault="00EF6482" w:rsidP="00EF6482">
            <w:pPr>
              <w:cnfStyle w:val="000000010000" w:firstRow="0" w:lastRow="0" w:firstColumn="0" w:lastColumn="0" w:oddVBand="0" w:evenVBand="0" w:oddHBand="0" w:evenHBand="1" w:firstRowFirstColumn="0" w:firstRowLastColumn="0" w:lastRowFirstColumn="0" w:lastRowLastColumn="0"/>
            </w:pPr>
          </w:p>
        </w:tc>
      </w:tr>
      <w:tr w:rsidR="00CA3230" w:rsidRPr="00EF6482" w:rsidTr="00EF6482">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EF6482">
            <w:r w:rsidRPr="00EF6482">
              <w:t>Opening balance</w:t>
            </w:r>
          </w:p>
        </w:tc>
        <w:tc>
          <w:tcPr>
            <w:tcW w:w="1701" w:type="dxa"/>
          </w:tcPr>
          <w:p w:rsidR="00EF6482" w:rsidRPr="00EF6482" w:rsidRDefault="00EF6482" w:rsidP="004F564B">
            <w:pPr>
              <w:cnfStyle w:val="000000000000" w:firstRow="0" w:lastRow="0" w:firstColumn="0" w:lastColumn="0" w:oddVBand="0" w:evenVBand="0" w:oddHBand="0" w:evenHBand="0" w:firstRowFirstColumn="0" w:firstRowLastColumn="0" w:lastRowFirstColumn="0" w:lastRowLastColumn="0"/>
            </w:pPr>
            <w:r w:rsidRPr="00EF6482">
              <w:t>n/a</w:t>
            </w:r>
            <w:r w:rsidR="004F564B">
              <w:rPr>
                <w:rStyle w:val="AERsuperscript"/>
              </w:rPr>
              <w:t>b</w:t>
            </w:r>
          </w:p>
        </w:tc>
        <w:tc>
          <w:tcPr>
            <w:tcW w:w="1701" w:type="dxa"/>
          </w:tcPr>
          <w:p w:rsidR="00EF6482" w:rsidRPr="00EF6482" w:rsidRDefault="00D53883" w:rsidP="00EF6482">
            <w:pPr>
              <w:cnfStyle w:val="000000000000" w:firstRow="0" w:lastRow="0" w:firstColumn="0" w:lastColumn="0" w:oddVBand="0" w:evenVBand="0" w:oddHBand="0" w:evenHBand="0" w:firstRowFirstColumn="0" w:firstRowLastColumn="0" w:lastRowFirstColumn="0" w:lastRowLastColumn="0"/>
            </w:pPr>
            <w:r>
              <w:t>4123</w:t>
            </w:r>
          </w:p>
        </w:tc>
      </w:tr>
      <w:tr w:rsidR="00CA3230" w:rsidRPr="00EF6482" w:rsidTr="00EF6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EF6482">
            <w:r w:rsidRPr="00EF6482">
              <w:t>Under/over recovery of revenue for regulatory year</w:t>
            </w:r>
          </w:p>
        </w:tc>
        <w:tc>
          <w:tcPr>
            <w:tcW w:w="1701" w:type="dxa"/>
          </w:tcPr>
          <w:p w:rsidR="00EF6482" w:rsidRPr="00EF6482" w:rsidRDefault="00EF6482" w:rsidP="00EF6482">
            <w:pPr>
              <w:cnfStyle w:val="000000010000" w:firstRow="0" w:lastRow="0" w:firstColumn="0" w:lastColumn="0" w:oddVBand="0" w:evenVBand="0" w:oddHBand="0" w:evenHBand="1" w:firstRowFirstColumn="0" w:firstRowLastColumn="0" w:lastRowFirstColumn="0" w:lastRowLastColumn="0"/>
            </w:pPr>
            <w:r w:rsidRPr="00EF6482">
              <w:t>3740</w:t>
            </w:r>
          </w:p>
        </w:tc>
        <w:tc>
          <w:tcPr>
            <w:tcW w:w="1701" w:type="dxa"/>
          </w:tcPr>
          <w:p w:rsidR="00EF6482" w:rsidRPr="00EF6482" w:rsidRDefault="00EF6482" w:rsidP="00D53883">
            <w:pPr>
              <w:cnfStyle w:val="000000010000" w:firstRow="0" w:lastRow="0" w:firstColumn="0" w:lastColumn="0" w:oddVBand="0" w:evenVBand="0" w:oddHBand="0" w:evenHBand="1" w:firstRowFirstColumn="0" w:firstRowLastColumn="0" w:lastRowFirstColumn="0" w:lastRowLastColumn="0"/>
            </w:pPr>
            <w:r w:rsidRPr="00EF6482">
              <w:t>–4</w:t>
            </w:r>
            <w:r w:rsidR="00D53883">
              <w:t>123</w:t>
            </w:r>
            <w:r w:rsidR="004F564B">
              <w:rPr>
                <w:rStyle w:val="AERsuperscript"/>
              </w:rPr>
              <w:t>c</w:t>
            </w:r>
          </w:p>
        </w:tc>
      </w:tr>
      <w:tr w:rsidR="00CA3230" w:rsidRPr="00EF6482" w:rsidTr="00EF6482">
        <w:tc>
          <w:tcPr>
            <w:cnfStyle w:val="001000000000" w:firstRow="0" w:lastRow="0" w:firstColumn="1" w:lastColumn="0" w:oddVBand="0" w:evenVBand="0" w:oddHBand="0" w:evenHBand="0" w:firstRowFirstColumn="0" w:firstRowLastColumn="0" w:lastRowFirstColumn="0" w:lastRowLastColumn="0"/>
            <w:tcW w:w="5211" w:type="dxa"/>
          </w:tcPr>
          <w:p w:rsidR="00EF6482" w:rsidRPr="00EF6482" w:rsidRDefault="00EF6482" w:rsidP="00EF6482">
            <w:r w:rsidRPr="00EF6482">
              <w:t>Interest on under/over recovery for 2 regulatory years</w:t>
            </w:r>
          </w:p>
        </w:tc>
        <w:tc>
          <w:tcPr>
            <w:tcW w:w="1701" w:type="dxa"/>
          </w:tcPr>
          <w:p w:rsidR="00EF6482" w:rsidRPr="00EF6482" w:rsidRDefault="00D53883" w:rsidP="00D53883">
            <w:pPr>
              <w:cnfStyle w:val="000000000000" w:firstRow="0" w:lastRow="0" w:firstColumn="0" w:lastColumn="0" w:oddVBand="0" w:evenVBand="0" w:oddHBand="0" w:evenHBand="0" w:firstRowFirstColumn="0" w:firstRowLastColumn="0" w:lastRowFirstColumn="0" w:lastRowLastColumn="0"/>
            </w:pPr>
            <w:r>
              <w:t>383</w:t>
            </w:r>
          </w:p>
        </w:tc>
        <w:tc>
          <w:tcPr>
            <w:tcW w:w="1701" w:type="dxa"/>
          </w:tcPr>
          <w:p w:rsidR="00EF6482" w:rsidRPr="00EF6482" w:rsidRDefault="00EF6482" w:rsidP="00EF6482">
            <w:pPr>
              <w:cnfStyle w:val="000000000000" w:firstRow="0" w:lastRow="0" w:firstColumn="0" w:lastColumn="0" w:oddVBand="0" w:evenVBand="0" w:oddHBand="0" w:evenHBand="0" w:firstRowFirstColumn="0" w:firstRowLastColumn="0" w:lastRowFirstColumn="0" w:lastRowLastColumn="0"/>
            </w:pPr>
            <w:r w:rsidRPr="00EF6482">
              <w:t>n/a</w:t>
            </w:r>
          </w:p>
        </w:tc>
      </w:tr>
      <w:tr w:rsidR="00CA3230" w:rsidRPr="00014DCF" w:rsidTr="00EF6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F6482" w:rsidRPr="00014DCF" w:rsidRDefault="00EF6482" w:rsidP="00EF6482">
            <w:pPr>
              <w:rPr>
                <w:rStyle w:val="Strong"/>
              </w:rPr>
            </w:pPr>
            <w:r w:rsidRPr="00014DCF">
              <w:rPr>
                <w:rStyle w:val="Strong"/>
              </w:rPr>
              <w:t>Closing balance</w:t>
            </w:r>
          </w:p>
        </w:tc>
        <w:tc>
          <w:tcPr>
            <w:tcW w:w="1701" w:type="dxa"/>
          </w:tcPr>
          <w:p w:rsidR="00EF6482" w:rsidRPr="00014DCF" w:rsidRDefault="00EF6482" w:rsidP="00D53883">
            <w:pPr>
              <w:cnfStyle w:val="000000010000" w:firstRow="0" w:lastRow="0" w:firstColumn="0" w:lastColumn="0" w:oddVBand="0" w:evenVBand="0" w:oddHBand="0" w:evenHBand="1" w:firstRowFirstColumn="0" w:firstRowLastColumn="0" w:lastRowFirstColumn="0" w:lastRowLastColumn="0"/>
              <w:rPr>
                <w:rStyle w:val="Strong"/>
              </w:rPr>
            </w:pPr>
            <w:r w:rsidRPr="00014DCF">
              <w:rPr>
                <w:rStyle w:val="Strong"/>
              </w:rPr>
              <w:t>4</w:t>
            </w:r>
            <w:r w:rsidR="00D53883">
              <w:rPr>
                <w:rStyle w:val="Strong"/>
              </w:rPr>
              <w:t>123</w:t>
            </w:r>
          </w:p>
        </w:tc>
        <w:tc>
          <w:tcPr>
            <w:tcW w:w="1701" w:type="dxa"/>
          </w:tcPr>
          <w:p w:rsidR="00EF6482" w:rsidRPr="00014DCF" w:rsidRDefault="00EF6482" w:rsidP="004F564B">
            <w:pPr>
              <w:cnfStyle w:val="000000010000" w:firstRow="0" w:lastRow="0" w:firstColumn="0" w:lastColumn="0" w:oddVBand="0" w:evenVBand="0" w:oddHBand="0" w:evenHBand="1" w:firstRowFirstColumn="0" w:firstRowLastColumn="0" w:lastRowFirstColumn="0" w:lastRowLastColumn="0"/>
              <w:rPr>
                <w:rStyle w:val="Strong"/>
              </w:rPr>
            </w:pPr>
            <w:r w:rsidRPr="00014DCF">
              <w:rPr>
                <w:rStyle w:val="Strong"/>
              </w:rPr>
              <w:t>0</w:t>
            </w:r>
            <w:r w:rsidR="004F564B">
              <w:rPr>
                <w:rStyle w:val="AERsuperscript"/>
              </w:rPr>
              <w:t>d</w:t>
            </w:r>
          </w:p>
        </w:tc>
      </w:tr>
    </w:tbl>
    <w:p w:rsidR="00014DCF" w:rsidRDefault="00014DCF" w:rsidP="00014DCF">
      <w:pPr>
        <w:pStyle w:val="AERtablesource"/>
      </w:pPr>
      <w:r w:rsidRPr="00014DCF">
        <w:t>Notes:</w:t>
      </w:r>
      <w:r w:rsidRPr="00014DCF">
        <w:tab/>
        <w:t>(a) Approved DUoS revenue under/over recovery for regulatory year t–2.</w:t>
      </w:r>
    </w:p>
    <w:p w:rsidR="004F564B" w:rsidRPr="004F564B" w:rsidRDefault="004F564B" w:rsidP="004F564B">
      <w:pPr>
        <w:pStyle w:val="AERtablesource"/>
      </w:pPr>
      <w:r>
        <w:tab/>
        <w:t xml:space="preserve">(b) </w:t>
      </w:r>
      <w:r w:rsidR="006F67DD">
        <w:t>In this example and going forward there should be no opening balance in year t–2</w:t>
      </w:r>
      <w:r w:rsidR="008D7CE9">
        <w:t xml:space="preserve"> due to no application of tolerance limits</w:t>
      </w:r>
      <w:r w:rsidR="006F67DD">
        <w:t>. However, should it be required to close out previous carryovers, an opening balance adjustment</w:t>
      </w:r>
      <w:r w:rsidR="00F64948">
        <w:t xml:space="preserve"> and interest</w:t>
      </w:r>
      <w:r w:rsidR="006F67DD">
        <w:t xml:space="preserve"> can be accounted for.</w:t>
      </w:r>
    </w:p>
    <w:p w:rsidR="00014DCF" w:rsidRPr="00014DCF" w:rsidRDefault="004F564B" w:rsidP="00014DCF">
      <w:pPr>
        <w:pStyle w:val="AERtablesource"/>
      </w:pPr>
      <w:r>
        <w:tab/>
        <w:t>(c</w:t>
      </w:r>
      <w:r w:rsidR="00014DCF" w:rsidRPr="00014DCF">
        <w:t>) Amount should offset the closing balance for DUoS unders and overs account for year t–2.</w:t>
      </w:r>
    </w:p>
    <w:p w:rsidR="00EF6482" w:rsidRPr="00EF6482" w:rsidRDefault="004F564B" w:rsidP="00E12CEA">
      <w:pPr>
        <w:pStyle w:val="AERtablesource"/>
      </w:pPr>
      <w:r>
        <w:tab/>
        <w:t>(d</w:t>
      </w:r>
      <w:r w:rsidR="00014DCF" w:rsidRPr="00014DCF">
        <w:t xml:space="preserve">) </w:t>
      </w:r>
      <w:r w:rsidR="00E12CEA">
        <w:t>Ergon Energy</w:t>
      </w:r>
      <w:r w:rsidR="00014DCF" w:rsidRPr="00014DCF">
        <w:t xml:space="preserve"> </w:t>
      </w:r>
      <w:r w:rsidR="006C6C98" w:rsidRPr="006C6C98">
        <w:t xml:space="preserve">is expected to achieve a closing balance as close to zero as practicable </w:t>
      </w:r>
      <w:r w:rsidR="006C6C98">
        <w:t>i</w:t>
      </w:r>
      <w:r w:rsidR="006C6C98" w:rsidRPr="006C6C98">
        <w:t xml:space="preserve">n its </w:t>
      </w:r>
      <w:r w:rsidR="00014DCF" w:rsidRPr="00014DCF">
        <w:t>DUoS unders and overs account in each forecast year in its annual pricing proposals in the 201</w:t>
      </w:r>
      <w:r w:rsidR="00162CE3">
        <w:t>5</w:t>
      </w:r>
      <w:r w:rsidR="00014DCF" w:rsidRPr="00014DCF">
        <w:t>–20 regulatory control period.</w:t>
      </w:r>
    </w:p>
    <w:p w:rsidR="007D563B" w:rsidRDefault="00E400E2" w:rsidP="007D563B">
      <w:pPr>
        <w:pStyle w:val="Heading7"/>
      </w:pPr>
      <w:bookmarkStart w:id="42" w:name="_Ref428542926"/>
      <w:bookmarkStart w:id="43" w:name="_Toc433299188"/>
      <w:r>
        <w:lastRenderedPageBreak/>
        <w:t>Designated pricing proposal charges u</w:t>
      </w:r>
      <w:r w:rsidR="007D563B">
        <w:t>nders and overs account</w:t>
      </w:r>
      <w:bookmarkEnd w:id="42"/>
      <w:bookmarkEnd w:id="43"/>
    </w:p>
    <w:p w:rsidR="007D563B" w:rsidRDefault="007D563B" w:rsidP="007D563B">
      <w:r w:rsidRPr="007D563B">
        <w:t>To demonstrate compliance with the distribution determination applicable to it during the 201</w:t>
      </w:r>
      <w:r w:rsidR="00162CE3">
        <w:t>5</w:t>
      </w:r>
      <w:r w:rsidRPr="007D563B">
        <w:t xml:space="preserve">–20 regulatory control period, </w:t>
      </w:r>
      <w:r>
        <w:t>Ergon Energy</w:t>
      </w:r>
      <w:r w:rsidRPr="007D563B">
        <w:t xml:space="preserve"> must maintain a </w:t>
      </w:r>
      <w:r w:rsidR="00E400E2" w:rsidRPr="007D563B">
        <w:t>designated pricing proposal charges</w:t>
      </w:r>
      <w:r w:rsidR="00E400E2">
        <w:t xml:space="preserve"> </w:t>
      </w:r>
      <w:r w:rsidRPr="007D563B">
        <w:t>unders and overs account its annual pricing proposal.</w:t>
      </w:r>
      <w:r>
        <w:rPr>
          <w:rStyle w:val="FootnoteReference"/>
        </w:rPr>
        <w:footnoteReference w:id="62"/>
      </w:r>
    </w:p>
    <w:p w:rsidR="00E12CEA" w:rsidRPr="00E12CEA" w:rsidRDefault="00E12CEA" w:rsidP="00E12CEA">
      <w:r>
        <w:t>Ergon Energy</w:t>
      </w:r>
      <w:r w:rsidRPr="00E12CEA">
        <w:t xml:space="preserve"> must provide the amounts for the following entries in its </w:t>
      </w:r>
      <w:r w:rsidR="008E7140" w:rsidRPr="00E12CEA">
        <w:t xml:space="preserve">designated pricing proposal charges </w:t>
      </w:r>
      <w:r w:rsidR="008E7140">
        <w:t>under and overs account</w:t>
      </w:r>
      <w:r w:rsidRPr="00E12CEA">
        <w:t xml:space="preserve"> for the most recently completed regulatory year (t–2) and the next regulatory year (t):</w:t>
      </w:r>
    </w:p>
    <w:p w:rsidR="00E12CEA" w:rsidRPr="00E12CEA" w:rsidRDefault="00E12CEA" w:rsidP="00E12CEA">
      <w:pPr>
        <w:pStyle w:val="ListNumber"/>
        <w:numPr>
          <w:ilvl w:val="0"/>
          <w:numId w:val="29"/>
        </w:numPr>
      </w:pPr>
      <w:r w:rsidRPr="00E12CEA">
        <w:t>The amount of revenue recovered/to be recovered from designated pricing proposal charges, less the amount of designated pricing proposal charges related payments for the regulatory years t–2 and t.</w:t>
      </w:r>
    </w:p>
    <w:p w:rsidR="00E12CEA" w:rsidRPr="00E12CEA" w:rsidRDefault="00E12CEA" w:rsidP="00E12CEA">
      <w:pPr>
        <w:pStyle w:val="ListNumber"/>
      </w:pPr>
      <w:r w:rsidRPr="00E12CEA">
        <w:t>The calculated under/over recovery of revenue for regulatory years t–2 and t.</w:t>
      </w:r>
    </w:p>
    <w:p w:rsidR="00E12CEA" w:rsidRPr="00E12CEA" w:rsidRDefault="00E12CEA" w:rsidP="00E12CEA">
      <w:pPr>
        <w:pStyle w:val="ListNumber"/>
      </w:pPr>
      <w:r w:rsidRPr="00E12CEA">
        <w:t xml:space="preserve">An interest charge for two years on the under/over recovery of revenue for regulatory year t–2. </w:t>
      </w:r>
      <w:r w:rsidR="00C668EE" w:rsidRPr="00C668EE">
        <w:t>This adjustment is to be calculated using the respective approved nominal weighted average cost of capital (WACC) for each intervening year between regulatory year t–2 and year t.</w:t>
      </w:r>
      <w:r w:rsidR="00C668EE" w:rsidRPr="00C668EE">
        <w:rPr>
          <w:rStyle w:val="FootnoteReference"/>
        </w:rPr>
        <w:footnoteReference w:id="63"/>
      </w:r>
      <w:r w:rsidR="00C668EE" w:rsidRPr="00C668EE">
        <w:t xml:space="preserve"> The WACC applied for each year will be that approved by the AER for the relevant year.</w:t>
      </w:r>
    </w:p>
    <w:p w:rsidR="00E12CEA" w:rsidRPr="00E12CEA" w:rsidRDefault="00E12CEA" w:rsidP="00E12CEA">
      <w:pPr>
        <w:pStyle w:val="ListNumber"/>
      </w:pPr>
      <w:r w:rsidRPr="00E12CEA">
        <w:t>Sum of items 2–3 to derive a closing</w:t>
      </w:r>
      <w:r w:rsidR="00E400E2">
        <w:t xml:space="preserve"> balance for regulatory year t–</w:t>
      </w:r>
      <w:r w:rsidRPr="00E12CEA">
        <w:t>2.</w:t>
      </w:r>
    </w:p>
    <w:p w:rsidR="00E12CEA" w:rsidRPr="00E12CEA" w:rsidRDefault="00E12CEA" w:rsidP="00E12CEA">
      <w:pPr>
        <w:pStyle w:val="ListNumber"/>
      </w:pPr>
      <w:r w:rsidRPr="00E12CEA">
        <w:t>Opening balance in regulatory year t which is the closing balance in item 4.</w:t>
      </w:r>
    </w:p>
    <w:p w:rsidR="00E12CEA" w:rsidRPr="00E12CEA" w:rsidRDefault="00801F6A" w:rsidP="00E12CEA">
      <w:pPr>
        <w:pStyle w:val="ListNumber"/>
      </w:pPr>
      <w:r>
        <w:t>Offsetting under/over</w:t>
      </w:r>
      <w:r w:rsidR="00E12CEA" w:rsidRPr="00E12CEA">
        <w:t xml:space="preserve"> recovery of revenue amount in item 5 to derive a closing balance</w:t>
      </w:r>
      <w:r w:rsidR="006C6C98">
        <w:t xml:space="preserve"> as close as practicable to</w:t>
      </w:r>
      <w:r w:rsidR="00E12CEA" w:rsidRPr="00E12CEA">
        <w:t xml:space="preserve"> zero for regulatory year t. This amount will become the approved designated pricing proposal charges revenue under/over recovery for regulatory year t.</w:t>
      </w:r>
    </w:p>
    <w:p w:rsidR="00E12CEA" w:rsidRPr="00181F94" w:rsidRDefault="00E12CEA" w:rsidP="00181F94">
      <w:pPr>
        <w:spacing w:line="240" w:lineRule="auto"/>
        <w:rPr>
          <w:b/>
          <w:bCs/>
          <w:color w:val="076A92" w:themeColor="text1"/>
          <w:sz w:val="24"/>
          <w:szCs w:val="18"/>
        </w:rPr>
      </w:pPr>
      <w:r>
        <w:t>Ergon Energy</w:t>
      </w:r>
      <w:r w:rsidRPr="00E12CEA">
        <w:t xml:space="preserve"> must provide details of calculations in the format set out in</w:t>
      </w:r>
      <w:r w:rsidR="00E400E2">
        <w:t xml:space="preserve"> </w:t>
      </w:r>
      <w:r w:rsidR="00E400E2">
        <w:fldChar w:fldCharType="begin"/>
      </w:r>
      <w:r w:rsidR="00E400E2">
        <w:instrText xml:space="preserve"> REF  _Ref429473713 \* Lower \h </w:instrText>
      </w:r>
      <w:r w:rsidR="00E400E2">
        <w:fldChar w:fldCharType="separate"/>
      </w:r>
      <w:r w:rsidR="00C668EE">
        <w:t xml:space="preserve">table </w:t>
      </w:r>
      <w:r w:rsidR="00C668EE">
        <w:rPr>
          <w:noProof/>
        </w:rPr>
        <w:t>14</w:t>
      </w:r>
      <w:r w:rsidR="00C668EE">
        <w:t>.</w:t>
      </w:r>
      <w:r w:rsidR="00C668EE">
        <w:rPr>
          <w:noProof/>
        </w:rPr>
        <w:t>2</w:t>
      </w:r>
      <w:r w:rsidR="00E400E2">
        <w:fldChar w:fldCharType="end"/>
      </w:r>
      <w:r w:rsidRPr="00E12CEA">
        <w:t>. Amounts provided for the most recently completed regulatory year (t–2) must be audited. Amounts for the next regulatory year (t) will be regarded as a forecast.</w:t>
      </w:r>
    </w:p>
    <w:p w:rsidR="00E12CEA" w:rsidRPr="00E12CEA" w:rsidRDefault="00E12CEA" w:rsidP="00E12CEA">
      <w:r w:rsidRPr="00E12CEA">
        <w:t xml:space="preserve">In proposing variations to the amount and structure of designated pricing proposal charges, </w:t>
      </w:r>
      <w:r w:rsidR="0001063E">
        <w:t>Ergon</w:t>
      </w:r>
      <w:r w:rsidRPr="00E12CEA">
        <w:t xml:space="preserve"> Energy is</w:t>
      </w:r>
      <w:r w:rsidR="006C6C98">
        <w:t xml:space="preserve"> expected</w:t>
      </w:r>
      <w:r w:rsidRPr="00E12CEA">
        <w:t xml:space="preserve"> to achieve a</w:t>
      </w:r>
      <w:r w:rsidR="006C6C98">
        <w:t xml:space="preserve"> closing balance as close to</w:t>
      </w:r>
      <w:r w:rsidRPr="00E12CEA">
        <w:t xml:space="preserve"> zero </w:t>
      </w:r>
      <w:r w:rsidR="006C6C98">
        <w:t xml:space="preserve">as practicable in </w:t>
      </w:r>
      <w:r w:rsidRPr="00E12CEA">
        <w:t xml:space="preserve">its </w:t>
      </w:r>
      <w:r w:rsidR="00DE1379" w:rsidRPr="00E12CEA">
        <w:t>designated pricing proposal charges</w:t>
      </w:r>
      <w:r w:rsidR="00DE1379">
        <w:t xml:space="preserve"> </w:t>
      </w:r>
      <w:r w:rsidRPr="00E12CEA">
        <w:t xml:space="preserve">unders and overs account </w:t>
      </w:r>
      <w:r w:rsidR="00DE1379">
        <w:t>in</w:t>
      </w:r>
      <w:r w:rsidRPr="00E12CEA">
        <w:t xml:space="preserve"> each forecast year in</w:t>
      </w:r>
      <w:r w:rsidR="006C6C98">
        <w:t xml:space="preserve"> its annual pricing proposals during</w:t>
      </w:r>
      <w:r w:rsidRPr="00E12CEA">
        <w:t xml:space="preserve"> the 201</w:t>
      </w:r>
      <w:r w:rsidR="0001063E">
        <w:t>5</w:t>
      </w:r>
      <w:r w:rsidRPr="00E12CEA">
        <w:t>–20 regulatory control period.</w:t>
      </w:r>
    </w:p>
    <w:p w:rsidR="000466B0" w:rsidRDefault="000466B0">
      <w:pPr>
        <w:spacing w:line="240" w:lineRule="auto"/>
        <w:rPr>
          <w:b/>
          <w:bCs/>
          <w:color w:val="076A92" w:themeColor="text1"/>
          <w:sz w:val="24"/>
          <w:szCs w:val="18"/>
        </w:rPr>
      </w:pPr>
      <w:bookmarkStart w:id="44" w:name="_Ref428900581"/>
      <w:r>
        <w:br w:type="page"/>
      </w:r>
    </w:p>
    <w:p w:rsidR="00E12CEA" w:rsidRDefault="00983EDD" w:rsidP="00983EDD">
      <w:pPr>
        <w:pStyle w:val="Caption"/>
      </w:pPr>
      <w:bookmarkStart w:id="45" w:name="_Ref429473713"/>
      <w:r>
        <w:lastRenderedPageBreak/>
        <w:t xml:space="preserve">Table </w:t>
      </w:r>
      <w:r w:rsidR="001443EA">
        <w:fldChar w:fldCharType="begin"/>
      </w:r>
      <w:r w:rsidR="001443EA">
        <w:instrText xml:space="preserve"> STYLEREF 1 \s </w:instrText>
      </w:r>
      <w:r w:rsidR="001443EA">
        <w:fldChar w:fldCharType="separate"/>
      </w:r>
      <w:r w:rsidR="00C668EE">
        <w:rPr>
          <w:noProof/>
        </w:rPr>
        <w:t>14</w:t>
      </w:r>
      <w:r w:rsidR="001443EA">
        <w:rPr>
          <w:noProof/>
        </w:rPr>
        <w:fldChar w:fldCharType="end"/>
      </w:r>
      <w:r w:rsidR="0001063E">
        <w:t>.</w:t>
      </w:r>
      <w:r w:rsidR="001443EA">
        <w:fldChar w:fldCharType="begin"/>
      </w:r>
      <w:r w:rsidR="001443EA">
        <w:instrText xml:space="preserve"> SEQ Table \* ARABIC \s 1 </w:instrText>
      </w:r>
      <w:r w:rsidR="001443EA">
        <w:fldChar w:fldCharType="separate"/>
      </w:r>
      <w:r w:rsidR="00C668EE">
        <w:rPr>
          <w:noProof/>
        </w:rPr>
        <w:t>2</w:t>
      </w:r>
      <w:r w:rsidR="001443EA">
        <w:rPr>
          <w:noProof/>
        </w:rPr>
        <w:fldChar w:fldCharType="end"/>
      </w:r>
      <w:bookmarkEnd w:id="44"/>
      <w:bookmarkEnd w:id="45"/>
      <w:r>
        <w:t xml:space="preserve"> Example calculation of </w:t>
      </w:r>
      <w:r w:rsidR="004F2164">
        <w:t xml:space="preserve">designated pricing proposal charges unders and overs account </w:t>
      </w:r>
      <w:r>
        <w:t>($'000, nominal)</w:t>
      </w:r>
    </w:p>
    <w:tbl>
      <w:tblPr>
        <w:tblStyle w:val="AERtable-numbers"/>
        <w:tblW w:w="0" w:type="auto"/>
        <w:tblLook w:val="04A0" w:firstRow="1" w:lastRow="0" w:firstColumn="1" w:lastColumn="0" w:noHBand="0" w:noVBand="1"/>
      </w:tblPr>
      <w:tblGrid>
        <w:gridCol w:w="5211"/>
        <w:gridCol w:w="1701"/>
        <w:gridCol w:w="1701"/>
      </w:tblGrid>
      <w:tr w:rsidR="00983EDD" w:rsidTr="00600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83EDD" w:rsidRDefault="00983EDD" w:rsidP="00983EDD"/>
        </w:tc>
        <w:tc>
          <w:tcPr>
            <w:tcW w:w="1701" w:type="dxa"/>
          </w:tcPr>
          <w:p w:rsidR="00983EDD" w:rsidRPr="00983EDD" w:rsidRDefault="00983EDD" w:rsidP="00983EDD">
            <w:pPr>
              <w:cnfStyle w:val="100000000000" w:firstRow="1" w:lastRow="0" w:firstColumn="0" w:lastColumn="0" w:oddVBand="0" w:evenVBand="0" w:oddHBand="0" w:evenHBand="0" w:firstRowFirstColumn="0" w:firstRowLastColumn="0" w:lastRowFirstColumn="0" w:lastRowLastColumn="0"/>
            </w:pPr>
            <w:r>
              <w:t>Year t–2</w:t>
            </w:r>
          </w:p>
          <w:p w:rsidR="00983EDD" w:rsidRPr="00983EDD" w:rsidRDefault="00983EDD" w:rsidP="00983EDD">
            <w:pPr>
              <w:cnfStyle w:val="100000000000" w:firstRow="1" w:lastRow="0" w:firstColumn="0" w:lastColumn="0" w:oddVBand="0" w:evenVBand="0" w:oddHBand="0" w:evenHBand="0" w:firstRowFirstColumn="0" w:firstRowLastColumn="0" w:lastRowFirstColumn="0" w:lastRowLastColumn="0"/>
            </w:pPr>
            <w:r>
              <w:t>(actual)</w:t>
            </w:r>
          </w:p>
        </w:tc>
        <w:tc>
          <w:tcPr>
            <w:tcW w:w="1701" w:type="dxa"/>
          </w:tcPr>
          <w:p w:rsidR="00983EDD" w:rsidRPr="00983EDD" w:rsidRDefault="00983EDD" w:rsidP="00983EDD">
            <w:pPr>
              <w:cnfStyle w:val="100000000000" w:firstRow="1" w:lastRow="0" w:firstColumn="0" w:lastColumn="0" w:oddVBand="0" w:evenVBand="0" w:oddHBand="0" w:evenHBand="0" w:firstRowFirstColumn="0" w:firstRowLastColumn="0" w:lastRowFirstColumn="0" w:lastRowLastColumn="0"/>
            </w:pPr>
            <w:r>
              <w:t>Year t</w:t>
            </w:r>
          </w:p>
          <w:p w:rsidR="00983EDD" w:rsidRPr="00983EDD" w:rsidRDefault="00983EDD" w:rsidP="00983EDD">
            <w:pPr>
              <w:cnfStyle w:val="100000000000" w:firstRow="1" w:lastRow="0" w:firstColumn="0" w:lastColumn="0" w:oddVBand="0" w:evenVBand="0" w:oddHBand="0" w:evenHBand="0" w:firstRowFirstColumn="0" w:firstRowLastColumn="0" w:lastRowFirstColumn="0" w:lastRowLastColumn="0"/>
            </w:pPr>
            <w:r>
              <w:t>(forecast)</w:t>
            </w:r>
          </w:p>
        </w:tc>
      </w:tr>
      <w:tr w:rsidR="00983EDD" w:rsidTr="00600A40">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pPr>
              <w:rPr>
                <w:rStyle w:val="Strong"/>
              </w:rPr>
            </w:pPr>
            <w:r>
              <w:rPr>
                <w:rStyle w:val="Strong"/>
              </w:rPr>
              <w:t>(A)</w:t>
            </w:r>
            <w:r w:rsidRPr="00983EDD">
              <w:rPr>
                <w:rStyle w:val="Strong"/>
              </w:rPr>
              <w:t xml:space="preserve"> Revenue from designated pricing proposal charges (DPPC)</w:t>
            </w:r>
          </w:p>
        </w:tc>
        <w:tc>
          <w:tcPr>
            <w:tcW w:w="1701" w:type="dxa"/>
          </w:tcPr>
          <w:p w:rsidR="00983EDD" w:rsidRPr="00983EDD" w:rsidRDefault="00983EDD" w:rsidP="00983EDD">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4</w:t>
            </w:r>
            <w:r w:rsidRPr="00983EDD">
              <w:rPr>
                <w:rStyle w:val="Strong"/>
              </w:rPr>
              <w:t>0 077</w:t>
            </w:r>
          </w:p>
        </w:tc>
        <w:tc>
          <w:tcPr>
            <w:tcW w:w="1701" w:type="dxa"/>
          </w:tcPr>
          <w:p w:rsidR="00983EDD" w:rsidRPr="00983EDD" w:rsidRDefault="00983EDD" w:rsidP="00983ED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xml:space="preserve">32 </w:t>
            </w:r>
            <w:r w:rsidR="000A3517">
              <w:rPr>
                <w:rStyle w:val="Strong"/>
              </w:rPr>
              <w:t>967</w:t>
            </w:r>
          </w:p>
        </w:tc>
      </w:tr>
      <w:tr w:rsidR="00983EDD" w:rsidTr="00600A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pPr>
              <w:rPr>
                <w:rStyle w:val="Strong"/>
              </w:rPr>
            </w:pPr>
            <w:r>
              <w:rPr>
                <w:rStyle w:val="Strong"/>
              </w:rPr>
              <w:t xml:space="preserve">(B) </w:t>
            </w:r>
            <w:r w:rsidRPr="00983EDD">
              <w:rPr>
                <w:rStyle w:val="Strong"/>
              </w:rPr>
              <w:t>Less DPPC related payments for regulatory year =</w:t>
            </w:r>
          </w:p>
        </w:tc>
        <w:tc>
          <w:tcPr>
            <w:tcW w:w="1701" w:type="dxa"/>
          </w:tcPr>
          <w:p w:rsidR="00983EDD" w:rsidRPr="00983EDD" w:rsidRDefault="00983EDD" w:rsidP="00983ED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34 846</w:t>
            </w:r>
          </w:p>
        </w:tc>
        <w:tc>
          <w:tcPr>
            <w:tcW w:w="1701" w:type="dxa"/>
          </w:tcPr>
          <w:p w:rsidR="00983EDD" w:rsidRPr="00983EDD" w:rsidRDefault="00983EDD" w:rsidP="00983ED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32</w:t>
            </w:r>
            <w:r w:rsidR="000A3517">
              <w:rPr>
                <w:rStyle w:val="Strong"/>
              </w:rPr>
              <w:t xml:space="preserve"> 967</w:t>
            </w:r>
          </w:p>
        </w:tc>
      </w:tr>
      <w:tr w:rsidR="00983EDD" w:rsidTr="00600A40">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pPr>
              <w:pStyle w:val="ListContinue"/>
            </w:pPr>
            <w:r>
              <w:t>+ DPPC</w:t>
            </w:r>
            <w:r w:rsidRPr="00983EDD">
              <w:t xml:space="preserve"> charges to be paid to TNSP</w:t>
            </w:r>
          </w:p>
        </w:tc>
        <w:tc>
          <w:tcPr>
            <w:tcW w:w="1701" w:type="dxa"/>
          </w:tcPr>
          <w:p w:rsidR="00983EDD" w:rsidRPr="00983EDD" w:rsidRDefault="00983EDD" w:rsidP="00983EDD">
            <w:pPr>
              <w:cnfStyle w:val="000000000000" w:firstRow="0" w:lastRow="0" w:firstColumn="0" w:lastColumn="0" w:oddVBand="0" w:evenVBand="0" w:oddHBand="0" w:evenHBand="0" w:firstRowFirstColumn="0" w:firstRowLastColumn="0" w:lastRowFirstColumn="0" w:lastRowLastColumn="0"/>
            </w:pPr>
            <w:r>
              <w:t>33 793</w:t>
            </w:r>
          </w:p>
        </w:tc>
        <w:tc>
          <w:tcPr>
            <w:tcW w:w="1701" w:type="dxa"/>
          </w:tcPr>
          <w:p w:rsidR="00983EDD" w:rsidRPr="00983EDD" w:rsidRDefault="00983EDD" w:rsidP="00983EDD">
            <w:pPr>
              <w:cnfStyle w:val="000000000000" w:firstRow="0" w:lastRow="0" w:firstColumn="0" w:lastColumn="0" w:oddVBand="0" w:evenVBand="0" w:oddHBand="0" w:evenHBand="0" w:firstRowFirstColumn="0" w:firstRowLastColumn="0" w:lastRowFirstColumn="0" w:lastRowLastColumn="0"/>
            </w:pPr>
            <w:r>
              <w:t>38 000</w:t>
            </w:r>
          </w:p>
        </w:tc>
      </w:tr>
      <w:tr w:rsidR="00983EDD" w:rsidTr="00600A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pPr>
              <w:pStyle w:val="ListContinue"/>
            </w:pPr>
            <w:r>
              <w:t xml:space="preserve">+ </w:t>
            </w:r>
            <w:r w:rsidRPr="00983EDD">
              <w:t>Avoided TUoS payments</w:t>
            </w:r>
          </w:p>
        </w:tc>
        <w:tc>
          <w:tcPr>
            <w:tcW w:w="1701" w:type="dxa"/>
          </w:tcPr>
          <w:p w:rsidR="00983EDD" w:rsidRPr="00983EDD" w:rsidRDefault="00983EDD" w:rsidP="00983EDD">
            <w:pPr>
              <w:cnfStyle w:val="000000010000" w:firstRow="0" w:lastRow="0" w:firstColumn="0" w:lastColumn="0" w:oddVBand="0" w:evenVBand="0" w:oddHBand="0" w:evenHBand="1" w:firstRowFirstColumn="0" w:firstRowLastColumn="0" w:lastRowFirstColumn="0" w:lastRowLastColumn="0"/>
            </w:pPr>
            <w:r>
              <w:t>5</w:t>
            </w:r>
            <w:r w:rsidR="003A140B">
              <w:t>60</w:t>
            </w:r>
          </w:p>
        </w:tc>
        <w:tc>
          <w:tcPr>
            <w:tcW w:w="1701" w:type="dxa"/>
          </w:tcPr>
          <w:p w:rsidR="00983EDD" w:rsidRPr="00983EDD" w:rsidRDefault="003A140B" w:rsidP="00983EDD">
            <w:pPr>
              <w:cnfStyle w:val="000000010000" w:firstRow="0" w:lastRow="0" w:firstColumn="0" w:lastColumn="0" w:oddVBand="0" w:evenVBand="0" w:oddHBand="0" w:evenHBand="1" w:firstRowFirstColumn="0" w:firstRowLastColumn="0" w:lastRowFirstColumn="0" w:lastRowLastColumn="0"/>
            </w:pPr>
            <w:r>
              <w:t>700</w:t>
            </w:r>
          </w:p>
        </w:tc>
      </w:tr>
      <w:tr w:rsidR="003A140B" w:rsidTr="00600A40">
        <w:tc>
          <w:tcPr>
            <w:cnfStyle w:val="001000000000" w:firstRow="0" w:lastRow="0" w:firstColumn="1" w:lastColumn="0" w:oddVBand="0" w:evenVBand="0" w:oddHBand="0" w:evenHBand="0" w:firstRowFirstColumn="0" w:firstRowLastColumn="0" w:lastRowFirstColumn="0" w:lastRowLastColumn="0"/>
            <w:tcW w:w="5211" w:type="dxa"/>
          </w:tcPr>
          <w:p w:rsidR="003A140B" w:rsidRDefault="003A140B" w:rsidP="00983EDD">
            <w:pPr>
              <w:pStyle w:val="ListContinue"/>
            </w:pPr>
            <w:r>
              <w:t>+ Inter–distributor payments</w:t>
            </w:r>
          </w:p>
        </w:tc>
        <w:tc>
          <w:tcPr>
            <w:tcW w:w="1701" w:type="dxa"/>
          </w:tcPr>
          <w:p w:rsidR="003A140B" w:rsidRDefault="003A140B" w:rsidP="00983EDD">
            <w:pPr>
              <w:cnfStyle w:val="000000000000" w:firstRow="0" w:lastRow="0" w:firstColumn="0" w:lastColumn="0" w:oddVBand="0" w:evenVBand="0" w:oddHBand="0" w:evenHBand="0" w:firstRowFirstColumn="0" w:firstRowLastColumn="0" w:lastRowFirstColumn="0" w:lastRowLastColumn="0"/>
            </w:pPr>
            <w:r>
              <w:t>12</w:t>
            </w:r>
          </w:p>
        </w:tc>
        <w:tc>
          <w:tcPr>
            <w:tcW w:w="1701" w:type="dxa"/>
          </w:tcPr>
          <w:p w:rsidR="003A140B" w:rsidRDefault="003A140B" w:rsidP="00983EDD">
            <w:pPr>
              <w:cnfStyle w:val="000000000000" w:firstRow="0" w:lastRow="0" w:firstColumn="0" w:lastColumn="0" w:oddVBand="0" w:evenVBand="0" w:oddHBand="0" w:evenHBand="0" w:firstRowFirstColumn="0" w:firstRowLastColumn="0" w:lastRowFirstColumn="0" w:lastRowLastColumn="0"/>
            </w:pPr>
            <w:r>
              <w:t>34</w:t>
            </w:r>
          </w:p>
        </w:tc>
      </w:tr>
      <w:tr w:rsidR="00983EDD" w:rsidTr="00600A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pPr>
              <w:pStyle w:val="ListContinue"/>
            </w:pPr>
            <w:r>
              <w:t xml:space="preserve">+ DPPC </w:t>
            </w:r>
            <w:r w:rsidRPr="00983EDD">
              <w:t>revenue under/over recovery approved</w:t>
            </w:r>
          </w:p>
        </w:tc>
        <w:tc>
          <w:tcPr>
            <w:tcW w:w="1701" w:type="dxa"/>
          </w:tcPr>
          <w:p w:rsidR="00983EDD" w:rsidRPr="00983EDD" w:rsidRDefault="00983EDD" w:rsidP="00983EDD">
            <w:pPr>
              <w:cnfStyle w:val="000000010000" w:firstRow="0" w:lastRow="0" w:firstColumn="0" w:lastColumn="0" w:oddVBand="0" w:evenVBand="0" w:oddHBand="0" w:evenHBand="1" w:firstRowFirstColumn="0" w:firstRowLastColumn="0" w:lastRowFirstColumn="0" w:lastRowLastColumn="0"/>
            </w:pPr>
            <w:r>
              <w:t>481</w:t>
            </w:r>
            <w:r w:rsidRPr="00983EDD">
              <w:rPr>
                <w:rStyle w:val="AERsuperscript"/>
              </w:rPr>
              <w:t>a</w:t>
            </w:r>
          </w:p>
        </w:tc>
        <w:tc>
          <w:tcPr>
            <w:tcW w:w="1701" w:type="dxa"/>
          </w:tcPr>
          <w:p w:rsidR="00983EDD" w:rsidRPr="00983EDD" w:rsidRDefault="00983EDD" w:rsidP="00983EDD">
            <w:pPr>
              <w:cnfStyle w:val="000000010000" w:firstRow="0" w:lastRow="0" w:firstColumn="0" w:lastColumn="0" w:oddVBand="0" w:evenVBand="0" w:oddHBand="0" w:evenHBand="1" w:firstRowFirstColumn="0" w:firstRowLastColumn="0" w:lastRowFirstColumn="0" w:lastRowLastColumn="0"/>
            </w:pPr>
            <w:r>
              <w:t>–</w:t>
            </w:r>
            <w:r w:rsidR="000A3517">
              <w:t>5767</w:t>
            </w:r>
            <w:r w:rsidRPr="00983EDD">
              <w:rPr>
                <w:rStyle w:val="AERsuperscript"/>
              </w:rPr>
              <w:t>b</w:t>
            </w:r>
          </w:p>
        </w:tc>
      </w:tr>
      <w:tr w:rsidR="00983EDD" w:rsidTr="00600A40">
        <w:tc>
          <w:tcPr>
            <w:cnfStyle w:val="001000000000" w:firstRow="0" w:lastRow="0" w:firstColumn="1" w:lastColumn="0" w:oddVBand="0" w:evenVBand="0" w:oddHBand="0" w:evenHBand="0" w:firstRowFirstColumn="0" w:firstRowLastColumn="0" w:lastRowFirstColumn="0" w:lastRowLastColumn="0"/>
            <w:tcW w:w="5211" w:type="dxa"/>
          </w:tcPr>
          <w:p w:rsidR="00983EDD" w:rsidRDefault="00983EDD" w:rsidP="00983EDD"/>
        </w:tc>
        <w:tc>
          <w:tcPr>
            <w:tcW w:w="1701" w:type="dxa"/>
          </w:tcPr>
          <w:p w:rsidR="00983EDD" w:rsidRDefault="00983EDD" w:rsidP="00983EDD">
            <w:pPr>
              <w:cnfStyle w:val="000000000000" w:firstRow="0" w:lastRow="0" w:firstColumn="0" w:lastColumn="0" w:oddVBand="0" w:evenVBand="0" w:oddHBand="0" w:evenHBand="0" w:firstRowFirstColumn="0" w:firstRowLastColumn="0" w:lastRowFirstColumn="0" w:lastRowLastColumn="0"/>
            </w:pPr>
          </w:p>
        </w:tc>
        <w:tc>
          <w:tcPr>
            <w:tcW w:w="1701" w:type="dxa"/>
          </w:tcPr>
          <w:p w:rsidR="00983EDD" w:rsidRDefault="00983EDD" w:rsidP="00983EDD">
            <w:pPr>
              <w:cnfStyle w:val="000000000000" w:firstRow="0" w:lastRow="0" w:firstColumn="0" w:lastColumn="0" w:oddVBand="0" w:evenVBand="0" w:oddHBand="0" w:evenHBand="0" w:firstRowFirstColumn="0" w:firstRowLastColumn="0" w:lastRowFirstColumn="0" w:lastRowLastColumn="0"/>
            </w:pPr>
          </w:p>
        </w:tc>
      </w:tr>
      <w:tr w:rsidR="00983EDD" w:rsidRPr="00EC6B3C" w:rsidTr="00600A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pPr>
              <w:rPr>
                <w:rStyle w:val="Strong"/>
              </w:rPr>
            </w:pPr>
            <w:r>
              <w:rPr>
                <w:rStyle w:val="Strong"/>
              </w:rPr>
              <w:t>(A</w:t>
            </w:r>
            <w:r w:rsidRPr="00983EDD">
              <w:rPr>
                <w:rStyle w:val="Strong"/>
              </w:rPr>
              <w:t xml:space="preserve"> minus B) Under/over recovery of revenue for regulatory year</w:t>
            </w:r>
          </w:p>
        </w:tc>
        <w:tc>
          <w:tcPr>
            <w:tcW w:w="1701" w:type="dxa"/>
          </w:tcPr>
          <w:p w:rsidR="00983EDD" w:rsidRPr="00983EDD" w:rsidRDefault="00983EDD" w:rsidP="00983ED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5231</w:t>
            </w:r>
          </w:p>
        </w:tc>
        <w:tc>
          <w:tcPr>
            <w:tcW w:w="1701" w:type="dxa"/>
          </w:tcPr>
          <w:p w:rsidR="00983EDD" w:rsidRPr="00983EDD" w:rsidRDefault="00983EDD" w:rsidP="00983EDD">
            <w:pPr>
              <w:cnfStyle w:val="000000010000" w:firstRow="0" w:lastRow="0" w:firstColumn="0" w:lastColumn="0" w:oddVBand="0" w:evenVBand="0" w:oddHBand="0" w:evenHBand="1" w:firstRowFirstColumn="0" w:firstRowLastColumn="0" w:lastRowFirstColumn="0" w:lastRowLastColumn="0"/>
              <w:rPr>
                <w:rStyle w:val="Strong"/>
              </w:rPr>
            </w:pPr>
            <w:r w:rsidRPr="00EC6B3C">
              <w:rPr>
                <w:rStyle w:val="Strong"/>
              </w:rPr>
              <w:t>0</w:t>
            </w:r>
          </w:p>
        </w:tc>
      </w:tr>
      <w:tr w:rsidR="00983EDD" w:rsidTr="00600A40">
        <w:tc>
          <w:tcPr>
            <w:cnfStyle w:val="001000000000" w:firstRow="0" w:lastRow="0" w:firstColumn="1" w:lastColumn="0" w:oddVBand="0" w:evenVBand="0" w:oddHBand="0" w:evenHBand="0" w:firstRowFirstColumn="0" w:firstRowLastColumn="0" w:lastRowFirstColumn="0" w:lastRowLastColumn="0"/>
            <w:tcW w:w="5211" w:type="dxa"/>
          </w:tcPr>
          <w:p w:rsidR="00983EDD" w:rsidRDefault="00983EDD" w:rsidP="00983EDD"/>
        </w:tc>
        <w:tc>
          <w:tcPr>
            <w:tcW w:w="1701" w:type="dxa"/>
          </w:tcPr>
          <w:p w:rsidR="00983EDD" w:rsidRDefault="00983EDD" w:rsidP="00983EDD">
            <w:pPr>
              <w:cnfStyle w:val="000000000000" w:firstRow="0" w:lastRow="0" w:firstColumn="0" w:lastColumn="0" w:oddVBand="0" w:evenVBand="0" w:oddHBand="0" w:evenHBand="0" w:firstRowFirstColumn="0" w:firstRowLastColumn="0" w:lastRowFirstColumn="0" w:lastRowLastColumn="0"/>
            </w:pPr>
          </w:p>
        </w:tc>
        <w:tc>
          <w:tcPr>
            <w:tcW w:w="1701" w:type="dxa"/>
          </w:tcPr>
          <w:p w:rsidR="00983EDD" w:rsidRDefault="00983EDD" w:rsidP="00983EDD">
            <w:pPr>
              <w:cnfStyle w:val="000000000000" w:firstRow="0" w:lastRow="0" w:firstColumn="0" w:lastColumn="0" w:oddVBand="0" w:evenVBand="0" w:oddHBand="0" w:evenHBand="0" w:firstRowFirstColumn="0" w:firstRowLastColumn="0" w:lastRowFirstColumn="0" w:lastRowLastColumn="0"/>
            </w:pPr>
          </w:p>
        </w:tc>
      </w:tr>
      <w:tr w:rsidR="00983EDD" w:rsidTr="00600A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3"/>
          </w:tcPr>
          <w:p w:rsidR="00983EDD" w:rsidRPr="00983EDD" w:rsidRDefault="00983EDD" w:rsidP="00983EDD">
            <w:pPr>
              <w:rPr>
                <w:rStyle w:val="AERtextbolditalics"/>
              </w:rPr>
            </w:pPr>
            <w:r>
              <w:rPr>
                <w:rStyle w:val="AERtextbolditalics"/>
              </w:rPr>
              <w:t>DPPC</w:t>
            </w:r>
            <w:r w:rsidRPr="00983EDD">
              <w:rPr>
                <w:rStyle w:val="AERtextbolditalics"/>
              </w:rPr>
              <w:t xml:space="preserve"> unders and overs account</w:t>
            </w:r>
          </w:p>
        </w:tc>
      </w:tr>
      <w:tr w:rsidR="00983EDD" w:rsidTr="00600A40">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r>
              <w:t>Nominal WACC</w:t>
            </w:r>
            <w:r w:rsidRPr="00983EDD">
              <w:t xml:space="preserve"> t–2 (per cent)</w:t>
            </w:r>
          </w:p>
        </w:tc>
        <w:tc>
          <w:tcPr>
            <w:tcW w:w="1701" w:type="dxa"/>
          </w:tcPr>
          <w:p w:rsidR="00983EDD" w:rsidRPr="00983EDD" w:rsidRDefault="000A3517" w:rsidP="00983EDD">
            <w:pPr>
              <w:cnfStyle w:val="000000000000" w:firstRow="0" w:lastRow="0" w:firstColumn="0" w:lastColumn="0" w:oddVBand="0" w:evenVBand="0" w:oddHBand="0" w:evenHBand="0" w:firstRowFirstColumn="0" w:firstRowLastColumn="0" w:lastRowFirstColumn="0" w:lastRowLastColumn="0"/>
            </w:pPr>
            <w:r>
              <w:t>5.00</w:t>
            </w:r>
            <w:r w:rsidR="00983EDD" w:rsidRPr="00983EDD">
              <w:t>%</w:t>
            </w:r>
          </w:p>
        </w:tc>
        <w:tc>
          <w:tcPr>
            <w:tcW w:w="1701" w:type="dxa"/>
          </w:tcPr>
          <w:p w:rsidR="00983EDD" w:rsidRDefault="00983EDD" w:rsidP="00983EDD">
            <w:pPr>
              <w:cnfStyle w:val="000000000000" w:firstRow="0" w:lastRow="0" w:firstColumn="0" w:lastColumn="0" w:oddVBand="0" w:evenVBand="0" w:oddHBand="0" w:evenHBand="0" w:firstRowFirstColumn="0" w:firstRowLastColumn="0" w:lastRowFirstColumn="0" w:lastRowLastColumn="0"/>
            </w:pPr>
          </w:p>
        </w:tc>
      </w:tr>
      <w:tr w:rsidR="00983EDD" w:rsidTr="00600A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r>
              <w:t>Nominal WACC t–1 (per cent)</w:t>
            </w:r>
          </w:p>
        </w:tc>
        <w:tc>
          <w:tcPr>
            <w:tcW w:w="1701" w:type="dxa"/>
          </w:tcPr>
          <w:p w:rsidR="00983EDD" w:rsidRPr="00983EDD" w:rsidRDefault="000A3517" w:rsidP="000A3517">
            <w:pPr>
              <w:cnfStyle w:val="000000010000" w:firstRow="0" w:lastRow="0" w:firstColumn="0" w:lastColumn="0" w:oddVBand="0" w:evenVBand="0" w:oddHBand="0" w:evenHBand="1" w:firstRowFirstColumn="0" w:firstRowLastColumn="0" w:lastRowFirstColumn="0" w:lastRowLastColumn="0"/>
            </w:pPr>
            <w:r>
              <w:t>5.00</w:t>
            </w:r>
            <w:r w:rsidR="00983EDD">
              <w:t>%</w:t>
            </w:r>
          </w:p>
        </w:tc>
        <w:tc>
          <w:tcPr>
            <w:tcW w:w="1701" w:type="dxa"/>
          </w:tcPr>
          <w:p w:rsidR="00983EDD" w:rsidRDefault="00983EDD" w:rsidP="00983EDD">
            <w:pPr>
              <w:cnfStyle w:val="000000010000" w:firstRow="0" w:lastRow="0" w:firstColumn="0" w:lastColumn="0" w:oddVBand="0" w:evenVBand="0" w:oddHBand="0" w:evenHBand="1" w:firstRowFirstColumn="0" w:firstRowLastColumn="0" w:lastRowFirstColumn="0" w:lastRowLastColumn="0"/>
            </w:pPr>
          </w:p>
        </w:tc>
      </w:tr>
      <w:tr w:rsidR="00983EDD" w:rsidTr="00600A40">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r>
              <w:t>Opening balance</w:t>
            </w:r>
          </w:p>
        </w:tc>
        <w:tc>
          <w:tcPr>
            <w:tcW w:w="1701" w:type="dxa"/>
          </w:tcPr>
          <w:p w:rsidR="00983EDD" w:rsidRPr="00983EDD" w:rsidRDefault="00983EDD" w:rsidP="00983EDD">
            <w:pPr>
              <w:cnfStyle w:val="000000000000" w:firstRow="0" w:lastRow="0" w:firstColumn="0" w:lastColumn="0" w:oddVBand="0" w:evenVBand="0" w:oddHBand="0" w:evenHBand="0" w:firstRowFirstColumn="0" w:firstRowLastColumn="0" w:lastRowFirstColumn="0" w:lastRowLastColumn="0"/>
            </w:pPr>
            <w:r>
              <w:t>n/a</w:t>
            </w:r>
          </w:p>
        </w:tc>
        <w:tc>
          <w:tcPr>
            <w:tcW w:w="1701" w:type="dxa"/>
          </w:tcPr>
          <w:p w:rsidR="00983EDD" w:rsidRPr="00983EDD" w:rsidRDefault="000A3517" w:rsidP="00983EDD">
            <w:pPr>
              <w:cnfStyle w:val="000000000000" w:firstRow="0" w:lastRow="0" w:firstColumn="0" w:lastColumn="0" w:oddVBand="0" w:evenVBand="0" w:oddHBand="0" w:evenHBand="0" w:firstRowFirstColumn="0" w:firstRowLastColumn="0" w:lastRowFirstColumn="0" w:lastRowLastColumn="0"/>
            </w:pPr>
            <w:r>
              <w:t>5767</w:t>
            </w:r>
          </w:p>
        </w:tc>
      </w:tr>
      <w:tr w:rsidR="00983EDD" w:rsidTr="00600A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r>
              <w:t xml:space="preserve">Under/over recovery </w:t>
            </w:r>
            <w:r w:rsidRPr="00983EDD">
              <w:t>of revenue for regulatory year</w:t>
            </w:r>
          </w:p>
        </w:tc>
        <w:tc>
          <w:tcPr>
            <w:tcW w:w="1701" w:type="dxa"/>
          </w:tcPr>
          <w:p w:rsidR="00983EDD" w:rsidRPr="00983EDD" w:rsidRDefault="00983EDD" w:rsidP="00983EDD">
            <w:pPr>
              <w:cnfStyle w:val="000000010000" w:firstRow="0" w:lastRow="0" w:firstColumn="0" w:lastColumn="0" w:oddVBand="0" w:evenVBand="0" w:oddHBand="0" w:evenHBand="1" w:firstRowFirstColumn="0" w:firstRowLastColumn="0" w:lastRowFirstColumn="0" w:lastRowLastColumn="0"/>
            </w:pPr>
            <w:r>
              <w:t>5231</w:t>
            </w:r>
          </w:p>
        </w:tc>
        <w:tc>
          <w:tcPr>
            <w:tcW w:w="1701" w:type="dxa"/>
          </w:tcPr>
          <w:p w:rsidR="00983EDD" w:rsidRPr="00983EDD" w:rsidRDefault="00983EDD" w:rsidP="00983EDD">
            <w:pPr>
              <w:cnfStyle w:val="000000010000" w:firstRow="0" w:lastRow="0" w:firstColumn="0" w:lastColumn="0" w:oddVBand="0" w:evenVBand="0" w:oddHBand="0" w:evenHBand="1" w:firstRowFirstColumn="0" w:firstRowLastColumn="0" w:lastRowFirstColumn="0" w:lastRowLastColumn="0"/>
            </w:pPr>
            <w:r>
              <w:t>–</w:t>
            </w:r>
            <w:r w:rsidR="000A3517">
              <w:t>5767</w:t>
            </w:r>
            <w:r w:rsidRPr="00983EDD">
              <w:rPr>
                <w:rStyle w:val="AERsuperscript"/>
              </w:rPr>
              <w:t>b</w:t>
            </w:r>
          </w:p>
        </w:tc>
      </w:tr>
      <w:tr w:rsidR="00983EDD" w:rsidTr="00600A40">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r>
              <w:t>Interest on under/over recovery for</w:t>
            </w:r>
            <w:r w:rsidRPr="00983EDD">
              <w:t xml:space="preserve"> 2 regulatory years</w:t>
            </w:r>
          </w:p>
        </w:tc>
        <w:tc>
          <w:tcPr>
            <w:tcW w:w="1701" w:type="dxa"/>
          </w:tcPr>
          <w:p w:rsidR="00983EDD" w:rsidRPr="00983EDD" w:rsidRDefault="000A3517" w:rsidP="00983EDD">
            <w:pPr>
              <w:cnfStyle w:val="000000000000" w:firstRow="0" w:lastRow="0" w:firstColumn="0" w:lastColumn="0" w:oddVBand="0" w:evenVBand="0" w:oddHBand="0" w:evenHBand="0" w:firstRowFirstColumn="0" w:firstRowLastColumn="0" w:lastRowFirstColumn="0" w:lastRowLastColumn="0"/>
            </w:pPr>
            <w:r>
              <w:t>536</w:t>
            </w:r>
          </w:p>
        </w:tc>
        <w:tc>
          <w:tcPr>
            <w:tcW w:w="1701" w:type="dxa"/>
          </w:tcPr>
          <w:p w:rsidR="00983EDD" w:rsidRPr="00983EDD" w:rsidRDefault="00983EDD" w:rsidP="00983EDD">
            <w:pPr>
              <w:cnfStyle w:val="000000000000" w:firstRow="0" w:lastRow="0" w:firstColumn="0" w:lastColumn="0" w:oddVBand="0" w:evenVBand="0" w:oddHBand="0" w:evenHBand="0" w:firstRowFirstColumn="0" w:firstRowLastColumn="0" w:lastRowFirstColumn="0" w:lastRowLastColumn="0"/>
            </w:pPr>
            <w:r>
              <w:t>n/a</w:t>
            </w:r>
          </w:p>
        </w:tc>
      </w:tr>
      <w:tr w:rsidR="00983EDD" w:rsidRPr="002234C6" w:rsidTr="00600A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83EDD" w:rsidRPr="00983EDD" w:rsidRDefault="00983EDD" w:rsidP="00983EDD">
            <w:pPr>
              <w:rPr>
                <w:rStyle w:val="Strong"/>
              </w:rPr>
            </w:pPr>
            <w:r w:rsidRPr="002234C6">
              <w:rPr>
                <w:rStyle w:val="Strong"/>
              </w:rPr>
              <w:t>Closing balance</w:t>
            </w:r>
          </w:p>
        </w:tc>
        <w:tc>
          <w:tcPr>
            <w:tcW w:w="1701" w:type="dxa"/>
          </w:tcPr>
          <w:p w:rsidR="00983EDD" w:rsidRPr="00983EDD" w:rsidRDefault="000A3517" w:rsidP="00983ED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5767</w:t>
            </w:r>
          </w:p>
        </w:tc>
        <w:tc>
          <w:tcPr>
            <w:tcW w:w="1701" w:type="dxa"/>
          </w:tcPr>
          <w:p w:rsidR="00983EDD" w:rsidRPr="00983EDD" w:rsidRDefault="00983EDD" w:rsidP="00983EDD">
            <w:pPr>
              <w:cnfStyle w:val="000000010000" w:firstRow="0" w:lastRow="0" w:firstColumn="0" w:lastColumn="0" w:oddVBand="0" w:evenVBand="0" w:oddHBand="0" w:evenHBand="1" w:firstRowFirstColumn="0" w:firstRowLastColumn="0" w:lastRowFirstColumn="0" w:lastRowLastColumn="0"/>
              <w:rPr>
                <w:rStyle w:val="Strong"/>
              </w:rPr>
            </w:pPr>
            <w:r w:rsidRPr="002234C6">
              <w:rPr>
                <w:rStyle w:val="Strong"/>
              </w:rPr>
              <w:t>0</w:t>
            </w:r>
            <w:r w:rsidRPr="00983EDD">
              <w:rPr>
                <w:rStyle w:val="AERsuperscript"/>
              </w:rPr>
              <w:t>c</w:t>
            </w:r>
          </w:p>
        </w:tc>
      </w:tr>
    </w:tbl>
    <w:p w:rsidR="00793442" w:rsidRDefault="00793442" w:rsidP="00793442">
      <w:pPr>
        <w:pStyle w:val="AERtablesource"/>
      </w:pPr>
      <w:r>
        <w:t>Notes:</w:t>
      </w:r>
      <w:r>
        <w:tab/>
        <w:t>(a) Approved DPPC revenue under/over recovery for regulatory year t–2.</w:t>
      </w:r>
    </w:p>
    <w:p w:rsidR="00793442" w:rsidRDefault="00793442" w:rsidP="00793442">
      <w:pPr>
        <w:pStyle w:val="AERtablesource"/>
      </w:pPr>
      <w:r>
        <w:tab/>
        <w:t>(b) Amount should offset the closing balance for DPPC unders and overs account for year t–2.</w:t>
      </w:r>
    </w:p>
    <w:p w:rsidR="00793442" w:rsidRDefault="00793442" w:rsidP="00793442">
      <w:pPr>
        <w:pStyle w:val="AERtablesource"/>
      </w:pPr>
      <w:r>
        <w:tab/>
        <w:t xml:space="preserve">(c) Ergon Energy </w:t>
      </w:r>
      <w:r w:rsidR="006C6C98" w:rsidRPr="006C6C98">
        <w:t>is expected to achieve a closing balance as close to zero as practicable in its</w:t>
      </w:r>
      <w:r>
        <w:t xml:space="preserve"> DPPC unders and overs account in each forecast year in its annual pricing proposals in the 201</w:t>
      </w:r>
      <w:r w:rsidR="005D789B">
        <w:t>5</w:t>
      </w:r>
      <w:r>
        <w:t>–20 regulatory control period.</w:t>
      </w:r>
    </w:p>
    <w:p w:rsidR="00983EDD" w:rsidRPr="00983EDD" w:rsidRDefault="00983EDD" w:rsidP="00983EDD"/>
    <w:p w:rsidR="007D563B" w:rsidRDefault="005D789B" w:rsidP="007D563B">
      <w:pPr>
        <w:pStyle w:val="Heading7"/>
      </w:pPr>
      <w:bookmarkStart w:id="46" w:name="_Ref428542933"/>
      <w:bookmarkStart w:id="47" w:name="_Toc433299189"/>
      <w:r>
        <w:lastRenderedPageBreak/>
        <w:t>J</w:t>
      </w:r>
      <w:r w:rsidR="007D563B">
        <w:t>urisdictional scheme amounts</w:t>
      </w:r>
      <w:bookmarkEnd w:id="46"/>
      <w:r>
        <w:t xml:space="preserve"> unders and overs account</w:t>
      </w:r>
      <w:bookmarkEnd w:id="47"/>
    </w:p>
    <w:p w:rsidR="007D563B" w:rsidRDefault="007D563B" w:rsidP="007D563B">
      <w:r w:rsidRPr="007D563B">
        <w:t>To demonstrate compliance with the distribution determination applicable to it during the 201</w:t>
      </w:r>
      <w:r w:rsidR="008E4707">
        <w:t>5</w:t>
      </w:r>
      <w:r w:rsidRPr="007D563B">
        <w:t xml:space="preserve">–20 regulatory control period, </w:t>
      </w:r>
      <w:r>
        <w:t>Ergon Energy</w:t>
      </w:r>
      <w:r w:rsidRPr="007D563B">
        <w:t xml:space="preserve"> must maintain a jurisdictional scheme amount unders and overs account in its annual pricing proposal.</w:t>
      </w:r>
      <w:r>
        <w:rPr>
          <w:rStyle w:val="FootnoteReference"/>
        </w:rPr>
        <w:footnoteReference w:id="64"/>
      </w:r>
    </w:p>
    <w:p w:rsidR="0001063E" w:rsidRDefault="0001063E" w:rsidP="0001063E">
      <w:r>
        <w:t>Ergon Energy must provide the amounts for the following entries in its jurisdictional scheme unders and overs account for the most recently completed regulatory year (t–2) and the next regulatory year (t):</w:t>
      </w:r>
    </w:p>
    <w:p w:rsidR="0001063E" w:rsidRPr="0001063E" w:rsidRDefault="0001063E" w:rsidP="0001063E">
      <w:pPr>
        <w:pStyle w:val="ListNumber"/>
        <w:numPr>
          <w:ilvl w:val="0"/>
          <w:numId w:val="30"/>
        </w:numPr>
      </w:pPr>
      <w:r w:rsidRPr="00D71A7B">
        <w:t>The amount of revenue recovered/</w:t>
      </w:r>
      <w:r w:rsidRPr="0001063E">
        <w:t>to be recovered from jurisdictional schemes, less the amount of jurisdictional scheme related payments for the regulatory years t–2 and t.</w:t>
      </w:r>
    </w:p>
    <w:p w:rsidR="0001063E" w:rsidRPr="00D71A7B" w:rsidRDefault="0001063E" w:rsidP="0001063E">
      <w:pPr>
        <w:pStyle w:val="ListNumber"/>
      </w:pPr>
      <w:r w:rsidRPr="00D71A7B">
        <w:t>The calculated under/over recovery of revenue for regulatory years t–2 and t.</w:t>
      </w:r>
    </w:p>
    <w:p w:rsidR="0001063E" w:rsidRPr="00D71A7B" w:rsidRDefault="0001063E" w:rsidP="0001063E">
      <w:pPr>
        <w:pStyle w:val="ListNumber"/>
      </w:pPr>
      <w:r w:rsidRPr="00D71A7B">
        <w:t xml:space="preserve">An interest charge for two years on the under/over recovery of revenue for regulatory year t–2. </w:t>
      </w:r>
      <w:r w:rsidR="00C668EE" w:rsidRPr="00C668EE">
        <w:t>This adjustment is to be calculated using the respective approved nominal weighted average cost of capital (WACC) for each intervening year between regulatory year t–2 and year t.</w:t>
      </w:r>
      <w:r w:rsidR="00C668EE" w:rsidRPr="00C668EE">
        <w:rPr>
          <w:rStyle w:val="FootnoteReference"/>
        </w:rPr>
        <w:footnoteReference w:id="65"/>
      </w:r>
      <w:r w:rsidR="00C668EE" w:rsidRPr="00C668EE">
        <w:t xml:space="preserve"> The WACC applied for each year will be that approved by the AER for the relevant year.</w:t>
      </w:r>
    </w:p>
    <w:p w:rsidR="0001063E" w:rsidRPr="00D71A7B" w:rsidRDefault="0001063E" w:rsidP="0001063E">
      <w:pPr>
        <w:pStyle w:val="ListNumber"/>
      </w:pPr>
      <w:r w:rsidRPr="00D71A7B">
        <w:t xml:space="preserve">Sum of items 2–3 to derive a closing </w:t>
      </w:r>
      <w:r>
        <w:t>balance for regulatory year t</w:t>
      </w:r>
      <w:r w:rsidR="005D789B">
        <w:t>–</w:t>
      </w:r>
      <w:r w:rsidRPr="00D71A7B">
        <w:t>2.</w:t>
      </w:r>
    </w:p>
    <w:p w:rsidR="0001063E" w:rsidRPr="00D71A7B" w:rsidRDefault="0001063E" w:rsidP="0001063E">
      <w:pPr>
        <w:pStyle w:val="ListNumber"/>
      </w:pPr>
      <w:r w:rsidRPr="00D71A7B">
        <w:t>Opening balance in regulatory year t which is the closing balance in item 4.</w:t>
      </w:r>
    </w:p>
    <w:p w:rsidR="0001063E" w:rsidRDefault="00801F6A" w:rsidP="0001063E">
      <w:pPr>
        <w:pStyle w:val="ListNumber"/>
      </w:pPr>
      <w:r>
        <w:t xml:space="preserve">Offsetting </w:t>
      </w:r>
      <w:r w:rsidR="0001063E" w:rsidRPr="00D71A7B">
        <w:t>under</w:t>
      </w:r>
      <w:r>
        <w:t>/over</w:t>
      </w:r>
      <w:r w:rsidR="0001063E" w:rsidRPr="00D71A7B">
        <w:t xml:space="preserve"> recovery of revenue amount in item 5 to derive a closing balance</w:t>
      </w:r>
      <w:r w:rsidR="006C6C98">
        <w:t xml:space="preserve"> as close as practicable to</w:t>
      </w:r>
      <w:r w:rsidR="0001063E" w:rsidRPr="00D71A7B">
        <w:t xml:space="preserve"> zero for regulatory year t. This amount will become the approved </w:t>
      </w:r>
      <w:r w:rsidR="0001063E">
        <w:t>jurisdictional scheme amounts</w:t>
      </w:r>
      <w:r w:rsidR="0001063E" w:rsidRPr="00D71A7B">
        <w:t xml:space="preserve"> revenue under/over recovery for regulatory year t.</w:t>
      </w:r>
    </w:p>
    <w:p w:rsidR="0001063E" w:rsidRPr="006B579A" w:rsidRDefault="0001063E" w:rsidP="006B579A">
      <w:pPr>
        <w:spacing w:line="240" w:lineRule="auto"/>
        <w:rPr>
          <w:b/>
          <w:bCs/>
          <w:color w:val="076A92" w:themeColor="text1"/>
          <w:sz w:val="24"/>
          <w:szCs w:val="18"/>
        </w:rPr>
      </w:pPr>
      <w:r>
        <w:t>Ergon Energy</w:t>
      </w:r>
      <w:r w:rsidRPr="00F737D9">
        <w:t xml:space="preserve"> must provide details of calculations in the format set out in</w:t>
      </w:r>
      <w:r w:rsidR="005D789B">
        <w:t xml:space="preserve"> </w:t>
      </w:r>
      <w:r w:rsidR="005D789B">
        <w:fldChar w:fldCharType="begin"/>
      </w:r>
      <w:r w:rsidR="005D789B">
        <w:instrText xml:space="preserve"> REF  _Ref429474028 \* Lower \h </w:instrText>
      </w:r>
      <w:r w:rsidR="005D789B">
        <w:fldChar w:fldCharType="separate"/>
      </w:r>
      <w:r w:rsidR="00C668EE">
        <w:t xml:space="preserve">table </w:t>
      </w:r>
      <w:r w:rsidR="00C668EE">
        <w:rPr>
          <w:noProof/>
        </w:rPr>
        <w:t>14</w:t>
      </w:r>
      <w:r w:rsidR="00C668EE">
        <w:t>.</w:t>
      </w:r>
      <w:r w:rsidR="00C668EE">
        <w:rPr>
          <w:noProof/>
        </w:rPr>
        <w:t>3</w:t>
      </w:r>
      <w:r w:rsidR="005D789B">
        <w:fldChar w:fldCharType="end"/>
      </w:r>
      <w:r>
        <w:t xml:space="preserve">. </w:t>
      </w:r>
      <w:r w:rsidRPr="00F737D9">
        <w:t>Amounts provided for the most recently completed regulatory year (t–2) must be audited. Amounts for the next regulatory year (t) will be regarded as a forecast.</w:t>
      </w:r>
    </w:p>
    <w:p w:rsidR="0001063E" w:rsidRDefault="0001063E" w:rsidP="0001063E">
      <w:r>
        <w:t>In proposing variations to the amount and structure of jurisdictional scheme charges, Ergon Energy is</w:t>
      </w:r>
      <w:r w:rsidR="006C6C98">
        <w:t xml:space="preserve"> expected to achieve a closing balance as close to</w:t>
      </w:r>
      <w:r>
        <w:t xml:space="preserve"> zero</w:t>
      </w:r>
      <w:r w:rsidR="006C6C98">
        <w:t xml:space="preserve"> as practicable in</w:t>
      </w:r>
      <w:r>
        <w:t xml:space="preserve"> its jurisdictional schemes unders and overs accounts </w:t>
      </w:r>
      <w:r w:rsidR="006C6C98">
        <w:t xml:space="preserve">in each forecast year in its annual pricing proposals during </w:t>
      </w:r>
      <w:r>
        <w:t>the 2015–20 regulatory control period.</w:t>
      </w:r>
    </w:p>
    <w:p w:rsidR="000A3517" w:rsidRDefault="000A3517">
      <w:pPr>
        <w:spacing w:line="240" w:lineRule="auto"/>
        <w:rPr>
          <w:b/>
          <w:bCs/>
          <w:color w:val="076A92" w:themeColor="text1"/>
          <w:sz w:val="24"/>
          <w:szCs w:val="18"/>
        </w:rPr>
      </w:pPr>
      <w:bookmarkStart w:id="48" w:name="_Ref428900759"/>
      <w:r>
        <w:br w:type="page"/>
      </w:r>
    </w:p>
    <w:p w:rsidR="0001063E" w:rsidRDefault="0001063E" w:rsidP="0001063E">
      <w:pPr>
        <w:pStyle w:val="Caption"/>
      </w:pPr>
      <w:bookmarkStart w:id="49" w:name="_Ref429474028"/>
      <w:r>
        <w:lastRenderedPageBreak/>
        <w:t xml:space="preserve">Table </w:t>
      </w:r>
      <w:r w:rsidR="001443EA">
        <w:fldChar w:fldCharType="begin"/>
      </w:r>
      <w:r w:rsidR="001443EA">
        <w:instrText xml:space="preserve"> STYLEREF 1 \s </w:instrText>
      </w:r>
      <w:r w:rsidR="001443EA">
        <w:fldChar w:fldCharType="separate"/>
      </w:r>
      <w:r w:rsidR="00C668EE">
        <w:rPr>
          <w:noProof/>
        </w:rPr>
        <w:t>14</w:t>
      </w:r>
      <w:r w:rsidR="001443EA">
        <w:rPr>
          <w:noProof/>
        </w:rPr>
        <w:fldChar w:fldCharType="end"/>
      </w:r>
      <w:r>
        <w:t>.</w:t>
      </w:r>
      <w:r w:rsidR="001443EA">
        <w:fldChar w:fldCharType="begin"/>
      </w:r>
      <w:r w:rsidR="001443EA">
        <w:instrText xml:space="preserve"> SEQ Table \* ARABIC \s 1 </w:instrText>
      </w:r>
      <w:r w:rsidR="001443EA">
        <w:fldChar w:fldCharType="separate"/>
      </w:r>
      <w:r w:rsidR="00C668EE">
        <w:rPr>
          <w:noProof/>
        </w:rPr>
        <w:t>3</w:t>
      </w:r>
      <w:r w:rsidR="001443EA">
        <w:rPr>
          <w:noProof/>
        </w:rPr>
        <w:fldChar w:fldCharType="end"/>
      </w:r>
      <w:bookmarkEnd w:id="48"/>
      <w:bookmarkEnd w:id="49"/>
      <w:r>
        <w:t xml:space="preserve"> Example calculation of jurisdictional scheme amounts unders and overs account ($'000, nominal)</w:t>
      </w:r>
    </w:p>
    <w:tbl>
      <w:tblPr>
        <w:tblStyle w:val="AERtable-numbers"/>
        <w:tblW w:w="0" w:type="auto"/>
        <w:tblLook w:val="04A0" w:firstRow="1" w:lastRow="0" w:firstColumn="1" w:lastColumn="0" w:noHBand="0" w:noVBand="1"/>
      </w:tblPr>
      <w:tblGrid>
        <w:gridCol w:w="5211"/>
        <w:gridCol w:w="1701"/>
        <w:gridCol w:w="1701"/>
      </w:tblGrid>
      <w:tr w:rsidR="0001063E" w:rsidTr="00B10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1063E" w:rsidRDefault="0001063E" w:rsidP="0001063E"/>
        </w:tc>
        <w:tc>
          <w:tcPr>
            <w:tcW w:w="1701" w:type="dxa"/>
          </w:tcPr>
          <w:p w:rsidR="0001063E" w:rsidRPr="0001063E" w:rsidRDefault="0001063E" w:rsidP="0001063E">
            <w:pPr>
              <w:cnfStyle w:val="100000000000" w:firstRow="1" w:lastRow="0" w:firstColumn="0" w:lastColumn="0" w:oddVBand="0" w:evenVBand="0" w:oddHBand="0" w:evenHBand="0" w:firstRowFirstColumn="0" w:firstRowLastColumn="0" w:lastRowFirstColumn="0" w:lastRowLastColumn="0"/>
            </w:pPr>
            <w:r>
              <w:t>Year t–2</w:t>
            </w:r>
          </w:p>
          <w:p w:rsidR="0001063E" w:rsidRPr="0001063E" w:rsidRDefault="0001063E" w:rsidP="0001063E">
            <w:pPr>
              <w:cnfStyle w:val="100000000000" w:firstRow="1" w:lastRow="0" w:firstColumn="0" w:lastColumn="0" w:oddVBand="0" w:evenVBand="0" w:oddHBand="0" w:evenHBand="0" w:firstRowFirstColumn="0" w:firstRowLastColumn="0" w:lastRowFirstColumn="0" w:lastRowLastColumn="0"/>
            </w:pPr>
            <w:r>
              <w:t>(actual)</w:t>
            </w:r>
          </w:p>
        </w:tc>
        <w:tc>
          <w:tcPr>
            <w:tcW w:w="1701" w:type="dxa"/>
          </w:tcPr>
          <w:p w:rsidR="0001063E" w:rsidRPr="0001063E" w:rsidRDefault="0001063E" w:rsidP="0001063E">
            <w:pPr>
              <w:cnfStyle w:val="100000000000" w:firstRow="1" w:lastRow="0" w:firstColumn="0" w:lastColumn="0" w:oddVBand="0" w:evenVBand="0" w:oddHBand="0" w:evenHBand="0" w:firstRowFirstColumn="0" w:firstRowLastColumn="0" w:lastRowFirstColumn="0" w:lastRowLastColumn="0"/>
            </w:pPr>
            <w:r>
              <w:t>Year t</w:t>
            </w:r>
          </w:p>
          <w:p w:rsidR="0001063E" w:rsidRPr="0001063E" w:rsidRDefault="0001063E" w:rsidP="0001063E">
            <w:pPr>
              <w:cnfStyle w:val="100000000000" w:firstRow="1" w:lastRow="0" w:firstColumn="0" w:lastColumn="0" w:oddVBand="0" w:evenVBand="0" w:oddHBand="0" w:evenHBand="0" w:firstRowFirstColumn="0" w:firstRowLastColumn="0" w:lastRowFirstColumn="0" w:lastRowLastColumn="0"/>
            </w:pPr>
            <w:r>
              <w:t>(forecast)</w:t>
            </w:r>
          </w:p>
        </w:tc>
      </w:tr>
      <w:tr w:rsidR="0001063E" w:rsidTr="00B10342">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pPr>
              <w:rPr>
                <w:rStyle w:val="Strong"/>
              </w:rPr>
            </w:pPr>
            <w:r>
              <w:rPr>
                <w:rStyle w:val="Strong"/>
              </w:rPr>
              <w:t>(A)</w:t>
            </w:r>
            <w:r w:rsidRPr="0001063E">
              <w:rPr>
                <w:rStyle w:val="Strong"/>
              </w:rPr>
              <w:t xml:space="preserve"> Revenue from jurisdictional schemes</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19 777</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xml:space="preserve">22 </w:t>
            </w:r>
            <w:r w:rsidR="008308EE">
              <w:rPr>
                <w:rStyle w:val="Strong"/>
              </w:rPr>
              <w:t>050</w:t>
            </w:r>
          </w:p>
        </w:tc>
      </w:tr>
      <w:tr w:rsidR="0001063E" w:rsidTr="00B103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pPr>
              <w:rPr>
                <w:rStyle w:val="Strong"/>
              </w:rPr>
            </w:pPr>
            <w:r>
              <w:rPr>
                <w:rStyle w:val="Strong"/>
              </w:rPr>
              <w:t xml:space="preserve">(B) </w:t>
            </w:r>
            <w:r w:rsidRPr="0001063E">
              <w:rPr>
                <w:rStyle w:val="Strong"/>
              </w:rPr>
              <w:t>Less jurisdictional scheme payments for regulatory year =</w:t>
            </w:r>
          </w:p>
        </w:tc>
        <w:tc>
          <w:tcPr>
            <w:tcW w:w="1701" w:type="dxa"/>
          </w:tcPr>
          <w:p w:rsidR="0001063E" w:rsidRPr="0001063E" w:rsidRDefault="0001063E" w:rsidP="0001063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20 767</w:t>
            </w:r>
          </w:p>
        </w:tc>
        <w:tc>
          <w:tcPr>
            <w:tcW w:w="1701" w:type="dxa"/>
          </w:tcPr>
          <w:p w:rsidR="0001063E" w:rsidRPr="0001063E" w:rsidRDefault="008308EE" w:rsidP="0001063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22 050</w:t>
            </w:r>
          </w:p>
        </w:tc>
      </w:tr>
      <w:tr w:rsidR="0001063E" w:rsidTr="00B10342">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pPr>
              <w:pStyle w:val="ListContinue"/>
            </w:pPr>
            <w:r>
              <w:t xml:space="preserve">+ </w:t>
            </w:r>
            <w:r w:rsidRPr="0001063E">
              <w:t>Jurisdictional scheme 1 payments</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pPr>
            <w:r>
              <w:t>14 159</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pPr>
            <w:r>
              <w:t>13 954</w:t>
            </w:r>
          </w:p>
        </w:tc>
      </w:tr>
      <w:tr w:rsidR="0001063E" w:rsidTr="00B103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pPr>
              <w:pStyle w:val="ListContinue"/>
            </w:pPr>
            <w:r>
              <w:t>+ Jurisdictional scheme 2 payments</w:t>
            </w:r>
          </w:p>
        </w:tc>
        <w:tc>
          <w:tcPr>
            <w:tcW w:w="1701" w:type="dxa"/>
          </w:tcPr>
          <w:p w:rsidR="0001063E" w:rsidRPr="0001063E" w:rsidRDefault="0001063E" w:rsidP="0001063E">
            <w:pPr>
              <w:cnfStyle w:val="000000010000" w:firstRow="0" w:lastRow="0" w:firstColumn="0" w:lastColumn="0" w:oddVBand="0" w:evenVBand="0" w:oddHBand="0" w:evenHBand="1" w:firstRowFirstColumn="0" w:firstRowLastColumn="0" w:lastRowFirstColumn="0" w:lastRowLastColumn="0"/>
            </w:pPr>
            <w:r>
              <w:t>6113</w:t>
            </w:r>
          </w:p>
        </w:tc>
        <w:tc>
          <w:tcPr>
            <w:tcW w:w="1701" w:type="dxa"/>
          </w:tcPr>
          <w:p w:rsidR="0001063E" w:rsidRPr="0001063E" w:rsidRDefault="0001063E" w:rsidP="0001063E">
            <w:pPr>
              <w:cnfStyle w:val="000000010000" w:firstRow="0" w:lastRow="0" w:firstColumn="0" w:lastColumn="0" w:oddVBand="0" w:evenVBand="0" w:oddHBand="0" w:evenHBand="1" w:firstRowFirstColumn="0" w:firstRowLastColumn="0" w:lastRowFirstColumn="0" w:lastRowLastColumn="0"/>
            </w:pPr>
            <w:r>
              <w:t>7005</w:t>
            </w:r>
          </w:p>
        </w:tc>
      </w:tr>
      <w:tr w:rsidR="0001063E" w:rsidTr="00B10342">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pPr>
              <w:pStyle w:val="ListContinue"/>
            </w:pPr>
            <w:r>
              <w:t>+ Jurisdictional scheme amounts</w:t>
            </w:r>
            <w:r w:rsidRPr="0001063E">
              <w:t xml:space="preserve"> revenue under/over recovery approved</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pPr>
            <w:r>
              <w:t>495</w:t>
            </w:r>
            <w:r w:rsidRPr="0001063E">
              <w:rPr>
                <w:rStyle w:val="AERsuperscript"/>
              </w:rPr>
              <w:t>a</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pPr>
            <w:r>
              <w:t>1</w:t>
            </w:r>
            <w:r w:rsidR="008308EE">
              <w:t>091</w:t>
            </w:r>
            <w:r w:rsidRPr="0001063E">
              <w:rPr>
                <w:rStyle w:val="AERsuperscript"/>
              </w:rPr>
              <w:t>b</w:t>
            </w:r>
          </w:p>
        </w:tc>
      </w:tr>
      <w:tr w:rsidR="0001063E" w:rsidTr="00B103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1063E" w:rsidRDefault="0001063E" w:rsidP="0001063E"/>
        </w:tc>
        <w:tc>
          <w:tcPr>
            <w:tcW w:w="1701" w:type="dxa"/>
          </w:tcPr>
          <w:p w:rsidR="0001063E" w:rsidRDefault="0001063E" w:rsidP="0001063E">
            <w:pPr>
              <w:cnfStyle w:val="000000010000" w:firstRow="0" w:lastRow="0" w:firstColumn="0" w:lastColumn="0" w:oddVBand="0" w:evenVBand="0" w:oddHBand="0" w:evenHBand="1" w:firstRowFirstColumn="0" w:firstRowLastColumn="0" w:lastRowFirstColumn="0" w:lastRowLastColumn="0"/>
            </w:pPr>
          </w:p>
        </w:tc>
        <w:tc>
          <w:tcPr>
            <w:tcW w:w="1701" w:type="dxa"/>
          </w:tcPr>
          <w:p w:rsidR="0001063E" w:rsidRDefault="0001063E" w:rsidP="0001063E">
            <w:pPr>
              <w:cnfStyle w:val="000000010000" w:firstRow="0" w:lastRow="0" w:firstColumn="0" w:lastColumn="0" w:oddVBand="0" w:evenVBand="0" w:oddHBand="0" w:evenHBand="1" w:firstRowFirstColumn="0" w:firstRowLastColumn="0" w:lastRowFirstColumn="0" w:lastRowLastColumn="0"/>
            </w:pPr>
          </w:p>
        </w:tc>
      </w:tr>
      <w:tr w:rsidR="0001063E" w:rsidRPr="00EC6B3C" w:rsidTr="00B10342">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pPr>
              <w:rPr>
                <w:rStyle w:val="Strong"/>
              </w:rPr>
            </w:pPr>
            <w:r>
              <w:rPr>
                <w:rStyle w:val="Strong"/>
              </w:rPr>
              <w:t>(A</w:t>
            </w:r>
            <w:r w:rsidRPr="0001063E">
              <w:rPr>
                <w:rStyle w:val="Strong"/>
              </w:rPr>
              <w:t xml:space="preserve"> minus B) Under/over recovery of revenue for regulatory year</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–990</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0</w:t>
            </w:r>
          </w:p>
        </w:tc>
      </w:tr>
      <w:tr w:rsidR="0001063E" w:rsidTr="00B103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1063E" w:rsidRDefault="0001063E" w:rsidP="0001063E"/>
        </w:tc>
        <w:tc>
          <w:tcPr>
            <w:tcW w:w="1701" w:type="dxa"/>
          </w:tcPr>
          <w:p w:rsidR="0001063E" w:rsidRDefault="0001063E" w:rsidP="0001063E">
            <w:pPr>
              <w:cnfStyle w:val="000000010000" w:firstRow="0" w:lastRow="0" w:firstColumn="0" w:lastColumn="0" w:oddVBand="0" w:evenVBand="0" w:oddHBand="0" w:evenHBand="1" w:firstRowFirstColumn="0" w:firstRowLastColumn="0" w:lastRowFirstColumn="0" w:lastRowLastColumn="0"/>
            </w:pPr>
          </w:p>
        </w:tc>
        <w:tc>
          <w:tcPr>
            <w:tcW w:w="1701" w:type="dxa"/>
          </w:tcPr>
          <w:p w:rsidR="0001063E" w:rsidRDefault="0001063E" w:rsidP="0001063E">
            <w:pPr>
              <w:cnfStyle w:val="000000010000" w:firstRow="0" w:lastRow="0" w:firstColumn="0" w:lastColumn="0" w:oddVBand="0" w:evenVBand="0" w:oddHBand="0" w:evenHBand="1" w:firstRowFirstColumn="0" w:firstRowLastColumn="0" w:lastRowFirstColumn="0" w:lastRowLastColumn="0"/>
            </w:pPr>
          </w:p>
        </w:tc>
      </w:tr>
      <w:tr w:rsidR="0001063E" w:rsidTr="00B10342">
        <w:tc>
          <w:tcPr>
            <w:cnfStyle w:val="001000000000" w:firstRow="0" w:lastRow="0" w:firstColumn="1" w:lastColumn="0" w:oddVBand="0" w:evenVBand="0" w:oddHBand="0" w:evenHBand="0" w:firstRowFirstColumn="0" w:firstRowLastColumn="0" w:lastRowFirstColumn="0" w:lastRowLastColumn="0"/>
            <w:tcW w:w="8613" w:type="dxa"/>
            <w:gridSpan w:val="3"/>
          </w:tcPr>
          <w:p w:rsidR="0001063E" w:rsidRPr="0001063E" w:rsidRDefault="0001063E" w:rsidP="0001063E">
            <w:pPr>
              <w:rPr>
                <w:rStyle w:val="AERtextbolditalics"/>
              </w:rPr>
            </w:pPr>
            <w:r>
              <w:rPr>
                <w:rStyle w:val="AERtextbolditalics"/>
              </w:rPr>
              <w:t>Jurisdictional scheme amount</w:t>
            </w:r>
            <w:r w:rsidRPr="0001063E">
              <w:rPr>
                <w:rStyle w:val="AERtextbolditalics"/>
              </w:rPr>
              <w:t xml:space="preserve"> unders and overs account</w:t>
            </w:r>
          </w:p>
        </w:tc>
      </w:tr>
      <w:tr w:rsidR="0001063E" w:rsidTr="00B103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r>
              <w:t>Nominal WACC t–</w:t>
            </w:r>
            <w:r w:rsidRPr="0001063E">
              <w:t>2 (per cent)</w:t>
            </w:r>
          </w:p>
        </w:tc>
        <w:tc>
          <w:tcPr>
            <w:tcW w:w="1701" w:type="dxa"/>
          </w:tcPr>
          <w:p w:rsidR="0001063E" w:rsidRPr="0001063E" w:rsidRDefault="008308EE" w:rsidP="008308EE">
            <w:pPr>
              <w:cnfStyle w:val="000000010000" w:firstRow="0" w:lastRow="0" w:firstColumn="0" w:lastColumn="0" w:oddVBand="0" w:evenVBand="0" w:oddHBand="0" w:evenHBand="1" w:firstRowFirstColumn="0" w:firstRowLastColumn="0" w:lastRowFirstColumn="0" w:lastRowLastColumn="0"/>
            </w:pPr>
            <w:r>
              <w:t>5.00</w:t>
            </w:r>
            <w:r w:rsidR="0001063E" w:rsidRPr="0001063E">
              <w:t>%</w:t>
            </w:r>
          </w:p>
        </w:tc>
        <w:tc>
          <w:tcPr>
            <w:tcW w:w="1701" w:type="dxa"/>
          </w:tcPr>
          <w:p w:rsidR="0001063E" w:rsidRDefault="0001063E" w:rsidP="0001063E">
            <w:pPr>
              <w:cnfStyle w:val="000000010000" w:firstRow="0" w:lastRow="0" w:firstColumn="0" w:lastColumn="0" w:oddVBand="0" w:evenVBand="0" w:oddHBand="0" w:evenHBand="1" w:firstRowFirstColumn="0" w:firstRowLastColumn="0" w:lastRowFirstColumn="0" w:lastRowLastColumn="0"/>
            </w:pPr>
          </w:p>
        </w:tc>
      </w:tr>
      <w:tr w:rsidR="0001063E" w:rsidTr="00B10342">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r>
              <w:t>Nominal WACC t–1 (per cent)</w:t>
            </w:r>
          </w:p>
        </w:tc>
        <w:tc>
          <w:tcPr>
            <w:tcW w:w="1701" w:type="dxa"/>
          </w:tcPr>
          <w:p w:rsidR="0001063E" w:rsidRPr="0001063E" w:rsidRDefault="008308EE" w:rsidP="0001063E">
            <w:pPr>
              <w:cnfStyle w:val="000000000000" w:firstRow="0" w:lastRow="0" w:firstColumn="0" w:lastColumn="0" w:oddVBand="0" w:evenVBand="0" w:oddHBand="0" w:evenHBand="0" w:firstRowFirstColumn="0" w:firstRowLastColumn="0" w:lastRowFirstColumn="0" w:lastRowLastColumn="0"/>
            </w:pPr>
            <w:r>
              <w:t>5.00</w:t>
            </w:r>
            <w:r w:rsidR="0001063E">
              <w:t>%</w:t>
            </w:r>
          </w:p>
        </w:tc>
        <w:tc>
          <w:tcPr>
            <w:tcW w:w="1701" w:type="dxa"/>
          </w:tcPr>
          <w:p w:rsidR="0001063E" w:rsidRDefault="0001063E" w:rsidP="0001063E">
            <w:pPr>
              <w:cnfStyle w:val="000000000000" w:firstRow="0" w:lastRow="0" w:firstColumn="0" w:lastColumn="0" w:oddVBand="0" w:evenVBand="0" w:oddHBand="0" w:evenHBand="0" w:firstRowFirstColumn="0" w:firstRowLastColumn="0" w:lastRowFirstColumn="0" w:lastRowLastColumn="0"/>
            </w:pPr>
          </w:p>
        </w:tc>
      </w:tr>
      <w:tr w:rsidR="0001063E" w:rsidTr="00B103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r>
              <w:t>Opening balance</w:t>
            </w:r>
          </w:p>
        </w:tc>
        <w:tc>
          <w:tcPr>
            <w:tcW w:w="1701" w:type="dxa"/>
          </w:tcPr>
          <w:p w:rsidR="0001063E" w:rsidRPr="0001063E" w:rsidRDefault="0001063E" w:rsidP="0001063E">
            <w:pPr>
              <w:cnfStyle w:val="000000010000" w:firstRow="0" w:lastRow="0" w:firstColumn="0" w:lastColumn="0" w:oddVBand="0" w:evenVBand="0" w:oddHBand="0" w:evenHBand="1" w:firstRowFirstColumn="0" w:firstRowLastColumn="0" w:lastRowFirstColumn="0" w:lastRowLastColumn="0"/>
            </w:pPr>
            <w:r>
              <w:t>n/a</w:t>
            </w:r>
          </w:p>
        </w:tc>
        <w:tc>
          <w:tcPr>
            <w:tcW w:w="1701" w:type="dxa"/>
          </w:tcPr>
          <w:p w:rsidR="0001063E" w:rsidRPr="0001063E" w:rsidRDefault="0001063E" w:rsidP="0001063E">
            <w:pPr>
              <w:cnfStyle w:val="000000010000" w:firstRow="0" w:lastRow="0" w:firstColumn="0" w:lastColumn="0" w:oddVBand="0" w:evenVBand="0" w:oddHBand="0" w:evenHBand="1" w:firstRowFirstColumn="0" w:firstRowLastColumn="0" w:lastRowFirstColumn="0" w:lastRowLastColumn="0"/>
            </w:pPr>
            <w:r>
              <w:t>–1</w:t>
            </w:r>
            <w:r w:rsidR="008308EE">
              <w:t>091</w:t>
            </w:r>
          </w:p>
        </w:tc>
      </w:tr>
      <w:tr w:rsidR="0001063E" w:rsidTr="00B10342">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r>
              <w:t xml:space="preserve">Under/over recovery </w:t>
            </w:r>
            <w:r w:rsidRPr="0001063E">
              <w:t>of revenue for regulatory year</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pPr>
            <w:r>
              <w:t>–990</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pPr>
            <w:r>
              <w:t>1</w:t>
            </w:r>
            <w:r w:rsidR="008308EE">
              <w:t>091</w:t>
            </w:r>
            <w:r w:rsidRPr="0001063E">
              <w:rPr>
                <w:rStyle w:val="AERsuperscript"/>
              </w:rPr>
              <w:t>b</w:t>
            </w:r>
          </w:p>
        </w:tc>
      </w:tr>
      <w:tr w:rsidR="0001063E" w:rsidTr="00B103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r>
              <w:t>Interest on under/over recovery for</w:t>
            </w:r>
            <w:r w:rsidRPr="0001063E">
              <w:t xml:space="preserve"> 2 regulatory years</w:t>
            </w:r>
          </w:p>
        </w:tc>
        <w:tc>
          <w:tcPr>
            <w:tcW w:w="1701" w:type="dxa"/>
          </w:tcPr>
          <w:p w:rsidR="0001063E" w:rsidRPr="0001063E" w:rsidRDefault="0001063E" w:rsidP="0001063E">
            <w:pPr>
              <w:cnfStyle w:val="000000010000" w:firstRow="0" w:lastRow="0" w:firstColumn="0" w:lastColumn="0" w:oddVBand="0" w:evenVBand="0" w:oddHBand="0" w:evenHBand="1" w:firstRowFirstColumn="0" w:firstRowLastColumn="0" w:lastRowFirstColumn="0" w:lastRowLastColumn="0"/>
            </w:pPr>
            <w:r>
              <w:t>–</w:t>
            </w:r>
            <w:r w:rsidR="008308EE">
              <w:t>101</w:t>
            </w:r>
          </w:p>
        </w:tc>
        <w:tc>
          <w:tcPr>
            <w:tcW w:w="1701" w:type="dxa"/>
          </w:tcPr>
          <w:p w:rsidR="0001063E" w:rsidRPr="0001063E" w:rsidRDefault="0001063E" w:rsidP="0001063E">
            <w:pPr>
              <w:cnfStyle w:val="000000010000" w:firstRow="0" w:lastRow="0" w:firstColumn="0" w:lastColumn="0" w:oddVBand="0" w:evenVBand="0" w:oddHBand="0" w:evenHBand="1" w:firstRowFirstColumn="0" w:firstRowLastColumn="0" w:lastRowFirstColumn="0" w:lastRowLastColumn="0"/>
            </w:pPr>
            <w:r>
              <w:t>n/a</w:t>
            </w:r>
          </w:p>
        </w:tc>
      </w:tr>
      <w:tr w:rsidR="0001063E" w:rsidRPr="002234C6" w:rsidTr="00B10342">
        <w:tc>
          <w:tcPr>
            <w:cnfStyle w:val="001000000000" w:firstRow="0" w:lastRow="0" w:firstColumn="1" w:lastColumn="0" w:oddVBand="0" w:evenVBand="0" w:oddHBand="0" w:evenHBand="0" w:firstRowFirstColumn="0" w:firstRowLastColumn="0" w:lastRowFirstColumn="0" w:lastRowLastColumn="0"/>
            <w:tcW w:w="5211" w:type="dxa"/>
          </w:tcPr>
          <w:p w:rsidR="0001063E" w:rsidRPr="0001063E" w:rsidRDefault="0001063E" w:rsidP="0001063E">
            <w:pPr>
              <w:rPr>
                <w:rStyle w:val="Strong"/>
              </w:rPr>
            </w:pPr>
            <w:r w:rsidRPr="002234C6">
              <w:rPr>
                <w:rStyle w:val="Strong"/>
              </w:rPr>
              <w:t>Closing balance</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w:t>
            </w:r>
            <w:r w:rsidR="008308EE">
              <w:rPr>
                <w:rStyle w:val="Strong"/>
              </w:rPr>
              <w:t>091</w:t>
            </w:r>
          </w:p>
        </w:tc>
        <w:tc>
          <w:tcPr>
            <w:tcW w:w="1701" w:type="dxa"/>
          </w:tcPr>
          <w:p w:rsidR="0001063E" w:rsidRPr="0001063E" w:rsidRDefault="0001063E" w:rsidP="0001063E">
            <w:pPr>
              <w:cnfStyle w:val="000000000000" w:firstRow="0" w:lastRow="0" w:firstColumn="0" w:lastColumn="0" w:oddVBand="0" w:evenVBand="0" w:oddHBand="0" w:evenHBand="0" w:firstRowFirstColumn="0" w:firstRowLastColumn="0" w:lastRowFirstColumn="0" w:lastRowLastColumn="0"/>
              <w:rPr>
                <w:rStyle w:val="Strong"/>
              </w:rPr>
            </w:pPr>
            <w:r w:rsidRPr="002234C6">
              <w:rPr>
                <w:rStyle w:val="Strong"/>
              </w:rPr>
              <w:t>0</w:t>
            </w:r>
            <w:r w:rsidRPr="0001063E">
              <w:rPr>
                <w:rStyle w:val="AERsuperscript"/>
              </w:rPr>
              <w:t>c</w:t>
            </w:r>
          </w:p>
        </w:tc>
      </w:tr>
    </w:tbl>
    <w:p w:rsidR="0001063E" w:rsidRDefault="0001063E" w:rsidP="0001063E">
      <w:pPr>
        <w:pStyle w:val="AERtablesource"/>
      </w:pPr>
      <w:r>
        <w:t>Notes:</w:t>
      </w:r>
      <w:r>
        <w:tab/>
        <w:t>(a) Approved jurisdictional scheme amount revenue under/over recovery for regulatory year t–2.</w:t>
      </w:r>
    </w:p>
    <w:p w:rsidR="0001063E" w:rsidRDefault="0001063E" w:rsidP="0001063E">
      <w:pPr>
        <w:pStyle w:val="AERtablesource"/>
      </w:pPr>
      <w:r>
        <w:tab/>
        <w:t>(b) Amount should offset the closing balance for jurisdictional amount unders and overs account for year t–2.</w:t>
      </w:r>
    </w:p>
    <w:p w:rsidR="0001063E" w:rsidRDefault="0001063E" w:rsidP="0001063E">
      <w:pPr>
        <w:pStyle w:val="AERtablesource"/>
      </w:pPr>
      <w:r>
        <w:tab/>
        <w:t xml:space="preserve">(c) Ergon Energy </w:t>
      </w:r>
      <w:r w:rsidR="006C6C98" w:rsidRPr="006C6C98">
        <w:t xml:space="preserve">is expected to achieve a closing balance as close to zero as practicable in its </w:t>
      </w:r>
      <w:r>
        <w:t>jurisdictional scheme amount unders and overs account in each forecast year in its annual pricing proposals in the 201</w:t>
      </w:r>
      <w:r w:rsidR="005A2715">
        <w:t>5</w:t>
      </w:r>
      <w:r>
        <w:t>–20 regulatory control period.</w:t>
      </w:r>
    </w:p>
    <w:p w:rsidR="0001063E" w:rsidRPr="0001063E" w:rsidRDefault="0001063E" w:rsidP="0001063E"/>
    <w:p w:rsidR="001961AE" w:rsidRDefault="001961AE" w:rsidP="001961AE">
      <w:pPr>
        <w:pStyle w:val="Heading7"/>
      </w:pPr>
      <w:bookmarkStart w:id="50" w:name="_Ref428542941"/>
      <w:bookmarkStart w:id="51" w:name="_Toc433299190"/>
      <w:r>
        <w:lastRenderedPageBreak/>
        <w:t>Assigning retail customers to tariff classes</w:t>
      </w:r>
      <w:bookmarkEnd w:id="50"/>
      <w:bookmarkEnd w:id="51"/>
    </w:p>
    <w:p w:rsidR="001961AE" w:rsidRDefault="001961AE" w:rsidP="001961AE">
      <w:r w:rsidRPr="001961AE">
        <w:t>We are required to decide on the principles governing assignment</w:t>
      </w:r>
      <w:r w:rsidR="00176A78">
        <w:t xml:space="preserve"> or re</w:t>
      </w:r>
      <w:r w:rsidRPr="001961AE">
        <w:t>assignment of retail customers</w:t>
      </w:r>
      <w:r w:rsidR="007251FA">
        <w:t xml:space="preserve"> (customer</w:t>
      </w:r>
      <w:r w:rsidR="00BC56E7">
        <w:t>s</w:t>
      </w:r>
      <w:r w:rsidR="007251FA">
        <w:t>)</w:t>
      </w:r>
      <w:r w:rsidRPr="001961AE">
        <w:t xml:space="preserve"> to or between tariff classes.</w:t>
      </w:r>
      <w:r>
        <w:rPr>
          <w:rStyle w:val="FootnoteReference"/>
        </w:rPr>
        <w:footnoteReference w:id="66"/>
      </w:r>
      <w:r w:rsidR="0081098D">
        <w:t xml:space="preserve"> </w:t>
      </w:r>
      <w:r w:rsidR="00BA19BA" w:rsidRPr="00BA19BA">
        <w:t xml:space="preserve">Our decision on the principles that </w:t>
      </w:r>
      <w:r w:rsidR="00BA19BA">
        <w:t>Ergon Energy</w:t>
      </w:r>
      <w:r w:rsidR="00BA19BA" w:rsidRPr="00BA19BA">
        <w:t xml:space="preserve"> is to adhere to in assigning and reassigning</w:t>
      </w:r>
      <w:r w:rsidR="007D4221">
        <w:t xml:space="preserve"> </w:t>
      </w:r>
      <w:r w:rsidR="00BA19BA" w:rsidRPr="00BA19BA">
        <w:t>customers to tariff classes is outlined below.</w:t>
      </w:r>
    </w:p>
    <w:p w:rsidR="00BA19BA" w:rsidRDefault="00BA19BA" w:rsidP="00BA19BA">
      <w:pPr>
        <w:pStyle w:val="Heading8"/>
      </w:pPr>
      <w:bookmarkStart w:id="52" w:name="_Toc433299191"/>
      <w:r>
        <w:t>AER's assessment approach</w:t>
      </w:r>
      <w:bookmarkEnd w:id="52"/>
    </w:p>
    <w:p w:rsidR="00BA19BA" w:rsidRDefault="00BA19BA" w:rsidP="00BA19BA">
      <w:r w:rsidRPr="00BA19BA">
        <w:t xml:space="preserve">We apply the principles set out in the NER when formulating provisions which </w:t>
      </w:r>
      <w:r>
        <w:t>Ergon Energy</w:t>
      </w:r>
      <w:r w:rsidRPr="00BA19BA">
        <w:t xml:space="preserve"> m</w:t>
      </w:r>
      <w:r w:rsidR="00176A78">
        <w:t>ust apply with assignment or re</w:t>
      </w:r>
      <w:r w:rsidRPr="00BA19BA">
        <w:t>assignment of customers to tariff classes.</w:t>
      </w:r>
      <w:r>
        <w:rPr>
          <w:rStyle w:val="FootnoteReference"/>
        </w:rPr>
        <w:footnoteReference w:id="67"/>
      </w:r>
      <w:r w:rsidRPr="00BA19BA">
        <w:t xml:space="preserve"> A distributor's decision to assign a customer to a p</w:t>
      </w:r>
      <w:r w:rsidR="005B088D">
        <w:t>articular tariff class or to re</w:t>
      </w:r>
      <w:r w:rsidRPr="00BA19BA">
        <w:t>assign a customer from one tariff class to another should be subject to an effective system of assessment and review.</w:t>
      </w:r>
    </w:p>
    <w:p w:rsidR="00BA19BA" w:rsidRDefault="00BA19BA" w:rsidP="00BA19BA">
      <w:pPr>
        <w:pStyle w:val="Heading8"/>
      </w:pPr>
      <w:bookmarkStart w:id="53" w:name="_Toc433299192"/>
      <w:r>
        <w:t>Reasons for the final decision</w:t>
      </w:r>
      <w:bookmarkEnd w:id="53"/>
    </w:p>
    <w:p w:rsidR="00001341" w:rsidRDefault="00001341" w:rsidP="00BA19BA">
      <w:r>
        <w:t>Ergon Energy stated that it accepted many aspects of our preliminary decision principles governing its assignment or reassignment of customers to or between tariff classes.</w:t>
      </w:r>
      <w:r>
        <w:rPr>
          <w:rStyle w:val="FootnoteReference"/>
        </w:rPr>
        <w:footnoteReference w:id="68"/>
      </w:r>
      <w:r>
        <w:t xml:space="preserve"> However, Ergon Energy stated that </w:t>
      </w:r>
      <w:r w:rsidR="005B088D">
        <w:t>the following</w:t>
      </w:r>
      <w:r>
        <w:t xml:space="preserve"> issues </w:t>
      </w:r>
      <w:r w:rsidR="005B088D">
        <w:t>required further consideration:</w:t>
      </w:r>
    </w:p>
    <w:p w:rsidR="005B088D" w:rsidRDefault="005B088D" w:rsidP="00001341">
      <w:pPr>
        <w:pStyle w:val="AERbulletlistfirststyle"/>
      </w:pPr>
      <w:r>
        <w:t>C</w:t>
      </w:r>
      <w:r w:rsidR="00001341">
        <w:t xml:space="preserve">larification on who it should notify when </w:t>
      </w:r>
      <w:r w:rsidR="005A2715">
        <w:t>a tariff class assignment or re</w:t>
      </w:r>
      <w:r w:rsidR="00001341">
        <w:t>assignment is expected to occur</w:t>
      </w:r>
      <w:r>
        <w:t>.</w:t>
      </w:r>
    </w:p>
    <w:p w:rsidR="00001341" w:rsidRDefault="00BC56E7" w:rsidP="005B088D">
      <w:pPr>
        <w:pStyle w:val="AERbulletlistfirststyle"/>
      </w:pPr>
      <w:r>
        <w:t xml:space="preserve">Remove </w:t>
      </w:r>
      <w:r w:rsidRPr="005B088D">
        <w:t>the Energy and Water Ombudsman</w:t>
      </w:r>
      <w:r>
        <w:t xml:space="preserve"> </w:t>
      </w:r>
      <w:r w:rsidR="000F181E" w:rsidRPr="005B088D">
        <w:t xml:space="preserve">Queensland </w:t>
      </w:r>
      <w:r>
        <w:t>as an entity to resolve t</w:t>
      </w:r>
      <w:r w:rsidR="005B088D">
        <w:t xml:space="preserve">ariff assignment or reassignment </w:t>
      </w:r>
      <w:r w:rsidR="005B088D" w:rsidRPr="005B088D">
        <w:t>dispute resolution</w:t>
      </w:r>
      <w:r>
        <w:t xml:space="preserve"> as it is not within its jurisdictional powers</w:t>
      </w:r>
      <w:r w:rsidR="005B088D">
        <w:t>.</w:t>
      </w:r>
    </w:p>
    <w:p w:rsidR="005B088D" w:rsidRDefault="005B088D" w:rsidP="005B088D">
      <w:pPr>
        <w:pStyle w:val="AERbulletlistfirststyle"/>
      </w:pPr>
      <w:r>
        <w:t xml:space="preserve">Adjustments </w:t>
      </w:r>
      <w:r w:rsidR="00BC56E7">
        <w:t xml:space="preserve">to a </w:t>
      </w:r>
      <w:r w:rsidRPr="005B088D">
        <w:t xml:space="preserve">customer's </w:t>
      </w:r>
      <w:r>
        <w:t>tariffs</w:t>
      </w:r>
      <w:r w:rsidRPr="005B088D">
        <w:t xml:space="preserve"> </w:t>
      </w:r>
      <w:r w:rsidR="00BC56E7">
        <w:t>should occur at the next network bill</w:t>
      </w:r>
      <w:r w:rsidR="00BC56E7" w:rsidRPr="005B088D">
        <w:t xml:space="preserve"> </w:t>
      </w:r>
      <w:r w:rsidRPr="005B088D">
        <w:t>if</w:t>
      </w:r>
      <w:r w:rsidR="00BC56E7">
        <w:t xml:space="preserve"> an</w:t>
      </w:r>
      <w:r w:rsidRPr="005B088D">
        <w:t xml:space="preserve"> objection</w:t>
      </w:r>
      <w:r w:rsidR="00BC56E7">
        <w:t xml:space="preserve"> to a tariff assignment or reassignment</w:t>
      </w:r>
      <w:r w:rsidRPr="005B088D">
        <w:t xml:space="preserve"> is upheld</w:t>
      </w:r>
      <w:r>
        <w:t>.</w:t>
      </w:r>
    </w:p>
    <w:p w:rsidR="005B088D" w:rsidRDefault="00E33E81" w:rsidP="005B088D">
      <w:pPr>
        <w:pStyle w:val="AERbulletlistfirststyle"/>
      </w:pPr>
      <w:r>
        <w:t>Principles</w:t>
      </w:r>
      <w:r w:rsidR="005B088D" w:rsidRPr="005B088D">
        <w:t xml:space="preserve"> for assigning or reassigning customers to alternative control services</w:t>
      </w:r>
      <w:r w:rsidR="005B088D">
        <w:t>.</w:t>
      </w:r>
    </w:p>
    <w:p w:rsidR="000724E6" w:rsidRDefault="000724E6" w:rsidP="000724E6">
      <w:r>
        <w:t xml:space="preserve">Our consideration on these issues </w:t>
      </w:r>
      <w:r w:rsidRPr="000724E6">
        <w:t>is discussed below.</w:t>
      </w:r>
    </w:p>
    <w:p w:rsidR="0036422C" w:rsidRDefault="0036422C" w:rsidP="000724E6"/>
    <w:p w:rsidR="0036422C" w:rsidRDefault="0036422C" w:rsidP="000724E6"/>
    <w:p w:rsidR="0036422C" w:rsidRPr="005B088D" w:rsidRDefault="0036422C" w:rsidP="000724E6"/>
    <w:p w:rsidR="00001341" w:rsidRDefault="00C95C5B" w:rsidP="00C95C5B">
      <w:pPr>
        <w:pStyle w:val="Heading9"/>
      </w:pPr>
      <w:bookmarkStart w:id="54" w:name="_Toc433299193"/>
      <w:r>
        <w:lastRenderedPageBreak/>
        <w:t>Approach of notifying retailers instead of the affected customer</w:t>
      </w:r>
      <w:bookmarkEnd w:id="54"/>
    </w:p>
    <w:p w:rsidR="00C95C5B" w:rsidRDefault="00C95C5B" w:rsidP="00C95C5B">
      <w:r>
        <w:t>Ergon Energy considered</w:t>
      </w:r>
      <w:r w:rsidR="00094689">
        <w:t xml:space="preserve"> there was some confusion in our</w:t>
      </w:r>
      <w:r>
        <w:t xml:space="preserve"> preliminary decision on whether the customer or the customer's retailer should be notified regarding tariff class reassignments.</w:t>
      </w:r>
      <w:r w:rsidR="00094689">
        <w:rPr>
          <w:rStyle w:val="FootnoteReference"/>
        </w:rPr>
        <w:footnoteReference w:id="69"/>
      </w:r>
      <w:r w:rsidR="00094689">
        <w:t xml:space="preserve"> It proposed that the customer's retailer should be notified.</w:t>
      </w:r>
    </w:p>
    <w:p w:rsidR="00C95C5B" w:rsidRDefault="00C95C5B" w:rsidP="00C95C5B">
      <w:r>
        <w:t>Consistent with the approach in our final decisions for the New South Wales distributors</w:t>
      </w:r>
      <w:r w:rsidR="00094689">
        <w:t xml:space="preserve"> we accept that the customer's retailer should be notified.</w:t>
      </w:r>
      <w:r w:rsidR="00094689">
        <w:rPr>
          <w:rStyle w:val="FootnoteReference"/>
        </w:rPr>
        <w:footnoteReference w:id="70"/>
      </w:r>
      <w:r w:rsidR="00094689">
        <w:t xml:space="preserve"> We note </w:t>
      </w:r>
      <w:r w:rsidRPr="00C95C5B">
        <w:t>that notifying both the customer and the</w:t>
      </w:r>
      <w:r w:rsidR="00094689">
        <w:t xml:space="preserve"> customer's</w:t>
      </w:r>
      <w:r w:rsidRPr="00C95C5B">
        <w:t xml:space="preserve"> retailer may impose an additional cost on distributors. Further, notification sent by distributors to customers may also add a level of confusion. That is, the final bill paid by a customer will depend on the offer made by the retailer to that customer and not those applied by </w:t>
      </w:r>
      <w:r w:rsidR="00094689">
        <w:t>Ergon Energy</w:t>
      </w:r>
      <w:r w:rsidRPr="00C95C5B">
        <w:t>. As such, correspondence about network tariff class changes may cause confusion to the customer about their retail electricity bill.</w:t>
      </w:r>
    </w:p>
    <w:p w:rsidR="00BA271B" w:rsidRDefault="00AE151B" w:rsidP="00BA271B">
      <w:pPr>
        <w:pStyle w:val="Heading9"/>
      </w:pPr>
      <w:bookmarkStart w:id="55" w:name="_Toc433299194"/>
      <w:r>
        <w:t>E</w:t>
      </w:r>
      <w:r w:rsidR="008F1981">
        <w:t xml:space="preserve">nergy and </w:t>
      </w:r>
      <w:r>
        <w:t>Water O</w:t>
      </w:r>
      <w:r w:rsidR="00BA271B">
        <w:t>mbudsman</w:t>
      </w:r>
      <w:r w:rsidRPr="00AE151B">
        <w:t xml:space="preserve"> </w:t>
      </w:r>
      <w:r>
        <w:t>Queensland</w:t>
      </w:r>
      <w:r w:rsidR="00BA271B">
        <w:t xml:space="preserve"> powers</w:t>
      </w:r>
      <w:bookmarkEnd w:id="55"/>
    </w:p>
    <w:p w:rsidR="00AE151B" w:rsidRDefault="00B34501" w:rsidP="00BA271B">
      <w:r>
        <w:t>O</w:t>
      </w:r>
      <w:r w:rsidR="00BA271B">
        <w:t>ur preliminary decision stated</w:t>
      </w:r>
      <w:r>
        <w:t xml:space="preserve"> that a</w:t>
      </w:r>
      <w:r w:rsidR="00AE151B">
        <w:t>ny</w:t>
      </w:r>
      <w:r>
        <w:t xml:space="preserve"> customer</w:t>
      </w:r>
      <w:r w:rsidR="00AE151B">
        <w:t>s</w:t>
      </w:r>
      <w:r>
        <w:t xml:space="preserve"> may be able to escalate its objection to an assignment or reassignment with the </w:t>
      </w:r>
      <w:r w:rsidRPr="00B34501">
        <w:t>Energy and Water Ombudsman</w:t>
      </w:r>
      <w:r>
        <w:t xml:space="preserve"> </w:t>
      </w:r>
      <w:r w:rsidR="000F181E">
        <w:t xml:space="preserve">Queensland </w:t>
      </w:r>
      <w:r>
        <w:t>if</w:t>
      </w:r>
      <w:r w:rsidR="00BA271B">
        <w:t xml:space="preserve"> </w:t>
      </w:r>
      <w:r w:rsidR="008F1981">
        <w:t xml:space="preserve">their objection had not been satisfactorily </w:t>
      </w:r>
      <w:r>
        <w:t>resolved by Ergon Energy.</w:t>
      </w:r>
      <w:r>
        <w:rPr>
          <w:rStyle w:val="FootnoteReference"/>
        </w:rPr>
        <w:footnoteReference w:id="71"/>
      </w:r>
      <w:r w:rsidR="00AE151B">
        <w:t xml:space="preserve"> </w:t>
      </w:r>
      <w:r w:rsidR="00145AC3">
        <w:t>Ergon Energy</w:t>
      </w:r>
      <w:r w:rsidR="001F09B2">
        <w:t>'s revised proposal</w:t>
      </w:r>
      <w:r w:rsidR="008F1981">
        <w:t xml:space="preserve"> </w:t>
      </w:r>
      <w:r w:rsidR="001F09B2">
        <w:t xml:space="preserve">considered </w:t>
      </w:r>
      <w:r w:rsidR="008F1981">
        <w:t>that</w:t>
      </w:r>
      <w:r w:rsidR="00145AC3">
        <w:t xml:space="preserve"> this type of dispute resolution is not </w:t>
      </w:r>
      <w:r w:rsidR="002424FE">
        <w:t>within the jurisdictional powers</w:t>
      </w:r>
      <w:r w:rsidR="00145AC3">
        <w:t xml:space="preserve"> of the Energy and Water Ombudsman</w:t>
      </w:r>
      <w:r w:rsidR="000F181E" w:rsidRPr="000F181E">
        <w:t xml:space="preserve"> </w:t>
      </w:r>
      <w:r w:rsidR="000F181E">
        <w:t>Queensland</w:t>
      </w:r>
      <w:r w:rsidR="00145AC3">
        <w:t>.</w:t>
      </w:r>
      <w:r w:rsidR="00145AC3">
        <w:rPr>
          <w:rStyle w:val="FootnoteReference"/>
        </w:rPr>
        <w:footnoteReference w:id="72"/>
      </w:r>
    </w:p>
    <w:p w:rsidR="00AE151B" w:rsidRDefault="001F09B2" w:rsidP="00BA271B">
      <w:r>
        <w:t xml:space="preserve">However, </w:t>
      </w:r>
      <w:r w:rsidR="00AE151B">
        <w:t xml:space="preserve">we contacted </w:t>
      </w:r>
      <w:r w:rsidR="000F181E">
        <w:t>the Energy and Water Ombudsman</w:t>
      </w:r>
      <w:r w:rsidR="000F181E" w:rsidRPr="000F181E">
        <w:t xml:space="preserve"> </w:t>
      </w:r>
      <w:r w:rsidR="000F181E">
        <w:t>Queensland</w:t>
      </w:r>
      <w:r w:rsidR="00AE151B">
        <w:t xml:space="preserve"> which</w:t>
      </w:r>
      <w:r w:rsidR="000F181E">
        <w:t xml:space="preserve"> confirmed that</w:t>
      </w:r>
      <w:r w:rsidR="00AE151B">
        <w:t xml:space="preserve"> </w:t>
      </w:r>
      <w:r w:rsidR="000F181E">
        <w:t>it does have jurisdictional powers to resolve</w:t>
      </w:r>
      <w:r w:rsidR="00AE151B">
        <w:t xml:space="preserve"> this type of dispute</w:t>
      </w:r>
      <w:r w:rsidR="00AE151B" w:rsidRPr="00AE151B">
        <w:t xml:space="preserve"> </w:t>
      </w:r>
      <w:r w:rsidR="00AE151B">
        <w:t xml:space="preserve">for small scale customers only. </w:t>
      </w:r>
      <w:r w:rsidR="00857A7B">
        <w:t>T</w:t>
      </w:r>
      <w:r w:rsidR="00AE151B" w:rsidRPr="00AE151B">
        <w:t>his type of dispute resolution for large customers is not within its jurisdictional powers.</w:t>
      </w:r>
      <w:r w:rsidR="00AE151B">
        <w:t xml:space="preserve"> </w:t>
      </w:r>
      <w:r w:rsidR="00145AC3">
        <w:t>Therefore</w:t>
      </w:r>
      <w:r w:rsidR="002424FE">
        <w:t>, we</w:t>
      </w:r>
      <w:r w:rsidR="004F4F21">
        <w:t xml:space="preserve"> have</w:t>
      </w:r>
      <w:r w:rsidR="002424FE">
        <w:t xml:space="preserve"> amended our final decision </w:t>
      </w:r>
      <w:r w:rsidR="004F4F21">
        <w:t xml:space="preserve">to </w:t>
      </w:r>
      <w:r w:rsidR="00AE151B">
        <w:t>make this clarification.</w:t>
      </w:r>
    </w:p>
    <w:p w:rsidR="004F4F21" w:rsidRDefault="00615612" w:rsidP="00BA271B">
      <w:r>
        <w:t xml:space="preserve">As noted below, </w:t>
      </w:r>
      <w:r w:rsidR="001F09B2">
        <w:t xml:space="preserve">all </w:t>
      </w:r>
      <w:r w:rsidR="004F4F21">
        <w:t>customers are</w:t>
      </w:r>
      <w:r>
        <w:t xml:space="preserve"> still</w:t>
      </w:r>
      <w:r w:rsidR="004F4F21">
        <w:t xml:space="preserve"> </w:t>
      </w:r>
      <w:r w:rsidR="004F4F21" w:rsidRPr="004F4F21">
        <w:t>entitled to seek a decision of the AER via the dispute resolution process available under Part 10 of the NEL.</w:t>
      </w:r>
    </w:p>
    <w:p w:rsidR="0036422C" w:rsidRDefault="0036422C" w:rsidP="00BA271B"/>
    <w:p w:rsidR="0036422C" w:rsidRDefault="0036422C" w:rsidP="00BA271B"/>
    <w:p w:rsidR="0036422C" w:rsidRDefault="0036422C" w:rsidP="00BA271B"/>
    <w:p w:rsidR="00C14069" w:rsidRDefault="006955D2" w:rsidP="00C14069">
      <w:pPr>
        <w:pStyle w:val="Heading9"/>
      </w:pPr>
      <w:bookmarkStart w:id="56" w:name="_Toc433299195"/>
      <w:r>
        <w:lastRenderedPageBreak/>
        <w:t>Adjustments to</w:t>
      </w:r>
      <w:r w:rsidR="005B088D">
        <w:t xml:space="preserve"> retail customers</w:t>
      </w:r>
      <w:r>
        <w:t xml:space="preserve"> </w:t>
      </w:r>
      <w:r w:rsidR="005B088D">
        <w:t>tariffs</w:t>
      </w:r>
      <w:r>
        <w:t xml:space="preserve"> if objection is upheld</w:t>
      </w:r>
      <w:bookmarkEnd w:id="56"/>
    </w:p>
    <w:p w:rsidR="00CB1E8F" w:rsidRDefault="00F20167" w:rsidP="006955D2">
      <w:r>
        <w:t xml:space="preserve">We accept Ergon Energy's proposal that </w:t>
      </w:r>
      <w:r w:rsidR="00CB1E8F">
        <w:t>if</w:t>
      </w:r>
      <w:r>
        <w:t xml:space="preserve"> </w:t>
      </w:r>
      <w:r w:rsidR="006955D2">
        <w:t>a customer's objection to a</w:t>
      </w:r>
      <w:r>
        <w:t xml:space="preserve">n assignment or reassignment </w:t>
      </w:r>
      <w:r w:rsidR="00CB1E8F">
        <w:t>is</w:t>
      </w:r>
      <w:r>
        <w:t xml:space="preserve"> upheld by an external</w:t>
      </w:r>
      <w:r w:rsidR="006955D2">
        <w:t xml:space="preserve"> dispute resolution body</w:t>
      </w:r>
      <w:r>
        <w:t>,</w:t>
      </w:r>
      <w:r w:rsidR="006955D2">
        <w:t xml:space="preserve"> that</w:t>
      </w:r>
      <w:r w:rsidR="005B088D">
        <w:t xml:space="preserve"> tariff</w:t>
      </w:r>
      <w:r w:rsidR="006955D2">
        <w:t xml:space="preserve"> adjustment</w:t>
      </w:r>
      <w:r>
        <w:t>s</w:t>
      </w:r>
      <w:r w:rsidR="006955D2">
        <w:t xml:space="preserve"> </w:t>
      </w:r>
      <w:r>
        <w:t>are</w:t>
      </w:r>
      <w:r w:rsidR="006955D2">
        <w:t xml:space="preserve"> made at the time of the next network bill after the date of effect</w:t>
      </w:r>
      <w:r>
        <w:t>.</w:t>
      </w:r>
      <w:r w:rsidR="00CB1E8F">
        <w:rPr>
          <w:rStyle w:val="FootnoteReference"/>
        </w:rPr>
        <w:footnoteReference w:id="73"/>
      </w:r>
      <w:r>
        <w:t xml:space="preserve"> </w:t>
      </w:r>
    </w:p>
    <w:p w:rsidR="006955D2" w:rsidRDefault="00F20167" w:rsidP="006955D2">
      <w:r>
        <w:t xml:space="preserve">Our preliminary decision considered this adjustment should be made at </w:t>
      </w:r>
      <w:r w:rsidR="00CB1E8F">
        <w:t xml:space="preserve">the </w:t>
      </w:r>
      <w:r>
        <w:t>next annual review of prices.</w:t>
      </w:r>
      <w:r>
        <w:rPr>
          <w:rStyle w:val="FootnoteReference"/>
        </w:rPr>
        <w:footnoteReference w:id="74"/>
      </w:r>
      <w:r w:rsidR="00CB1E8F">
        <w:t xml:space="preserve"> However, we agree with Ergon Energy that is better for customers and</w:t>
      </w:r>
      <w:r w:rsidR="005B088D">
        <w:t xml:space="preserve"> is</w:t>
      </w:r>
      <w:r w:rsidR="00CB1E8F">
        <w:t xml:space="preserve"> administratively simpler </w:t>
      </w:r>
      <w:r w:rsidR="005B088D">
        <w:t>to make tariff</w:t>
      </w:r>
      <w:r w:rsidR="00CB1E8F">
        <w:t xml:space="preserve"> adjustment</w:t>
      </w:r>
      <w:r w:rsidR="005B088D">
        <w:t>s</w:t>
      </w:r>
      <w:r w:rsidR="00CB1E8F">
        <w:t xml:space="preserve"> as soon as possible</w:t>
      </w:r>
      <w:r w:rsidR="00126335">
        <w:t xml:space="preserve"> after the date of effect</w:t>
      </w:r>
      <w:r w:rsidR="00CB1E8F">
        <w:t>.</w:t>
      </w:r>
      <w:r w:rsidR="00CB1E8F">
        <w:rPr>
          <w:rStyle w:val="FootnoteReference"/>
        </w:rPr>
        <w:footnoteReference w:id="75"/>
      </w:r>
    </w:p>
    <w:p w:rsidR="00542D91" w:rsidRDefault="00E33E81" w:rsidP="00542D91">
      <w:pPr>
        <w:pStyle w:val="Heading9"/>
      </w:pPr>
      <w:bookmarkStart w:id="57" w:name="_Toc433299196"/>
      <w:r>
        <w:t>Principles</w:t>
      </w:r>
      <w:r w:rsidR="00542D91">
        <w:t xml:space="preserve"> for</w:t>
      </w:r>
      <w:r w:rsidR="005B088D">
        <w:t xml:space="preserve"> assigning or reassigning retail customers to </w:t>
      </w:r>
      <w:r w:rsidR="00542D91">
        <w:t>alternative control services</w:t>
      </w:r>
      <w:bookmarkEnd w:id="57"/>
    </w:p>
    <w:p w:rsidR="00FE2839" w:rsidRDefault="00542D91" w:rsidP="00542D91">
      <w:r>
        <w:t>We accept Ergon Energy's proposal that the requirement to provide written notification to a customer's retailer for each tariff class assignment or reassignment for alternative control services is not practical.</w:t>
      </w:r>
      <w:r>
        <w:rPr>
          <w:rStyle w:val="FootnoteReference"/>
        </w:rPr>
        <w:footnoteReference w:id="76"/>
      </w:r>
      <w:r>
        <w:t xml:space="preserve"> We agree that </w:t>
      </w:r>
      <w:r w:rsidR="00FE2839">
        <w:t>customers or</w:t>
      </w:r>
      <w:r w:rsidR="00126335">
        <w:t xml:space="preserve"> customer's</w:t>
      </w:r>
      <w:r w:rsidR="00FE2839">
        <w:t xml:space="preserve"> retailers essentially assign themselves to a tariff class when requesting the alternative control service they require.</w:t>
      </w:r>
    </w:p>
    <w:p w:rsidR="00542D91" w:rsidRPr="00542D91" w:rsidRDefault="00FE2839" w:rsidP="00542D91">
      <w:r>
        <w:t>We note that Ergon Energy prop</w:t>
      </w:r>
      <w:r w:rsidR="00E33E81">
        <w:t>osed amendments to the principles</w:t>
      </w:r>
      <w:r>
        <w:t xml:space="preserve"> for assigning or reassigning customers to tariff classes to specifically address alternative control services.</w:t>
      </w:r>
      <w:r>
        <w:rPr>
          <w:rStyle w:val="FootnoteReference"/>
        </w:rPr>
        <w:footnoteReference w:id="77"/>
      </w:r>
      <w:r>
        <w:t xml:space="preserve"> We have accepted these additions for this final decision.</w:t>
      </w:r>
    </w:p>
    <w:p w:rsidR="00BA19BA" w:rsidRDefault="00BA19BA" w:rsidP="00BA19BA">
      <w:pPr>
        <w:pStyle w:val="Heading8"/>
      </w:pPr>
      <w:bookmarkStart w:id="58" w:name="_Toc433299197"/>
      <w:r>
        <w:t>Procedures for assigning or reassigning retail customers to tariff classes</w:t>
      </w:r>
      <w:bookmarkEnd w:id="58"/>
    </w:p>
    <w:p w:rsidR="00BA19BA" w:rsidRDefault="00BA19BA" w:rsidP="00BA19BA">
      <w:r w:rsidRPr="00BA19BA">
        <w:t>The procedure outlined in this section applies to direct control services.</w:t>
      </w:r>
    </w:p>
    <w:p w:rsidR="00FE725A" w:rsidRDefault="00FE725A" w:rsidP="00FE725A">
      <w:pPr>
        <w:pStyle w:val="HeadingBoldBlue"/>
      </w:pPr>
      <w:bookmarkStart w:id="59" w:name="_Toc433299198"/>
      <w:r>
        <w:t>Assignment of existing retail customers to tariff classes at the commencement of the 2015–20 regulatory control period</w:t>
      </w:r>
      <w:bookmarkEnd w:id="59"/>
    </w:p>
    <w:p w:rsidR="00FE725A" w:rsidRDefault="00FE725A" w:rsidP="00FE725A">
      <w:pPr>
        <w:pStyle w:val="ListNumber"/>
        <w:numPr>
          <w:ilvl w:val="0"/>
          <w:numId w:val="31"/>
        </w:numPr>
      </w:pPr>
      <w:r>
        <w:t xml:space="preserve">Ergon Energy's customers will be taken to be </w:t>
      </w:r>
      <w:r w:rsidR="002B3301">
        <w:t>"assigned" to the tariff class which Ergon Energy was charging that customer immediately prior to 1 July 2015 if:</w:t>
      </w:r>
    </w:p>
    <w:p w:rsidR="002B3301" w:rsidRDefault="002B3301" w:rsidP="003211E0">
      <w:pPr>
        <w:pStyle w:val="ListBullet2"/>
      </w:pPr>
      <w:r>
        <w:t>they were an Ergon Energy customer prior to 1 July 2015</w:t>
      </w:r>
      <w:r w:rsidR="00E634CC">
        <w:t>,</w:t>
      </w:r>
      <w:r>
        <w:t xml:space="preserve"> and</w:t>
      </w:r>
    </w:p>
    <w:p w:rsidR="003D33AF" w:rsidRPr="003D33AF" w:rsidRDefault="002B3301" w:rsidP="003D33AF">
      <w:pPr>
        <w:pStyle w:val="ListBullet2"/>
      </w:pPr>
      <w:r>
        <w:lastRenderedPageBreak/>
        <w:t>they continue to be a customer of Ergon Energy as at 1 July 2015</w:t>
      </w:r>
      <w:r w:rsidR="003D33AF" w:rsidRPr="003D33AF">
        <w:t>.</w:t>
      </w:r>
    </w:p>
    <w:p w:rsidR="00FE725A" w:rsidRDefault="00FE725A" w:rsidP="00FE725A">
      <w:pPr>
        <w:pStyle w:val="HeadingBoldBlue"/>
      </w:pPr>
      <w:bookmarkStart w:id="60" w:name="_Toc433299199"/>
      <w:r>
        <w:t>Assignment of new retail customers to a tariff class during the forthcoming regulatory control period</w:t>
      </w:r>
      <w:bookmarkEnd w:id="60"/>
    </w:p>
    <w:p w:rsidR="002B3301" w:rsidRDefault="002B3301" w:rsidP="002B3301">
      <w:pPr>
        <w:pStyle w:val="ListNumber"/>
      </w:pPr>
      <w:r>
        <w:t xml:space="preserve">If, </w:t>
      </w:r>
      <w:r w:rsidR="003D33AF">
        <w:t>from</w:t>
      </w:r>
      <w:r>
        <w:t xml:space="preserve"> 1 July 2015, Ergon Energy becomes aware that a person will become a customer of Ergon Energy, then Ergon Energy must determine the tariff class to which the new customer will be assigned.</w:t>
      </w:r>
    </w:p>
    <w:p w:rsidR="002B3301" w:rsidRDefault="002B3301" w:rsidP="002B3301">
      <w:pPr>
        <w:pStyle w:val="ListNumber"/>
      </w:pPr>
      <w:r>
        <w:t>In determining the tariff class to which a customer or potential customer will be assigned, or reassigned, in accordance with paragraphs 2 or 5, Ergon Energy must take into account one or more of the following factors:</w:t>
      </w:r>
    </w:p>
    <w:p w:rsidR="002B3301" w:rsidRPr="00C10909" w:rsidRDefault="002B3301" w:rsidP="00C10909">
      <w:pPr>
        <w:pStyle w:val="ListBullet2"/>
        <w:numPr>
          <w:ilvl w:val="0"/>
          <w:numId w:val="36"/>
        </w:numPr>
      </w:pPr>
      <w:r w:rsidRPr="00C10909">
        <w:t>the nature and extent of the customer's usage</w:t>
      </w:r>
    </w:p>
    <w:p w:rsidR="002B3301" w:rsidRPr="00C10909" w:rsidRDefault="002B3301" w:rsidP="00C10909">
      <w:pPr>
        <w:pStyle w:val="ListBullet2"/>
      </w:pPr>
      <w:r w:rsidRPr="00C10909">
        <w:t>the nature of the customer's connection to the network</w:t>
      </w:r>
      <w:r w:rsidRPr="00FA47A9">
        <w:rPr>
          <w:rStyle w:val="FootnoteReference"/>
        </w:rPr>
        <w:footnoteReference w:id="78"/>
      </w:r>
    </w:p>
    <w:p w:rsidR="002B3301" w:rsidRPr="00C10909" w:rsidRDefault="002B3301" w:rsidP="00C10909">
      <w:pPr>
        <w:pStyle w:val="ListBullet2"/>
      </w:pPr>
      <w:r w:rsidRPr="00C10909">
        <w:t>whether remotely</w:t>
      </w:r>
      <w:r w:rsidRPr="00C10909">
        <w:noBreakHyphen/>
        <w:t>read interval metering or other similar metering technology has been installed at the customer's premises as a result of a regulatory obligation or requirement.</w:t>
      </w:r>
    </w:p>
    <w:p w:rsidR="002B3301" w:rsidRDefault="002B3301" w:rsidP="002B3301">
      <w:pPr>
        <w:pStyle w:val="ListNumber"/>
      </w:pPr>
      <w:r>
        <w:t>In addition to the requirements of paragraph 3 above, Ergon Energy, when assigning or reassigning a customer to a tariff class, must ensure:</w:t>
      </w:r>
    </w:p>
    <w:p w:rsidR="002B3301" w:rsidRDefault="002B3301" w:rsidP="002B3301">
      <w:pPr>
        <w:pStyle w:val="ListBullet2"/>
        <w:numPr>
          <w:ilvl w:val="0"/>
          <w:numId w:val="33"/>
        </w:numPr>
      </w:pPr>
      <w:r>
        <w:t>customers with similar connection and usage profiles are treated equally</w:t>
      </w:r>
    </w:p>
    <w:p w:rsidR="002B3301" w:rsidRDefault="002B3301" w:rsidP="002B3301">
      <w:pPr>
        <w:pStyle w:val="ListBullet2"/>
        <w:numPr>
          <w:ilvl w:val="0"/>
          <w:numId w:val="33"/>
        </w:numPr>
      </w:pPr>
      <w:r>
        <w:t>customers who have micro</w:t>
      </w:r>
      <w:r>
        <w:noBreakHyphen/>
        <w:t>generation facilities are not treated less favourably than customers with similar load profiles without such facilities.</w:t>
      </w:r>
    </w:p>
    <w:p w:rsidR="00FE725A" w:rsidRDefault="00FE725A" w:rsidP="00FE725A">
      <w:pPr>
        <w:pStyle w:val="HeadingBoldBlue"/>
      </w:pPr>
      <w:bookmarkStart w:id="61" w:name="_Toc433299200"/>
      <w:r>
        <w:t>Reassignment of existing retail customers to another existing or a new tariff class during the 2015–20 regulatory control period</w:t>
      </w:r>
      <w:bookmarkEnd w:id="61"/>
    </w:p>
    <w:p w:rsidR="00E03E91" w:rsidRPr="00E03E91" w:rsidRDefault="00E03E91" w:rsidP="00E03E91">
      <w:pPr>
        <w:pStyle w:val="ListNumber"/>
      </w:pPr>
      <w:r>
        <w:t>Ergon </w:t>
      </w:r>
      <w:r w:rsidR="007D4221">
        <w:t>Energy may re</w:t>
      </w:r>
      <w:r w:rsidRPr="00E03E91">
        <w:t>assign an existing customer to another tariff class in the following situations:</w:t>
      </w:r>
    </w:p>
    <w:p w:rsidR="00E03E91" w:rsidRPr="00E03E91" w:rsidRDefault="00E03E91" w:rsidP="00E03E91">
      <w:pPr>
        <w:pStyle w:val="AERnumberedlistsecondstyle"/>
      </w:pPr>
      <w:r>
        <w:t>Ergon Energy</w:t>
      </w:r>
      <w:r w:rsidRPr="00E03E91">
        <w:t xml:space="preserve"> receives a request from the</w:t>
      </w:r>
      <w:r w:rsidR="00374728">
        <w:t xml:space="preserve"> customer or</w:t>
      </w:r>
      <w:r w:rsidRPr="00E03E91">
        <w:t xml:space="preserve"> customer's retailer to review the tariff to which the existing customer is assigned; or</w:t>
      </w:r>
    </w:p>
    <w:p w:rsidR="00E03E91" w:rsidRPr="00E03E91" w:rsidRDefault="00E03E91" w:rsidP="00E03E91">
      <w:pPr>
        <w:pStyle w:val="AERnumberedlistsecondstyle"/>
      </w:pPr>
      <w:r>
        <w:t>Ergon</w:t>
      </w:r>
      <w:r w:rsidRPr="00E03E91">
        <w:t xml:space="preserve"> Energy believes that:</w:t>
      </w:r>
    </w:p>
    <w:p w:rsidR="00E03E91" w:rsidRPr="00E03E91" w:rsidRDefault="00E03E91" w:rsidP="00E03E91">
      <w:pPr>
        <w:pStyle w:val="AERnumberedlistthirdstyle"/>
      </w:pPr>
      <w:r w:rsidRPr="00E03E91">
        <w:t xml:space="preserve">an existing customer's load characteristics or connection characteristics (or both) have changed such that it is no longer appropriate for that </w:t>
      </w:r>
      <w:r w:rsidR="00126335">
        <w:t>c</w:t>
      </w:r>
      <w:r w:rsidRPr="00E03E91">
        <w:t xml:space="preserve">ustomer to be assigned to the tariff class to which the customer is currently assigned, or </w:t>
      </w:r>
    </w:p>
    <w:p w:rsidR="00E03E91" w:rsidRDefault="00E03E91" w:rsidP="00E03E91">
      <w:pPr>
        <w:pStyle w:val="AERnumberedlistthirdstyle"/>
      </w:pPr>
      <w:r w:rsidRPr="00E03E91">
        <w:t>a customer no longer has the same or materially similar load or connection characteristics as other customers on the customer's existing ta</w:t>
      </w:r>
      <w:r w:rsidR="00374728">
        <w:t>riff, then Ergon</w:t>
      </w:r>
      <w:r>
        <w:t xml:space="preserve"> Energy may re</w:t>
      </w:r>
      <w:r w:rsidRPr="00E03E91">
        <w:t>assign that customer to another tariff class.</w:t>
      </w:r>
    </w:p>
    <w:p w:rsidR="007D4221" w:rsidRDefault="007D4221" w:rsidP="007D4221">
      <w:r w:rsidRPr="00E03E91">
        <w:lastRenderedPageBreak/>
        <w:t>In determining the tariff class to which a customer will be reassigned, Ergon</w:t>
      </w:r>
      <w:r>
        <w:t> </w:t>
      </w:r>
      <w:r w:rsidRPr="00E03E91">
        <w:t>Energy must take into account paragraphs 3 and 4 above.</w:t>
      </w:r>
    </w:p>
    <w:p w:rsidR="00FE725A" w:rsidRDefault="00FE725A" w:rsidP="00FE725A">
      <w:pPr>
        <w:pStyle w:val="HeadingBoldBlue"/>
      </w:pPr>
      <w:bookmarkStart w:id="62" w:name="_Toc433299201"/>
      <w:r>
        <w:t>Notification of proposed assignments and reassignments and rights of objection for standard control services</w:t>
      </w:r>
      <w:bookmarkEnd w:id="62"/>
    </w:p>
    <w:p w:rsidR="007D4221" w:rsidRPr="007D4221" w:rsidRDefault="007D4221" w:rsidP="007D4221">
      <w:pPr>
        <w:pStyle w:val="ListNumber"/>
      </w:pPr>
      <w:r w:rsidRPr="007D4221">
        <w:t>Ergon Energy m</w:t>
      </w:r>
      <w:r w:rsidR="00374728">
        <w:t xml:space="preserve">ust notify the </w:t>
      </w:r>
      <w:r w:rsidRPr="007D4221">
        <w:t>customer's retailer in writing of the tariff class to which the customer has been assigned or reassigned, prior to the assignment or reassignment occurring.</w:t>
      </w:r>
    </w:p>
    <w:p w:rsidR="007D4221" w:rsidRPr="007D4221" w:rsidRDefault="007D4221" w:rsidP="007D4221">
      <w:pPr>
        <w:pStyle w:val="ListNumber"/>
      </w:pPr>
      <w:r w:rsidRPr="007D4221">
        <w:t xml:space="preserve">A notice under paragraph </w:t>
      </w:r>
      <w:r w:rsidR="006A166D">
        <w:t>6</w:t>
      </w:r>
      <w:r w:rsidRPr="007D4221">
        <w:t xml:space="preserve"> above must include advice informing the</w:t>
      </w:r>
      <w:r w:rsidR="00374728">
        <w:t xml:space="preserve"> </w:t>
      </w:r>
      <w:r w:rsidRPr="007D4221">
        <w:t>customer's retailer that they may request further information from Ergon Energy and that the</w:t>
      </w:r>
      <w:r w:rsidR="00FA1C5A">
        <w:t xml:space="preserve"> customer or</w:t>
      </w:r>
      <w:r w:rsidR="00374728">
        <w:t xml:space="preserve"> </w:t>
      </w:r>
      <w:r w:rsidRPr="007D4221">
        <w:t>customer's retailer may object to the proposed re</w:t>
      </w:r>
      <w:r w:rsidR="00126BD4">
        <w:t>a</w:t>
      </w:r>
      <w:r w:rsidRPr="007D4221">
        <w:t>ssignment. This notice must specifically include:</w:t>
      </w:r>
    </w:p>
    <w:p w:rsidR="007D4221" w:rsidRDefault="007D4221" w:rsidP="007D4221">
      <w:pPr>
        <w:pStyle w:val="ListBullet2"/>
        <w:numPr>
          <w:ilvl w:val="0"/>
          <w:numId w:val="35"/>
        </w:numPr>
      </w:pPr>
      <w:r w:rsidRPr="007D4221">
        <w:t>a written document describing Ergon Energy’s internal procedures for reviewing objections, if the</w:t>
      </w:r>
      <w:r w:rsidR="00126BD4">
        <w:t xml:space="preserve"> customer or</w:t>
      </w:r>
      <w:r w:rsidR="00374728">
        <w:t xml:space="preserve"> </w:t>
      </w:r>
      <w:r w:rsidRPr="007D4221">
        <w:t>customer's retailer provides express consent, a soft copy of such information may be provided via email</w:t>
      </w:r>
    </w:p>
    <w:p w:rsidR="00AE151B" w:rsidRPr="00AE151B" w:rsidRDefault="00AE151B" w:rsidP="00AE151B">
      <w:pPr>
        <w:pStyle w:val="ListBullet2"/>
      </w:pPr>
      <w:r w:rsidRPr="00AE151B">
        <w:t xml:space="preserve">that for small scale customers if the objection is not resolved to the satisfaction of the customer or customer's retailer under </w:t>
      </w:r>
      <w:r>
        <w:t>Ergon Energy</w:t>
      </w:r>
      <w:r w:rsidRPr="00AE151B">
        <w:t>'s internal review system within a reasonable timeframe, then, to the extent resolution of such disputes are within the jurisdiction of the Energy and Water Ombudsman Queensland, or like officer, the customer or customer's retailer is entitled to escalate the matter to such a body</w:t>
      </w:r>
    </w:p>
    <w:p w:rsidR="007D4221" w:rsidRPr="007D4221" w:rsidRDefault="007D4221" w:rsidP="007D4221">
      <w:pPr>
        <w:pStyle w:val="ListBullet2"/>
      </w:pPr>
      <w:r w:rsidRPr="007D4221">
        <w:t>that if the objection is not resolved to the satisfaction of the</w:t>
      </w:r>
      <w:r w:rsidR="00126BD4">
        <w:t xml:space="preserve"> customer or</w:t>
      </w:r>
      <w:r w:rsidR="00FA1C5A">
        <w:t xml:space="preserve"> </w:t>
      </w:r>
      <w:r w:rsidRPr="007D4221">
        <w:t>customer's retailer under Ergon Energy’s internal review system</w:t>
      </w:r>
      <w:r>
        <w:t xml:space="preserve"> in </w:t>
      </w:r>
      <w:r w:rsidR="00126BD4">
        <w:t>paragraph </w:t>
      </w:r>
      <w:r w:rsidR="006A166D">
        <w:t>7</w:t>
      </w:r>
      <w:r>
        <w:t>(a)</w:t>
      </w:r>
      <w:r w:rsidR="00AE151B">
        <w:t xml:space="preserve"> and/or the body noted in paragraph </w:t>
      </w:r>
      <w:r w:rsidR="006A166D">
        <w:t>7</w:t>
      </w:r>
      <w:r w:rsidR="00AE151B">
        <w:t>(b)</w:t>
      </w:r>
      <w:r w:rsidR="00374728">
        <w:t xml:space="preserve"> within a reasonable timeframe</w:t>
      </w:r>
      <w:r w:rsidRPr="007D4221">
        <w:t>, then the</w:t>
      </w:r>
      <w:r w:rsidR="00126BD4">
        <w:t xml:space="preserve"> customer or</w:t>
      </w:r>
      <w:r w:rsidR="00374728">
        <w:t xml:space="preserve"> </w:t>
      </w:r>
      <w:r w:rsidRPr="007D4221">
        <w:t>customer's retailer is entitled to seek a decision of the AER via the dispute resolution process available under Part 10 of the NEL.</w:t>
      </w:r>
    </w:p>
    <w:p w:rsidR="007D4221" w:rsidRPr="007D4221" w:rsidRDefault="007D4221" w:rsidP="007D4221">
      <w:pPr>
        <w:pStyle w:val="ListNumber"/>
      </w:pPr>
      <w:r w:rsidRPr="007D4221">
        <w:t>If, in response to a notice issue</w:t>
      </w:r>
      <w:r w:rsidR="00E634CC">
        <w:t xml:space="preserve">d in accordance with paragraph </w:t>
      </w:r>
      <w:r w:rsidR="006A166D">
        <w:t>6</w:t>
      </w:r>
      <w:r w:rsidRPr="007D4221">
        <w:t xml:space="preserve"> above, Ergon</w:t>
      </w:r>
      <w:r w:rsidR="00374728">
        <w:t> </w:t>
      </w:r>
      <w:r w:rsidRPr="007D4221">
        <w:t>Energy receives a request for further information from a</w:t>
      </w:r>
      <w:r w:rsidR="00FA1C5A">
        <w:t xml:space="preserve"> customer or a</w:t>
      </w:r>
      <w:r w:rsidRPr="007D4221">
        <w:t xml:space="preserve"> customer's retailer, then it must provide such information within a reasonable timeframe. If Ergon</w:t>
      </w:r>
      <w:r w:rsidR="00374728">
        <w:t> </w:t>
      </w:r>
      <w:r w:rsidRPr="007D4221">
        <w:t>Energy reasonably claims confidentiality over any of the information requested, then it is not required to provide that information. If the</w:t>
      </w:r>
      <w:r w:rsidR="000E4DFD">
        <w:t xml:space="preserve"> customer or </w:t>
      </w:r>
      <w:r w:rsidRPr="007D4221">
        <w:t xml:space="preserve">customer's retailer disagrees with such confidentiality claims, he or she may have resort to the dispute resolution procedures referred to in </w:t>
      </w:r>
      <w:r w:rsidR="00126BD4">
        <w:t>paragraph</w:t>
      </w:r>
      <w:r w:rsidRPr="007D4221">
        <w:t xml:space="preserve"> </w:t>
      </w:r>
      <w:r w:rsidR="006A166D">
        <w:t>7</w:t>
      </w:r>
      <w:r w:rsidRPr="007D4221">
        <w:t xml:space="preserve"> above, (as modified for a confidentiality dispute).</w:t>
      </w:r>
    </w:p>
    <w:p w:rsidR="000E4DFD" w:rsidRPr="000E4DFD" w:rsidRDefault="000E4DFD" w:rsidP="000E4DFD">
      <w:pPr>
        <w:pStyle w:val="ListNumber"/>
      </w:pPr>
      <w:r w:rsidRPr="000E4DFD">
        <w:t>If, in response to a notice issue</w:t>
      </w:r>
      <w:r w:rsidR="006A166D">
        <w:t>d in accordance with paragraph 6</w:t>
      </w:r>
      <w:r w:rsidRPr="000E4DFD">
        <w:t xml:space="preserve"> above, a </w:t>
      </w:r>
      <w:r>
        <w:t xml:space="preserve">customer or </w:t>
      </w:r>
      <w:r w:rsidRPr="000E4DFD">
        <w:t>customer's retailer makes an objection about the proposed assignment or reassignment, Ergon Energy must reconsider the proposed assignment or reassignment. In doing so Ergon Energy must take into consideration the factors in paragraphs 3 and 4 above, and notify the</w:t>
      </w:r>
      <w:r>
        <w:t xml:space="preserve"> customer or</w:t>
      </w:r>
      <w:r w:rsidRPr="000E4DFD">
        <w:t xml:space="preserve"> customer's retailer in writing of its decision and the reasons for that decision.</w:t>
      </w:r>
    </w:p>
    <w:p w:rsidR="000E4DFD" w:rsidRPr="000E4DFD" w:rsidRDefault="000E4DFD" w:rsidP="000E4DFD">
      <w:pPr>
        <w:pStyle w:val="ListNumber"/>
      </w:pPr>
      <w:r w:rsidRPr="000E4DFD">
        <w:lastRenderedPageBreak/>
        <w:t>If a</w:t>
      </w:r>
      <w:r>
        <w:t xml:space="preserve">n </w:t>
      </w:r>
      <w:r w:rsidRPr="000E4DFD">
        <w:t>objection to a tariff class assignment or reassignment is upheld by the relevant b</w:t>
      </w:r>
      <w:r>
        <w:t xml:space="preserve">ody noted in paragraph </w:t>
      </w:r>
      <w:r w:rsidR="006A166D">
        <w:t xml:space="preserve">7 </w:t>
      </w:r>
      <w:r w:rsidRPr="000E4DFD">
        <w:t xml:space="preserve">above, then any adjustment which needs to be made to tariffs will be done by Ergon Energy as part of the next </w:t>
      </w:r>
      <w:r>
        <w:t>network bill</w:t>
      </w:r>
      <w:r w:rsidRPr="000E4DFD">
        <w:t>.</w:t>
      </w:r>
    </w:p>
    <w:p w:rsidR="007D4221" w:rsidRDefault="000E4DFD" w:rsidP="008A2971">
      <w:pPr>
        <w:pStyle w:val="ListNumber"/>
      </w:pPr>
      <w:r w:rsidRPr="000E4DFD">
        <w:t>If a</w:t>
      </w:r>
      <w:r w:rsidR="008A2971">
        <w:t xml:space="preserve"> customer or </w:t>
      </w:r>
      <w:r w:rsidRPr="000E4DFD">
        <w:t xml:space="preserve">customer's retailer objects to Ergon Energy’s tariff class assignment Ergon Energy must provide the information set out in paragraph </w:t>
      </w:r>
      <w:r w:rsidR="006A166D">
        <w:t>7</w:t>
      </w:r>
      <w:r w:rsidRPr="000E4DFD">
        <w:t xml:space="preserve"> above and adopt and comply with the arrangements set out in paragraphs </w:t>
      </w:r>
      <w:r w:rsidR="006A166D">
        <w:t>8</w:t>
      </w:r>
      <w:r w:rsidRPr="000E4DFD">
        <w:t xml:space="preserve">, </w:t>
      </w:r>
      <w:r w:rsidR="006A166D">
        <w:t>9</w:t>
      </w:r>
      <w:r w:rsidRPr="000E4DFD">
        <w:t xml:space="preserve"> and 1</w:t>
      </w:r>
      <w:r w:rsidR="006A166D">
        <w:t>0</w:t>
      </w:r>
      <w:r w:rsidRPr="000E4DFD">
        <w:t xml:space="preserve"> above in respect of requests for further information by the</w:t>
      </w:r>
      <w:r w:rsidR="008A2971">
        <w:t xml:space="preserve"> customer or </w:t>
      </w:r>
      <w:r w:rsidRPr="000E4DFD">
        <w:t>customer's retailer and resolution of the objection.</w:t>
      </w:r>
    </w:p>
    <w:p w:rsidR="00FE725A" w:rsidRDefault="00FE725A" w:rsidP="00FE725A">
      <w:pPr>
        <w:pStyle w:val="HeadingBoldBlue"/>
      </w:pPr>
      <w:bookmarkStart w:id="63" w:name="_Toc433299202"/>
      <w:r>
        <w:t>Notification of proposed assignments and reassignments and rights of objection for alternative control services</w:t>
      </w:r>
      <w:bookmarkEnd w:id="63"/>
    </w:p>
    <w:p w:rsidR="008A2971" w:rsidRDefault="008A2971" w:rsidP="008A2971">
      <w:pPr>
        <w:pStyle w:val="ListNumber"/>
      </w:pPr>
      <w:r>
        <w:t xml:space="preserve">Ergon Energy must make available information on tariff classes and dispute resolution procedures referred to in paragraph </w:t>
      </w:r>
      <w:r w:rsidR="006A166D">
        <w:t>7</w:t>
      </w:r>
      <w:r>
        <w:t xml:space="preserve"> above to retailers operating in Ergon Energy's distribution area.</w:t>
      </w:r>
    </w:p>
    <w:p w:rsidR="008A2971" w:rsidRDefault="008A2971" w:rsidP="00313ADE">
      <w:pPr>
        <w:pStyle w:val="ListNumber"/>
      </w:pPr>
      <w:r>
        <w:t>If Ergon Energy receives a request for further information from a</w:t>
      </w:r>
      <w:r w:rsidR="00126BD4">
        <w:t xml:space="preserve"> customer or</w:t>
      </w:r>
      <w:r>
        <w:t xml:space="preserve"> customer's retailer in relation to a tariff class assignment or reassignment, then it must provide such information within a reasonable timeframe. </w:t>
      </w:r>
      <w:r w:rsidR="00313ADE" w:rsidRPr="00313ADE">
        <w:t xml:space="preserve">If Ergon Energy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w:t>
      </w:r>
      <w:r w:rsidR="00126BD4">
        <w:t>paragraph</w:t>
      </w:r>
      <w:r w:rsidR="00313ADE" w:rsidRPr="00313ADE">
        <w:t xml:space="preserve"> </w:t>
      </w:r>
      <w:r w:rsidR="006A166D">
        <w:t>7</w:t>
      </w:r>
      <w:r w:rsidR="00313ADE" w:rsidRPr="00313ADE">
        <w:t xml:space="preserve"> above, (as modified for a confidentiality dispute).</w:t>
      </w:r>
    </w:p>
    <w:p w:rsidR="00313ADE" w:rsidRPr="00313ADE" w:rsidRDefault="00313ADE" w:rsidP="00313ADE">
      <w:pPr>
        <w:pStyle w:val="ListNumber"/>
      </w:pPr>
      <w:r>
        <w:t xml:space="preserve">If a customer or customer's retailer makes an objection to Ergon Energy </w:t>
      </w:r>
      <w:r w:rsidRPr="00313ADE">
        <w:t>about the proposed assignment or reassignment, Ergon Energy must reconsider the proposed assignment or reassignment. In doing so Ergon Energy must take into consideration the factors in paragraphs 3 and 4 above, and notify the customer or customer's retailer in writing of its decision and the reasons for that decision.</w:t>
      </w:r>
    </w:p>
    <w:p w:rsidR="00313ADE" w:rsidRDefault="00313ADE" w:rsidP="00313ADE">
      <w:pPr>
        <w:pStyle w:val="ListNumber"/>
      </w:pPr>
      <w:r w:rsidRPr="00313ADE">
        <w:t xml:space="preserve">If an objection to a tariff class assignment or reassignment is upheld by the relevant body noted in paragraph </w:t>
      </w:r>
      <w:r w:rsidR="006A166D">
        <w:t>7</w:t>
      </w:r>
      <w:r w:rsidR="00AE151B">
        <w:t xml:space="preserve"> </w:t>
      </w:r>
      <w:r w:rsidRPr="00313ADE">
        <w:t xml:space="preserve">above, then any adjustment which needs to be made to tariffs will be done by Ergon Energy as part of the next network bill. </w:t>
      </w:r>
    </w:p>
    <w:p w:rsidR="00FE725A" w:rsidRDefault="00FE725A" w:rsidP="00FE725A">
      <w:pPr>
        <w:pStyle w:val="HeadingBoldBlue"/>
      </w:pPr>
      <w:bookmarkStart w:id="64" w:name="_Toc433299203"/>
      <w:r>
        <w:t>System of assessment and review of the basis on which a retail customer is charged</w:t>
      </w:r>
      <w:bookmarkEnd w:id="64"/>
    </w:p>
    <w:p w:rsidR="00BA19BA" w:rsidRPr="00BA19BA" w:rsidRDefault="000E4DFD" w:rsidP="00BA19BA">
      <w:pPr>
        <w:pStyle w:val="ListNumber"/>
      </w:pPr>
      <w:r w:rsidRPr="000E4DFD">
        <w:t>Where the charging parameters for a particular tariff result in a basis charge that varies according to the customer</w:t>
      </w:r>
      <w:r>
        <w:t>'s usage or load profile, Ergon</w:t>
      </w:r>
      <w:r w:rsidRPr="000E4DFD">
        <w:t xml:space="preserve"> Energy will set out in its pricing proposal a method of how it will review and assess the basis on which a customer is charged.</w:t>
      </w:r>
    </w:p>
    <w:sectPr w:rsidR="00BA19BA" w:rsidRPr="00BA19BA"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F4A" w:rsidRPr="00290C63" w:rsidRDefault="00FB2F4A" w:rsidP="00290C63">
      <w:r>
        <w:separator/>
      </w:r>
    </w:p>
    <w:p w:rsidR="00FB2F4A" w:rsidRDefault="00FB2F4A"/>
  </w:endnote>
  <w:endnote w:type="continuationSeparator" w:id="0">
    <w:p w:rsidR="00FB2F4A" w:rsidRPr="00290C63" w:rsidRDefault="00FB2F4A" w:rsidP="00290C63">
      <w:r>
        <w:continuationSeparator/>
      </w:r>
    </w:p>
    <w:p w:rsidR="00FB2F4A" w:rsidRDefault="00FB2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F4A" w:rsidRPr="00290C63" w:rsidRDefault="00FB2F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B2F4A" w:rsidRDefault="00FB2F4A"/>
  <w:p w:rsidR="00FB2F4A" w:rsidRDefault="00FB2F4A"/>
  <w:p w:rsidR="00FB2F4A" w:rsidRDefault="00FB2F4A"/>
  <w:p w:rsidR="00FB2F4A" w:rsidRDefault="00FB2F4A"/>
  <w:p w:rsidR="00FB2F4A" w:rsidRDefault="00FB2F4A"/>
  <w:p w:rsidR="00FB2F4A" w:rsidRDefault="00FB2F4A"/>
  <w:p w:rsidR="00FB2F4A" w:rsidRDefault="00FB2F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FB2F4A" w:rsidRDefault="00FB2F4A">
        <w:pPr>
          <w:pStyle w:val="Footer"/>
        </w:pPr>
        <w:r>
          <w:t>14-</w:t>
        </w:r>
        <w:r>
          <w:fldChar w:fldCharType="begin"/>
        </w:r>
        <w:r>
          <w:instrText xml:space="preserve"> PAGE   \* MERGEFORMAT </w:instrText>
        </w:r>
        <w:r>
          <w:fldChar w:fldCharType="separate"/>
        </w:r>
        <w:r w:rsidR="00B560B3">
          <w:rPr>
            <w:noProof/>
          </w:rPr>
          <w:t>0</w:t>
        </w:r>
        <w:r>
          <w:rPr>
            <w:noProof/>
          </w:rPr>
          <w:fldChar w:fldCharType="end"/>
        </w:r>
        <w:r>
          <w:rPr>
            <w:noProof/>
          </w:rPr>
          <w:t xml:space="preserve">      </w:t>
        </w:r>
        <w:r>
          <w:t xml:space="preserve">           </w:t>
        </w:r>
        <w:r>
          <w:rPr>
            <w:noProof/>
          </w:rPr>
          <w:t xml:space="preserve">  Attachment 1</w:t>
        </w:r>
        <w:r>
          <w:t>4</w:t>
        </w:r>
        <w:r>
          <w:rPr>
            <w:noProof/>
          </w:rPr>
          <w:t xml:space="preserve"> </w:t>
        </w:r>
        <w:r>
          <w:rPr>
            <w:rFonts w:cs="Gautami"/>
            <w:noProof/>
          </w:rPr>
          <w:t xml:space="preserve">– </w:t>
        </w:r>
        <w:r>
          <w:t>Control mechanisms</w:t>
        </w:r>
        <w:r>
          <w:rPr>
            <w:rFonts w:cs="Gautami"/>
            <w:noProof/>
          </w:rPr>
          <w:t xml:space="preserve"> | </w:t>
        </w:r>
        <w:r>
          <w:t>Ergon Energy</w:t>
        </w:r>
        <w:r>
          <w:rPr>
            <w:rFonts w:cs="Gautami"/>
            <w:noProof/>
          </w:rPr>
          <w:t xml:space="preserve"> determination 2015–20</w:t>
        </w:r>
      </w:p>
    </w:sdtContent>
  </w:sdt>
  <w:p w:rsidR="00FB2F4A" w:rsidRDefault="00FB2F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F4A" w:rsidRPr="00290C63" w:rsidRDefault="00FB2F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B2F4A" w:rsidRDefault="00FB2F4A">
    <w:pPr>
      <w:pStyle w:val="Footer"/>
    </w:pPr>
  </w:p>
  <w:p w:rsidR="00FB2F4A" w:rsidRDefault="00FB2F4A"/>
  <w:p w:rsidR="00FB2F4A" w:rsidRDefault="00FB2F4A"/>
  <w:p w:rsidR="00FB2F4A" w:rsidRDefault="00FB2F4A"/>
  <w:p w:rsidR="00FB2F4A" w:rsidRDefault="00FB2F4A"/>
  <w:p w:rsidR="00FB2F4A" w:rsidRDefault="00FB2F4A"/>
  <w:p w:rsidR="00FB2F4A" w:rsidRDefault="00FB2F4A"/>
  <w:p w:rsidR="00FB2F4A" w:rsidRDefault="00FB2F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F4A" w:rsidRPr="00290C63" w:rsidRDefault="00FB2F4A" w:rsidP="00290C63">
      <w:r>
        <w:separator/>
      </w:r>
    </w:p>
    <w:p w:rsidR="00FB2F4A" w:rsidRDefault="00FB2F4A"/>
  </w:footnote>
  <w:footnote w:type="continuationSeparator" w:id="0">
    <w:p w:rsidR="00FB2F4A" w:rsidRPr="00290C63" w:rsidRDefault="00FB2F4A" w:rsidP="00290C63">
      <w:r>
        <w:continuationSeparator/>
      </w:r>
    </w:p>
    <w:p w:rsidR="00FB2F4A" w:rsidRDefault="00FB2F4A"/>
  </w:footnote>
  <w:footnote w:id="1">
    <w:p w:rsidR="00FB2F4A" w:rsidRDefault="00FB2F4A">
      <w:pPr>
        <w:pStyle w:val="FootnoteText"/>
      </w:pPr>
      <w:r>
        <w:rPr>
          <w:rStyle w:val="FootnoteReference"/>
        </w:rPr>
        <w:footnoteRef/>
      </w:r>
      <w:r>
        <w:t xml:space="preserve"> </w:t>
      </w:r>
      <w:r>
        <w:tab/>
      </w:r>
      <w:r w:rsidRPr="00CC6F02">
        <w:t>NER, cl</w:t>
      </w:r>
      <w:r w:rsidR="0036422C">
        <w:t>.</w:t>
      </w:r>
      <w:r w:rsidRPr="00CC6F02">
        <w:t xml:space="preserve"> 6.2.6(a).</w:t>
      </w:r>
    </w:p>
  </w:footnote>
  <w:footnote w:id="2">
    <w:p w:rsidR="00FB2F4A" w:rsidRDefault="00FB2F4A">
      <w:pPr>
        <w:pStyle w:val="FootnoteText"/>
      </w:pPr>
      <w:r>
        <w:rPr>
          <w:rStyle w:val="FootnoteReference"/>
        </w:rPr>
        <w:footnoteRef/>
      </w:r>
      <w:r>
        <w:t xml:space="preserve"> </w:t>
      </w:r>
      <w:r>
        <w:tab/>
      </w:r>
      <w:r w:rsidRPr="00CC6F02">
        <w:t>NER, cl</w:t>
      </w:r>
      <w:r w:rsidR="0036422C">
        <w:t>.</w:t>
      </w:r>
      <w:r w:rsidRPr="00CC6F02">
        <w:t xml:space="preserve"> 6.12.1(13).</w:t>
      </w:r>
    </w:p>
  </w:footnote>
  <w:footnote w:id="3">
    <w:p w:rsidR="00FB2F4A" w:rsidRDefault="00FB2F4A">
      <w:pPr>
        <w:pStyle w:val="FootnoteText"/>
      </w:pPr>
      <w:r>
        <w:rPr>
          <w:rStyle w:val="FootnoteReference"/>
        </w:rPr>
        <w:footnoteRef/>
      </w:r>
      <w:r>
        <w:t xml:space="preserve"> </w:t>
      </w:r>
      <w:r>
        <w:tab/>
      </w:r>
      <w:r w:rsidRPr="00CC6F02">
        <w:t>NER, cl</w:t>
      </w:r>
      <w:r w:rsidR="0036422C">
        <w:t>.</w:t>
      </w:r>
      <w:r w:rsidRPr="00CC6F02">
        <w:t xml:space="preserve"> 6.12.1(11).</w:t>
      </w:r>
    </w:p>
  </w:footnote>
  <w:footnote w:id="4">
    <w:p w:rsidR="00FB2F4A" w:rsidRDefault="00FB2F4A">
      <w:pPr>
        <w:pStyle w:val="FootnoteText"/>
      </w:pPr>
      <w:r>
        <w:rPr>
          <w:rStyle w:val="FootnoteReference"/>
        </w:rPr>
        <w:footnoteRef/>
      </w:r>
      <w:r>
        <w:t xml:space="preserve"> </w:t>
      </w:r>
      <w:r>
        <w:tab/>
      </w:r>
      <w:r w:rsidRPr="00CC6F02">
        <w:t>NER, cll</w:t>
      </w:r>
      <w:r w:rsidR="0036422C">
        <w:t>.</w:t>
      </w:r>
      <w:r w:rsidRPr="00CC6F02">
        <w:t xml:space="preserve"> 6.12.1(19), 6.12.1(20).</w:t>
      </w:r>
    </w:p>
  </w:footnote>
  <w:footnote w:id="5">
    <w:p w:rsidR="00FB2F4A" w:rsidRDefault="00FB2F4A">
      <w:pPr>
        <w:pStyle w:val="FootnoteText"/>
      </w:pPr>
      <w:r>
        <w:rPr>
          <w:rStyle w:val="FootnoteReference"/>
        </w:rPr>
        <w:footnoteRef/>
      </w:r>
      <w:r>
        <w:t xml:space="preserve"> </w:t>
      </w:r>
      <w:r>
        <w:tab/>
      </w:r>
      <w:r w:rsidRPr="00CC6F02">
        <w:t>NER, cl</w:t>
      </w:r>
      <w:r w:rsidR="0036422C">
        <w:t>.</w:t>
      </w:r>
      <w:r w:rsidRPr="00CC6F02">
        <w:t xml:space="preserve"> 6.12.1(17).</w:t>
      </w:r>
    </w:p>
  </w:footnote>
  <w:footnote w:id="6">
    <w:p w:rsidR="00FB2F4A" w:rsidRDefault="00FB2F4A">
      <w:pPr>
        <w:pStyle w:val="FootnoteText"/>
      </w:pPr>
      <w:r>
        <w:rPr>
          <w:rStyle w:val="FootnoteReference"/>
        </w:rPr>
        <w:footnoteRef/>
      </w:r>
      <w:r>
        <w:t xml:space="preserve"> </w:t>
      </w:r>
      <w:r>
        <w:tab/>
      </w:r>
      <w:r w:rsidRPr="00BD2002">
        <w:t xml:space="preserve">AER, </w:t>
      </w:r>
      <w:r w:rsidRPr="00BD2002">
        <w:rPr>
          <w:rStyle w:val="AERtextitalic"/>
        </w:rPr>
        <w:t>Final framework and approach for Energex and Ergon Energy: Regulatory control period commencing 1 July 2015</w:t>
      </w:r>
      <w:r w:rsidRPr="00BD2002">
        <w:t>, April 2014, p. 52</w:t>
      </w:r>
      <w:r>
        <w:t xml:space="preserve">, Ergon Energy, </w:t>
      </w:r>
      <w:r w:rsidRPr="008929E9">
        <w:rPr>
          <w:rStyle w:val="AERtextitalic"/>
        </w:rPr>
        <w:t xml:space="preserve">Regulatory </w:t>
      </w:r>
      <w:r>
        <w:rPr>
          <w:rStyle w:val="AERtextitalic"/>
        </w:rPr>
        <w:t>p</w:t>
      </w:r>
      <w:r w:rsidRPr="008929E9">
        <w:rPr>
          <w:rStyle w:val="AERtextitalic"/>
        </w:rPr>
        <w:t>roposal (revised) 2015 to 2020</w:t>
      </w:r>
      <w:r>
        <w:t xml:space="preserve">, 3 July 2015, p. 38. (Ergon Energy, </w:t>
      </w:r>
      <w:r w:rsidRPr="008929E9">
        <w:rPr>
          <w:rStyle w:val="AERtextitalic"/>
        </w:rPr>
        <w:t>Revised regulatory proposal</w:t>
      </w:r>
      <w:r>
        <w:t>, July 2015).</w:t>
      </w:r>
    </w:p>
  </w:footnote>
  <w:footnote w:id="7">
    <w:p w:rsidR="00FB2F4A" w:rsidRDefault="00FB2F4A">
      <w:pPr>
        <w:pStyle w:val="FootnoteText"/>
      </w:pPr>
      <w:r>
        <w:rPr>
          <w:rStyle w:val="FootnoteReference"/>
        </w:rPr>
        <w:footnoteRef/>
      </w:r>
      <w:r>
        <w:t xml:space="preserve"> </w:t>
      </w:r>
      <w:r>
        <w:tab/>
      </w:r>
      <w:r w:rsidRPr="008929E9">
        <w:t>NER, cl</w:t>
      </w:r>
      <w:r w:rsidR="0036422C">
        <w:t>.</w:t>
      </w:r>
      <w:r w:rsidRPr="008929E9">
        <w:t xml:space="preserve"> 6.12.1(11).</w:t>
      </w:r>
    </w:p>
  </w:footnote>
  <w:footnote w:id="8">
    <w:p w:rsidR="00FB2F4A" w:rsidRDefault="00FB2F4A">
      <w:pPr>
        <w:pStyle w:val="FootnoteText"/>
      </w:pPr>
      <w:r>
        <w:rPr>
          <w:rStyle w:val="FootnoteReference"/>
        </w:rPr>
        <w:footnoteRef/>
      </w:r>
      <w:r>
        <w:t xml:space="preserve"> </w:t>
      </w:r>
      <w:r>
        <w:tab/>
        <w:t>We referred to this as the 'TUoS unders and overs account' in previous distribution determinations. In this final decision, we use the term 'designated pricing proposal charges' to reflect the wording of the NER (cl 6.12.1(19)).</w:t>
      </w:r>
    </w:p>
  </w:footnote>
  <w:footnote w:id="9">
    <w:p w:rsidR="00FB2F4A" w:rsidRDefault="00FB2F4A">
      <w:pPr>
        <w:pStyle w:val="FootnoteText"/>
      </w:pPr>
      <w:r>
        <w:rPr>
          <w:rStyle w:val="FootnoteReference"/>
        </w:rPr>
        <w:footnoteRef/>
      </w:r>
      <w:r>
        <w:t xml:space="preserve"> </w:t>
      </w:r>
      <w:r>
        <w:tab/>
        <w:t xml:space="preserve">Ergon Energy, </w:t>
      </w:r>
      <w:r w:rsidRPr="008929E9">
        <w:rPr>
          <w:rStyle w:val="AERtextitalic"/>
        </w:rPr>
        <w:t>Revised regulatory proposal</w:t>
      </w:r>
      <w:r>
        <w:t>, July 2015, pp. 38–47.</w:t>
      </w:r>
    </w:p>
  </w:footnote>
  <w:footnote w:id="10">
    <w:p w:rsidR="00FB2F4A" w:rsidRDefault="00FB2F4A">
      <w:pPr>
        <w:pStyle w:val="FootnoteText"/>
      </w:pPr>
      <w:r>
        <w:rPr>
          <w:rStyle w:val="FootnoteReference"/>
        </w:rPr>
        <w:footnoteRef/>
      </w:r>
      <w:r>
        <w:t xml:space="preserve"> </w:t>
      </w:r>
      <w:r>
        <w:tab/>
        <w:t xml:space="preserve">Ergon Energy, </w:t>
      </w:r>
      <w:r w:rsidRPr="00A65979">
        <w:rPr>
          <w:rStyle w:val="AERtextitalic"/>
        </w:rPr>
        <w:t xml:space="preserve">Submission to the AER on its </w:t>
      </w:r>
      <w:r>
        <w:rPr>
          <w:rStyle w:val="AERtextitalic"/>
        </w:rPr>
        <w:t>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w:t>
      </w:r>
      <w:r w:rsidRPr="00A65979">
        <w:rPr>
          <w:rStyle w:val="AERtextitalic"/>
        </w:rPr>
        <w:t xml:space="preserve">locks, </w:t>
      </w:r>
      <w:r>
        <w:rPr>
          <w:rStyle w:val="AERtextitalic"/>
        </w:rPr>
        <w:t>c</w:t>
      </w:r>
      <w:r w:rsidRPr="00A65979">
        <w:rPr>
          <w:rStyle w:val="AERtextitalic"/>
        </w:rPr>
        <w:t>ontrol</w:t>
      </w:r>
      <w:r>
        <w:rPr>
          <w:rStyle w:val="AERtextitalic"/>
        </w:rPr>
        <w:t xml:space="preserve"> m</w:t>
      </w:r>
      <w:r w:rsidRPr="00A65979">
        <w:rPr>
          <w:rStyle w:val="AERtextitalic"/>
        </w:rPr>
        <w:t xml:space="preserve">echanism and </w:t>
      </w:r>
      <w:r>
        <w:rPr>
          <w:rStyle w:val="AERtextitalic"/>
        </w:rPr>
        <w:t>p</w:t>
      </w:r>
      <w:r w:rsidRPr="00A65979">
        <w:rPr>
          <w:rStyle w:val="AERtextitalic"/>
        </w:rPr>
        <w:t>ricing</w:t>
      </w:r>
      <w:r>
        <w:t>, 24 July 2015, pp. 24–25.</w:t>
      </w:r>
    </w:p>
  </w:footnote>
  <w:footnote w:id="11">
    <w:p w:rsidR="00FB2F4A" w:rsidRDefault="00FB2F4A" w:rsidP="00857B95">
      <w:pPr>
        <w:pStyle w:val="FootnoteText"/>
      </w:pPr>
      <w:r>
        <w:rPr>
          <w:rStyle w:val="FootnoteReference"/>
        </w:rPr>
        <w:footnoteRef/>
      </w:r>
      <w:r>
        <w:t xml:space="preserve"> </w:t>
      </w:r>
      <w:r>
        <w:tab/>
        <w:t xml:space="preserve">Ergon Energy, </w:t>
      </w:r>
      <w:r w:rsidRPr="00275A77">
        <w:rPr>
          <w:rStyle w:val="Emphasis"/>
        </w:rPr>
        <w:t>R</w:t>
      </w:r>
      <w:r>
        <w:rPr>
          <w:rStyle w:val="Emphasis"/>
        </w:rPr>
        <w:t>evised r</w:t>
      </w:r>
      <w:r w:rsidRPr="00275A77">
        <w:rPr>
          <w:rStyle w:val="Emphasis"/>
        </w:rPr>
        <w:t>egulatory proposal</w:t>
      </w:r>
      <w:r>
        <w:rPr>
          <w:rStyle w:val="Emphasis"/>
        </w:rPr>
        <w:t xml:space="preserve">: </w:t>
      </w:r>
      <w:r w:rsidRPr="00717585">
        <w:rPr>
          <w:rStyle w:val="AERtextitalic"/>
        </w:rPr>
        <w:t>04.01.00–Compliance with control mechanisms</w:t>
      </w:r>
      <w:r>
        <w:t xml:space="preserve">, July 2015, pp. 7–10; Ergon Energy, </w:t>
      </w:r>
      <w:r>
        <w:rPr>
          <w:rStyle w:val="AERtextitalic"/>
        </w:rPr>
        <w:t>Submission to the AER on its preliminary d</w:t>
      </w:r>
      <w:r w:rsidRPr="00A65979">
        <w:rPr>
          <w:rStyle w:val="AERtextitalic"/>
        </w:rPr>
        <w:t>ecis</w:t>
      </w:r>
      <w:r>
        <w:rPr>
          <w:rStyle w:val="AERtextitalic"/>
        </w:rPr>
        <w:t>ion: SCS building blocks, control m</w:t>
      </w:r>
      <w:r w:rsidRPr="00A65979">
        <w:rPr>
          <w:rStyle w:val="AERtextitalic"/>
        </w:rPr>
        <w:t xml:space="preserve">echanism and </w:t>
      </w:r>
      <w:r>
        <w:rPr>
          <w:rStyle w:val="AERtextitalic"/>
        </w:rPr>
        <w:t>p</w:t>
      </w:r>
      <w:r w:rsidRPr="00A65979">
        <w:rPr>
          <w:rStyle w:val="AERtextitalic"/>
        </w:rPr>
        <w:t>ricing</w:t>
      </w:r>
      <w:r>
        <w:t>, 24 July 2015, pp. 25, 29–32.</w:t>
      </w:r>
    </w:p>
  </w:footnote>
  <w:footnote w:id="12">
    <w:p w:rsidR="00FB2F4A" w:rsidRDefault="00FB2F4A">
      <w:pPr>
        <w:pStyle w:val="FootnoteText"/>
      </w:pPr>
      <w:r>
        <w:rPr>
          <w:rStyle w:val="FootnoteReference"/>
        </w:rPr>
        <w:footnoteRef/>
      </w:r>
      <w:r>
        <w:t xml:space="preserve"> </w:t>
      </w:r>
      <w:r>
        <w:tab/>
      </w:r>
      <w:r w:rsidRPr="00A65979">
        <w:t xml:space="preserve">AER, </w:t>
      </w:r>
      <w:r w:rsidRPr="00A65979">
        <w:rPr>
          <w:rStyle w:val="AERtextitalic"/>
        </w:rPr>
        <w:t>Final framework and approach for Energex and Ergon Energy: Regulatory control period commencing 1 July 2015</w:t>
      </w:r>
      <w:r>
        <w:t>, April 2014, p. 74</w:t>
      </w:r>
      <w:r w:rsidRPr="00A65979">
        <w:t>.</w:t>
      </w:r>
    </w:p>
  </w:footnote>
  <w:footnote w:id="13">
    <w:p w:rsidR="00FB2F4A" w:rsidRDefault="00FB2F4A">
      <w:pPr>
        <w:pStyle w:val="FootnoteText"/>
      </w:pPr>
      <w:r>
        <w:rPr>
          <w:rStyle w:val="FootnoteReference"/>
        </w:rPr>
        <w:footnoteRef/>
      </w:r>
      <w:r>
        <w:t xml:space="preserve"> </w:t>
      </w:r>
      <w:r>
        <w:tab/>
      </w:r>
      <w:r w:rsidRPr="00D8027D">
        <w:t>NER, cl</w:t>
      </w:r>
      <w:r w:rsidR="0036422C">
        <w:t>.</w:t>
      </w:r>
      <w:r w:rsidRPr="00D8027D">
        <w:t xml:space="preserve"> 6.2.6(a).</w:t>
      </w:r>
    </w:p>
  </w:footnote>
  <w:footnote w:id="14">
    <w:p w:rsidR="00FB2F4A" w:rsidRDefault="00FB2F4A" w:rsidP="00314AAE">
      <w:pPr>
        <w:pStyle w:val="FootnoteText"/>
      </w:pPr>
      <w:r>
        <w:rPr>
          <w:rStyle w:val="FootnoteReference"/>
        </w:rPr>
        <w:footnoteRef/>
      </w:r>
      <w:r>
        <w:t xml:space="preserve"> </w:t>
      </w:r>
      <w:r>
        <w:tab/>
      </w:r>
      <w:r w:rsidRPr="00A65979">
        <w:t xml:space="preserve">AER, </w:t>
      </w:r>
      <w:r w:rsidRPr="00A65979">
        <w:rPr>
          <w:rStyle w:val="AERtextitalic"/>
        </w:rPr>
        <w:t>Final framework and approach for Energex and Ergon Energy: Regulatory control period commencing 1 July 2015</w:t>
      </w:r>
      <w:r>
        <w:t>, April 2014, pp. 91–92</w:t>
      </w:r>
      <w:r w:rsidRPr="00A65979">
        <w:t>.</w:t>
      </w:r>
    </w:p>
  </w:footnote>
  <w:footnote w:id="15">
    <w:p w:rsidR="00FB2F4A" w:rsidRDefault="00FB2F4A">
      <w:pPr>
        <w:pStyle w:val="FootnoteText"/>
      </w:pPr>
      <w:r>
        <w:rPr>
          <w:rStyle w:val="FootnoteReference"/>
        </w:rPr>
        <w:footnoteRef/>
      </w:r>
      <w:r>
        <w:t xml:space="preserve"> </w:t>
      </w:r>
      <w:r>
        <w:tab/>
      </w:r>
      <w:r w:rsidRPr="005C2119">
        <w:t xml:space="preserve">AER, </w:t>
      </w:r>
      <w:r w:rsidRPr="00721265">
        <w:rPr>
          <w:rStyle w:val="AERtextitalic"/>
        </w:rPr>
        <w:t>Preliminary decision: Ergon Energy determination 2015–16 to 2019–20: Attachment 14–Control mechanism</w:t>
      </w:r>
      <w:r>
        <w:t xml:space="preserve">, April 2015, p. 8; Ergon Energy, </w:t>
      </w:r>
      <w:r w:rsidRPr="00F103AD">
        <w:rPr>
          <w:rStyle w:val="AERtextitalic"/>
        </w:rPr>
        <w:t>Revised regulatory proposal</w:t>
      </w:r>
      <w:r>
        <w:t xml:space="preserve">, July 2015, pp. 39–40; Ergon Energy, </w:t>
      </w:r>
      <w:r>
        <w:rPr>
          <w:rStyle w:val="AERtextitalic"/>
        </w:rPr>
        <w:t>Submission to the AER on its preliminary decision: SCS building blocks, control mechanism and p</w:t>
      </w:r>
      <w:r w:rsidRPr="00A65979">
        <w:rPr>
          <w:rStyle w:val="AERtextitalic"/>
        </w:rPr>
        <w:t>ricing</w:t>
      </w:r>
      <w:r>
        <w:rPr>
          <w:rStyle w:val="AERtextitalic"/>
        </w:rPr>
        <w:t>,</w:t>
      </w:r>
      <w:r>
        <w:t xml:space="preserve"> 24 July 2015¸ p. 31.</w:t>
      </w:r>
    </w:p>
  </w:footnote>
  <w:footnote w:id="16">
    <w:p w:rsidR="00FB2F4A" w:rsidRDefault="00FB2F4A">
      <w:pPr>
        <w:pStyle w:val="FootnoteText"/>
      </w:pPr>
      <w:r>
        <w:rPr>
          <w:rStyle w:val="FootnoteReference"/>
        </w:rPr>
        <w:footnoteRef/>
      </w:r>
      <w:r>
        <w:t xml:space="preserve"> </w:t>
      </w:r>
      <w:r>
        <w:tab/>
        <w:t xml:space="preserve">AER, </w:t>
      </w:r>
      <w:r w:rsidRPr="00082088">
        <w:rPr>
          <w:rStyle w:val="AERtextitalic"/>
        </w:rPr>
        <w:t>Demand management incentive scheme: Energex, Ergon Energy and ETSA Utilities 2010–15</w:t>
      </w:r>
      <w:r>
        <w:t>, October 2008, p. 17.</w:t>
      </w:r>
    </w:p>
  </w:footnote>
  <w:footnote w:id="17">
    <w:p w:rsidR="00FB2F4A" w:rsidRDefault="00FB2F4A">
      <w:pPr>
        <w:pStyle w:val="FootnoteText"/>
      </w:pPr>
      <w:r>
        <w:rPr>
          <w:rStyle w:val="FootnoteReference"/>
        </w:rPr>
        <w:footnoteRef/>
      </w:r>
      <w:r>
        <w:t xml:space="preserve"> </w:t>
      </w:r>
      <w:r>
        <w:tab/>
        <w:t xml:space="preserve">Ergon Energy, </w:t>
      </w:r>
      <w:r w:rsidRPr="00F103AD">
        <w:rPr>
          <w:rStyle w:val="AERtextitalic"/>
        </w:rPr>
        <w:t>Revised regulatory proposal</w:t>
      </w:r>
      <w:r>
        <w:t xml:space="preserve">, July 2015, pp. 39–40; Ergon Energy, </w:t>
      </w:r>
      <w:r w:rsidRPr="00275A77">
        <w:rPr>
          <w:rStyle w:val="Emphasis"/>
        </w:rPr>
        <w:t>R</w:t>
      </w:r>
      <w:r>
        <w:rPr>
          <w:rStyle w:val="Emphasis"/>
        </w:rPr>
        <w:t>evised r</w:t>
      </w:r>
      <w:r w:rsidRPr="00275A77">
        <w:rPr>
          <w:rStyle w:val="Emphasis"/>
        </w:rPr>
        <w:t>egulatory proposal</w:t>
      </w:r>
      <w:r>
        <w:rPr>
          <w:rStyle w:val="Emphasis"/>
        </w:rPr>
        <w:t xml:space="preserve">: </w:t>
      </w:r>
      <w:r w:rsidRPr="00717585">
        <w:rPr>
          <w:rStyle w:val="AERtextitalic"/>
        </w:rPr>
        <w:t>04.01.00–Compliance with control mechanisms</w:t>
      </w:r>
      <w:r>
        <w:t xml:space="preserve">, July 2015, pp. 8–9; 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pp. 25, 30–32.</w:t>
      </w:r>
    </w:p>
  </w:footnote>
  <w:footnote w:id="18">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preliminary decision: SCS building blocks, control mechanism and p</w:t>
      </w:r>
      <w:r w:rsidRPr="00A65979">
        <w:rPr>
          <w:rStyle w:val="AERtextitalic"/>
        </w:rPr>
        <w:t>ricing</w:t>
      </w:r>
      <w:r>
        <w:t>, 24 July 2015, p. 30.</w:t>
      </w:r>
    </w:p>
  </w:footnote>
  <w:footnote w:id="19">
    <w:p w:rsidR="00FB2F4A" w:rsidRDefault="00FB2F4A">
      <w:pPr>
        <w:pStyle w:val="FootnoteText"/>
      </w:pPr>
      <w:r>
        <w:rPr>
          <w:rStyle w:val="FootnoteReference"/>
        </w:rPr>
        <w:footnoteRef/>
      </w:r>
      <w:r>
        <w:t xml:space="preserve"> </w:t>
      </w:r>
      <w:r>
        <w:tab/>
        <w:t xml:space="preserve">AER, </w:t>
      </w:r>
      <w:r w:rsidRPr="00306E2B">
        <w:rPr>
          <w:rStyle w:val="AERtextitalic"/>
        </w:rPr>
        <w:t>Electricity distribution network service providers: Service target performance incentive scheme: Appendix C</w:t>
      </w:r>
      <w:r>
        <w:t>, November 2009, p. 32.</w:t>
      </w:r>
    </w:p>
  </w:footnote>
  <w:footnote w:id="20">
    <w:p w:rsidR="00FB2F4A" w:rsidRDefault="00FB2F4A">
      <w:pPr>
        <w:pStyle w:val="FootnoteText"/>
      </w:pPr>
      <w:r>
        <w:rPr>
          <w:rStyle w:val="FootnoteReference"/>
        </w:rPr>
        <w:footnoteRef/>
      </w:r>
      <w:r>
        <w:t xml:space="preserve"> </w:t>
      </w:r>
      <w:r>
        <w:tab/>
        <w:t xml:space="preserve">AER, </w:t>
      </w:r>
      <w:r w:rsidRPr="00306E2B">
        <w:rPr>
          <w:rStyle w:val="AERtextitalic"/>
        </w:rPr>
        <w:t>Electricity distribution network service providers: Service target performance incentive scheme: Appendix C</w:t>
      </w:r>
      <w:r>
        <w:t>, November 2009, p. 32.</w:t>
      </w:r>
    </w:p>
  </w:footnote>
  <w:footnote w:id="21">
    <w:p w:rsidR="00FB2F4A" w:rsidRDefault="00FB2F4A" w:rsidP="000F1112">
      <w:pPr>
        <w:pStyle w:val="FootnoteText"/>
      </w:pPr>
      <w:r>
        <w:rPr>
          <w:rStyle w:val="FootnoteReference"/>
        </w:rPr>
        <w:footnoteRef/>
      </w:r>
      <w:r>
        <w:t xml:space="preserve"> </w:t>
      </w:r>
      <w:r>
        <w:tab/>
        <w:t xml:space="preserve">AER, </w:t>
      </w:r>
      <w:r w:rsidRPr="00DB6F91">
        <w:rPr>
          <w:rStyle w:val="AERtextitalic"/>
        </w:rPr>
        <w:t>Preliminary decision: Ergon Energy determination 2015–16 to 2019–20</w:t>
      </w:r>
      <w:r>
        <w:rPr>
          <w:rStyle w:val="AERtextitalic"/>
        </w:rPr>
        <w:t>:</w:t>
      </w:r>
      <w:r w:rsidRPr="00DB6F91">
        <w:rPr>
          <w:rStyle w:val="AERtextitalic"/>
        </w:rPr>
        <w:t xml:space="preserve"> Attachment 14</w:t>
      </w:r>
      <w:r>
        <w:rPr>
          <w:rStyle w:val="AERtextitalic"/>
        </w:rPr>
        <w:t>–Control mechanism</w:t>
      </w:r>
      <w:r>
        <w:t>, April 2015, p. 8.</w:t>
      </w:r>
    </w:p>
  </w:footnote>
  <w:footnote w:id="22">
    <w:p w:rsidR="00FB2F4A" w:rsidRDefault="00FB2F4A">
      <w:pPr>
        <w:pStyle w:val="FootnoteText"/>
      </w:pPr>
      <w:r>
        <w:rPr>
          <w:rStyle w:val="FootnoteReference"/>
        </w:rPr>
        <w:footnoteRef/>
      </w:r>
      <w:r>
        <w:t xml:space="preserve"> </w:t>
      </w:r>
      <w:r>
        <w:tab/>
        <w:t xml:space="preserve">Ergon Energy, </w:t>
      </w:r>
      <w:r w:rsidRPr="00F103AD">
        <w:rPr>
          <w:rStyle w:val="AERtextitalic"/>
        </w:rPr>
        <w:t>Revised regulatory proposal</w:t>
      </w:r>
      <w:r>
        <w:t xml:space="preserve">, July 2015, pp. 39–40; 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25.</w:t>
      </w:r>
    </w:p>
  </w:footnote>
  <w:footnote w:id="23">
    <w:p w:rsidR="00FB2F4A" w:rsidRDefault="00FB2F4A">
      <w:pPr>
        <w:pStyle w:val="FootnoteText"/>
      </w:pPr>
      <w:r>
        <w:rPr>
          <w:rStyle w:val="FootnoteReference"/>
        </w:rPr>
        <w:footnoteRef/>
      </w:r>
      <w:r>
        <w:t xml:space="preserve"> </w:t>
      </w:r>
      <w:r>
        <w:tab/>
        <w:t xml:space="preserve">Queensland Farmers' Federation, </w:t>
      </w:r>
      <w:r w:rsidRPr="006132D9">
        <w:rPr>
          <w:rStyle w:val="AERtextitalic"/>
        </w:rPr>
        <w:t>Submission to Australian Energy Regulator (AER) on the Ergon Energy regulatory proposal (revised) 2015–2020</w:t>
      </w:r>
      <w:r>
        <w:t>, 24 July 2015, p. 3.</w:t>
      </w:r>
    </w:p>
  </w:footnote>
  <w:footnote w:id="24">
    <w:p w:rsidR="00FB2F4A" w:rsidRDefault="00FB2F4A" w:rsidP="00836B20">
      <w:pPr>
        <w:pStyle w:val="FootnoteText"/>
      </w:pPr>
      <w:r>
        <w:rPr>
          <w:rStyle w:val="FootnoteReference"/>
        </w:rPr>
        <w:footnoteRef/>
      </w:r>
      <w:r>
        <w:t xml:space="preserve"> </w:t>
      </w:r>
      <w:r>
        <w:tab/>
      </w:r>
      <w:r w:rsidRPr="005C2119">
        <w:t xml:space="preserve">AER, </w:t>
      </w:r>
      <w:r w:rsidRPr="00721265">
        <w:rPr>
          <w:rStyle w:val="AERtextitalic"/>
        </w:rPr>
        <w:t>Preliminary decision: Ergon Energy determination 2015–16 to 2019–20: Attachment 14–Control mechanism</w:t>
      </w:r>
      <w:r>
        <w:t>, April 2015, p. 9</w:t>
      </w:r>
      <w:r w:rsidRPr="005C2119">
        <w:t>.</w:t>
      </w:r>
    </w:p>
  </w:footnote>
  <w:footnote w:id="25">
    <w:p w:rsidR="00FB2F4A" w:rsidRDefault="00FB2F4A">
      <w:pPr>
        <w:pStyle w:val="FootnoteText"/>
      </w:pPr>
      <w:r>
        <w:rPr>
          <w:rStyle w:val="FootnoteReference"/>
        </w:rPr>
        <w:footnoteRef/>
      </w:r>
      <w:r>
        <w:t xml:space="preserve"> </w:t>
      </w:r>
      <w:r>
        <w:tab/>
        <w:t xml:space="preserve">Ergon Energy, </w:t>
      </w:r>
      <w:r w:rsidRPr="00275A77">
        <w:rPr>
          <w:rStyle w:val="Emphasis"/>
        </w:rPr>
        <w:t>Regulatory proposal 2015-20: Attachment 04.01.00: Compliance with Control Mechanisms,</w:t>
      </w:r>
      <w:r>
        <w:t xml:space="preserve"> 31 October 2014, pp. 8, 19–20; NER, cll 11.16.10, 11.16.3.</w:t>
      </w:r>
    </w:p>
  </w:footnote>
  <w:footnote w:id="26">
    <w:p w:rsidR="00FB2F4A" w:rsidRDefault="00FB2F4A">
      <w:pPr>
        <w:pStyle w:val="FootnoteText"/>
      </w:pPr>
      <w:r>
        <w:rPr>
          <w:rStyle w:val="FootnoteReference"/>
        </w:rPr>
        <w:footnoteRef/>
      </w:r>
      <w:r>
        <w:t xml:space="preserve"> </w:t>
      </w:r>
      <w:r>
        <w:tab/>
        <w:t xml:space="preserve">AER, </w:t>
      </w:r>
      <w:r w:rsidRPr="00DD4C88">
        <w:rPr>
          <w:rStyle w:val="AERtextitalic"/>
        </w:rPr>
        <w:t>Final decision: Queensland distribution determination 2010–11 to 2014–15</w:t>
      </w:r>
      <w:r>
        <w:t xml:space="preserve">, </w:t>
      </w:r>
      <w:r w:rsidRPr="00EB66C9">
        <w:t>May 2010</w:t>
      </w:r>
      <w:r>
        <w:t>, pp. 26–27.</w:t>
      </w:r>
    </w:p>
  </w:footnote>
  <w:footnote w:id="27">
    <w:p w:rsidR="00FB2F4A" w:rsidRDefault="00FB2F4A">
      <w:pPr>
        <w:pStyle w:val="FootnoteText"/>
      </w:pPr>
      <w:r>
        <w:rPr>
          <w:rStyle w:val="FootnoteReference"/>
        </w:rPr>
        <w:footnoteRef/>
      </w:r>
      <w:r>
        <w:t xml:space="preserve"> </w:t>
      </w:r>
      <w:r>
        <w:tab/>
        <w:t xml:space="preserve">Queensland Farmers' Federation, </w:t>
      </w:r>
      <w:r w:rsidRPr="006132D9">
        <w:rPr>
          <w:rStyle w:val="AERtextitalic"/>
        </w:rPr>
        <w:t>Submission to Australian Energy Regulator (AER) on the Ergon Energy regulatory proposal (revised) 2015–2020</w:t>
      </w:r>
      <w:r>
        <w:t>, 24 July 2015, p. 3.</w:t>
      </w:r>
    </w:p>
  </w:footnote>
  <w:footnote w:id="28">
    <w:p w:rsidR="00FB2F4A" w:rsidRDefault="00FB2F4A">
      <w:pPr>
        <w:pStyle w:val="FootnoteText"/>
      </w:pPr>
      <w:r>
        <w:rPr>
          <w:rStyle w:val="FootnoteReference"/>
        </w:rPr>
        <w:footnoteRef/>
      </w:r>
      <w:r>
        <w:t xml:space="preserve"> </w:t>
      </w:r>
      <w:r>
        <w:tab/>
        <w:t>AER, Letter to Ergon Energy:</w:t>
      </w:r>
      <w:r w:rsidR="0036422C">
        <w:t xml:space="preserve"> </w:t>
      </w:r>
      <w:r>
        <w:t>Response to letter 8 May 2015 in regard to our recent preliminary decision for Ergon Energy, 20 May 2015.</w:t>
      </w:r>
    </w:p>
  </w:footnote>
  <w:footnote w:id="29">
    <w:p w:rsidR="00FB2F4A" w:rsidRDefault="00FB2F4A">
      <w:pPr>
        <w:pStyle w:val="FootnoteText"/>
      </w:pPr>
      <w:r>
        <w:rPr>
          <w:rStyle w:val="FootnoteReference"/>
        </w:rPr>
        <w:footnoteRef/>
      </w:r>
      <w:r>
        <w:t xml:space="preserve"> </w:t>
      </w:r>
      <w:r>
        <w:tab/>
        <w:t>The TAR is published in the annual pricing proposal.</w:t>
      </w:r>
    </w:p>
  </w:footnote>
  <w:footnote w:id="30">
    <w:p w:rsidR="00FB2F4A" w:rsidRDefault="00FB2F4A">
      <w:pPr>
        <w:pStyle w:val="FootnoteText"/>
      </w:pPr>
      <w:r>
        <w:rPr>
          <w:rStyle w:val="FootnoteReference"/>
        </w:rPr>
        <w:footnoteRef/>
      </w:r>
      <w:r>
        <w:t xml:space="preserve"> </w:t>
      </w:r>
      <w:r>
        <w:tab/>
      </w:r>
      <w:r w:rsidRPr="00A65979">
        <w:t xml:space="preserve">AER, </w:t>
      </w:r>
      <w:r w:rsidRPr="00A65979">
        <w:rPr>
          <w:rStyle w:val="AERtextitalic"/>
        </w:rPr>
        <w:t>Final framework and approach for Energex and Ergon Energy: Regulatory control period commencing 1 July 2015</w:t>
      </w:r>
      <w:r>
        <w:t>, April 2014, p. 74</w:t>
      </w:r>
      <w:r w:rsidRPr="00A65979">
        <w:t>.</w:t>
      </w:r>
    </w:p>
  </w:footnote>
  <w:footnote w:id="31">
    <w:p w:rsidR="00FB2F4A" w:rsidRDefault="00FB2F4A" w:rsidP="00D039C3">
      <w:pPr>
        <w:pStyle w:val="FootnoteText"/>
      </w:pPr>
      <w:r>
        <w:rPr>
          <w:rStyle w:val="FootnoteReference"/>
        </w:rPr>
        <w:footnoteRef/>
      </w:r>
      <w:r>
        <w:t xml:space="preserve"> </w:t>
      </w:r>
      <w:r>
        <w:tab/>
      </w:r>
      <w:r w:rsidRPr="002330B7">
        <w:t>Ergon Energy, Revised regulatory proposal, July 2015</w:t>
      </w:r>
      <w:r>
        <w:t xml:space="preserve">, p. 43; Ergon Energy, </w:t>
      </w:r>
      <w:r w:rsidRPr="00275A77">
        <w:rPr>
          <w:rStyle w:val="Emphasis"/>
        </w:rPr>
        <w:t>R</w:t>
      </w:r>
      <w:r>
        <w:rPr>
          <w:rStyle w:val="Emphasis"/>
        </w:rPr>
        <w:t>evised r</w:t>
      </w:r>
      <w:r w:rsidRPr="00275A77">
        <w:rPr>
          <w:rStyle w:val="Emphasis"/>
        </w:rPr>
        <w:t>egulatory proposal</w:t>
      </w:r>
      <w:r>
        <w:rPr>
          <w:rStyle w:val="Emphasis"/>
        </w:rPr>
        <w:t xml:space="preserve">: </w:t>
      </w:r>
      <w:r w:rsidRPr="00717585">
        <w:rPr>
          <w:rStyle w:val="AERtextitalic"/>
        </w:rPr>
        <w:t>04.01.00–Compliance with control mechanisms</w:t>
      </w:r>
      <w:r>
        <w:t xml:space="preserve">, July 2015, p. 13; 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pp. 26–27.</w:t>
      </w:r>
    </w:p>
  </w:footnote>
  <w:footnote w:id="32">
    <w:p w:rsidR="00FB2F4A" w:rsidRDefault="00FB2F4A">
      <w:pPr>
        <w:pStyle w:val="FootnoteText"/>
      </w:pPr>
      <w:r>
        <w:rPr>
          <w:rStyle w:val="FootnoteReference"/>
        </w:rPr>
        <w:footnoteRef/>
      </w:r>
      <w:r>
        <w:t xml:space="preserve"> </w:t>
      </w:r>
      <w:r>
        <w:tab/>
        <w:t>In the absence of tolerance limits, customers would have paid higher tariffs over 2010–15, the period in which the under recoveries were built up.</w:t>
      </w:r>
    </w:p>
  </w:footnote>
  <w:footnote w:id="33">
    <w:p w:rsidR="00FB2F4A" w:rsidRDefault="00FB2F4A" w:rsidP="00A5130C">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26.</w:t>
      </w:r>
    </w:p>
  </w:footnote>
  <w:footnote w:id="34">
    <w:p w:rsidR="00FB2F4A" w:rsidRDefault="00FB2F4A" w:rsidP="00B570F7">
      <w:pPr>
        <w:pStyle w:val="FootnoteText"/>
      </w:pPr>
      <w:r>
        <w:rPr>
          <w:rStyle w:val="FootnoteReference"/>
        </w:rPr>
        <w:footnoteRef/>
      </w:r>
      <w:r>
        <w:t xml:space="preserve"> </w:t>
      </w:r>
      <w:r>
        <w:tab/>
      </w:r>
      <w:r w:rsidRPr="004D33F6">
        <w:t>NER, cl</w:t>
      </w:r>
      <w:r w:rsidR="0036422C">
        <w:t>.</w:t>
      </w:r>
      <w:r w:rsidRPr="004D33F6">
        <w:t xml:space="preserve"> 6.18.5(g)(3).</w:t>
      </w:r>
    </w:p>
  </w:footnote>
  <w:footnote w:id="35">
    <w:p w:rsidR="00FB2F4A" w:rsidRDefault="00FB2F4A">
      <w:pPr>
        <w:pStyle w:val="FootnoteText"/>
      </w:pPr>
      <w:r>
        <w:rPr>
          <w:rStyle w:val="FootnoteReference"/>
        </w:rPr>
        <w:footnoteRef/>
      </w:r>
      <w:r>
        <w:t xml:space="preserve"> </w:t>
      </w:r>
      <w:r>
        <w:tab/>
        <w:t xml:space="preserve">Ergon Energy, </w:t>
      </w:r>
      <w:r w:rsidRPr="00F103AD">
        <w:rPr>
          <w:rStyle w:val="AERtextitalic"/>
        </w:rPr>
        <w:t>Revised regulatory proposal</w:t>
      </w:r>
      <w:r>
        <w:t>, April 2015, pp. 39–40;</w:t>
      </w:r>
      <w:r w:rsidRPr="0055159B">
        <w:t xml:space="preserve"> </w:t>
      </w:r>
      <w:r>
        <w:t xml:space="preserve">Ergon Energy, </w:t>
      </w:r>
      <w:r w:rsidRPr="00275A77">
        <w:rPr>
          <w:rStyle w:val="Emphasis"/>
        </w:rPr>
        <w:t>R</w:t>
      </w:r>
      <w:r>
        <w:rPr>
          <w:rStyle w:val="Emphasis"/>
        </w:rPr>
        <w:t>evised r</w:t>
      </w:r>
      <w:r w:rsidRPr="00275A77">
        <w:rPr>
          <w:rStyle w:val="Emphasis"/>
        </w:rPr>
        <w:t>egulatory proposal</w:t>
      </w:r>
      <w:r>
        <w:rPr>
          <w:rStyle w:val="Emphasis"/>
        </w:rPr>
        <w:t xml:space="preserve">: </w:t>
      </w:r>
      <w:r w:rsidRPr="00717585">
        <w:rPr>
          <w:rStyle w:val="AERtextitalic"/>
        </w:rPr>
        <w:t>04.01.00–Compliance with control mechanisms</w:t>
      </w:r>
      <w:r>
        <w:t xml:space="preserve">, July 2015, p. 14; 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27.</w:t>
      </w:r>
    </w:p>
  </w:footnote>
  <w:footnote w:id="36">
    <w:p w:rsidR="00FB2F4A" w:rsidRDefault="00FB2F4A">
      <w:pPr>
        <w:pStyle w:val="FootnoteText"/>
      </w:pPr>
      <w:r>
        <w:rPr>
          <w:rStyle w:val="FootnoteReference"/>
        </w:rPr>
        <w:footnoteRef/>
      </w:r>
      <w:r>
        <w:t xml:space="preserve"> </w:t>
      </w:r>
      <w:r>
        <w:tab/>
      </w:r>
      <w:r w:rsidRPr="00BE7FA3">
        <w:t>NER, cl</w:t>
      </w:r>
      <w:r w:rsidR="0036422C">
        <w:t>.</w:t>
      </w:r>
      <w:r w:rsidRPr="00BE7FA3">
        <w:t xml:space="preserve"> 6.18.2(a).</w:t>
      </w:r>
    </w:p>
  </w:footnote>
  <w:footnote w:id="37">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34.</w:t>
      </w:r>
    </w:p>
  </w:footnote>
  <w:footnote w:id="38">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pp. 25–26.</w:t>
      </w:r>
    </w:p>
  </w:footnote>
  <w:footnote w:id="39">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34.</w:t>
      </w:r>
    </w:p>
  </w:footnote>
  <w:footnote w:id="40">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34.</w:t>
      </w:r>
    </w:p>
  </w:footnote>
  <w:footnote w:id="41">
    <w:p w:rsidR="00FB2F4A" w:rsidRDefault="00FB2F4A" w:rsidP="00332B2F">
      <w:pPr>
        <w:pStyle w:val="FootnoteText"/>
      </w:pPr>
      <w:r>
        <w:rPr>
          <w:rStyle w:val="FootnoteReference"/>
        </w:rPr>
        <w:footnoteRef/>
      </w:r>
      <w:r>
        <w:t xml:space="preserve"> </w:t>
      </w:r>
      <w:r>
        <w:tab/>
        <w:t>NER, cl. 6.12.1 (19</w:t>
      </w:r>
      <w:r w:rsidRPr="00AF1D39">
        <w:t>)</w:t>
      </w:r>
      <w:r>
        <w:t>.</w:t>
      </w:r>
    </w:p>
  </w:footnote>
  <w:footnote w:id="42">
    <w:p w:rsidR="00FB2F4A" w:rsidRDefault="00FB2F4A">
      <w:pPr>
        <w:pStyle w:val="FootnoteText"/>
      </w:pPr>
      <w:r>
        <w:rPr>
          <w:rStyle w:val="FootnoteReference"/>
        </w:rPr>
        <w:footnoteRef/>
      </w:r>
      <w:r>
        <w:t xml:space="preserve"> </w:t>
      </w:r>
      <w:r>
        <w:tab/>
      </w:r>
      <w:r w:rsidRPr="00360599">
        <w:t>NER, cll</w:t>
      </w:r>
      <w:r w:rsidR="0036422C">
        <w:t>.</w:t>
      </w:r>
      <w:r w:rsidRPr="00360599">
        <w:t xml:space="preserve"> 6.12.1(19), 6.18.7.</w:t>
      </w:r>
    </w:p>
  </w:footnote>
  <w:footnote w:id="43">
    <w:p w:rsidR="00FB2F4A" w:rsidRDefault="00FB2F4A">
      <w:pPr>
        <w:pStyle w:val="FootnoteText"/>
      </w:pPr>
      <w:r>
        <w:rPr>
          <w:rStyle w:val="FootnoteReference"/>
        </w:rPr>
        <w:footnoteRef/>
      </w:r>
      <w:r>
        <w:t xml:space="preserve"> </w:t>
      </w:r>
      <w:r>
        <w:tab/>
        <w:t xml:space="preserve">AER, </w:t>
      </w:r>
      <w:r w:rsidRPr="00DB6F91">
        <w:rPr>
          <w:rStyle w:val="AERtextitalic"/>
        </w:rPr>
        <w:t>Preliminary decision: Ergon Energy determination 2015–16 to 2019–20</w:t>
      </w:r>
      <w:r>
        <w:rPr>
          <w:rStyle w:val="AERtextitalic"/>
        </w:rPr>
        <w:t>:</w:t>
      </w:r>
      <w:r w:rsidRPr="00DB6F91">
        <w:rPr>
          <w:rStyle w:val="AERtextitalic"/>
        </w:rPr>
        <w:t xml:space="preserve"> Attachment 14</w:t>
      </w:r>
      <w:r>
        <w:rPr>
          <w:rStyle w:val="AERtextitalic"/>
        </w:rPr>
        <w:t>–Control mechanism</w:t>
      </w:r>
      <w:r>
        <w:t>, April 2015, p. 13.</w:t>
      </w:r>
    </w:p>
  </w:footnote>
  <w:footnote w:id="44">
    <w:p w:rsidR="00FB2F4A" w:rsidRDefault="00FB2F4A">
      <w:pPr>
        <w:pStyle w:val="FootnoteText"/>
      </w:pPr>
      <w:r>
        <w:rPr>
          <w:rStyle w:val="FootnoteReference"/>
        </w:rPr>
        <w:footnoteRef/>
      </w:r>
      <w:r>
        <w:t xml:space="preserve"> </w:t>
      </w:r>
      <w:r>
        <w:tab/>
        <w:t xml:space="preserve">Ergon Energy, </w:t>
      </w:r>
      <w:r w:rsidRPr="008929E9">
        <w:rPr>
          <w:rStyle w:val="AERtextitalic"/>
        </w:rPr>
        <w:t>Revised regulatory proposal</w:t>
      </w:r>
      <w:r>
        <w:t xml:space="preserve">, July 2015, p. 45; 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34.</w:t>
      </w:r>
    </w:p>
  </w:footnote>
  <w:footnote w:id="45">
    <w:p w:rsidR="00FB2F4A" w:rsidRDefault="00FB2F4A" w:rsidP="00C26338">
      <w:pPr>
        <w:pStyle w:val="FootnoteText"/>
      </w:pPr>
      <w:r>
        <w:rPr>
          <w:rStyle w:val="FootnoteReference"/>
        </w:rPr>
        <w:footnoteRef/>
      </w:r>
      <w:r>
        <w:t xml:space="preserve"> </w:t>
      </w:r>
      <w:r>
        <w:tab/>
        <w:t xml:space="preserve">NER, cl. </w:t>
      </w:r>
      <w:r w:rsidRPr="00AF1D39">
        <w:t>6.12.1 (20)</w:t>
      </w:r>
      <w:r>
        <w:t>.</w:t>
      </w:r>
    </w:p>
  </w:footnote>
  <w:footnote w:id="46">
    <w:p w:rsidR="00FB2F4A" w:rsidRDefault="00FB2F4A">
      <w:pPr>
        <w:pStyle w:val="FootnoteText"/>
      </w:pPr>
      <w:r>
        <w:rPr>
          <w:rStyle w:val="FootnoteReference"/>
        </w:rPr>
        <w:footnoteRef/>
      </w:r>
      <w:r>
        <w:t xml:space="preserve"> </w:t>
      </w:r>
      <w:r>
        <w:tab/>
        <w:t xml:space="preserve">AER, </w:t>
      </w:r>
      <w:r w:rsidRPr="00DB6F91">
        <w:rPr>
          <w:rStyle w:val="AERtextitalic"/>
        </w:rPr>
        <w:t>Preliminary decision: Ergon Energy determination 2015–16 to 2019–20</w:t>
      </w:r>
      <w:r>
        <w:rPr>
          <w:rStyle w:val="AERtextitalic"/>
        </w:rPr>
        <w:t>:</w:t>
      </w:r>
      <w:r w:rsidRPr="00DB6F91">
        <w:rPr>
          <w:rStyle w:val="AERtextitalic"/>
        </w:rPr>
        <w:t xml:space="preserve"> Attachment 14</w:t>
      </w:r>
      <w:r>
        <w:rPr>
          <w:rStyle w:val="AERtextitalic"/>
        </w:rPr>
        <w:t>–Control mechanism</w:t>
      </w:r>
      <w:r>
        <w:t>, April 2015, p. 14–15.</w:t>
      </w:r>
    </w:p>
  </w:footnote>
  <w:footnote w:id="47">
    <w:p w:rsidR="00FB2F4A" w:rsidRDefault="00FB2F4A">
      <w:pPr>
        <w:pStyle w:val="FootnoteText"/>
      </w:pPr>
      <w:r>
        <w:rPr>
          <w:rStyle w:val="FootnoteReference"/>
        </w:rPr>
        <w:footnoteRef/>
      </w:r>
      <w:r>
        <w:t xml:space="preserve"> </w:t>
      </w:r>
      <w:r>
        <w:tab/>
      </w:r>
      <w:r w:rsidRPr="00360599">
        <w:t>NER, cl</w:t>
      </w:r>
      <w:r w:rsidR="0036422C">
        <w:t>.</w:t>
      </w:r>
      <w:r w:rsidRPr="00360599">
        <w:t xml:space="preserve"> 6.18.7A.</w:t>
      </w:r>
    </w:p>
  </w:footnote>
  <w:footnote w:id="48">
    <w:p w:rsidR="00FB2F4A" w:rsidRDefault="00FB2F4A">
      <w:pPr>
        <w:pStyle w:val="FootnoteText"/>
      </w:pPr>
      <w:r>
        <w:rPr>
          <w:rStyle w:val="FootnoteReference"/>
        </w:rPr>
        <w:footnoteRef/>
      </w:r>
      <w:r>
        <w:t xml:space="preserve"> </w:t>
      </w:r>
      <w:r>
        <w:tab/>
        <w:t xml:space="preserve">Ergon Energy, </w:t>
      </w:r>
      <w:r w:rsidRPr="006959E4">
        <w:rPr>
          <w:rStyle w:val="AERtextitalic"/>
        </w:rPr>
        <w:t xml:space="preserve">Regulatory proposal: </w:t>
      </w:r>
      <w:r>
        <w:rPr>
          <w:rStyle w:val="AERtextitalic"/>
        </w:rPr>
        <w:t xml:space="preserve">Attachment 04.01.02 – </w:t>
      </w:r>
      <w:r w:rsidRPr="006959E4">
        <w:rPr>
          <w:rStyle w:val="AERtextitalic"/>
        </w:rPr>
        <w:t>Jurisdictional schemes</w:t>
      </w:r>
      <w:r>
        <w:t xml:space="preserve">, </w:t>
      </w:r>
      <w:r w:rsidRPr="00067474">
        <w:t>October 2014</w:t>
      </w:r>
      <w:r>
        <w:t xml:space="preserve">, pp. 6–7; Ergon Energy, </w:t>
      </w:r>
      <w:r w:rsidRPr="008929E9">
        <w:rPr>
          <w:rStyle w:val="AERtextitalic"/>
        </w:rPr>
        <w:t>Revised regulatory proposal</w:t>
      </w:r>
      <w:r>
        <w:t xml:space="preserve">, July 2015, p. 46;  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pp. 28–29.</w:t>
      </w:r>
    </w:p>
  </w:footnote>
  <w:footnote w:id="49">
    <w:p w:rsidR="00FB2F4A" w:rsidRDefault="00FB2F4A">
      <w:pPr>
        <w:pStyle w:val="FootnoteText"/>
      </w:pPr>
      <w:r>
        <w:rPr>
          <w:rStyle w:val="FootnoteReference"/>
        </w:rPr>
        <w:footnoteRef/>
      </w:r>
      <w:r>
        <w:t xml:space="preserve"> </w:t>
      </w:r>
      <w:r>
        <w:tab/>
        <w:t xml:space="preserve">The method in appendix </w:t>
      </w:r>
      <w:r>
        <w:fldChar w:fldCharType="begin"/>
      </w:r>
      <w:r>
        <w:instrText xml:space="preserve"> REF _Ref428542933 \r \h </w:instrText>
      </w:r>
      <w:r>
        <w:fldChar w:fldCharType="separate"/>
      </w:r>
      <w:r>
        <w:t>C</w:t>
      </w:r>
      <w:r>
        <w:fldChar w:fldCharType="end"/>
      </w:r>
      <w:r>
        <w:t xml:space="preserve"> is also applied to the distributors in South Australia and Victoria and is generally consistent with the method applied to the distributors in New South Wales and Tasmania.</w:t>
      </w:r>
    </w:p>
  </w:footnote>
  <w:footnote w:id="50">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28.</w:t>
      </w:r>
    </w:p>
  </w:footnote>
  <w:footnote w:id="51">
    <w:p w:rsidR="00FB2F4A" w:rsidRDefault="00FB2F4A" w:rsidP="00DE5CAF">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xml:space="preserve">, 24 July 2015¸ p. 28; AEMC, </w:t>
      </w:r>
      <w:r w:rsidRPr="00742AAC">
        <w:rPr>
          <w:rStyle w:val="AERtextitalic"/>
        </w:rPr>
        <w:t>Rule determination: DNSP recovery of transmission</w:t>
      </w:r>
      <w:r w:rsidRPr="00742AAC">
        <w:rPr>
          <w:rStyle w:val="AERtextitalic"/>
        </w:rPr>
        <w:noBreakHyphen/>
        <w:t>related charges</w:t>
      </w:r>
      <w:r>
        <w:t>, 24 March 2011, pp. 37–38.</w:t>
      </w:r>
    </w:p>
  </w:footnote>
  <w:footnote w:id="52">
    <w:p w:rsidR="00FB2F4A" w:rsidRDefault="00FB2F4A" w:rsidP="00B15D42">
      <w:pPr>
        <w:pStyle w:val="FootnoteText"/>
      </w:pPr>
      <w:r>
        <w:rPr>
          <w:rStyle w:val="FootnoteReference"/>
        </w:rPr>
        <w:footnoteRef/>
      </w:r>
      <w:r>
        <w:t xml:space="preserve"> </w:t>
      </w:r>
      <w:r>
        <w:tab/>
      </w:r>
      <w:r w:rsidRPr="0024792D">
        <w:t>NER, cl</w:t>
      </w:r>
      <w:r w:rsidR="0036422C">
        <w:t>.</w:t>
      </w:r>
      <w:r w:rsidRPr="0024792D">
        <w:t xml:space="preserve"> 6.18.6(c).</w:t>
      </w:r>
    </w:p>
  </w:footnote>
  <w:footnote w:id="53">
    <w:p w:rsidR="00FB2F4A" w:rsidRDefault="00FB2F4A" w:rsidP="00B15D42">
      <w:pPr>
        <w:pStyle w:val="FootnoteText"/>
      </w:pPr>
      <w:r>
        <w:rPr>
          <w:rStyle w:val="FootnoteReference"/>
        </w:rPr>
        <w:footnoteRef/>
      </w:r>
      <w:r>
        <w:t xml:space="preserve"> </w:t>
      </w:r>
      <w:r>
        <w:tab/>
        <w:t>NER, cl</w:t>
      </w:r>
      <w:r w:rsidR="0036422C">
        <w:t>.</w:t>
      </w:r>
      <w:r>
        <w:t xml:space="preserve"> 6.18.6(d</w:t>
      </w:r>
      <w:r w:rsidRPr="00E455ED">
        <w:t>).</w:t>
      </w:r>
    </w:p>
  </w:footnote>
  <w:footnote w:id="54">
    <w:p w:rsidR="00FB2F4A" w:rsidRDefault="00FB2F4A">
      <w:pPr>
        <w:pStyle w:val="FootnoteText"/>
      </w:pPr>
      <w:r>
        <w:rPr>
          <w:rStyle w:val="FootnoteReference"/>
        </w:rPr>
        <w:footnoteRef/>
      </w:r>
      <w:r>
        <w:t xml:space="preserve"> </w:t>
      </w:r>
      <w:r>
        <w:tab/>
        <w:t xml:space="preserve">Ergon Energy, </w:t>
      </w:r>
      <w:r w:rsidRPr="008929E9">
        <w:rPr>
          <w:rStyle w:val="AERtextitalic"/>
        </w:rPr>
        <w:t>Revised regulatory proposal</w:t>
      </w:r>
      <w:r>
        <w:t xml:space="preserve">, July 2015, p. 17; 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28.</w:t>
      </w:r>
    </w:p>
  </w:footnote>
  <w:footnote w:id="55">
    <w:p w:rsidR="00FB2F4A" w:rsidRDefault="00FB2F4A">
      <w:pPr>
        <w:pStyle w:val="FootnoteText"/>
      </w:pPr>
      <w:r>
        <w:rPr>
          <w:rStyle w:val="FootnoteReference"/>
        </w:rPr>
        <w:footnoteRef/>
      </w:r>
      <w:r>
        <w:t xml:space="preserve"> </w:t>
      </w:r>
      <w:r>
        <w:tab/>
      </w:r>
      <w:r w:rsidRPr="00BA19BA">
        <w:t>NER, cl</w:t>
      </w:r>
      <w:r w:rsidR="0036422C">
        <w:t>.</w:t>
      </w:r>
      <w:r w:rsidRPr="00BA19BA">
        <w:t xml:space="preserve"> 6.18.2.</w:t>
      </w:r>
    </w:p>
  </w:footnote>
  <w:footnote w:id="56">
    <w:p w:rsidR="00FB2F4A" w:rsidRDefault="00FB2F4A">
      <w:pPr>
        <w:pStyle w:val="FootnoteText"/>
      </w:pPr>
      <w:r>
        <w:rPr>
          <w:rStyle w:val="FootnoteReference"/>
        </w:rPr>
        <w:footnoteRef/>
      </w:r>
      <w:r>
        <w:t xml:space="preserve"> </w:t>
      </w:r>
      <w:r>
        <w:tab/>
      </w:r>
      <w:r w:rsidRPr="005B0486">
        <w:t>If the ABS does not, or ceases to, publish the index, then CPI will mean an index which the AER considers is the best available alternative index.</w:t>
      </w:r>
    </w:p>
  </w:footnote>
  <w:footnote w:id="57">
    <w:p w:rsidR="00FB2F4A" w:rsidRDefault="00FB2F4A">
      <w:pPr>
        <w:pStyle w:val="FootnoteText"/>
      </w:pPr>
      <w:r>
        <w:rPr>
          <w:rStyle w:val="FootnoteReference"/>
        </w:rPr>
        <w:footnoteRef/>
      </w:r>
      <w:r>
        <w:t xml:space="preserve"> </w:t>
      </w:r>
      <w:r>
        <w:tab/>
      </w:r>
      <w:r w:rsidRPr="001A1F8E">
        <w:t xml:space="preserve">In the formulas in the STPIS attachment, the </w:t>
      </w:r>
      <w:r w:rsidRPr="001A1F8E">
        <w:rPr>
          <w:rStyle w:val="AERtextitalic"/>
        </w:rPr>
        <w:t>AR</w:t>
      </w:r>
      <w:r w:rsidRPr="001A1F8E">
        <w:rPr>
          <w:rStyle w:val="AERsubscript"/>
        </w:rPr>
        <w:t>(t+1)</w:t>
      </w:r>
      <w:r w:rsidRPr="001A1F8E">
        <w:t xml:space="preserve"> is equivalent to</w:t>
      </w:r>
      <w:r>
        <w:t xml:space="preserve"> </w:t>
      </w:r>
      <w:r w:rsidRPr="001A1F8E">
        <w:rPr>
          <w:rStyle w:val="AERtextitalic"/>
        </w:rPr>
        <w:t>AR</w:t>
      </w:r>
      <w:r w:rsidRPr="005B0486">
        <w:rPr>
          <w:rStyle w:val="AERsubscript"/>
        </w:rPr>
        <w:t>t</w:t>
      </w:r>
      <w:r w:rsidRPr="001A1F8E">
        <w:rPr>
          <w:rStyle w:val="AERtextitalic"/>
        </w:rPr>
        <w:t xml:space="preserve"> </w:t>
      </w:r>
      <w:r w:rsidRPr="001A1F8E">
        <w:t>in this formula. Calculations of the S</w:t>
      </w:r>
      <w:r>
        <w:t> </w:t>
      </w:r>
      <w:r w:rsidRPr="001A1F8E">
        <w:t>factor adjustment are to be made accordingly.</w:t>
      </w:r>
    </w:p>
  </w:footnote>
  <w:footnote w:id="58">
    <w:p w:rsidR="00FB2F4A" w:rsidRDefault="00FB2F4A" w:rsidP="00E12CEA">
      <w:pPr>
        <w:pStyle w:val="FootnoteText"/>
      </w:pPr>
      <w:r>
        <w:rPr>
          <w:rStyle w:val="FootnoteReference"/>
        </w:rPr>
        <w:footnoteRef/>
      </w:r>
      <w:r>
        <w:t xml:space="preserve"> </w:t>
      </w:r>
      <w:r>
        <w:tab/>
      </w:r>
      <w:r w:rsidRPr="005B0486">
        <w:t>If the ABS does not, or ceases to, publish the index, then CPI will mean an index which the AER considers is the best available alternative index.</w:t>
      </w:r>
    </w:p>
  </w:footnote>
  <w:footnote w:id="59">
    <w:p w:rsidR="00FB2F4A" w:rsidRDefault="00FB2F4A" w:rsidP="00E12CEA">
      <w:pPr>
        <w:pStyle w:val="FootnoteText"/>
      </w:pPr>
      <w:r>
        <w:rPr>
          <w:rStyle w:val="FootnoteReference"/>
        </w:rPr>
        <w:footnoteRef/>
      </w:r>
      <w:r>
        <w:t xml:space="preserve"> </w:t>
      </w:r>
      <w:r>
        <w:tab/>
      </w:r>
      <w:r w:rsidRPr="001A1F8E">
        <w:t xml:space="preserve">In the formulas in the STPIS attachment, the </w:t>
      </w:r>
      <w:r w:rsidRPr="001A1F8E">
        <w:rPr>
          <w:rStyle w:val="AERtextitalic"/>
        </w:rPr>
        <w:t>AR</w:t>
      </w:r>
      <w:r w:rsidRPr="001A1F8E">
        <w:rPr>
          <w:rStyle w:val="AERsubscript"/>
        </w:rPr>
        <w:t>(t+1)</w:t>
      </w:r>
      <w:r w:rsidRPr="001A1F8E">
        <w:t xml:space="preserve"> is equivalent to</w:t>
      </w:r>
      <w:r>
        <w:t xml:space="preserve"> </w:t>
      </w:r>
      <w:r w:rsidRPr="001A1F8E">
        <w:rPr>
          <w:rStyle w:val="AERtextitalic"/>
        </w:rPr>
        <w:t>AR</w:t>
      </w:r>
      <w:r w:rsidRPr="005B0486">
        <w:rPr>
          <w:rStyle w:val="AERsubscript"/>
        </w:rPr>
        <w:t>t</w:t>
      </w:r>
      <w:r w:rsidRPr="001A1F8E">
        <w:rPr>
          <w:rStyle w:val="AERtextitalic"/>
        </w:rPr>
        <w:t xml:space="preserve"> </w:t>
      </w:r>
      <w:r w:rsidRPr="001A1F8E">
        <w:t>in this formula. Calculations of the S</w:t>
      </w:r>
      <w:r>
        <w:t> </w:t>
      </w:r>
      <w:r w:rsidRPr="001A1F8E">
        <w:t>factor adjustment are to be made accordingly.</w:t>
      </w:r>
    </w:p>
  </w:footnote>
  <w:footnote w:id="60">
    <w:p w:rsidR="00FB2F4A" w:rsidRDefault="00FB2F4A">
      <w:pPr>
        <w:pStyle w:val="FootnoteText"/>
      </w:pPr>
      <w:r>
        <w:rPr>
          <w:rStyle w:val="FootnoteReference"/>
        </w:rPr>
        <w:footnoteRef/>
      </w:r>
      <w:r>
        <w:t xml:space="preserve"> </w:t>
      </w:r>
      <w:r>
        <w:tab/>
      </w:r>
      <w:r w:rsidRPr="007D563B">
        <w:t>NER, cl</w:t>
      </w:r>
      <w:r w:rsidR="0036422C">
        <w:t>.</w:t>
      </w:r>
      <w:r w:rsidRPr="007D563B">
        <w:t xml:space="preserve"> 6.18.2(b)(7).</w:t>
      </w:r>
    </w:p>
  </w:footnote>
  <w:footnote w:id="61">
    <w:p w:rsidR="00C668EE" w:rsidRDefault="00C668EE" w:rsidP="00C668EE">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62">
    <w:p w:rsidR="00FB2F4A" w:rsidRDefault="00FB2F4A">
      <w:pPr>
        <w:pStyle w:val="FootnoteText"/>
      </w:pPr>
      <w:r>
        <w:rPr>
          <w:rStyle w:val="FootnoteReference"/>
        </w:rPr>
        <w:footnoteRef/>
      </w:r>
      <w:r>
        <w:t xml:space="preserve"> </w:t>
      </w:r>
      <w:r>
        <w:tab/>
      </w:r>
      <w:r w:rsidRPr="007D563B">
        <w:t>NER, cll</w:t>
      </w:r>
      <w:r w:rsidR="0036422C">
        <w:t>.</w:t>
      </w:r>
      <w:r w:rsidRPr="007D563B">
        <w:t xml:space="preserve"> 6.18.2(b)(6), 6.12.1(19).</w:t>
      </w:r>
    </w:p>
  </w:footnote>
  <w:footnote w:id="63">
    <w:p w:rsidR="00C668EE" w:rsidRDefault="00C668EE" w:rsidP="00C668EE">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64">
    <w:p w:rsidR="00FB2F4A" w:rsidRDefault="00FB2F4A">
      <w:pPr>
        <w:pStyle w:val="FootnoteText"/>
      </w:pPr>
      <w:r>
        <w:rPr>
          <w:rStyle w:val="FootnoteReference"/>
        </w:rPr>
        <w:footnoteRef/>
      </w:r>
      <w:r>
        <w:t xml:space="preserve"> </w:t>
      </w:r>
      <w:r>
        <w:tab/>
      </w:r>
      <w:r w:rsidRPr="007D563B">
        <w:t>NER, cll. 6.12.1(20), 6.18.2(b)(6A).</w:t>
      </w:r>
    </w:p>
  </w:footnote>
  <w:footnote w:id="65">
    <w:p w:rsidR="00C668EE" w:rsidRDefault="00C668EE" w:rsidP="00C668EE">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66">
    <w:p w:rsidR="00FB2F4A" w:rsidRDefault="00FB2F4A">
      <w:pPr>
        <w:pStyle w:val="FootnoteText"/>
      </w:pPr>
      <w:r>
        <w:rPr>
          <w:rStyle w:val="FootnoteReference"/>
        </w:rPr>
        <w:footnoteRef/>
      </w:r>
      <w:r>
        <w:t xml:space="preserve"> </w:t>
      </w:r>
      <w:r>
        <w:tab/>
      </w:r>
      <w:r w:rsidRPr="001961AE">
        <w:t>NER, cl 6.12.1(17).</w:t>
      </w:r>
    </w:p>
  </w:footnote>
  <w:footnote w:id="67">
    <w:p w:rsidR="00FB2F4A" w:rsidRDefault="00FB2F4A">
      <w:pPr>
        <w:pStyle w:val="FootnoteText"/>
      </w:pPr>
      <w:r>
        <w:rPr>
          <w:rStyle w:val="FootnoteReference"/>
        </w:rPr>
        <w:footnoteRef/>
      </w:r>
      <w:r>
        <w:t xml:space="preserve"> </w:t>
      </w:r>
      <w:r>
        <w:tab/>
      </w:r>
      <w:r w:rsidRPr="00BA19BA">
        <w:t>NER, cl 6.18.4.</w:t>
      </w:r>
    </w:p>
  </w:footnote>
  <w:footnote w:id="68">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34.</w:t>
      </w:r>
    </w:p>
  </w:footnote>
  <w:footnote w:id="69">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pp. 34–36.</w:t>
      </w:r>
    </w:p>
  </w:footnote>
  <w:footnote w:id="70">
    <w:p w:rsidR="00FB2F4A" w:rsidRDefault="00FB2F4A">
      <w:pPr>
        <w:pStyle w:val="FootnoteText"/>
      </w:pPr>
      <w:r>
        <w:rPr>
          <w:rStyle w:val="FootnoteReference"/>
        </w:rPr>
        <w:footnoteRef/>
      </w:r>
      <w:r>
        <w:t xml:space="preserve"> </w:t>
      </w:r>
      <w:r>
        <w:tab/>
        <w:t xml:space="preserve">See for example: AER, </w:t>
      </w:r>
      <w:r w:rsidRPr="00BA271B">
        <w:rPr>
          <w:rStyle w:val="AERtextitalic"/>
        </w:rPr>
        <w:t>Final Decision: Ausgrid distribution determination 2015–16 to 2018–19: Attachment 14: Control mechanism for standard control services</w:t>
      </w:r>
      <w:r>
        <w:t>, April 2015, Appendix D, p. 29.</w:t>
      </w:r>
    </w:p>
  </w:footnote>
  <w:footnote w:id="71">
    <w:p w:rsidR="00FB2F4A" w:rsidRDefault="00FB2F4A">
      <w:pPr>
        <w:pStyle w:val="FootnoteText"/>
      </w:pPr>
      <w:r>
        <w:rPr>
          <w:rStyle w:val="FootnoteReference"/>
        </w:rPr>
        <w:footnoteRef/>
      </w:r>
      <w:r>
        <w:t xml:space="preserve"> </w:t>
      </w:r>
      <w:r>
        <w:tab/>
      </w:r>
      <w:r w:rsidRPr="005C2119">
        <w:t xml:space="preserve">AER, </w:t>
      </w:r>
      <w:r w:rsidRPr="00721265">
        <w:rPr>
          <w:rStyle w:val="AERtextitalic"/>
        </w:rPr>
        <w:t>Preliminary decision: Ergon Energy determination 2015–16 to 2019–20: Attachment 14–Control mechanism</w:t>
      </w:r>
      <w:r>
        <w:t>, April 2015,Appendix D, pp. 27–28.</w:t>
      </w:r>
    </w:p>
  </w:footnote>
  <w:footnote w:id="72">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36.</w:t>
      </w:r>
    </w:p>
  </w:footnote>
  <w:footnote w:id="73">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pp. 36–37.</w:t>
      </w:r>
    </w:p>
  </w:footnote>
  <w:footnote w:id="74">
    <w:p w:rsidR="00FB2F4A" w:rsidRDefault="00FB2F4A">
      <w:pPr>
        <w:pStyle w:val="FootnoteText"/>
      </w:pPr>
      <w:r>
        <w:rPr>
          <w:rStyle w:val="FootnoteReference"/>
        </w:rPr>
        <w:footnoteRef/>
      </w:r>
      <w:r>
        <w:t xml:space="preserve"> </w:t>
      </w:r>
      <w:r>
        <w:tab/>
      </w:r>
      <w:r w:rsidRPr="005C2119">
        <w:t xml:space="preserve">AER, </w:t>
      </w:r>
      <w:r w:rsidRPr="00721265">
        <w:rPr>
          <w:rStyle w:val="AERtextitalic"/>
        </w:rPr>
        <w:t>Preliminary decision: Ergon Energy determination 2015–16 to 2019–20: Attachment 14–Control mechanism</w:t>
      </w:r>
      <w:r>
        <w:t>, April 2015,</w:t>
      </w:r>
      <w:r w:rsidR="0036422C">
        <w:t xml:space="preserve"> </w:t>
      </w:r>
      <w:r>
        <w:t>Appendix D, p. 28.</w:t>
      </w:r>
    </w:p>
  </w:footnote>
  <w:footnote w:id="75">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37.</w:t>
      </w:r>
    </w:p>
  </w:footnote>
  <w:footnote w:id="76">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37.</w:t>
      </w:r>
    </w:p>
  </w:footnote>
  <w:footnote w:id="77">
    <w:p w:rsidR="00FB2F4A" w:rsidRDefault="00FB2F4A">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38.</w:t>
      </w:r>
    </w:p>
  </w:footnote>
  <w:footnote w:id="78">
    <w:p w:rsidR="00FB2F4A" w:rsidRDefault="00FB2F4A">
      <w:pPr>
        <w:pStyle w:val="FootnoteText"/>
      </w:pPr>
      <w:r>
        <w:rPr>
          <w:rStyle w:val="FootnoteReference"/>
        </w:rPr>
        <w:footnoteRef/>
      </w:r>
      <w:r>
        <w:t xml:space="preserve"> </w:t>
      </w:r>
      <w:r>
        <w:tab/>
        <w:t>We</w:t>
      </w:r>
      <w:r w:rsidRPr="002B3301">
        <w:t xml:space="preserve"> interpret 'nature' to include the installation of any technology capable of supporting time based tariffs.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0784C12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8BD4EE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4"/>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DA600D8E"/>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14"/>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skin\AppData\Local\Microsoft\Windows\Temporary Internet Files\Content.MSO\4D00A455.docx"/>
  </w:docVars>
  <w:rsids>
    <w:rsidRoot w:val="00961A4A"/>
    <w:rsid w:val="00001341"/>
    <w:rsid w:val="00004F9C"/>
    <w:rsid w:val="000067A7"/>
    <w:rsid w:val="0001063E"/>
    <w:rsid w:val="00014DCF"/>
    <w:rsid w:val="00021202"/>
    <w:rsid w:val="0002517F"/>
    <w:rsid w:val="00027427"/>
    <w:rsid w:val="0003578C"/>
    <w:rsid w:val="000361BE"/>
    <w:rsid w:val="000466B0"/>
    <w:rsid w:val="00054AEC"/>
    <w:rsid w:val="00056E41"/>
    <w:rsid w:val="00063247"/>
    <w:rsid w:val="00070F9F"/>
    <w:rsid w:val="0007137B"/>
    <w:rsid w:val="00071566"/>
    <w:rsid w:val="00071583"/>
    <w:rsid w:val="000724E6"/>
    <w:rsid w:val="00076643"/>
    <w:rsid w:val="0007670F"/>
    <w:rsid w:val="00082088"/>
    <w:rsid w:val="000835AD"/>
    <w:rsid w:val="00084027"/>
    <w:rsid w:val="00085663"/>
    <w:rsid w:val="00085EBF"/>
    <w:rsid w:val="00094689"/>
    <w:rsid w:val="00094B95"/>
    <w:rsid w:val="0009777C"/>
    <w:rsid w:val="000A2431"/>
    <w:rsid w:val="000A3020"/>
    <w:rsid w:val="000A3517"/>
    <w:rsid w:val="000A4B47"/>
    <w:rsid w:val="000A6C7B"/>
    <w:rsid w:val="000B2CFA"/>
    <w:rsid w:val="000B5074"/>
    <w:rsid w:val="000C389E"/>
    <w:rsid w:val="000D122C"/>
    <w:rsid w:val="000D3616"/>
    <w:rsid w:val="000D43C9"/>
    <w:rsid w:val="000D4C54"/>
    <w:rsid w:val="000E1819"/>
    <w:rsid w:val="000E4821"/>
    <w:rsid w:val="000E4DFD"/>
    <w:rsid w:val="000E6C72"/>
    <w:rsid w:val="000F1112"/>
    <w:rsid w:val="000F181E"/>
    <w:rsid w:val="000F4FC9"/>
    <w:rsid w:val="00100550"/>
    <w:rsid w:val="00100685"/>
    <w:rsid w:val="0010091D"/>
    <w:rsid w:val="00104A3B"/>
    <w:rsid w:val="00113CB1"/>
    <w:rsid w:val="00115B13"/>
    <w:rsid w:val="00116EB2"/>
    <w:rsid w:val="001201F1"/>
    <w:rsid w:val="00122D9F"/>
    <w:rsid w:val="00124609"/>
    <w:rsid w:val="001260BD"/>
    <w:rsid w:val="00126335"/>
    <w:rsid w:val="00126368"/>
    <w:rsid w:val="00126A4C"/>
    <w:rsid w:val="00126BD4"/>
    <w:rsid w:val="0012748F"/>
    <w:rsid w:val="001443EA"/>
    <w:rsid w:val="0014573B"/>
    <w:rsid w:val="00145AC3"/>
    <w:rsid w:val="00151A23"/>
    <w:rsid w:val="00153EB3"/>
    <w:rsid w:val="0015432F"/>
    <w:rsid w:val="00155310"/>
    <w:rsid w:val="001569C8"/>
    <w:rsid w:val="001573E4"/>
    <w:rsid w:val="00160756"/>
    <w:rsid w:val="00160E09"/>
    <w:rsid w:val="00162CE3"/>
    <w:rsid w:val="00166100"/>
    <w:rsid w:val="00170307"/>
    <w:rsid w:val="0017232E"/>
    <w:rsid w:val="00174102"/>
    <w:rsid w:val="00176A78"/>
    <w:rsid w:val="00177D8B"/>
    <w:rsid w:val="00177DBC"/>
    <w:rsid w:val="001800BC"/>
    <w:rsid w:val="00180157"/>
    <w:rsid w:val="00181F94"/>
    <w:rsid w:val="00182D19"/>
    <w:rsid w:val="00185CB9"/>
    <w:rsid w:val="00185DF2"/>
    <w:rsid w:val="00186F77"/>
    <w:rsid w:val="00187553"/>
    <w:rsid w:val="001919F1"/>
    <w:rsid w:val="001926A4"/>
    <w:rsid w:val="00192AD5"/>
    <w:rsid w:val="001946C5"/>
    <w:rsid w:val="00195941"/>
    <w:rsid w:val="001959A5"/>
    <w:rsid w:val="001961AE"/>
    <w:rsid w:val="001A4AFA"/>
    <w:rsid w:val="001A5454"/>
    <w:rsid w:val="001A57B5"/>
    <w:rsid w:val="001A6CBB"/>
    <w:rsid w:val="001B45A0"/>
    <w:rsid w:val="001B6FBC"/>
    <w:rsid w:val="001C1C7B"/>
    <w:rsid w:val="001C5F95"/>
    <w:rsid w:val="001D055E"/>
    <w:rsid w:val="001D2566"/>
    <w:rsid w:val="001E348D"/>
    <w:rsid w:val="001E4557"/>
    <w:rsid w:val="001F09B2"/>
    <w:rsid w:val="001F32BC"/>
    <w:rsid w:val="001F46EE"/>
    <w:rsid w:val="001F492E"/>
    <w:rsid w:val="001F6DA3"/>
    <w:rsid w:val="002010BC"/>
    <w:rsid w:val="00202115"/>
    <w:rsid w:val="00202E03"/>
    <w:rsid w:val="0020492C"/>
    <w:rsid w:val="00204E42"/>
    <w:rsid w:val="002058B8"/>
    <w:rsid w:val="00224DB9"/>
    <w:rsid w:val="00231037"/>
    <w:rsid w:val="002330B7"/>
    <w:rsid w:val="00233775"/>
    <w:rsid w:val="002353DD"/>
    <w:rsid w:val="002371DE"/>
    <w:rsid w:val="00240DCE"/>
    <w:rsid w:val="00241164"/>
    <w:rsid w:val="00241AD6"/>
    <w:rsid w:val="002424B3"/>
    <w:rsid w:val="002424FE"/>
    <w:rsid w:val="002512BC"/>
    <w:rsid w:val="00251745"/>
    <w:rsid w:val="00257FA4"/>
    <w:rsid w:val="00261276"/>
    <w:rsid w:val="00263AC0"/>
    <w:rsid w:val="00264264"/>
    <w:rsid w:val="002652A1"/>
    <w:rsid w:val="0026772D"/>
    <w:rsid w:val="00272A12"/>
    <w:rsid w:val="0027480B"/>
    <w:rsid w:val="0028101C"/>
    <w:rsid w:val="00284447"/>
    <w:rsid w:val="0028543B"/>
    <w:rsid w:val="00286874"/>
    <w:rsid w:val="00287DE8"/>
    <w:rsid w:val="00290C63"/>
    <w:rsid w:val="00296B65"/>
    <w:rsid w:val="002A4332"/>
    <w:rsid w:val="002A6607"/>
    <w:rsid w:val="002A7DEF"/>
    <w:rsid w:val="002B271B"/>
    <w:rsid w:val="002B2B79"/>
    <w:rsid w:val="002B3301"/>
    <w:rsid w:val="002B3C94"/>
    <w:rsid w:val="002C037A"/>
    <w:rsid w:val="002C0A0A"/>
    <w:rsid w:val="002D038C"/>
    <w:rsid w:val="002D061E"/>
    <w:rsid w:val="002E617A"/>
    <w:rsid w:val="002E7B22"/>
    <w:rsid w:val="002F7986"/>
    <w:rsid w:val="00301B40"/>
    <w:rsid w:val="003029EE"/>
    <w:rsid w:val="00305CC8"/>
    <w:rsid w:val="00306E2B"/>
    <w:rsid w:val="00307F6D"/>
    <w:rsid w:val="00312C28"/>
    <w:rsid w:val="00313ADE"/>
    <w:rsid w:val="00314AAE"/>
    <w:rsid w:val="003177A2"/>
    <w:rsid w:val="003211E0"/>
    <w:rsid w:val="003271B5"/>
    <w:rsid w:val="00327A1E"/>
    <w:rsid w:val="00331264"/>
    <w:rsid w:val="00332B2F"/>
    <w:rsid w:val="00334C8D"/>
    <w:rsid w:val="00343A18"/>
    <w:rsid w:val="00346578"/>
    <w:rsid w:val="0034796C"/>
    <w:rsid w:val="003518B3"/>
    <w:rsid w:val="00352786"/>
    <w:rsid w:val="003603D7"/>
    <w:rsid w:val="00360599"/>
    <w:rsid w:val="0036422C"/>
    <w:rsid w:val="003745C2"/>
    <w:rsid w:val="00374728"/>
    <w:rsid w:val="0037552E"/>
    <w:rsid w:val="00380CC0"/>
    <w:rsid w:val="00382B4F"/>
    <w:rsid w:val="003846F1"/>
    <w:rsid w:val="00394353"/>
    <w:rsid w:val="00395821"/>
    <w:rsid w:val="003A140B"/>
    <w:rsid w:val="003A511C"/>
    <w:rsid w:val="003B2120"/>
    <w:rsid w:val="003B2C7E"/>
    <w:rsid w:val="003B484F"/>
    <w:rsid w:val="003B4E8C"/>
    <w:rsid w:val="003C6753"/>
    <w:rsid w:val="003C7A64"/>
    <w:rsid w:val="003D33AF"/>
    <w:rsid w:val="003D5D83"/>
    <w:rsid w:val="003E14CB"/>
    <w:rsid w:val="003E6E24"/>
    <w:rsid w:val="003F174D"/>
    <w:rsid w:val="003F1B2B"/>
    <w:rsid w:val="003F39CE"/>
    <w:rsid w:val="004049AE"/>
    <w:rsid w:val="00412569"/>
    <w:rsid w:val="00421441"/>
    <w:rsid w:val="00432E17"/>
    <w:rsid w:val="00434D68"/>
    <w:rsid w:val="00435273"/>
    <w:rsid w:val="00443323"/>
    <w:rsid w:val="00446DA6"/>
    <w:rsid w:val="00451650"/>
    <w:rsid w:val="00455ACF"/>
    <w:rsid w:val="004572DD"/>
    <w:rsid w:val="0045777E"/>
    <w:rsid w:val="004809FA"/>
    <w:rsid w:val="00480B4B"/>
    <w:rsid w:val="00482438"/>
    <w:rsid w:val="00485DC4"/>
    <w:rsid w:val="004900E1"/>
    <w:rsid w:val="00491EBE"/>
    <w:rsid w:val="00494DF9"/>
    <w:rsid w:val="00497486"/>
    <w:rsid w:val="00497768"/>
    <w:rsid w:val="004A0100"/>
    <w:rsid w:val="004A43D1"/>
    <w:rsid w:val="004B4412"/>
    <w:rsid w:val="004C348C"/>
    <w:rsid w:val="004C39D1"/>
    <w:rsid w:val="004C3C92"/>
    <w:rsid w:val="004C5D70"/>
    <w:rsid w:val="004D33F6"/>
    <w:rsid w:val="004D4480"/>
    <w:rsid w:val="004D55BA"/>
    <w:rsid w:val="004D7DF1"/>
    <w:rsid w:val="004E0F2C"/>
    <w:rsid w:val="004E22EC"/>
    <w:rsid w:val="004E547B"/>
    <w:rsid w:val="004F172F"/>
    <w:rsid w:val="004F1B6A"/>
    <w:rsid w:val="004F2164"/>
    <w:rsid w:val="004F4F21"/>
    <w:rsid w:val="004F564B"/>
    <w:rsid w:val="0050152F"/>
    <w:rsid w:val="00506EC1"/>
    <w:rsid w:val="00507116"/>
    <w:rsid w:val="00512F2F"/>
    <w:rsid w:val="00523E0A"/>
    <w:rsid w:val="00524637"/>
    <w:rsid w:val="00530128"/>
    <w:rsid w:val="00532467"/>
    <w:rsid w:val="00534ED5"/>
    <w:rsid w:val="00542D91"/>
    <w:rsid w:val="00545A40"/>
    <w:rsid w:val="0055159B"/>
    <w:rsid w:val="00552DCB"/>
    <w:rsid w:val="00554D09"/>
    <w:rsid w:val="00556E03"/>
    <w:rsid w:val="00563EAF"/>
    <w:rsid w:val="00564A4D"/>
    <w:rsid w:val="00566A3A"/>
    <w:rsid w:val="00567BA5"/>
    <w:rsid w:val="00571B35"/>
    <w:rsid w:val="00571D57"/>
    <w:rsid w:val="00577A09"/>
    <w:rsid w:val="005829C2"/>
    <w:rsid w:val="00584D8F"/>
    <w:rsid w:val="005872F8"/>
    <w:rsid w:val="00587ADF"/>
    <w:rsid w:val="00592920"/>
    <w:rsid w:val="005943A4"/>
    <w:rsid w:val="00595F17"/>
    <w:rsid w:val="005A2715"/>
    <w:rsid w:val="005A404D"/>
    <w:rsid w:val="005A41AC"/>
    <w:rsid w:val="005A4285"/>
    <w:rsid w:val="005B0486"/>
    <w:rsid w:val="005B088D"/>
    <w:rsid w:val="005B1E3C"/>
    <w:rsid w:val="005C2119"/>
    <w:rsid w:val="005C26CC"/>
    <w:rsid w:val="005D05C3"/>
    <w:rsid w:val="005D4D3D"/>
    <w:rsid w:val="005D789B"/>
    <w:rsid w:val="005D7BA2"/>
    <w:rsid w:val="005E0319"/>
    <w:rsid w:val="005E36C2"/>
    <w:rsid w:val="005E59F7"/>
    <w:rsid w:val="005E6066"/>
    <w:rsid w:val="005F3AE6"/>
    <w:rsid w:val="00600A40"/>
    <w:rsid w:val="00606144"/>
    <w:rsid w:val="006132D9"/>
    <w:rsid w:val="00615612"/>
    <w:rsid w:val="00615C6B"/>
    <w:rsid w:val="00621DCE"/>
    <w:rsid w:val="00621EE3"/>
    <w:rsid w:val="00624A8A"/>
    <w:rsid w:val="0062636D"/>
    <w:rsid w:val="006302D8"/>
    <w:rsid w:val="00632D6D"/>
    <w:rsid w:val="006338D6"/>
    <w:rsid w:val="00642C3E"/>
    <w:rsid w:val="00654DB3"/>
    <w:rsid w:val="0066104A"/>
    <w:rsid w:val="00662619"/>
    <w:rsid w:val="00663DAD"/>
    <w:rsid w:val="00674233"/>
    <w:rsid w:val="00674E77"/>
    <w:rsid w:val="00675E20"/>
    <w:rsid w:val="00676679"/>
    <w:rsid w:val="0068268B"/>
    <w:rsid w:val="00683C89"/>
    <w:rsid w:val="00687048"/>
    <w:rsid w:val="00691F29"/>
    <w:rsid w:val="00694574"/>
    <w:rsid w:val="006955D2"/>
    <w:rsid w:val="006A166D"/>
    <w:rsid w:val="006B2395"/>
    <w:rsid w:val="006B4CF9"/>
    <w:rsid w:val="006B579A"/>
    <w:rsid w:val="006B7AC8"/>
    <w:rsid w:val="006C6C98"/>
    <w:rsid w:val="006D3584"/>
    <w:rsid w:val="006D3959"/>
    <w:rsid w:val="006D550F"/>
    <w:rsid w:val="006D628F"/>
    <w:rsid w:val="006E13F9"/>
    <w:rsid w:val="006E1FF8"/>
    <w:rsid w:val="006E326B"/>
    <w:rsid w:val="006E688D"/>
    <w:rsid w:val="006E69AD"/>
    <w:rsid w:val="006F67DD"/>
    <w:rsid w:val="006F6D3B"/>
    <w:rsid w:val="00701CAB"/>
    <w:rsid w:val="00707563"/>
    <w:rsid w:val="0071742C"/>
    <w:rsid w:val="00717585"/>
    <w:rsid w:val="00721265"/>
    <w:rsid w:val="0072348C"/>
    <w:rsid w:val="00724A37"/>
    <w:rsid w:val="007251FA"/>
    <w:rsid w:val="007258C8"/>
    <w:rsid w:val="007303C3"/>
    <w:rsid w:val="00740A3B"/>
    <w:rsid w:val="007429BE"/>
    <w:rsid w:val="00742AAC"/>
    <w:rsid w:val="00743223"/>
    <w:rsid w:val="00744EB4"/>
    <w:rsid w:val="00746E01"/>
    <w:rsid w:val="0075323B"/>
    <w:rsid w:val="00757BDF"/>
    <w:rsid w:val="0076026C"/>
    <w:rsid w:val="00761991"/>
    <w:rsid w:val="007634D8"/>
    <w:rsid w:val="00763E5D"/>
    <w:rsid w:val="00767740"/>
    <w:rsid w:val="00770E29"/>
    <w:rsid w:val="007761A4"/>
    <w:rsid w:val="00777EE6"/>
    <w:rsid w:val="00780272"/>
    <w:rsid w:val="0078056E"/>
    <w:rsid w:val="00782EEA"/>
    <w:rsid w:val="007877CA"/>
    <w:rsid w:val="007902E3"/>
    <w:rsid w:val="00792F16"/>
    <w:rsid w:val="00793442"/>
    <w:rsid w:val="007944A0"/>
    <w:rsid w:val="00795461"/>
    <w:rsid w:val="0079756E"/>
    <w:rsid w:val="00797960"/>
    <w:rsid w:val="007A6916"/>
    <w:rsid w:val="007A7138"/>
    <w:rsid w:val="007B2C72"/>
    <w:rsid w:val="007B5428"/>
    <w:rsid w:val="007B7B54"/>
    <w:rsid w:val="007C1C53"/>
    <w:rsid w:val="007C4D59"/>
    <w:rsid w:val="007C63E5"/>
    <w:rsid w:val="007C74BB"/>
    <w:rsid w:val="007D4221"/>
    <w:rsid w:val="007D563B"/>
    <w:rsid w:val="007E0068"/>
    <w:rsid w:val="007E02DF"/>
    <w:rsid w:val="007E0897"/>
    <w:rsid w:val="007E4904"/>
    <w:rsid w:val="007E4CB5"/>
    <w:rsid w:val="007F066B"/>
    <w:rsid w:val="007F6E3B"/>
    <w:rsid w:val="00801F6A"/>
    <w:rsid w:val="008023A9"/>
    <w:rsid w:val="008033C4"/>
    <w:rsid w:val="00806C88"/>
    <w:rsid w:val="0081034E"/>
    <w:rsid w:val="0081098D"/>
    <w:rsid w:val="0081618F"/>
    <w:rsid w:val="0082076E"/>
    <w:rsid w:val="00827751"/>
    <w:rsid w:val="00827BE1"/>
    <w:rsid w:val="008308EE"/>
    <w:rsid w:val="008344F6"/>
    <w:rsid w:val="0083510F"/>
    <w:rsid w:val="0083656F"/>
    <w:rsid w:val="00836B20"/>
    <w:rsid w:val="00842DB9"/>
    <w:rsid w:val="00851209"/>
    <w:rsid w:val="00857A7B"/>
    <w:rsid w:val="00857B95"/>
    <w:rsid w:val="008643E0"/>
    <w:rsid w:val="00867026"/>
    <w:rsid w:val="00870473"/>
    <w:rsid w:val="00875B53"/>
    <w:rsid w:val="008804C9"/>
    <w:rsid w:val="00880757"/>
    <w:rsid w:val="008837AC"/>
    <w:rsid w:val="008915C4"/>
    <w:rsid w:val="008929E9"/>
    <w:rsid w:val="00896EBE"/>
    <w:rsid w:val="008A2971"/>
    <w:rsid w:val="008A587D"/>
    <w:rsid w:val="008B35CD"/>
    <w:rsid w:val="008B49AC"/>
    <w:rsid w:val="008B5260"/>
    <w:rsid w:val="008B5FCC"/>
    <w:rsid w:val="008B6C53"/>
    <w:rsid w:val="008B7B1E"/>
    <w:rsid w:val="008C2C6C"/>
    <w:rsid w:val="008C33DD"/>
    <w:rsid w:val="008C5486"/>
    <w:rsid w:val="008C7664"/>
    <w:rsid w:val="008D1661"/>
    <w:rsid w:val="008D4DEB"/>
    <w:rsid w:val="008D7CE9"/>
    <w:rsid w:val="008E264A"/>
    <w:rsid w:val="008E4707"/>
    <w:rsid w:val="008E7031"/>
    <w:rsid w:val="008E7140"/>
    <w:rsid w:val="008E77DE"/>
    <w:rsid w:val="008F07A3"/>
    <w:rsid w:val="008F1981"/>
    <w:rsid w:val="00900E1B"/>
    <w:rsid w:val="009233EE"/>
    <w:rsid w:val="009239BF"/>
    <w:rsid w:val="00924C7E"/>
    <w:rsid w:val="00926C73"/>
    <w:rsid w:val="00932C9F"/>
    <w:rsid w:val="0094161F"/>
    <w:rsid w:val="0094425C"/>
    <w:rsid w:val="009460AA"/>
    <w:rsid w:val="00946617"/>
    <w:rsid w:val="00951978"/>
    <w:rsid w:val="0095751D"/>
    <w:rsid w:val="00961A4A"/>
    <w:rsid w:val="009654CA"/>
    <w:rsid w:val="009661DE"/>
    <w:rsid w:val="00966321"/>
    <w:rsid w:val="00970E53"/>
    <w:rsid w:val="0097410D"/>
    <w:rsid w:val="00983C25"/>
    <w:rsid w:val="00983EDD"/>
    <w:rsid w:val="0098449E"/>
    <w:rsid w:val="0098451B"/>
    <w:rsid w:val="009856B7"/>
    <w:rsid w:val="00985C86"/>
    <w:rsid w:val="00987CEA"/>
    <w:rsid w:val="009914FE"/>
    <w:rsid w:val="00991A64"/>
    <w:rsid w:val="00996B86"/>
    <w:rsid w:val="00997176"/>
    <w:rsid w:val="009A4498"/>
    <w:rsid w:val="009A5FC3"/>
    <w:rsid w:val="009B1144"/>
    <w:rsid w:val="009B74B0"/>
    <w:rsid w:val="009D4AB9"/>
    <w:rsid w:val="009D6B46"/>
    <w:rsid w:val="009E04D9"/>
    <w:rsid w:val="009E7C8B"/>
    <w:rsid w:val="009F0D15"/>
    <w:rsid w:val="009F0D2F"/>
    <w:rsid w:val="009F4940"/>
    <w:rsid w:val="009F4C26"/>
    <w:rsid w:val="009F5BA1"/>
    <w:rsid w:val="009F7CCF"/>
    <w:rsid w:val="00A02A88"/>
    <w:rsid w:val="00A0458E"/>
    <w:rsid w:val="00A0562E"/>
    <w:rsid w:val="00A0726D"/>
    <w:rsid w:val="00A17B40"/>
    <w:rsid w:val="00A17D43"/>
    <w:rsid w:val="00A2063E"/>
    <w:rsid w:val="00A304D0"/>
    <w:rsid w:val="00A32242"/>
    <w:rsid w:val="00A32FBB"/>
    <w:rsid w:val="00A35C50"/>
    <w:rsid w:val="00A428EE"/>
    <w:rsid w:val="00A4478A"/>
    <w:rsid w:val="00A44852"/>
    <w:rsid w:val="00A5130C"/>
    <w:rsid w:val="00A52A60"/>
    <w:rsid w:val="00A5446B"/>
    <w:rsid w:val="00A57D04"/>
    <w:rsid w:val="00A6065E"/>
    <w:rsid w:val="00A60A26"/>
    <w:rsid w:val="00A61598"/>
    <w:rsid w:val="00A6189F"/>
    <w:rsid w:val="00A65979"/>
    <w:rsid w:val="00A72AFA"/>
    <w:rsid w:val="00A73DDB"/>
    <w:rsid w:val="00A76D67"/>
    <w:rsid w:val="00A8013D"/>
    <w:rsid w:val="00A84A99"/>
    <w:rsid w:val="00A84F46"/>
    <w:rsid w:val="00A871F4"/>
    <w:rsid w:val="00AA53B7"/>
    <w:rsid w:val="00AB105F"/>
    <w:rsid w:val="00AB370B"/>
    <w:rsid w:val="00AB3ED1"/>
    <w:rsid w:val="00AB690E"/>
    <w:rsid w:val="00AC1B2C"/>
    <w:rsid w:val="00AC3264"/>
    <w:rsid w:val="00AD03EF"/>
    <w:rsid w:val="00AE0BAF"/>
    <w:rsid w:val="00AE151B"/>
    <w:rsid w:val="00AE1BF1"/>
    <w:rsid w:val="00AE1F65"/>
    <w:rsid w:val="00AE76F1"/>
    <w:rsid w:val="00AF026D"/>
    <w:rsid w:val="00AF0539"/>
    <w:rsid w:val="00AF0DD2"/>
    <w:rsid w:val="00AF2CEA"/>
    <w:rsid w:val="00AF3596"/>
    <w:rsid w:val="00AF4E31"/>
    <w:rsid w:val="00B05807"/>
    <w:rsid w:val="00B10342"/>
    <w:rsid w:val="00B11ED8"/>
    <w:rsid w:val="00B13048"/>
    <w:rsid w:val="00B15D42"/>
    <w:rsid w:val="00B1716D"/>
    <w:rsid w:val="00B17A1D"/>
    <w:rsid w:val="00B207A0"/>
    <w:rsid w:val="00B24567"/>
    <w:rsid w:val="00B31FF3"/>
    <w:rsid w:val="00B34501"/>
    <w:rsid w:val="00B37943"/>
    <w:rsid w:val="00B45427"/>
    <w:rsid w:val="00B46875"/>
    <w:rsid w:val="00B514DD"/>
    <w:rsid w:val="00B52AF0"/>
    <w:rsid w:val="00B55775"/>
    <w:rsid w:val="00B560B3"/>
    <w:rsid w:val="00B561BD"/>
    <w:rsid w:val="00B56E03"/>
    <w:rsid w:val="00B56E9C"/>
    <w:rsid w:val="00B570F7"/>
    <w:rsid w:val="00B61DA6"/>
    <w:rsid w:val="00B665FF"/>
    <w:rsid w:val="00B73725"/>
    <w:rsid w:val="00B76FCF"/>
    <w:rsid w:val="00B8080B"/>
    <w:rsid w:val="00B81211"/>
    <w:rsid w:val="00B848A0"/>
    <w:rsid w:val="00B87BA5"/>
    <w:rsid w:val="00B87C39"/>
    <w:rsid w:val="00B93F6C"/>
    <w:rsid w:val="00BA19BA"/>
    <w:rsid w:val="00BA271B"/>
    <w:rsid w:val="00BA4665"/>
    <w:rsid w:val="00BA4A88"/>
    <w:rsid w:val="00BB2FB2"/>
    <w:rsid w:val="00BB3304"/>
    <w:rsid w:val="00BC1C35"/>
    <w:rsid w:val="00BC56E7"/>
    <w:rsid w:val="00BD2002"/>
    <w:rsid w:val="00BD3446"/>
    <w:rsid w:val="00BE1F1B"/>
    <w:rsid w:val="00BE47B5"/>
    <w:rsid w:val="00BE7FA3"/>
    <w:rsid w:val="00BF10CC"/>
    <w:rsid w:val="00BF1626"/>
    <w:rsid w:val="00BF3872"/>
    <w:rsid w:val="00C046A1"/>
    <w:rsid w:val="00C10909"/>
    <w:rsid w:val="00C11A77"/>
    <w:rsid w:val="00C14069"/>
    <w:rsid w:val="00C16FBD"/>
    <w:rsid w:val="00C25FA6"/>
    <w:rsid w:val="00C26338"/>
    <w:rsid w:val="00C32A3D"/>
    <w:rsid w:val="00C353A9"/>
    <w:rsid w:val="00C37E73"/>
    <w:rsid w:val="00C43929"/>
    <w:rsid w:val="00C46FD3"/>
    <w:rsid w:val="00C50116"/>
    <w:rsid w:val="00C538A9"/>
    <w:rsid w:val="00C53B5A"/>
    <w:rsid w:val="00C54F5A"/>
    <w:rsid w:val="00C5554B"/>
    <w:rsid w:val="00C569B4"/>
    <w:rsid w:val="00C668EE"/>
    <w:rsid w:val="00C66FE0"/>
    <w:rsid w:val="00C67A92"/>
    <w:rsid w:val="00C70C3D"/>
    <w:rsid w:val="00C80F7C"/>
    <w:rsid w:val="00C86679"/>
    <w:rsid w:val="00C95C5B"/>
    <w:rsid w:val="00CA3230"/>
    <w:rsid w:val="00CA3289"/>
    <w:rsid w:val="00CA43B4"/>
    <w:rsid w:val="00CA489E"/>
    <w:rsid w:val="00CB0279"/>
    <w:rsid w:val="00CB1E8F"/>
    <w:rsid w:val="00CB4778"/>
    <w:rsid w:val="00CB666B"/>
    <w:rsid w:val="00CC0F27"/>
    <w:rsid w:val="00CC1EA4"/>
    <w:rsid w:val="00CC3B9B"/>
    <w:rsid w:val="00CC6F02"/>
    <w:rsid w:val="00CC7F1D"/>
    <w:rsid w:val="00CD0345"/>
    <w:rsid w:val="00CD1FA7"/>
    <w:rsid w:val="00CE1B90"/>
    <w:rsid w:val="00CF0A8D"/>
    <w:rsid w:val="00CF23B6"/>
    <w:rsid w:val="00D006AE"/>
    <w:rsid w:val="00D01CF0"/>
    <w:rsid w:val="00D01D40"/>
    <w:rsid w:val="00D039C3"/>
    <w:rsid w:val="00D0442A"/>
    <w:rsid w:val="00D04C3B"/>
    <w:rsid w:val="00D15F6F"/>
    <w:rsid w:val="00D2026D"/>
    <w:rsid w:val="00D22049"/>
    <w:rsid w:val="00D31F95"/>
    <w:rsid w:val="00D4166B"/>
    <w:rsid w:val="00D42ACD"/>
    <w:rsid w:val="00D4460C"/>
    <w:rsid w:val="00D46D73"/>
    <w:rsid w:val="00D50BAD"/>
    <w:rsid w:val="00D53883"/>
    <w:rsid w:val="00D54025"/>
    <w:rsid w:val="00D60055"/>
    <w:rsid w:val="00D61388"/>
    <w:rsid w:val="00D61A54"/>
    <w:rsid w:val="00D64C7E"/>
    <w:rsid w:val="00D64DEA"/>
    <w:rsid w:val="00D65CCC"/>
    <w:rsid w:val="00D7168E"/>
    <w:rsid w:val="00D71E57"/>
    <w:rsid w:val="00D8027D"/>
    <w:rsid w:val="00D80893"/>
    <w:rsid w:val="00D84854"/>
    <w:rsid w:val="00D926D1"/>
    <w:rsid w:val="00D92CF1"/>
    <w:rsid w:val="00D92D38"/>
    <w:rsid w:val="00D950F5"/>
    <w:rsid w:val="00DA4752"/>
    <w:rsid w:val="00DA61F3"/>
    <w:rsid w:val="00DB0F93"/>
    <w:rsid w:val="00DB1A67"/>
    <w:rsid w:val="00DB433D"/>
    <w:rsid w:val="00DB5074"/>
    <w:rsid w:val="00DB6F91"/>
    <w:rsid w:val="00DC7981"/>
    <w:rsid w:val="00DD5AA4"/>
    <w:rsid w:val="00DD687E"/>
    <w:rsid w:val="00DE1093"/>
    <w:rsid w:val="00DE1379"/>
    <w:rsid w:val="00DE4EFA"/>
    <w:rsid w:val="00DE5209"/>
    <w:rsid w:val="00DE5520"/>
    <w:rsid w:val="00DE563D"/>
    <w:rsid w:val="00DE5CAF"/>
    <w:rsid w:val="00DE7030"/>
    <w:rsid w:val="00DF1C60"/>
    <w:rsid w:val="00E01E1A"/>
    <w:rsid w:val="00E03E91"/>
    <w:rsid w:val="00E04818"/>
    <w:rsid w:val="00E06442"/>
    <w:rsid w:val="00E079AA"/>
    <w:rsid w:val="00E12CEA"/>
    <w:rsid w:val="00E16931"/>
    <w:rsid w:val="00E23993"/>
    <w:rsid w:val="00E25B8C"/>
    <w:rsid w:val="00E33731"/>
    <w:rsid w:val="00E33E81"/>
    <w:rsid w:val="00E400E2"/>
    <w:rsid w:val="00E42820"/>
    <w:rsid w:val="00E45CCB"/>
    <w:rsid w:val="00E52186"/>
    <w:rsid w:val="00E55455"/>
    <w:rsid w:val="00E55479"/>
    <w:rsid w:val="00E634CC"/>
    <w:rsid w:val="00E65C85"/>
    <w:rsid w:val="00E66199"/>
    <w:rsid w:val="00E66EDE"/>
    <w:rsid w:val="00E7401E"/>
    <w:rsid w:val="00E755EC"/>
    <w:rsid w:val="00E7624D"/>
    <w:rsid w:val="00E80C7E"/>
    <w:rsid w:val="00E85E3B"/>
    <w:rsid w:val="00E95B93"/>
    <w:rsid w:val="00EA1A44"/>
    <w:rsid w:val="00EA3D42"/>
    <w:rsid w:val="00EA4C0E"/>
    <w:rsid w:val="00EA6B1B"/>
    <w:rsid w:val="00EB2144"/>
    <w:rsid w:val="00EB6AB5"/>
    <w:rsid w:val="00ED63C5"/>
    <w:rsid w:val="00ED7323"/>
    <w:rsid w:val="00EE282A"/>
    <w:rsid w:val="00EE28F3"/>
    <w:rsid w:val="00EE6C33"/>
    <w:rsid w:val="00EF3277"/>
    <w:rsid w:val="00EF5110"/>
    <w:rsid w:val="00EF6482"/>
    <w:rsid w:val="00F01E1C"/>
    <w:rsid w:val="00F06AEE"/>
    <w:rsid w:val="00F103AD"/>
    <w:rsid w:val="00F10411"/>
    <w:rsid w:val="00F15882"/>
    <w:rsid w:val="00F15B8C"/>
    <w:rsid w:val="00F171E0"/>
    <w:rsid w:val="00F20167"/>
    <w:rsid w:val="00F20BD3"/>
    <w:rsid w:val="00F21F79"/>
    <w:rsid w:val="00F22F16"/>
    <w:rsid w:val="00F373A5"/>
    <w:rsid w:val="00F47559"/>
    <w:rsid w:val="00F607EB"/>
    <w:rsid w:val="00F63FDA"/>
    <w:rsid w:val="00F644C6"/>
    <w:rsid w:val="00F64650"/>
    <w:rsid w:val="00F64948"/>
    <w:rsid w:val="00F64C7B"/>
    <w:rsid w:val="00F676DD"/>
    <w:rsid w:val="00F74E40"/>
    <w:rsid w:val="00F75A26"/>
    <w:rsid w:val="00F76706"/>
    <w:rsid w:val="00F806F4"/>
    <w:rsid w:val="00F831BB"/>
    <w:rsid w:val="00F83FAD"/>
    <w:rsid w:val="00F952A0"/>
    <w:rsid w:val="00FA1C5A"/>
    <w:rsid w:val="00FA3C7F"/>
    <w:rsid w:val="00FA47A9"/>
    <w:rsid w:val="00FA532D"/>
    <w:rsid w:val="00FB2F4A"/>
    <w:rsid w:val="00FB3DB7"/>
    <w:rsid w:val="00FB74E2"/>
    <w:rsid w:val="00FC10C4"/>
    <w:rsid w:val="00FD5614"/>
    <w:rsid w:val="00FE0BE1"/>
    <w:rsid w:val="00FE1DE9"/>
    <w:rsid w:val="00FE2839"/>
    <w:rsid w:val="00FE36AF"/>
    <w:rsid w:val="00FE39C2"/>
    <w:rsid w:val="00FE3C32"/>
    <w:rsid w:val="00FE64AE"/>
    <w:rsid w:val="00FE6739"/>
    <w:rsid w:val="00FE725A"/>
    <w:rsid w:val="00FF3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F4FC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tyle1">
    <w:name w:val="Style1"/>
    <w:basedOn w:val="Heading7"/>
    <w:qFormat/>
    <w:rsid w:val="00D31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F4FC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tyle1">
    <w:name w:val="Style1"/>
    <w:basedOn w:val="Heading7"/>
    <w:qFormat/>
    <w:rsid w:val="00D3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77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2.w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footnotes" Target="footnotes.xml"/><Relationship Id="rId51" Type="http://schemas.openxmlformats.org/officeDocument/2006/relationships/image" Target="media/image20.wmf"/><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5A133-B838-4474-9DE1-EF64D4B0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344D47B2</Template>
  <TotalTime>0</TotalTime>
  <Pages>35</Pages>
  <Words>9253</Words>
  <Characters>52747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2015-10-24T07:19:00Z</dcterms:created>
  <dcterms:modified xsi:type="dcterms:W3CDTF">2015-10-24T07:19:00Z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8427792</vt:lpwstr>
  </property>
  <property fmtid="{D5CDD505-2E9C-101B-9397-08002B2CF9AE}" pid="3" name="_MarkAsFinal">
    <vt:bool>true</vt:bool>
  </property>
</Properties>
</file>