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279AC25" wp14:editId="60CDC39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027D90" w:rsidP="008F07A3">
          <w:pPr>
            <w:pStyle w:val="ReportSubtitle"/>
          </w:pPr>
          <w:r>
            <w:t>FINAL</w:t>
          </w:r>
          <w:r w:rsidR="00DA4752">
            <w:t xml:space="preserve"> DECISION</w:t>
          </w:r>
        </w:p>
        <w:p w:rsidR="000A6C7B" w:rsidRDefault="001201F1" w:rsidP="008F07A3">
          <w:pPr>
            <w:pStyle w:val="ReportSubtitle"/>
          </w:pPr>
          <w:r>
            <w:t>E</w:t>
          </w:r>
          <w:r w:rsidR="00A9627E">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44495" w:rsidP="008F07A3">
          <w:pPr>
            <w:pStyle w:val="ReportSubtitle"/>
          </w:pPr>
          <w:r>
            <w:t>Attachment 16</w:t>
          </w:r>
          <w:r w:rsidR="00DA4752">
            <w:t xml:space="preserve"> </w:t>
          </w:r>
          <w:r w:rsidR="00DA4752">
            <w:rPr>
              <w:rFonts w:cs="Arial"/>
            </w:rPr>
            <w:t>−</w:t>
          </w:r>
          <w:r w:rsidR="00DA4752">
            <w:t xml:space="preserve"> </w:t>
          </w:r>
          <w:r>
            <w:t>Alternative control services</w:t>
          </w:r>
        </w:p>
        <w:p w:rsidR="000A6C7B" w:rsidRPr="00327A1E" w:rsidRDefault="00027D90"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365982"/>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027D90">
        <w:t>final</w:t>
      </w:r>
      <w:r>
        <w:t xml:space="preserve"> decision on </w:t>
      </w:r>
      <w:r w:rsidR="00A9627E">
        <w:t>Ergon Energy</w:t>
      </w:r>
      <w:r w:rsidR="001201F1">
        <w:t>'s</w:t>
      </w:r>
      <w:r>
        <w:t xml:space="preserve"> 2015–20 distribution determination. It should be read with </w:t>
      </w:r>
      <w:r w:rsidR="009C1B5E">
        <w:t xml:space="preserve">all </w:t>
      </w:r>
      <w:r>
        <w:t xml:space="preserve">other parts of the </w:t>
      </w:r>
      <w:r w:rsidR="00027D90">
        <w:t>final</w:t>
      </w:r>
      <w:r>
        <w:t xml:space="preserve"> decision.</w:t>
      </w:r>
    </w:p>
    <w:p w:rsidR="008F07A3" w:rsidRDefault="008F07A3" w:rsidP="008F07A3">
      <w:pPr>
        <w:numPr>
          <w:ilvl w:val="0"/>
          <w:numId w:val="25"/>
        </w:numPr>
      </w:pPr>
      <w:r>
        <w:t xml:space="preserve">The </w:t>
      </w:r>
      <w:r w:rsidR="00027D90">
        <w:t xml:space="preserve">final </w:t>
      </w:r>
      <w:r>
        <w:t>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2B0550">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33365983"/>
      <w:r>
        <w:lastRenderedPageBreak/>
        <w:t>Contents</w:t>
      </w:r>
      <w:bookmarkStart w:id="7" w:name="_GoBack"/>
      <w:bookmarkEnd w:id="5"/>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D293F" w:rsidRDefault="009C1B5E">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 </w:instrText>
          </w:r>
          <w:r>
            <w:rPr>
              <w:color w:val="auto"/>
              <w:sz w:val="22"/>
            </w:rPr>
            <w:fldChar w:fldCharType="separate"/>
          </w:r>
          <w:hyperlink w:anchor="_Toc433365982" w:history="1">
            <w:r w:rsidR="004D293F" w:rsidRPr="00244848">
              <w:rPr>
                <w:rStyle w:val="Hyperlink"/>
              </w:rPr>
              <w:t>Note</w:t>
            </w:r>
            <w:r w:rsidR="004D293F">
              <w:rPr>
                <w:webHidden/>
              </w:rPr>
              <w:tab/>
              <w:t>16-</w:t>
            </w:r>
            <w:r w:rsidR="004D293F">
              <w:rPr>
                <w:webHidden/>
              </w:rPr>
              <w:fldChar w:fldCharType="begin"/>
            </w:r>
            <w:r w:rsidR="004D293F">
              <w:rPr>
                <w:webHidden/>
              </w:rPr>
              <w:instrText xml:space="preserve"> PAGEREF _Toc433365982 \h </w:instrText>
            </w:r>
            <w:r w:rsidR="004D293F">
              <w:rPr>
                <w:webHidden/>
              </w:rPr>
            </w:r>
            <w:r w:rsidR="004D293F">
              <w:rPr>
                <w:webHidden/>
              </w:rPr>
              <w:fldChar w:fldCharType="separate"/>
            </w:r>
            <w:r w:rsidR="004D293F">
              <w:rPr>
                <w:webHidden/>
              </w:rPr>
              <w:t>2</w:t>
            </w:r>
            <w:r w:rsidR="004D293F">
              <w:rPr>
                <w:webHidden/>
              </w:rPr>
              <w:fldChar w:fldCharType="end"/>
            </w:r>
          </w:hyperlink>
        </w:p>
        <w:p w:rsidR="004D293F" w:rsidRDefault="00BC51BE">
          <w:pPr>
            <w:pStyle w:val="TOC1"/>
            <w:rPr>
              <w:rFonts w:asciiTheme="minorHAnsi" w:eastAsiaTheme="minorEastAsia" w:hAnsiTheme="minorHAnsi"/>
              <w:b w:val="0"/>
              <w:color w:val="auto"/>
              <w:sz w:val="22"/>
              <w:lang w:val="en-AU" w:eastAsia="en-AU"/>
            </w:rPr>
          </w:pPr>
          <w:hyperlink w:anchor="_Toc433365983" w:history="1">
            <w:r w:rsidR="004D293F" w:rsidRPr="00244848">
              <w:rPr>
                <w:rStyle w:val="Hyperlink"/>
              </w:rPr>
              <w:t>Contents</w:t>
            </w:r>
            <w:r w:rsidR="004D293F">
              <w:rPr>
                <w:webHidden/>
              </w:rPr>
              <w:tab/>
              <w:t>16-</w:t>
            </w:r>
            <w:r w:rsidR="004D293F">
              <w:rPr>
                <w:webHidden/>
              </w:rPr>
              <w:fldChar w:fldCharType="begin"/>
            </w:r>
            <w:r w:rsidR="004D293F">
              <w:rPr>
                <w:webHidden/>
              </w:rPr>
              <w:instrText xml:space="preserve"> PAGEREF _Toc433365983 \h </w:instrText>
            </w:r>
            <w:r w:rsidR="004D293F">
              <w:rPr>
                <w:webHidden/>
              </w:rPr>
            </w:r>
            <w:r w:rsidR="004D293F">
              <w:rPr>
                <w:webHidden/>
              </w:rPr>
              <w:fldChar w:fldCharType="separate"/>
            </w:r>
            <w:r w:rsidR="004D293F">
              <w:rPr>
                <w:webHidden/>
              </w:rPr>
              <w:t>3</w:t>
            </w:r>
            <w:r w:rsidR="004D293F">
              <w:rPr>
                <w:webHidden/>
              </w:rPr>
              <w:fldChar w:fldCharType="end"/>
            </w:r>
          </w:hyperlink>
        </w:p>
        <w:p w:rsidR="004D293F" w:rsidRDefault="00BC51BE">
          <w:pPr>
            <w:pStyle w:val="TOC1"/>
            <w:rPr>
              <w:rFonts w:asciiTheme="minorHAnsi" w:eastAsiaTheme="minorEastAsia" w:hAnsiTheme="minorHAnsi"/>
              <w:b w:val="0"/>
              <w:color w:val="auto"/>
              <w:sz w:val="22"/>
              <w:lang w:val="en-AU" w:eastAsia="en-AU"/>
            </w:rPr>
          </w:pPr>
          <w:hyperlink w:anchor="_Toc433365984" w:history="1">
            <w:r w:rsidR="004D293F" w:rsidRPr="00244848">
              <w:rPr>
                <w:rStyle w:val="Hyperlink"/>
              </w:rPr>
              <w:t>Shortened forms</w:t>
            </w:r>
            <w:r w:rsidR="004D293F">
              <w:rPr>
                <w:webHidden/>
              </w:rPr>
              <w:tab/>
              <w:t>16-</w:t>
            </w:r>
            <w:r w:rsidR="004D293F">
              <w:rPr>
                <w:webHidden/>
              </w:rPr>
              <w:fldChar w:fldCharType="begin"/>
            </w:r>
            <w:r w:rsidR="004D293F">
              <w:rPr>
                <w:webHidden/>
              </w:rPr>
              <w:instrText xml:space="preserve"> PAGEREF _Toc433365984 \h </w:instrText>
            </w:r>
            <w:r w:rsidR="004D293F">
              <w:rPr>
                <w:webHidden/>
              </w:rPr>
            </w:r>
            <w:r w:rsidR="004D293F">
              <w:rPr>
                <w:webHidden/>
              </w:rPr>
              <w:fldChar w:fldCharType="separate"/>
            </w:r>
            <w:r w:rsidR="004D293F">
              <w:rPr>
                <w:webHidden/>
              </w:rPr>
              <w:t>5</w:t>
            </w:r>
            <w:r w:rsidR="004D293F">
              <w:rPr>
                <w:webHidden/>
              </w:rPr>
              <w:fldChar w:fldCharType="end"/>
            </w:r>
          </w:hyperlink>
        </w:p>
        <w:p w:rsidR="004D293F" w:rsidRDefault="00BC51BE">
          <w:pPr>
            <w:pStyle w:val="TOC1"/>
            <w:rPr>
              <w:rFonts w:asciiTheme="minorHAnsi" w:eastAsiaTheme="minorEastAsia" w:hAnsiTheme="minorHAnsi"/>
              <w:b w:val="0"/>
              <w:color w:val="auto"/>
              <w:sz w:val="22"/>
              <w:lang w:val="en-AU" w:eastAsia="en-AU"/>
            </w:rPr>
          </w:pPr>
          <w:hyperlink w:anchor="_Toc433365985" w:history="1">
            <w:r w:rsidR="004D293F" w:rsidRPr="00244848">
              <w:rPr>
                <w:rStyle w:val="Hyperlink"/>
              </w:rPr>
              <w:t>16</w:t>
            </w:r>
            <w:r w:rsidR="004D293F">
              <w:rPr>
                <w:rFonts w:asciiTheme="minorHAnsi" w:eastAsiaTheme="minorEastAsia" w:hAnsiTheme="minorHAnsi"/>
                <w:b w:val="0"/>
                <w:color w:val="auto"/>
                <w:sz w:val="22"/>
                <w:lang w:val="en-AU" w:eastAsia="en-AU"/>
              </w:rPr>
              <w:tab/>
            </w:r>
            <w:r w:rsidR="004D293F" w:rsidRPr="00244848">
              <w:rPr>
                <w:rStyle w:val="Hyperlink"/>
              </w:rPr>
              <w:t>Alternative control services</w:t>
            </w:r>
            <w:r w:rsidR="004D293F">
              <w:rPr>
                <w:webHidden/>
              </w:rPr>
              <w:tab/>
              <w:t>16-</w:t>
            </w:r>
            <w:r w:rsidR="004D293F">
              <w:rPr>
                <w:webHidden/>
              </w:rPr>
              <w:fldChar w:fldCharType="begin"/>
            </w:r>
            <w:r w:rsidR="004D293F">
              <w:rPr>
                <w:webHidden/>
              </w:rPr>
              <w:instrText xml:space="preserve"> PAGEREF _Toc433365985 \h </w:instrText>
            </w:r>
            <w:r w:rsidR="004D293F">
              <w:rPr>
                <w:webHidden/>
              </w:rPr>
            </w:r>
            <w:r w:rsidR="004D293F">
              <w:rPr>
                <w:webHidden/>
              </w:rPr>
              <w:fldChar w:fldCharType="separate"/>
            </w:r>
            <w:r w:rsidR="004D293F">
              <w:rPr>
                <w:webHidden/>
              </w:rPr>
              <w:t>7</w:t>
            </w:r>
            <w:r w:rsidR="004D293F">
              <w:rPr>
                <w:webHidden/>
              </w:rPr>
              <w:fldChar w:fldCharType="end"/>
            </w:r>
          </w:hyperlink>
        </w:p>
        <w:p w:rsidR="004D293F" w:rsidRDefault="00BC51BE">
          <w:pPr>
            <w:pStyle w:val="TOC2"/>
            <w:tabs>
              <w:tab w:val="left" w:pos="1276"/>
            </w:tabs>
            <w:rPr>
              <w:rFonts w:asciiTheme="minorHAnsi" w:eastAsiaTheme="minorEastAsia" w:hAnsiTheme="minorHAnsi"/>
              <w:b w:val="0"/>
              <w:color w:val="auto"/>
              <w:sz w:val="22"/>
              <w:lang w:eastAsia="en-AU"/>
            </w:rPr>
          </w:pPr>
          <w:hyperlink w:anchor="_Toc433365986" w:history="1">
            <w:r w:rsidR="004D293F" w:rsidRPr="00244848">
              <w:rPr>
                <w:rStyle w:val="Hyperlink"/>
              </w:rPr>
              <w:t>16.1</w:t>
            </w:r>
            <w:r w:rsidR="004D293F">
              <w:rPr>
                <w:rFonts w:asciiTheme="minorHAnsi" w:eastAsiaTheme="minorEastAsia" w:hAnsiTheme="minorHAnsi"/>
                <w:b w:val="0"/>
                <w:color w:val="auto"/>
                <w:sz w:val="22"/>
                <w:lang w:eastAsia="en-AU"/>
              </w:rPr>
              <w:tab/>
            </w:r>
            <w:r w:rsidR="004D293F" w:rsidRPr="00244848">
              <w:rPr>
                <w:rStyle w:val="Hyperlink"/>
              </w:rPr>
              <w:t>Public Lighting</w:t>
            </w:r>
            <w:r w:rsidR="004D293F">
              <w:rPr>
                <w:webHidden/>
              </w:rPr>
              <w:tab/>
              <w:t>16-</w:t>
            </w:r>
            <w:r w:rsidR="004D293F">
              <w:rPr>
                <w:webHidden/>
              </w:rPr>
              <w:fldChar w:fldCharType="begin"/>
            </w:r>
            <w:r w:rsidR="004D293F">
              <w:rPr>
                <w:webHidden/>
              </w:rPr>
              <w:instrText xml:space="preserve"> PAGEREF _Toc433365986 \h </w:instrText>
            </w:r>
            <w:r w:rsidR="004D293F">
              <w:rPr>
                <w:webHidden/>
              </w:rPr>
            </w:r>
            <w:r w:rsidR="004D293F">
              <w:rPr>
                <w:webHidden/>
              </w:rPr>
              <w:fldChar w:fldCharType="separate"/>
            </w:r>
            <w:r w:rsidR="004D293F">
              <w:rPr>
                <w:webHidden/>
              </w:rPr>
              <w:t>7</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5987" w:history="1">
            <w:r w:rsidR="004D293F" w:rsidRPr="00244848">
              <w:rPr>
                <w:rStyle w:val="Hyperlink"/>
              </w:rPr>
              <w:t>16.1.1</w:t>
            </w:r>
            <w:r w:rsidR="004D293F">
              <w:rPr>
                <w:rFonts w:asciiTheme="minorHAnsi" w:eastAsiaTheme="minorEastAsia" w:hAnsiTheme="minorHAnsi"/>
                <w:lang w:eastAsia="en-AU"/>
              </w:rPr>
              <w:tab/>
            </w:r>
            <w:r w:rsidR="004D293F" w:rsidRPr="00244848">
              <w:rPr>
                <w:rStyle w:val="Hyperlink"/>
              </w:rPr>
              <w:t>Final decision</w:t>
            </w:r>
            <w:r w:rsidR="004D293F">
              <w:rPr>
                <w:webHidden/>
              </w:rPr>
              <w:tab/>
              <w:t>16-</w:t>
            </w:r>
            <w:r w:rsidR="004D293F">
              <w:rPr>
                <w:webHidden/>
              </w:rPr>
              <w:fldChar w:fldCharType="begin"/>
            </w:r>
            <w:r w:rsidR="004D293F">
              <w:rPr>
                <w:webHidden/>
              </w:rPr>
              <w:instrText xml:space="preserve"> PAGEREF _Toc433365987 \h </w:instrText>
            </w:r>
            <w:r w:rsidR="004D293F">
              <w:rPr>
                <w:webHidden/>
              </w:rPr>
            </w:r>
            <w:r w:rsidR="004D293F">
              <w:rPr>
                <w:webHidden/>
              </w:rPr>
              <w:fldChar w:fldCharType="separate"/>
            </w:r>
            <w:r w:rsidR="004D293F">
              <w:rPr>
                <w:webHidden/>
              </w:rPr>
              <w:t>7</w:t>
            </w:r>
            <w:r w:rsidR="004D293F">
              <w:rPr>
                <w:webHidden/>
              </w:rPr>
              <w:fldChar w:fldCharType="end"/>
            </w:r>
          </w:hyperlink>
        </w:p>
        <w:p w:rsidR="004D293F" w:rsidRDefault="00BC51BE">
          <w:pPr>
            <w:pStyle w:val="TOC2"/>
            <w:tabs>
              <w:tab w:val="left" w:pos="1276"/>
            </w:tabs>
            <w:rPr>
              <w:rFonts w:asciiTheme="minorHAnsi" w:eastAsiaTheme="minorEastAsia" w:hAnsiTheme="minorHAnsi"/>
              <w:b w:val="0"/>
              <w:color w:val="auto"/>
              <w:sz w:val="22"/>
              <w:lang w:eastAsia="en-AU"/>
            </w:rPr>
          </w:pPr>
          <w:hyperlink w:anchor="_Toc433365989" w:history="1">
            <w:r w:rsidR="004D293F" w:rsidRPr="00244848">
              <w:rPr>
                <w:rStyle w:val="Hyperlink"/>
              </w:rPr>
              <w:t>16.2</w:t>
            </w:r>
            <w:r w:rsidR="004D293F">
              <w:rPr>
                <w:rFonts w:asciiTheme="minorHAnsi" w:eastAsiaTheme="minorEastAsia" w:hAnsiTheme="minorHAnsi"/>
                <w:b w:val="0"/>
                <w:color w:val="auto"/>
                <w:sz w:val="22"/>
                <w:lang w:eastAsia="en-AU"/>
              </w:rPr>
              <w:tab/>
            </w:r>
            <w:r w:rsidR="004D293F" w:rsidRPr="00244848">
              <w:rPr>
                <w:rStyle w:val="Hyperlink"/>
              </w:rPr>
              <w:t>Ancillary network services</w:t>
            </w:r>
            <w:r w:rsidR="004D293F">
              <w:rPr>
                <w:webHidden/>
              </w:rPr>
              <w:tab/>
              <w:t>16-</w:t>
            </w:r>
            <w:r w:rsidR="004D293F">
              <w:rPr>
                <w:webHidden/>
              </w:rPr>
              <w:fldChar w:fldCharType="begin"/>
            </w:r>
            <w:r w:rsidR="004D293F">
              <w:rPr>
                <w:webHidden/>
              </w:rPr>
              <w:instrText xml:space="preserve"> PAGEREF _Toc433365989 \h </w:instrText>
            </w:r>
            <w:r w:rsidR="004D293F">
              <w:rPr>
                <w:webHidden/>
              </w:rPr>
            </w:r>
            <w:r w:rsidR="004D293F">
              <w:rPr>
                <w:webHidden/>
              </w:rPr>
              <w:fldChar w:fldCharType="separate"/>
            </w:r>
            <w:r w:rsidR="004D293F">
              <w:rPr>
                <w:webHidden/>
              </w:rPr>
              <w:t>9</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5990" w:history="1">
            <w:r w:rsidR="004D293F" w:rsidRPr="00244848">
              <w:rPr>
                <w:rStyle w:val="Hyperlink"/>
              </w:rPr>
              <w:t>16.2.1</w:t>
            </w:r>
            <w:r w:rsidR="004D293F">
              <w:rPr>
                <w:rFonts w:asciiTheme="minorHAnsi" w:eastAsiaTheme="minorEastAsia" w:hAnsiTheme="minorHAnsi"/>
                <w:lang w:eastAsia="en-AU"/>
              </w:rPr>
              <w:tab/>
            </w:r>
            <w:r w:rsidR="004D293F" w:rsidRPr="00244848">
              <w:rPr>
                <w:rStyle w:val="Hyperlink"/>
              </w:rPr>
              <w:t>Final decision</w:t>
            </w:r>
            <w:r w:rsidR="004D293F">
              <w:rPr>
                <w:webHidden/>
              </w:rPr>
              <w:tab/>
              <w:t>16-</w:t>
            </w:r>
            <w:r w:rsidR="004D293F">
              <w:rPr>
                <w:webHidden/>
              </w:rPr>
              <w:fldChar w:fldCharType="begin"/>
            </w:r>
            <w:r w:rsidR="004D293F">
              <w:rPr>
                <w:webHidden/>
              </w:rPr>
              <w:instrText xml:space="preserve"> PAGEREF _Toc433365990 \h </w:instrText>
            </w:r>
            <w:r w:rsidR="004D293F">
              <w:rPr>
                <w:webHidden/>
              </w:rPr>
            </w:r>
            <w:r w:rsidR="004D293F">
              <w:rPr>
                <w:webHidden/>
              </w:rPr>
              <w:fldChar w:fldCharType="separate"/>
            </w:r>
            <w:r w:rsidR="004D293F">
              <w:rPr>
                <w:webHidden/>
              </w:rPr>
              <w:t>9</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5993" w:history="1">
            <w:r w:rsidR="004D293F" w:rsidRPr="00244848">
              <w:rPr>
                <w:rStyle w:val="Hyperlink"/>
              </w:rPr>
              <w:t>16.2.2</w:t>
            </w:r>
            <w:r w:rsidR="004D293F">
              <w:rPr>
                <w:rFonts w:asciiTheme="minorHAnsi" w:eastAsiaTheme="minorEastAsia" w:hAnsiTheme="minorHAnsi"/>
                <w:lang w:eastAsia="en-AU"/>
              </w:rPr>
              <w:tab/>
            </w:r>
            <w:r w:rsidR="004D293F" w:rsidRPr="00244848">
              <w:rPr>
                <w:rStyle w:val="Hyperlink"/>
              </w:rPr>
              <w:t>Ergon Energy's revised proposal</w:t>
            </w:r>
            <w:r w:rsidR="004D293F">
              <w:rPr>
                <w:webHidden/>
              </w:rPr>
              <w:tab/>
              <w:t>16-</w:t>
            </w:r>
            <w:r w:rsidR="004D293F">
              <w:rPr>
                <w:webHidden/>
              </w:rPr>
              <w:fldChar w:fldCharType="begin"/>
            </w:r>
            <w:r w:rsidR="004D293F">
              <w:rPr>
                <w:webHidden/>
              </w:rPr>
              <w:instrText xml:space="preserve"> PAGEREF _Toc433365993 \h </w:instrText>
            </w:r>
            <w:r w:rsidR="004D293F">
              <w:rPr>
                <w:webHidden/>
              </w:rPr>
            </w:r>
            <w:r w:rsidR="004D293F">
              <w:rPr>
                <w:webHidden/>
              </w:rPr>
              <w:fldChar w:fldCharType="separate"/>
            </w:r>
            <w:r w:rsidR="004D293F">
              <w:rPr>
                <w:webHidden/>
              </w:rPr>
              <w:t>12</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5994" w:history="1">
            <w:r w:rsidR="004D293F" w:rsidRPr="00244848">
              <w:rPr>
                <w:rStyle w:val="Hyperlink"/>
              </w:rPr>
              <w:t>16.2.3</w:t>
            </w:r>
            <w:r w:rsidR="004D293F">
              <w:rPr>
                <w:rFonts w:asciiTheme="minorHAnsi" w:eastAsiaTheme="minorEastAsia" w:hAnsiTheme="minorHAnsi"/>
                <w:lang w:eastAsia="en-AU"/>
              </w:rPr>
              <w:tab/>
            </w:r>
            <w:r w:rsidR="004D293F" w:rsidRPr="00244848">
              <w:rPr>
                <w:rStyle w:val="Hyperlink"/>
              </w:rPr>
              <w:t>Assessment approach</w:t>
            </w:r>
            <w:r w:rsidR="004D293F">
              <w:rPr>
                <w:webHidden/>
              </w:rPr>
              <w:tab/>
              <w:t>16-</w:t>
            </w:r>
            <w:r w:rsidR="004D293F">
              <w:rPr>
                <w:webHidden/>
              </w:rPr>
              <w:fldChar w:fldCharType="begin"/>
            </w:r>
            <w:r w:rsidR="004D293F">
              <w:rPr>
                <w:webHidden/>
              </w:rPr>
              <w:instrText xml:space="preserve"> PAGEREF _Toc433365994 \h </w:instrText>
            </w:r>
            <w:r w:rsidR="004D293F">
              <w:rPr>
                <w:webHidden/>
              </w:rPr>
            </w:r>
            <w:r w:rsidR="004D293F">
              <w:rPr>
                <w:webHidden/>
              </w:rPr>
              <w:fldChar w:fldCharType="separate"/>
            </w:r>
            <w:r w:rsidR="004D293F">
              <w:rPr>
                <w:webHidden/>
              </w:rPr>
              <w:t>14</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5995" w:history="1">
            <w:r w:rsidR="004D293F" w:rsidRPr="00244848">
              <w:rPr>
                <w:rStyle w:val="Hyperlink"/>
              </w:rPr>
              <w:t>16.2.4</w:t>
            </w:r>
            <w:r w:rsidR="004D293F">
              <w:rPr>
                <w:rFonts w:asciiTheme="minorHAnsi" w:eastAsiaTheme="minorEastAsia" w:hAnsiTheme="minorHAnsi"/>
                <w:lang w:eastAsia="en-AU"/>
              </w:rPr>
              <w:tab/>
            </w:r>
            <w:r w:rsidR="004D293F" w:rsidRPr="00244848">
              <w:rPr>
                <w:rStyle w:val="Hyperlink"/>
              </w:rPr>
              <w:t>Reasons for final decision</w:t>
            </w:r>
            <w:r w:rsidR="004D293F">
              <w:rPr>
                <w:webHidden/>
              </w:rPr>
              <w:tab/>
              <w:t>16-</w:t>
            </w:r>
            <w:r w:rsidR="004D293F">
              <w:rPr>
                <w:webHidden/>
              </w:rPr>
              <w:fldChar w:fldCharType="begin"/>
            </w:r>
            <w:r w:rsidR="004D293F">
              <w:rPr>
                <w:webHidden/>
              </w:rPr>
              <w:instrText xml:space="preserve"> PAGEREF _Toc433365995 \h </w:instrText>
            </w:r>
            <w:r w:rsidR="004D293F">
              <w:rPr>
                <w:webHidden/>
              </w:rPr>
            </w:r>
            <w:r w:rsidR="004D293F">
              <w:rPr>
                <w:webHidden/>
              </w:rPr>
              <w:fldChar w:fldCharType="separate"/>
            </w:r>
            <w:r w:rsidR="004D293F">
              <w:rPr>
                <w:webHidden/>
              </w:rPr>
              <w:t>14</w:t>
            </w:r>
            <w:r w:rsidR="004D293F">
              <w:rPr>
                <w:webHidden/>
              </w:rPr>
              <w:fldChar w:fldCharType="end"/>
            </w:r>
          </w:hyperlink>
        </w:p>
        <w:p w:rsidR="004D293F" w:rsidRDefault="00BC51BE">
          <w:pPr>
            <w:pStyle w:val="TOC2"/>
            <w:tabs>
              <w:tab w:val="left" w:pos="1276"/>
            </w:tabs>
            <w:rPr>
              <w:rFonts w:asciiTheme="minorHAnsi" w:eastAsiaTheme="minorEastAsia" w:hAnsiTheme="minorHAnsi"/>
              <w:b w:val="0"/>
              <w:color w:val="auto"/>
              <w:sz w:val="22"/>
              <w:lang w:eastAsia="en-AU"/>
            </w:rPr>
          </w:pPr>
          <w:hyperlink w:anchor="_Toc433365996" w:history="1">
            <w:r w:rsidR="004D293F" w:rsidRPr="00244848">
              <w:rPr>
                <w:rStyle w:val="Hyperlink"/>
              </w:rPr>
              <w:t>16.3</w:t>
            </w:r>
            <w:r w:rsidR="004D293F">
              <w:rPr>
                <w:rFonts w:asciiTheme="minorHAnsi" w:eastAsiaTheme="minorEastAsia" w:hAnsiTheme="minorHAnsi"/>
                <w:b w:val="0"/>
                <w:color w:val="auto"/>
                <w:sz w:val="22"/>
                <w:lang w:eastAsia="en-AU"/>
              </w:rPr>
              <w:tab/>
            </w:r>
            <w:r w:rsidR="004D293F" w:rsidRPr="00244848">
              <w:rPr>
                <w:rStyle w:val="Hyperlink"/>
              </w:rPr>
              <w:t>Metering</w:t>
            </w:r>
            <w:r w:rsidR="004D293F">
              <w:rPr>
                <w:webHidden/>
              </w:rPr>
              <w:tab/>
              <w:t>16-</w:t>
            </w:r>
            <w:r w:rsidR="004D293F">
              <w:rPr>
                <w:webHidden/>
              </w:rPr>
              <w:fldChar w:fldCharType="begin"/>
            </w:r>
            <w:r w:rsidR="004D293F">
              <w:rPr>
                <w:webHidden/>
              </w:rPr>
              <w:instrText xml:space="preserve"> PAGEREF _Toc433365996 \h </w:instrText>
            </w:r>
            <w:r w:rsidR="004D293F">
              <w:rPr>
                <w:webHidden/>
              </w:rPr>
            </w:r>
            <w:r w:rsidR="004D293F">
              <w:rPr>
                <w:webHidden/>
              </w:rPr>
              <w:fldChar w:fldCharType="separate"/>
            </w:r>
            <w:r w:rsidR="004D293F">
              <w:rPr>
                <w:webHidden/>
              </w:rPr>
              <w:t>19</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5997" w:history="1">
            <w:r w:rsidR="004D293F" w:rsidRPr="00244848">
              <w:rPr>
                <w:rStyle w:val="Hyperlink"/>
              </w:rPr>
              <w:t>16.3.1</w:t>
            </w:r>
            <w:r w:rsidR="004D293F">
              <w:rPr>
                <w:rFonts w:asciiTheme="minorHAnsi" w:eastAsiaTheme="minorEastAsia" w:hAnsiTheme="minorHAnsi"/>
                <w:lang w:eastAsia="en-AU"/>
              </w:rPr>
              <w:tab/>
            </w:r>
            <w:r w:rsidR="004D293F" w:rsidRPr="00244848">
              <w:rPr>
                <w:rStyle w:val="Hyperlink"/>
              </w:rPr>
              <w:t>Final decision</w:t>
            </w:r>
            <w:r w:rsidR="004D293F">
              <w:rPr>
                <w:webHidden/>
              </w:rPr>
              <w:tab/>
              <w:t>16-</w:t>
            </w:r>
            <w:r w:rsidR="004D293F">
              <w:rPr>
                <w:webHidden/>
              </w:rPr>
              <w:fldChar w:fldCharType="begin"/>
            </w:r>
            <w:r w:rsidR="004D293F">
              <w:rPr>
                <w:webHidden/>
              </w:rPr>
              <w:instrText xml:space="preserve"> PAGEREF _Toc433365997 \h </w:instrText>
            </w:r>
            <w:r w:rsidR="004D293F">
              <w:rPr>
                <w:webHidden/>
              </w:rPr>
            </w:r>
            <w:r w:rsidR="004D293F">
              <w:rPr>
                <w:webHidden/>
              </w:rPr>
              <w:fldChar w:fldCharType="separate"/>
            </w:r>
            <w:r w:rsidR="004D293F">
              <w:rPr>
                <w:webHidden/>
              </w:rPr>
              <w:t>21</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5998" w:history="1">
            <w:r w:rsidR="004D293F" w:rsidRPr="00244848">
              <w:rPr>
                <w:rStyle w:val="Hyperlink"/>
              </w:rPr>
              <w:t>16.3.2</w:t>
            </w:r>
            <w:r w:rsidR="004D293F">
              <w:rPr>
                <w:rFonts w:asciiTheme="minorHAnsi" w:eastAsiaTheme="minorEastAsia" w:hAnsiTheme="minorHAnsi"/>
                <w:lang w:eastAsia="en-AU"/>
              </w:rPr>
              <w:tab/>
            </w:r>
            <w:r w:rsidR="004D293F" w:rsidRPr="00244848">
              <w:rPr>
                <w:rStyle w:val="Hyperlink"/>
              </w:rPr>
              <w:t>Ergon Energy's revised proposal</w:t>
            </w:r>
            <w:r w:rsidR="004D293F">
              <w:rPr>
                <w:webHidden/>
              </w:rPr>
              <w:tab/>
              <w:t>16-</w:t>
            </w:r>
            <w:r w:rsidR="004D293F">
              <w:rPr>
                <w:webHidden/>
              </w:rPr>
              <w:fldChar w:fldCharType="begin"/>
            </w:r>
            <w:r w:rsidR="004D293F">
              <w:rPr>
                <w:webHidden/>
              </w:rPr>
              <w:instrText xml:space="preserve"> PAGEREF _Toc433365998 \h </w:instrText>
            </w:r>
            <w:r w:rsidR="004D293F">
              <w:rPr>
                <w:webHidden/>
              </w:rPr>
            </w:r>
            <w:r w:rsidR="004D293F">
              <w:rPr>
                <w:webHidden/>
              </w:rPr>
              <w:fldChar w:fldCharType="separate"/>
            </w:r>
            <w:r w:rsidR="004D293F">
              <w:rPr>
                <w:webHidden/>
              </w:rPr>
              <w:t>24</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5999" w:history="1">
            <w:r w:rsidR="004D293F" w:rsidRPr="00244848">
              <w:rPr>
                <w:rStyle w:val="Hyperlink"/>
              </w:rPr>
              <w:t>16.3.3</w:t>
            </w:r>
            <w:r w:rsidR="004D293F">
              <w:rPr>
                <w:rFonts w:asciiTheme="minorHAnsi" w:eastAsiaTheme="minorEastAsia" w:hAnsiTheme="minorHAnsi"/>
                <w:lang w:eastAsia="en-AU"/>
              </w:rPr>
              <w:tab/>
            </w:r>
            <w:r w:rsidR="004D293F" w:rsidRPr="00244848">
              <w:rPr>
                <w:rStyle w:val="Hyperlink"/>
              </w:rPr>
              <w:t>Assessment approach</w:t>
            </w:r>
            <w:r w:rsidR="004D293F">
              <w:rPr>
                <w:webHidden/>
              </w:rPr>
              <w:tab/>
              <w:t>16-</w:t>
            </w:r>
            <w:r w:rsidR="004D293F">
              <w:rPr>
                <w:webHidden/>
              </w:rPr>
              <w:fldChar w:fldCharType="begin"/>
            </w:r>
            <w:r w:rsidR="004D293F">
              <w:rPr>
                <w:webHidden/>
              </w:rPr>
              <w:instrText xml:space="preserve"> PAGEREF _Toc433365999 \h </w:instrText>
            </w:r>
            <w:r w:rsidR="004D293F">
              <w:rPr>
                <w:webHidden/>
              </w:rPr>
            </w:r>
            <w:r w:rsidR="004D293F">
              <w:rPr>
                <w:webHidden/>
              </w:rPr>
              <w:fldChar w:fldCharType="separate"/>
            </w:r>
            <w:r w:rsidR="004D293F">
              <w:rPr>
                <w:webHidden/>
              </w:rPr>
              <w:t>27</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6000" w:history="1">
            <w:r w:rsidR="004D293F" w:rsidRPr="00244848">
              <w:rPr>
                <w:rStyle w:val="Hyperlink"/>
              </w:rPr>
              <w:t>16.3.4</w:t>
            </w:r>
            <w:r w:rsidR="004D293F">
              <w:rPr>
                <w:rFonts w:asciiTheme="minorHAnsi" w:eastAsiaTheme="minorEastAsia" w:hAnsiTheme="minorHAnsi"/>
                <w:lang w:eastAsia="en-AU"/>
              </w:rPr>
              <w:tab/>
            </w:r>
            <w:r w:rsidR="004D293F" w:rsidRPr="00244848">
              <w:rPr>
                <w:rStyle w:val="Hyperlink"/>
              </w:rPr>
              <w:t>Interrelationships</w:t>
            </w:r>
            <w:r w:rsidR="004D293F">
              <w:rPr>
                <w:webHidden/>
              </w:rPr>
              <w:tab/>
              <w:t>16-</w:t>
            </w:r>
            <w:r w:rsidR="004D293F">
              <w:rPr>
                <w:webHidden/>
              </w:rPr>
              <w:fldChar w:fldCharType="begin"/>
            </w:r>
            <w:r w:rsidR="004D293F">
              <w:rPr>
                <w:webHidden/>
              </w:rPr>
              <w:instrText xml:space="preserve"> PAGEREF _Toc433366000 \h </w:instrText>
            </w:r>
            <w:r w:rsidR="004D293F">
              <w:rPr>
                <w:webHidden/>
              </w:rPr>
            </w:r>
            <w:r w:rsidR="004D293F">
              <w:rPr>
                <w:webHidden/>
              </w:rPr>
              <w:fldChar w:fldCharType="separate"/>
            </w:r>
            <w:r w:rsidR="004D293F">
              <w:rPr>
                <w:webHidden/>
              </w:rPr>
              <w:t>31</w:t>
            </w:r>
            <w:r w:rsidR="004D293F">
              <w:rPr>
                <w:webHidden/>
              </w:rPr>
              <w:fldChar w:fldCharType="end"/>
            </w:r>
          </w:hyperlink>
        </w:p>
        <w:p w:rsidR="004D293F" w:rsidRDefault="00BC51BE">
          <w:pPr>
            <w:pStyle w:val="TOC3"/>
            <w:rPr>
              <w:rFonts w:asciiTheme="minorHAnsi" w:eastAsiaTheme="minorEastAsia" w:hAnsiTheme="minorHAnsi"/>
              <w:lang w:eastAsia="en-AU"/>
            </w:rPr>
          </w:pPr>
          <w:hyperlink w:anchor="_Toc433366001" w:history="1">
            <w:r w:rsidR="004D293F" w:rsidRPr="00244848">
              <w:rPr>
                <w:rStyle w:val="Hyperlink"/>
              </w:rPr>
              <w:t>16.3.5</w:t>
            </w:r>
            <w:r w:rsidR="004D293F">
              <w:rPr>
                <w:rFonts w:asciiTheme="minorHAnsi" w:eastAsiaTheme="minorEastAsia" w:hAnsiTheme="minorHAnsi"/>
                <w:lang w:eastAsia="en-AU"/>
              </w:rPr>
              <w:tab/>
            </w:r>
            <w:r w:rsidR="004D293F" w:rsidRPr="00244848">
              <w:rPr>
                <w:rStyle w:val="Hyperlink"/>
              </w:rPr>
              <w:t>Reason for final decision</w:t>
            </w:r>
            <w:r w:rsidR="004D293F">
              <w:rPr>
                <w:webHidden/>
              </w:rPr>
              <w:tab/>
              <w:t>16-</w:t>
            </w:r>
            <w:r w:rsidR="004D293F">
              <w:rPr>
                <w:webHidden/>
              </w:rPr>
              <w:fldChar w:fldCharType="begin"/>
            </w:r>
            <w:r w:rsidR="004D293F">
              <w:rPr>
                <w:webHidden/>
              </w:rPr>
              <w:instrText xml:space="preserve"> PAGEREF _Toc433366001 \h </w:instrText>
            </w:r>
            <w:r w:rsidR="004D293F">
              <w:rPr>
                <w:webHidden/>
              </w:rPr>
            </w:r>
            <w:r w:rsidR="004D293F">
              <w:rPr>
                <w:webHidden/>
              </w:rPr>
              <w:fldChar w:fldCharType="separate"/>
            </w:r>
            <w:r w:rsidR="004D293F">
              <w:rPr>
                <w:webHidden/>
              </w:rPr>
              <w:t>31</w:t>
            </w:r>
            <w:r w:rsidR="004D293F">
              <w:rPr>
                <w:webHidden/>
              </w:rPr>
              <w:fldChar w:fldCharType="end"/>
            </w:r>
          </w:hyperlink>
        </w:p>
        <w:p w:rsidR="004D293F" w:rsidRDefault="00BC51BE">
          <w:pPr>
            <w:pStyle w:val="TOC1"/>
            <w:rPr>
              <w:rFonts w:asciiTheme="minorHAnsi" w:eastAsiaTheme="minorEastAsia" w:hAnsiTheme="minorHAnsi"/>
              <w:b w:val="0"/>
              <w:color w:val="auto"/>
              <w:sz w:val="22"/>
              <w:lang w:val="en-AU" w:eastAsia="en-AU"/>
            </w:rPr>
          </w:pPr>
          <w:hyperlink w:anchor="_Toc433366002" w:history="1">
            <w:r w:rsidR="004D293F" w:rsidRPr="00244848">
              <w:rPr>
                <w:rStyle w:val="Hyperlink"/>
              </w:rPr>
              <w:t>A</w:t>
            </w:r>
            <w:r w:rsidR="004D293F">
              <w:rPr>
                <w:rFonts w:asciiTheme="minorHAnsi" w:eastAsiaTheme="minorEastAsia" w:hAnsiTheme="minorHAnsi"/>
                <w:b w:val="0"/>
                <w:color w:val="auto"/>
                <w:sz w:val="22"/>
                <w:lang w:val="en-AU" w:eastAsia="en-AU"/>
              </w:rPr>
              <w:tab/>
            </w:r>
            <w:r w:rsidR="004D293F" w:rsidRPr="00244848">
              <w:rPr>
                <w:rStyle w:val="Hyperlink"/>
              </w:rPr>
              <w:t>Approved prices for ancillary network services</w:t>
            </w:r>
            <w:r w:rsidR="004D293F">
              <w:rPr>
                <w:webHidden/>
              </w:rPr>
              <w:tab/>
              <w:t>16-</w:t>
            </w:r>
            <w:r w:rsidR="004D293F">
              <w:rPr>
                <w:webHidden/>
              </w:rPr>
              <w:fldChar w:fldCharType="begin"/>
            </w:r>
            <w:r w:rsidR="004D293F">
              <w:rPr>
                <w:webHidden/>
              </w:rPr>
              <w:instrText xml:space="preserve"> PAGEREF _Toc433366002 \h </w:instrText>
            </w:r>
            <w:r w:rsidR="004D293F">
              <w:rPr>
                <w:webHidden/>
              </w:rPr>
            </w:r>
            <w:r w:rsidR="004D293F">
              <w:rPr>
                <w:webHidden/>
              </w:rPr>
              <w:fldChar w:fldCharType="separate"/>
            </w:r>
            <w:r w:rsidR="004D293F">
              <w:rPr>
                <w:webHidden/>
              </w:rPr>
              <w:t>46</w:t>
            </w:r>
            <w:r w:rsidR="004D293F">
              <w:rPr>
                <w:webHidden/>
              </w:rPr>
              <w:fldChar w:fldCharType="end"/>
            </w:r>
          </w:hyperlink>
        </w:p>
        <w:p w:rsidR="004D293F" w:rsidRDefault="00BC51BE">
          <w:pPr>
            <w:pStyle w:val="TOC1"/>
            <w:rPr>
              <w:rFonts w:asciiTheme="minorHAnsi" w:eastAsiaTheme="minorEastAsia" w:hAnsiTheme="minorHAnsi"/>
              <w:b w:val="0"/>
              <w:color w:val="auto"/>
              <w:sz w:val="22"/>
              <w:lang w:val="en-AU" w:eastAsia="en-AU"/>
            </w:rPr>
          </w:pPr>
          <w:hyperlink w:anchor="_Toc433366003" w:history="1">
            <w:r w:rsidR="004D293F" w:rsidRPr="00244848">
              <w:rPr>
                <w:rStyle w:val="Hyperlink"/>
              </w:rPr>
              <w:t>B</w:t>
            </w:r>
            <w:r w:rsidR="004D293F">
              <w:rPr>
                <w:rFonts w:asciiTheme="minorHAnsi" w:eastAsiaTheme="minorEastAsia" w:hAnsiTheme="minorHAnsi"/>
                <w:b w:val="0"/>
                <w:color w:val="auto"/>
                <w:sz w:val="22"/>
                <w:lang w:val="en-AU" w:eastAsia="en-AU"/>
              </w:rPr>
              <w:tab/>
            </w:r>
            <w:r w:rsidR="004D293F" w:rsidRPr="00244848">
              <w:rPr>
                <w:rStyle w:val="Hyperlink"/>
              </w:rPr>
              <w:t>Annual metering charge</w:t>
            </w:r>
            <w:r w:rsidR="004D293F">
              <w:rPr>
                <w:webHidden/>
              </w:rPr>
              <w:tab/>
              <w:t>16-</w:t>
            </w:r>
            <w:r w:rsidR="004D293F">
              <w:rPr>
                <w:webHidden/>
              </w:rPr>
              <w:fldChar w:fldCharType="begin"/>
            </w:r>
            <w:r w:rsidR="004D293F">
              <w:rPr>
                <w:webHidden/>
              </w:rPr>
              <w:instrText xml:space="preserve"> PAGEREF _Toc433366003 \h </w:instrText>
            </w:r>
            <w:r w:rsidR="004D293F">
              <w:rPr>
                <w:webHidden/>
              </w:rPr>
            </w:r>
            <w:r w:rsidR="004D293F">
              <w:rPr>
                <w:webHidden/>
              </w:rPr>
              <w:fldChar w:fldCharType="separate"/>
            </w:r>
            <w:r w:rsidR="004D293F">
              <w:rPr>
                <w:webHidden/>
              </w:rPr>
              <w:t>52</w:t>
            </w:r>
            <w:r w:rsidR="004D293F">
              <w:rPr>
                <w:webHidden/>
              </w:rPr>
              <w:fldChar w:fldCharType="end"/>
            </w:r>
          </w:hyperlink>
        </w:p>
        <w:p w:rsidR="00DE563D" w:rsidRDefault="009C1B5E" w:rsidP="009C1B5E">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3365984"/>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8E00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FC06A6"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9C1B5E" w:rsidP="00FC06A6">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FC06A6">
              <w:t>G</w:t>
            </w:r>
            <w:r w:rsidR="00DE563D">
              <w:t>uideline for electricity distribution</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FC06A6">
              <w:t xml:space="preserve">and </w:t>
            </w:r>
            <w:r>
              <w:t>pricing principles</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BC709D">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BC709D">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D44495" w:rsidP="002B0550">
      <w:pPr>
        <w:pStyle w:val="Heading1"/>
      </w:pPr>
      <w:bookmarkStart w:id="10" w:name="_Ref428893844"/>
      <w:bookmarkStart w:id="11" w:name="_Toc433365985"/>
      <w:r w:rsidRPr="002B0550">
        <w:lastRenderedPageBreak/>
        <w:t>Alternative control services</w:t>
      </w:r>
      <w:bookmarkEnd w:id="10"/>
      <w:bookmarkEnd w:id="11"/>
    </w:p>
    <w:p w:rsidR="00FE47E1" w:rsidRPr="00505A45" w:rsidRDefault="00FE47E1" w:rsidP="00FE47E1">
      <w:r w:rsidRPr="00505A45">
        <w:t xml:space="preserve">Alternative control services are </w:t>
      </w:r>
      <w:r w:rsidR="00346D76">
        <w:t xml:space="preserve">services </w:t>
      </w:r>
      <w:r w:rsidRPr="00505A45">
        <w:t>provided by distributors to specific customers. They do not form part of the distribution use of system revenue allowance provide</w:t>
      </w:r>
      <w:r>
        <w:t>d</w:t>
      </w:r>
      <w:r w:rsidRPr="00505A45">
        <w:t xml:space="preserve"> by us to each distributor. Rather, distributors recover the costs of providing alternative control services through a selection of </w:t>
      </w:r>
      <w:r w:rsidR="002C56AE">
        <w:t>prices</w:t>
      </w:r>
      <w:r w:rsidR="00B426DC">
        <w:t xml:space="preserve"> with</w:t>
      </w:r>
      <w:r w:rsidR="006B65EE">
        <w:t xml:space="preserve"> most</w:t>
      </w:r>
      <w:r w:rsidRPr="00505A45">
        <w:t xml:space="preserve"> charged on a ‘user pays’ basis.</w:t>
      </w:r>
    </w:p>
    <w:p w:rsidR="00FE47E1" w:rsidRPr="009F3120" w:rsidRDefault="00FE47E1" w:rsidP="00FE47E1">
      <w:r>
        <w:t xml:space="preserve">In this attachment, we </w:t>
      </w:r>
      <w:r w:rsidR="00346D76">
        <w:t xml:space="preserve">set out </w:t>
      </w:r>
      <w:r>
        <w:t xml:space="preserve">our final </w:t>
      </w:r>
      <w:r w:rsidR="00346D76">
        <w:t xml:space="preserve">decision </w:t>
      </w:r>
      <w:r>
        <w:t xml:space="preserve">on the </w:t>
      </w:r>
      <w:r w:rsidR="002C56AE">
        <w:t xml:space="preserve">prices </w:t>
      </w:r>
      <w:r>
        <w:t xml:space="preserve">Ergon Energy is allowed to </w:t>
      </w:r>
      <w:r w:rsidR="00081626">
        <w:t>charge</w:t>
      </w:r>
      <w:r>
        <w:t xml:space="preserve"> customers for the provision of ancillary network services, metering, and public lighting.</w:t>
      </w:r>
    </w:p>
    <w:p w:rsidR="00220253" w:rsidRDefault="00220253" w:rsidP="00FE47E1">
      <w:pPr>
        <w:pStyle w:val="Heading2"/>
      </w:pPr>
      <w:bookmarkStart w:id="12" w:name="_Toc433365986"/>
      <w:r>
        <w:t>Public Lighting</w:t>
      </w:r>
      <w:bookmarkEnd w:id="12"/>
    </w:p>
    <w:p w:rsidR="00220253" w:rsidRPr="00220253" w:rsidRDefault="00220253" w:rsidP="00BC709D">
      <w:pPr>
        <w:pStyle w:val="Heading3"/>
      </w:pPr>
      <w:bookmarkStart w:id="13" w:name="_Toc417994619"/>
      <w:bookmarkStart w:id="14" w:name="_Toc433365987"/>
      <w:r>
        <w:t>Final</w:t>
      </w:r>
      <w:r w:rsidRPr="00220253">
        <w:t xml:space="preserve"> decision</w:t>
      </w:r>
      <w:bookmarkEnd w:id="13"/>
      <w:bookmarkEnd w:id="14"/>
    </w:p>
    <w:p w:rsidR="00220253" w:rsidRPr="00220253" w:rsidRDefault="00220253" w:rsidP="00220253">
      <w:r w:rsidRPr="00220253">
        <w:t>We do not approve Ergon Energy's proposed public lighting cha</w:t>
      </w:r>
      <w:r w:rsidR="00BC709D">
        <w:t>rges because we have determined:</w:t>
      </w:r>
    </w:p>
    <w:p w:rsidR="00220253" w:rsidRPr="00220253" w:rsidRDefault="00220253" w:rsidP="00220253">
      <w:pPr>
        <w:pStyle w:val="AERbulletlistfirststyle"/>
      </w:pPr>
      <w:r w:rsidRPr="00220253">
        <w:t xml:space="preserve">a nominal post-tax </w:t>
      </w:r>
      <w:r w:rsidR="00BC709D">
        <w:t>weighted average cost of capital (WACC)</w:t>
      </w:r>
      <w:r w:rsidRPr="00220253">
        <w:t xml:space="preserve"> of </w:t>
      </w:r>
      <w:r w:rsidR="008E04A3">
        <w:t>6.01</w:t>
      </w:r>
      <w:r w:rsidRPr="00220253">
        <w:t xml:space="preserve"> per cent instead of the proposed </w:t>
      </w:r>
      <w:r w:rsidR="008E04A3">
        <w:t>7.41</w:t>
      </w:r>
      <w:r w:rsidRPr="00220253">
        <w:t> per cent</w:t>
      </w:r>
      <w:r w:rsidR="00FB6F28">
        <w:t xml:space="preserve"> </w:t>
      </w:r>
    </w:p>
    <w:p w:rsidR="00290211" w:rsidRPr="00290211" w:rsidRDefault="00220253" w:rsidP="008E04A3">
      <w:pPr>
        <w:pStyle w:val="AERbulletlistfirststyle"/>
        <w:rPr>
          <w:shd w:val="clear" w:color="auto" w:fill="FFFF00"/>
        </w:rPr>
      </w:pPr>
      <w:r w:rsidRPr="008E04A3">
        <w:t>imputation credit assumption of 40 per cent instead of the proposed 25 per cent</w:t>
      </w:r>
    </w:p>
    <w:p w:rsidR="00220253" w:rsidRPr="00220253" w:rsidRDefault="00290211" w:rsidP="008E04A3">
      <w:pPr>
        <w:pStyle w:val="AERbulletlistfirststyle"/>
        <w:rPr>
          <w:rStyle w:val="AERtexthighlight"/>
        </w:rPr>
      </w:pPr>
      <w:proofErr w:type="gramStart"/>
      <w:r>
        <w:t>debt</w:t>
      </w:r>
      <w:proofErr w:type="gramEnd"/>
      <w:r>
        <w:t xml:space="preserve"> raising costs value of 0.0827 per cent instead of the proposed 0.20 per cent</w:t>
      </w:r>
      <w:r w:rsidR="00BC709D">
        <w:t>.</w:t>
      </w:r>
      <w:r w:rsidR="008E04A3" w:rsidRPr="008E04A3">
        <w:t xml:space="preserve"> </w:t>
      </w:r>
    </w:p>
    <w:p w:rsidR="007C4681" w:rsidRDefault="007C4681" w:rsidP="00220253">
      <w:r>
        <w:t>This final decision adopts the same estimate of WACC as for standard control services</w:t>
      </w:r>
      <w:r w:rsidRPr="00541E3E">
        <w:t xml:space="preserve">. The reasons for the </w:t>
      </w:r>
      <w:r>
        <w:t>nominal post</w:t>
      </w:r>
      <w:r w:rsidRPr="00541E3E">
        <w:t>-tax WACC</w:t>
      </w:r>
      <w:r>
        <w:t xml:space="preserve"> and imputation credit assumption</w:t>
      </w:r>
      <w:r w:rsidRPr="00541E3E">
        <w:t xml:space="preserve"> are discussed in attachment 3 — Rate of return.</w:t>
      </w:r>
    </w:p>
    <w:p w:rsidR="00220253" w:rsidRPr="00220253" w:rsidRDefault="00220253" w:rsidP="00220253">
      <w:r w:rsidRPr="00220253">
        <w:t>In all other respects we have approved Ergon Energy's proposal.</w:t>
      </w:r>
      <w:r w:rsidR="000E3775">
        <w:t xml:space="preserve"> </w:t>
      </w:r>
      <w:r>
        <w:t>Final</w:t>
      </w:r>
      <w:r w:rsidRPr="00220253">
        <w:t xml:space="preserve"> decision prices for each light type are set out in </w:t>
      </w:r>
      <w:r w:rsidR="00E01BE0">
        <w:fldChar w:fldCharType="begin"/>
      </w:r>
      <w:r w:rsidR="00E01BE0">
        <w:instrText xml:space="preserve"> REF  _Ref415233953 \* Lower \h </w:instrText>
      </w:r>
      <w:r w:rsidR="00E01BE0">
        <w:fldChar w:fldCharType="separate"/>
      </w:r>
      <w:r w:rsidR="00E01BE0" w:rsidRPr="00220253">
        <w:t xml:space="preserve">table </w:t>
      </w:r>
      <w:r w:rsidR="00E01BE0">
        <w:rPr>
          <w:noProof/>
        </w:rPr>
        <w:t>16</w:t>
      </w:r>
      <w:r w:rsidR="00E01BE0">
        <w:t>.</w:t>
      </w:r>
      <w:r w:rsidR="00E01BE0">
        <w:rPr>
          <w:noProof/>
        </w:rPr>
        <w:t>1</w:t>
      </w:r>
      <w:r w:rsidR="00E01BE0">
        <w:fldChar w:fldCharType="end"/>
      </w:r>
      <w:r w:rsidRPr="00220253">
        <w:t>.</w:t>
      </w:r>
    </w:p>
    <w:p w:rsidR="00220253" w:rsidRPr="00220253" w:rsidRDefault="00220253" w:rsidP="00220253">
      <w:pPr>
        <w:pStyle w:val="Caption"/>
      </w:pPr>
      <w:bookmarkStart w:id="15" w:name="_Ref417554534"/>
      <w:bookmarkStart w:id="16" w:name="_Ref415233953"/>
      <w:proofErr w:type="gramStart"/>
      <w:r w:rsidRPr="00220253">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1</w:t>
      </w:r>
      <w:r w:rsidR="00674D47">
        <w:fldChar w:fldCharType="end"/>
      </w:r>
      <w:bookmarkEnd w:id="15"/>
      <w:bookmarkEnd w:id="16"/>
      <w:r w:rsidRPr="00220253">
        <w:t xml:space="preserve"> </w:t>
      </w:r>
      <w:r>
        <w:t>Final</w:t>
      </w:r>
      <w:r w:rsidRPr="00220253">
        <w:t xml:space="preserve"> decision prices for public lights, $ day</w:t>
      </w:r>
      <w:r w:rsidR="00BC709D">
        <w:t xml:space="preserve"> (real 2014</w:t>
      </w:r>
      <w:r w:rsidR="00BC709D">
        <w:rPr>
          <w:rFonts w:cs="Arial"/>
        </w:rPr>
        <w:t>─</w:t>
      </w:r>
      <w:r w:rsidR="00764539">
        <w:t>15)</w:t>
      </w:r>
    </w:p>
    <w:tbl>
      <w:tblPr>
        <w:tblStyle w:val="AERtable-numbers"/>
        <w:tblW w:w="5000" w:type="pct"/>
        <w:tblLook w:val="04A0" w:firstRow="1" w:lastRow="0" w:firstColumn="1" w:lastColumn="0" w:noHBand="0" w:noVBand="1"/>
      </w:tblPr>
      <w:tblGrid>
        <w:gridCol w:w="2058"/>
        <w:gridCol w:w="1327"/>
        <w:gridCol w:w="1327"/>
        <w:gridCol w:w="1327"/>
        <w:gridCol w:w="1327"/>
        <w:gridCol w:w="1327"/>
      </w:tblGrid>
      <w:tr w:rsidR="00220253" w:rsidRPr="00220253" w:rsidTr="00FB6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220253" w:rsidRPr="00220253" w:rsidRDefault="00220253" w:rsidP="00220253"/>
        </w:tc>
        <w:tc>
          <w:tcPr>
            <w:tcW w:w="763" w:type="pct"/>
            <w:vAlign w:val="top"/>
          </w:tcPr>
          <w:p w:rsidR="00220253" w:rsidRPr="00220253" w:rsidRDefault="00220253" w:rsidP="00220253">
            <w:pPr>
              <w:cnfStyle w:val="100000000000" w:firstRow="1" w:lastRow="0" w:firstColumn="0" w:lastColumn="0" w:oddVBand="0" w:evenVBand="0" w:oddHBand="0" w:evenHBand="0" w:firstRowFirstColumn="0" w:firstRowLastColumn="0" w:lastRowFirstColumn="0" w:lastRowLastColumn="0"/>
            </w:pPr>
            <w:r w:rsidRPr="00220253">
              <w:t>2015—16</w:t>
            </w:r>
          </w:p>
        </w:tc>
        <w:tc>
          <w:tcPr>
            <w:tcW w:w="763" w:type="pct"/>
            <w:vAlign w:val="top"/>
          </w:tcPr>
          <w:p w:rsidR="00220253" w:rsidRPr="00220253" w:rsidRDefault="00220253" w:rsidP="00220253">
            <w:pPr>
              <w:cnfStyle w:val="100000000000" w:firstRow="1" w:lastRow="0" w:firstColumn="0" w:lastColumn="0" w:oddVBand="0" w:evenVBand="0" w:oddHBand="0" w:evenHBand="0" w:firstRowFirstColumn="0" w:firstRowLastColumn="0" w:lastRowFirstColumn="0" w:lastRowLastColumn="0"/>
            </w:pPr>
            <w:r w:rsidRPr="00220253">
              <w:t>2016—17</w:t>
            </w:r>
          </w:p>
        </w:tc>
        <w:tc>
          <w:tcPr>
            <w:tcW w:w="763" w:type="pct"/>
            <w:vAlign w:val="top"/>
          </w:tcPr>
          <w:p w:rsidR="00220253" w:rsidRPr="00220253" w:rsidRDefault="00220253" w:rsidP="00220253">
            <w:pPr>
              <w:cnfStyle w:val="100000000000" w:firstRow="1" w:lastRow="0" w:firstColumn="0" w:lastColumn="0" w:oddVBand="0" w:evenVBand="0" w:oddHBand="0" w:evenHBand="0" w:firstRowFirstColumn="0" w:firstRowLastColumn="0" w:lastRowFirstColumn="0" w:lastRowLastColumn="0"/>
            </w:pPr>
            <w:r w:rsidRPr="00220253">
              <w:t>2017—18</w:t>
            </w:r>
          </w:p>
        </w:tc>
        <w:tc>
          <w:tcPr>
            <w:tcW w:w="763" w:type="pct"/>
            <w:vAlign w:val="top"/>
          </w:tcPr>
          <w:p w:rsidR="00220253" w:rsidRPr="00220253" w:rsidRDefault="00220253" w:rsidP="00220253">
            <w:pPr>
              <w:cnfStyle w:val="100000000000" w:firstRow="1" w:lastRow="0" w:firstColumn="0" w:lastColumn="0" w:oddVBand="0" w:evenVBand="0" w:oddHBand="0" w:evenHBand="0" w:firstRowFirstColumn="0" w:firstRowLastColumn="0" w:lastRowFirstColumn="0" w:lastRowLastColumn="0"/>
            </w:pPr>
            <w:r w:rsidRPr="00220253">
              <w:t>2018—19</w:t>
            </w:r>
          </w:p>
        </w:tc>
        <w:tc>
          <w:tcPr>
            <w:tcW w:w="763" w:type="pct"/>
            <w:vAlign w:val="top"/>
          </w:tcPr>
          <w:p w:rsidR="00220253" w:rsidRPr="00220253" w:rsidRDefault="00220253" w:rsidP="00220253">
            <w:pPr>
              <w:cnfStyle w:val="100000000000" w:firstRow="1" w:lastRow="0" w:firstColumn="0" w:lastColumn="0" w:oddVBand="0" w:evenVBand="0" w:oddHBand="0" w:evenHBand="0" w:firstRowFirstColumn="0" w:firstRowLastColumn="0" w:lastRowFirstColumn="0" w:lastRowLastColumn="0"/>
            </w:pPr>
            <w:r w:rsidRPr="00220253">
              <w:t>2019—20</w:t>
            </w:r>
          </w:p>
        </w:tc>
      </w:tr>
      <w:tr w:rsidR="00B87987" w:rsidRPr="00220253" w:rsidTr="00FB6F28">
        <w:tc>
          <w:tcPr>
            <w:cnfStyle w:val="001000000000" w:firstRow="0" w:lastRow="0" w:firstColumn="1" w:lastColumn="0" w:oddVBand="0" w:evenVBand="0" w:oddHBand="0" w:evenHBand="0" w:firstRowFirstColumn="0" w:firstRowLastColumn="0" w:lastRowFirstColumn="0" w:lastRowLastColumn="0"/>
            <w:tcW w:w="1184" w:type="pct"/>
            <w:vAlign w:val="top"/>
          </w:tcPr>
          <w:p w:rsidR="00B87987" w:rsidRPr="00B87987" w:rsidRDefault="00B87987" w:rsidP="00B87987">
            <w:r w:rsidRPr="00B87987">
              <w:t>Ergon Owned &amp; Operated - Major</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0.9997</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0.9021</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0.9021</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0.9021</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0.9021</w:t>
            </w:r>
          </w:p>
        </w:tc>
      </w:tr>
      <w:tr w:rsidR="00B87987" w:rsidRPr="00220253" w:rsidTr="00FB6F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B87987" w:rsidRPr="00B87987" w:rsidRDefault="00B87987" w:rsidP="00B87987">
            <w:r w:rsidRPr="00B87987">
              <w:t>Ergon Owned &amp; Operated - Minor</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0.4037</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0.4221</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0.4221</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0.4221</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0.4221</w:t>
            </w:r>
          </w:p>
        </w:tc>
      </w:tr>
      <w:tr w:rsidR="00B87987" w:rsidRPr="00220253" w:rsidTr="00FB6F28">
        <w:tc>
          <w:tcPr>
            <w:cnfStyle w:val="001000000000" w:firstRow="0" w:lastRow="0" w:firstColumn="1" w:lastColumn="0" w:oddVBand="0" w:evenVBand="0" w:oddHBand="0" w:evenHBand="0" w:firstRowFirstColumn="0" w:firstRowLastColumn="0" w:lastRowFirstColumn="0" w:lastRowLastColumn="0"/>
            <w:tcW w:w="1184" w:type="pct"/>
            <w:vAlign w:val="top"/>
          </w:tcPr>
          <w:p w:rsidR="00B87987" w:rsidRPr="00B87987" w:rsidRDefault="00B87987" w:rsidP="00B87987">
            <w:r w:rsidRPr="00B87987">
              <w:t>Gifted &amp; Ergon Operated - Major</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0.5956</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0.5443</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0.5443</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0.5443</w:t>
            </w:r>
          </w:p>
        </w:tc>
        <w:tc>
          <w:tcPr>
            <w:tcW w:w="763" w:type="pct"/>
            <w:vAlign w:val="bottom"/>
          </w:tcPr>
          <w:p w:rsidR="00B87987" w:rsidRPr="00B87987" w:rsidRDefault="00B87987" w:rsidP="00B87987">
            <w:pPr>
              <w:cnfStyle w:val="000000000000" w:firstRow="0" w:lastRow="0" w:firstColumn="0" w:lastColumn="0" w:oddVBand="0" w:evenVBand="0" w:oddHBand="0" w:evenHBand="0" w:firstRowFirstColumn="0" w:firstRowLastColumn="0" w:lastRowFirstColumn="0" w:lastRowLastColumn="0"/>
            </w:pPr>
            <w:r w:rsidRPr="00B87987">
              <w:t>0.5443</w:t>
            </w:r>
          </w:p>
        </w:tc>
      </w:tr>
      <w:tr w:rsidR="00B87987" w:rsidRPr="00220253" w:rsidTr="00FB6F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B87987" w:rsidRPr="00B87987" w:rsidRDefault="00B87987" w:rsidP="00B87987">
            <w:r w:rsidRPr="00B87987">
              <w:t>Gifted &amp; Ergon Operated - Minor</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0.2645</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0.2777</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0.2777</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0.2777</w:t>
            </w:r>
          </w:p>
        </w:tc>
        <w:tc>
          <w:tcPr>
            <w:tcW w:w="763" w:type="pct"/>
            <w:vAlign w:val="bottom"/>
          </w:tcPr>
          <w:p w:rsidR="00B87987" w:rsidRPr="00B87987" w:rsidRDefault="00B87987" w:rsidP="00B87987">
            <w:pPr>
              <w:cnfStyle w:val="000000010000" w:firstRow="0" w:lastRow="0" w:firstColumn="0" w:lastColumn="0" w:oddVBand="0" w:evenVBand="0" w:oddHBand="0" w:evenHBand="1" w:firstRowFirstColumn="0" w:firstRowLastColumn="0" w:lastRowFirstColumn="0" w:lastRowLastColumn="0"/>
            </w:pPr>
            <w:r w:rsidRPr="00B87987">
              <w:t>0.2777</w:t>
            </w:r>
          </w:p>
        </w:tc>
      </w:tr>
    </w:tbl>
    <w:p w:rsidR="00220253" w:rsidRDefault="00220253" w:rsidP="00100661">
      <w:pPr>
        <w:pStyle w:val="AERtablesource"/>
      </w:pPr>
      <w:r w:rsidRPr="00220253">
        <w:t>Source:</w:t>
      </w:r>
      <w:r w:rsidR="00100661">
        <w:tab/>
      </w:r>
      <w:r w:rsidRPr="00220253">
        <w:t>AER</w:t>
      </w:r>
      <w:r w:rsidR="00BC709D">
        <w:t xml:space="preserve"> a</w:t>
      </w:r>
      <w:r w:rsidRPr="00220253">
        <w:t>nalysis</w:t>
      </w:r>
      <w:r w:rsidR="00100661">
        <w:t>.</w:t>
      </w:r>
    </w:p>
    <w:p w:rsidR="00BC709D" w:rsidRDefault="00BC709D" w:rsidP="00BC709D"/>
    <w:p w:rsidR="00BC709D" w:rsidRPr="00BC709D" w:rsidRDefault="00BC709D" w:rsidP="00BC709D"/>
    <w:p w:rsidR="00701BC1" w:rsidRPr="00BC709D" w:rsidRDefault="00701BC1" w:rsidP="00BC709D">
      <w:pPr>
        <w:pStyle w:val="HeadingBoldBlue"/>
      </w:pPr>
      <w:bookmarkStart w:id="17" w:name="_Toc417992514"/>
      <w:bookmarkStart w:id="18" w:name="_Toc417994620"/>
      <w:bookmarkStart w:id="19" w:name="_Toc433365988"/>
      <w:r w:rsidRPr="00BC709D">
        <w:lastRenderedPageBreak/>
        <w:t>Form of control</w:t>
      </w:r>
      <w:bookmarkEnd w:id="17"/>
      <w:bookmarkEnd w:id="18"/>
      <w:bookmarkEnd w:id="19"/>
    </w:p>
    <w:p w:rsidR="00701BC1" w:rsidRPr="00701BC1" w:rsidRDefault="00701BC1" w:rsidP="00701BC1">
      <w:r w:rsidRPr="00701BC1">
        <w:t xml:space="preserve">Our </w:t>
      </w:r>
      <w:r>
        <w:t xml:space="preserve">final </w:t>
      </w:r>
      <w:r w:rsidRPr="00701BC1">
        <w:t xml:space="preserve">decision is to apply a price cap for the form of control to public lighting, consistent with the final </w:t>
      </w:r>
      <w:r w:rsidR="00BC709D">
        <w:t>framework and approach (</w:t>
      </w:r>
      <w:r w:rsidRPr="00701BC1">
        <w:t>F&amp;A</w:t>
      </w:r>
      <w:r w:rsidR="00BC709D">
        <w:t>)</w:t>
      </w:r>
      <w:r w:rsidRPr="00701BC1">
        <w:t xml:space="preserve">. </w:t>
      </w:r>
      <w:r w:rsidRPr="00701BC1">
        <w:fldChar w:fldCharType="begin"/>
      </w:r>
      <w:r w:rsidRPr="00701BC1">
        <w:instrText xml:space="preserve"> REF _Ref417031437 \h </w:instrText>
      </w:r>
      <w:r w:rsidRPr="00701BC1">
        <w:fldChar w:fldCharType="separate"/>
      </w:r>
      <w:r w:rsidR="00E01BE0" w:rsidRPr="00701BC1">
        <w:t xml:space="preserve">Figure </w:t>
      </w:r>
      <w:r w:rsidR="00BC709D">
        <w:t>16.</w:t>
      </w:r>
      <w:r w:rsidR="00E01BE0">
        <w:rPr>
          <w:noProof/>
        </w:rPr>
        <w:t>1</w:t>
      </w:r>
      <w:r w:rsidRPr="00701BC1">
        <w:fldChar w:fldCharType="end"/>
      </w:r>
      <w:r w:rsidRPr="00701BC1">
        <w:t xml:space="preserve"> sets out the control mechanism formulas for public lighting. </w:t>
      </w:r>
    </w:p>
    <w:p w:rsidR="00701BC1" w:rsidRDefault="00701BC1" w:rsidP="00764539">
      <w:pPr>
        <w:pStyle w:val="Tabletitle"/>
      </w:pPr>
      <w:bookmarkStart w:id="20" w:name="_Ref417031437"/>
      <w:proofErr w:type="gramStart"/>
      <w:r w:rsidRPr="00701BC1">
        <w:t xml:space="preserve">Figure </w:t>
      </w:r>
      <w:proofErr w:type="gramEnd"/>
      <w:r w:rsidR="00952838">
        <w:fldChar w:fldCharType="begin"/>
      </w:r>
      <w:r w:rsidR="00952838">
        <w:instrText xml:space="preserve"> STYLEREF 1 \s </w:instrText>
      </w:r>
      <w:r w:rsidR="00952838">
        <w:fldChar w:fldCharType="separate"/>
      </w:r>
      <w:r w:rsidR="00F91916">
        <w:rPr>
          <w:noProof/>
        </w:rPr>
        <w:t>16</w:t>
      </w:r>
      <w:r w:rsidR="00952838">
        <w:rPr>
          <w:noProof/>
        </w:rPr>
        <w:fldChar w:fldCharType="end"/>
      </w:r>
      <w:proofErr w:type="gramStart"/>
      <w:r w:rsidR="00F91916">
        <w:t>.</w:t>
      </w:r>
      <w:proofErr w:type="gramEnd"/>
      <w:r w:rsidR="00F91916">
        <w:fldChar w:fldCharType="begin"/>
      </w:r>
      <w:r w:rsidR="00F91916">
        <w:instrText xml:space="preserve"> SEQ Figure \* ARABIC \s 1 </w:instrText>
      </w:r>
      <w:r w:rsidR="00F91916">
        <w:fldChar w:fldCharType="separate"/>
      </w:r>
      <w:r w:rsidR="00F91916">
        <w:rPr>
          <w:noProof/>
        </w:rPr>
        <w:t>1</w:t>
      </w:r>
      <w:r w:rsidR="00F91916">
        <w:fldChar w:fldCharType="end"/>
      </w:r>
      <w:bookmarkEnd w:id="20"/>
      <w:r w:rsidRPr="00701BC1">
        <w:tab/>
        <w:t>Public lighting formula</w:t>
      </w:r>
    </w:p>
    <w:p w:rsidR="00891FDC" w:rsidRPr="002D3A76" w:rsidRDefault="00BC51BE" w:rsidP="00891FDC">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t</m:t>
            </m:r>
          </m:sub>
          <m:sup>
            <m:r>
              <w:rPr>
                <w:rFonts w:ascii="Cambria Math" w:hAnsi="Cambria Math"/>
              </w:rPr>
              <m:t>i</m:t>
            </m:r>
          </m:sup>
        </m:sSubSup>
      </m:oMath>
    </w:p>
    <w:p w:rsidR="00891FDC" w:rsidRDefault="00891FDC" w:rsidP="00891FDC">
      <w:pPr>
        <w:numPr>
          <w:ilvl w:val="0"/>
          <w:numId w:val="25"/>
        </w:numPr>
      </w:pPr>
      <w:r>
        <w:t>w</w:t>
      </w:r>
      <w:r w:rsidRPr="002D3A76">
        <w:t>here:</w:t>
      </w:r>
    </w:p>
    <w:p w:rsidR="00100661" w:rsidRPr="002D3A76" w:rsidRDefault="00BC51BE" w:rsidP="00891FDC">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00100661" w:rsidRPr="002D3A76">
        <w:t xml:space="preserve"> </w:t>
      </w:r>
      <w:r w:rsidR="00100661" w:rsidRPr="002D3A76">
        <w:tab/>
      </w:r>
      <w:r w:rsidR="00100661" w:rsidRPr="002D3A76">
        <w:tab/>
        <w:t>is the cap on the price of service i in year t</w:t>
      </w:r>
    </w:p>
    <w:p w:rsidR="00891FDC" w:rsidRPr="002D3A76" w:rsidRDefault="00BC51BE" w:rsidP="00891FDC">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oMath>
      <w:r w:rsidR="00891FDC" w:rsidRPr="002D3A76">
        <w:t xml:space="preserve"> </w:t>
      </w:r>
      <w:r w:rsidR="00891FDC" w:rsidRPr="002D3A76">
        <w:tab/>
      </w:r>
      <w:proofErr w:type="gramStart"/>
      <w:r w:rsidR="00891FDC" w:rsidRPr="002D3A76">
        <w:t>is</w:t>
      </w:r>
      <w:proofErr w:type="gramEnd"/>
      <w:r w:rsidR="00891FDC" w:rsidRPr="002D3A76">
        <w:t xml:space="preserve"> the cap on the price of service i in year t–1</w:t>
      </w:r>
      <w:r w:rsidR="00100661">
        <w:t>.</w:t>
      </w:r>
    </w:p>
    <w:p w:rsidR="00891FDC" w:rsidRDefault="00891FDC" w:rsidP="00891FDC">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2D3A76">
        <w:t xml:space="preserve"> </w:t>
      </w:r>
      <w:r w:rsidRPr="002D3A76">
        <w:tab/>
      </w:r>
      <w:proofErr w:type="gramStart"/>
      <w:r w:rsidRPr="002D3A76">
        <w:t>is</w:t>
      </w:r>
      <w:proofErr w:type="gramEnd"/>
      <w:r w:rsidRPr="002D3A76">
        <w:t xml:space="preserve"> the annual percentage change in the ABS CPI All Groups, Weighted Average of Eight Capital Cities</w:t>
      </w:r>
      <w:r>
        <w:rPr>
          <w:rStyle w:val="FootnoteReference"/>
        </w:rPr>
        <w:footnoteReference w:id="1"/>
      </w:r>
      <w:r w:rsidRPr="002D3A76">
        <w:t xml:space="preserve"> from</w:t>
      </w:r>
      <w:r>
        <w:t xml:space="preserve"> the</w:t>
      </w:r>
      <w:r w:rsidRPr="002D3A76">
        <w:t xml:space="preserve"> December </w:t>
      </w:r>
      <w:r>
        <w:t xml:space="preserve">quarter </w:t>
      </w:r>
      <w:r w:rsidRPr="002D3A76">
        <w:t>in year t</w:t>
      </w:r>
      <w:r>
        <w:t>–</w:t>
      </w:r>
      <w:r w:rsidRPr="002D3A76">
        <w:t>2 to</w:t>
      </w:r>
      <w:r>
        <w:t xml:space="preserve"> the</w:t>
      </w:r>
      <w:r w:rsidRPr="002D3A76">
        <w:t xml:space="preserve"> December</w:t>
      </w:r>
      <w:r>
        <w:t xml:space="preserve"> quarter</w:t>
      </w:r>
      <w:r w:rsidRPr="002D3A76">
        <w:t xml:space="preserve"> in year t</w:t>
      </w:r>
      <w:r>
        <w:t>–</w:t>
      </w:r>
      <w:r w:rsidRPr="002D3A76">
        <w:t>1</w:t>
      </w:r>
      <w:r>
        <w:t>, calculated using the following method:</w:t>
      </w:r>
    </w:p>
    <w:p w:rsidR="00891FDC" w:rsidRPr="005B0486" w:rsidRDefault="00891FDC" w:rsidP="00891FDC">
      <w:pPr>
        <w:pStyle w:val="ListContinue"/>
      </w:pPr>
      <w:r w:rsidRPr="005B0486">
        <w:t xml:space="preserve">The ABS CPI All Groups, Weighted Average of Eight Capital Cities for the </w:t>
      </w:r>
      <w:r>
        <w:t>December</w:t>
      </w:r>
      <w:r w:rsidRPr="005B0486">
        <w:t xml:space="preserve"> quarter in regulatory year t–1</w:t>
      </w:r>
    </w:p>
    <w:p w:rsidR="00891FDC" w:rsidRPr="005B0486" w:rsidRDefault="00891FDC" w:rsidP="00891FDC">
      <w:pPr>
        <w:pStyle w:val="ListContinue"/>
      </w:pPr>
      <w:r w:rsidRPr="005B0486">
        <w:t>divided by</w:t>
      </w:r>
    </w:p>
    <w:p w:rsidR="00891FDC" w:rsidRPr="005B0486" w:rsidRDefault="00891FDC" w:rsidP="00891FDC">
      <w:pPr>
        <w:pStyle w:val="ListContinue"/>
      </w:pPr>
      <w:r w:rsidRPr="005B0486">
        <w:t xml:space="preserve">The ABS CPI All Groups, Weighted Average of Eight Capital Cities for the </w:t>
      </w:r>
      <w:r>
        <w:t>December</w:t>
      </w:r>
      <w:r w:rsidRPr="005B0486">
        <w:t xml:space="preserve"> quarter in regulatory year t–2</w:t>
      </w:r>
    </w:p>
    <w:p w:rsidR="00891FDC" w:rsidRDefault="00891FDC" w:rsidP="00891FDC">
      <w:pPr>
        <w:pStyle w:val="ListContinue"/>
      </w:pPr>
      <w:proofErr w:type="gramStart"/>
      <w:r w:rsidRPr="005B0486">
        <w:t>minus</w:t>
      </w:r>
      <w:proofErr w:type="gramEnd"/>
      <w:r w:rsidRPr="005B0486">
        <w:t xml:space="preserve"> one.</w:t>
      </w:r>
    </w:p>
    <w:p w:rsidR="00891FDC" w:rsidRPr="002D3A76" w:rsidRDefault="00891FDC" w:rsidP="00891FDC">
      <w:r w:rsidRPr="002D3A76">
        <w:t>For example, for the 201</w:t>
      </w:r>
      <w:r>
        <w:t>6</w:t>
      </w:r>
      <w:r w:rsidRPr="002D3A76">
        <w:t>–1</w:t>
      </w:r>
      <w:r>
        <w:t>7</w:t>
      </w:r>
      <w:r w:rsidRPr="002D3A76">
        <w:t xml:space="preserve"> year, t–2 is </w:t>
      </w:r>
      <w:r>
        <w:t xml:space="preserve">the </w:t>
      </w:r>
      <w:r w:rsidRPr="002D3A76">
        <w:t>December</w:t>
      </w:r>
      <w:r>
        <w:t xml:space="preserve"> quarter</w:t>
      </w:r>
      <w:r w:rsidRPr="002D3A76">
        <w:t xml:space="preserve"> 201</w:t>
      </w:r>
      <w:r>
        <w:t>4</w:t>
      </w:r>
      <w:r w:rsidRPr="002D3A76">
        <w:t xml:space="preserve"> and t–1 is </w:t>
      </w:r>
      <w:r>
        <w:t xml:space="preserve">the </w:t>
      </w:r>
      <w:r w:rsidRPr="002D3A76">
        <w:t>December</w:t>
      </w:r>
      <w:r>
        <w:t xml:space="preserve"> quarter</w:t>
      </w:r>
      <w:r w:rsidRPr="002D3A76">
        <w:t xml:space="preserve"> 201</w:t>
      </w:r>
      <w:r>
        <w:t>5</w:t>
      </w:r>
      <w:r w:rsidRPr="002D3A76">
        <w:t xml:space="preserve"> and in the 201</w:t>
      </w:r>
      <w:r>
        <w:t>7</w:t>
      </w:r>
      <w:r w:rsidRPr="002D3A76">
        <w:t>–1</w:t>
      </w:r>
      <w:r>
        <w:t>8</w:t>
      </w:r>
      <w:r w:rsidRPr="002D3A76">
        <w:t xml:space="preserve"> year, t–2 is</w:t>
      </w:r>
      <w:r>
        <w:t xml:space="preserve"> the</w:t>
      </w:r>
      <w:r w:rsidRPr="002D3A76">
        <w:t xml:space="preserve"> December</w:t>
      </w:r>
      <w:r>
        <w:t xml:space="preserve"> quarter</w:t>
      </w:r>
      <w:r w:rsidRPr="002D3A76">
        <w:t xml:space="preserve"> 201</w:t>
      </w:r>
      <w:r>
        <w:t>5</w:t>
      </w:r>
      <w:r w:rsidRPr="002D3A76">
        <w:t xml:space="preserve"> and t–1 is</w:t>
      </w:r>
      <w:r>
        <w:t xml:space="preserve"> the</w:t>
      </w:r>
      <w:r w:rsidRPr="002D3A76">
        <w:t xml:space="preserve"> December</w:t>
      </w:r>
      <w:r>
        <w:t xml:space="preserve"> quarter</w:t>
      </w:r>
      <w:r w:rsidRPr="002D3A76">
        <w:t xml:space="preserve"> 201</w:t>
      </w:r>
      <w:r>
        <w:t>6</w:t>
      </w:r>
      <w:r w:rsidRPr="002D3A76">
        <w:t xml:space="preserve"> and so on.</w:t>
      </w:r>
    </w:p>
    <w:p w:rsidR="004C4A71" w:rsidRDefault="00BC51BE" w:rsidP="004C4A71">
      <m:oMath>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oMath>
      <w:r w:rsidR="00891FDC" w:rsidRPr="002D3A76">
        <w:t xml:space="preserve"> </w:t>
      </w:r>
      <w:r w:rsidR="00891FDC" w:rsidRPr="002D3A76">
        <w:tab/>
      </w:r>
      <w:r w:rsidR="00891FDC" w:rsidRPr="002D3A76">
        <w:tab/>
      </w:r>
      <w:proofErr w:type="gramStart"/>
      <w:r w:rsidR="00891FDC" w:rsidRPr="002D3A76">
        <w:t>is</w:t>
      </w:r>
      <w:proofErr w:type="gramEnd"/>
      <w:r w:rsidR="00891FDC" w:rsidRPr="002D3A76">
        <w:t xml:space="preserve"> the X</w:t>
      </w:r>
      <w:r w:rsidR="00891FDC">
        <w:t> </w:t>
      </w:r>
      <w:r w:rsidR="00891FDC" w:rsidRPr="002D3A76">
        <w:t>factor for service i in year t</w:t>
      </w:r>
      <w:r w:rsidR="004C4A71">
        <w:t xml:space="preserve">, </w:t>
      </w:r>
      <w:r w:rsidR="004C4A71" w:rsidRPr="00531653">
        <w:t>as</w:t>
      </w:r>
      <w:r w:rsidR="004C4A71">
        <w:t xml:space="preserve"> set out in </w:t>
      </w:r>
      <w:r w:rsidR="004C4A71">
        <w:fldChar w:fldCharType="begin"/>
      </w:r>
      <w:r w:rsidR="004C4A71">
        <w:instrText xml:space="preserve"> REF _Ref432666225 \h </w:instrText>
      </w:r>
      <w:r w:rsidR="004C4A71">
        <w:fldChar w:fldCharType="separate"/>
      </w:r>
      <w:r w:rsidR="00BC709D">
        <w:t>t</w:t>
      </w:r>
      <w:r w:rsidR="00E01BE0" w:rsidRPr="00E8337C">
        <w:t xml:space="preserve">able </w:t>
      </w:r>
      <w:r w:rsidR="00E01BE0">
        <w:rPr>
          <w:noProof/>
        </w:rPr>
        <w:t>16</w:t>
      </w:r>
      <w:r w:rsidR="00E01BE0">
        <w:t>.</w:t>
      </w:r>
      <w:r w:rsidR="00E01BE0">
        <w:rPr>
          <w:noProof/>
        </w:rPr>
        <w:t>2</w:t>
      </w:r>
      <w:r w:rsidR="004C4A71">
        <w:fldChar w:fldCharType="end"/>
      </w:r>
      <w:r w:rsidR="004C4A71">
        <w:t>.</w:t>
      </w:r>
    </w:p>
    <w:p w:rsidR="004C4A71" w:rsidRPr="00E8337C" w:rsidRDefault="004C4A71" w:rsidP="004C4A71">
      <w:pPr>
        <w:pStyle w:val="Caption"/>
      </w:pPr>
      <w:bookmarkStart w:id="21" w:name="_Ref432666225"/>
      <w:bookmarkStart w:id="22" w:name="_Ref432666219"/>
      <w:proofErr w:type="gramStart"/>
      <w:r w:rsidRPr="00E8337C">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2</w:t>
      </w:r>
      <w:r w:rsidR="00674D47">
        <w:fldChar w:fldCharType="end"/>
      </w:r>
      <w:bookmarkEnd w:id="21"/>
      <w:r w:rsidRPr="00E8337C">
        <w:tab/>
        <w:t>X</w:t>
      </w:r>
      <w:r>
        <w:t xml:space="preserve"> </w:t>
      </w:r>
      <w:r w:rsidRPr="00E8337C">
        <w:t xml:space="preserve">Factors for annual </w:t>
      </w:r>
      <w:r>
        <w:t>public lighting</w:t>
      </w:r>
      <w:r w:rsidRPr="00E8337C">
        <w:t xml:space="preserve"> charges (per cent)</w:t>
      </w:r>
      <w:bookmarkEnd w:id="22"/>
    </w:p>
    <w:tbl>
      <w:tblPr>
        <w:tblStyle w:val="AERtable-numbers"/>
        <w:tblW w:w="10432" w:type="dxa"/>
        <w:tblLook w:val="04A0" w:firstRow="1" w:lastRow="0" w:firstColumn="1" w:lastColumn="0" w:noHBand="0" w:noVBand="1"/>
      </w:tblPr>
      <w:tblGrid>
        <w:gridCol w:w="1737"/>
        <w:gridCol w:w="1739"/>
        <w:gridCol w:w="1739"/>
        <w:gridCol w:w="1739"/>
        <w:gridCol w:w="1739"/>
        <w:gridCol w:w="1739"/>
      </w:tblGrid>
      <w:tr w:rsidR="004C4A71" w:rsidRPr="003A5DE5" w:rsidTr="003B1DE0">
        <w:trPr>
          <w:gridAfter w:val="1"/>
          <w:cnfStyle w:val="100000000000" w:firstRow="1" w:lastRow="0" w:firstColumn="0" w:lastColumn="0" w:oddVBand="0" w:evenVBand="0" w:oddHBand="0" w:evenHBand="0" w:firstRowFirstColumn="0" w:firstRowLastColumn="0" w:lastRowFirstColumn="0" w:lastRowLastColumn="0"/>
          <w:wAfter w:w="1739" w:type="dxa"/>
        </w:trPr>
        <w:tc>
          <w:tcPr>
            <w:cnfStyle w:val="001000000000" w:firstRow="0" w:lastRow="0" w:firstColumn="1" w:lastColumn="0" w:oddVBand="0" w:evenVBand="0" w:oddHBand="0" w:evenHBand="0" w:firstRowFirstColumn="0" w:firstRowLastColumn="0" w:lastRowFirstColumn="0" w:lastRowLastColumn="0"/>
            <w:tcW w:w="1737" w:type="dxa"/>
          </w:tcPr>
          <w:p w:rsidR="004C4A71" w:rsidRPr="00E8337C" w:rsidRDefault="004C4A71" w:rsidP="004C4A71"/>
        </w:tc>
        <w:tc>
          <w:tcPr>
            <w:tcW w:w="1739" w:type="dxa"/>
          </w:tcPr>
          <w:p w:rsidR="004C4A71" w:rsidRPr="004C4A71" w:rsidRDefault="004C4A71" w:rsidP="004C4A71">
            <w:pPr>
              <w:cnfStyle w:val="100000000000" w:firstRow="1" w:lastRow="0" w:firstColumn="0" w:lastColumn="0" w:oddVBand="0" w:evenVBand="0" w:oddHBand="0" w:evenHBand="0" w:firstRowFirstColumn="0" w:firstRowLastColumn="0" w:lastRowFirstColumn="0" w:lastRowLastColumn="0"/>
            </w:pPr>
            <w:r w:rsidRPr="00E8337C">
              <w:t>2016–17</w:t>
            </w:r>
          </w:p>
        </w:tc>
        <w:tc>
          <w:tcPr>
            <w:tcW w:w="1739" w:type="dxa"/>
          </w:tcPr>
          <w:p w:rsidR="004C4A71" w:rsidRPr="004C4A71" w:rsidRDefault="004C4A71" w:rsidP="004C4A71">
            <w:pPr>
              <w:cnfStyle w:val="100000000000" w:firstRow="1" w:lastRow="0" w:firstColumn="0" w:lastColumn="0" w:oddVBand="0" w:evenVBand="0" w:oddHBand="0" w:evenHBand="0" w:firstRowFirstColumn="0" w:firstRowLastColumn="0" w:lastRowFirstColumn="0" w:lastRowLastColumn="0"/>
            </w:pPr>
            <w:r w:rsidRPr="00E8337C">
              <w:t>2017–18</w:t>
            </w:r>
          </w:p>
        </w:tc>
        <w:tc>
          <w:tcPr>
            <w:tcW w:w="1739" w:type="dxa"/>
          </w:tcPr>
          <w:p w:rsidR="004C4A71" w:rsidRPr="004C4A71" w:rsidRDefault="004C4A71" w:rsidP="004C4A71">
            <w:pPr>
              <w:cnfStyle w:val="100000000000" w:firstRow="1" w:lastRow="0" w:firstColumn="0" w:lastColumn="0" w:oddVBand="0" w:evenVBand="0" w:oddHBand="0" w:evenHBand="0" w:firstRowFirstColumn="0" w:firstRowLastColumn="0" w:lastRowFirstColumn="0" w:lastRowLastColumn="0"/>
            </w:pPr>
            <w:r w:rsidRPr="00E8337C">
              <w:t>2018–19</w:t>
            </w:r>
          </w:p>
        </w:tc>
        <w:tc>
          <w:tcPr>
            <w:tcW w:w="1739" w:type="dxa"/>
          </w:tcPr>
          <w:p w:rsidR="004C4A71" w:rsidRPr="004C4A71" w:rsidRDefault="004C4A71" w:rsidP="004C4A71">
            <w:pPr>
              <w:cnfStyle w:val="100000000000" w:firstRow="1" w:lastRow="0" w:firstColumn="0" w:lastColumn="0" w:oddVBand="0" w:evenVBand="0" w:oddHBand="0" w:evenHBand="0" w:firstRowFirstColumn="0" w:firstRowLastColumn="0" w:lastRowFirstColumn="0" w:lastRowLastColumn="0"/>
            </w:pPr>
            <w:r w:rsidRPr="00E8337C">
              <w:t>2019–20</w:t>
            </w:r>
          </w:p>
        </w:tc>
      </w:tr>
      <w:tr w:rsidR="004C4A71" w:rsidRPr="003A5DE5" w:rsidTr="003B1DE0">
        <w:tc>
          <w:tcPr>
            <w:cnfStyle w:val="001000000000" w:firstRow="0" w:lastRow="0" w:firstColumn="1" w:lastColumn="0" w:oddVBand="0" w:evenVBand="0" w:oddHBand="0" w:evenHBand="0" w:firstRowFirstColumn="0" w:firstRowLastColumn="0" w:lastRowFirstColumn="0" w:lastRowLastColumn="0"/>
            <w:tcW w:w="1737" w:type="dxa"/>
          </w:tcPr>
          <w:p w:rsidR="004C4A71" w:rsidRPr="004C4A71" w:rsidRDefault="004C4A71" w:rsidP="004C4A71">
            <w:r w:rsidRPr="00E8337C">
              <w:t>X factor</w:t>
            </w:r>
          </w:p>
        </w:tc>
        <w:tc>
          <w:tcPr>
            <w:tcW w:w="1739" w:type="dxa"/>
            <w:vAlign w:val="bottom"/>
          </w:tcPr>
          <w:p w:rsidR="004C4A71" w:rsidRPr="004C4A71" w:rsidRDefault="004C4A71" w:rsidP="004C4A71">
            <w:pPr>
              <w:cnfStyle w:val="000000000000" w:firstRow="0" w:lastRow="0" w:firstColumn="0" w:lastColumn="0" w:oddVBand="0" w:evenVBand="0" w:oddHBand="0" w:evenHBand="0" w:firstRowFirstColumn="0" w:firstRowLastColumn="0" w:lastRowFirstColumn="0" w:lastRowLastColumn="0"/>
            </w:pPr>
            <w:r>
              <w:t>-4.52</w:t>
            </w:r>
          </w:p>
        </w:tc>
        <w:tc>
          <w:tcPr>
            <w:tcW w:w="1739" w:type="dxa"/>
            <w:vAlign w:val="top"/>
          </w:tcPr>
          <w:p w:rsidR="004C4A71" w:rsidRDefault="004C4A71">
            <w:pPr>
              <w:cnfStyle w:val="000000000000" w:firstRow="0" w:lastRow="0" w:firstColumn="0" w:lastColumn="0" w:oddVBand="0" w:evenVBand="0" w:oddHBand="0" w:evenHBand="0" w:firstRowFirstColumn="0" w:firstRowLastColumn="0" w:lastRowFirstColumn="0" w:lastRowLastColumn="0"/>
            </w:pPr>
            <w:r w:rsidRPr="00640990">
              <w:t>-4.52</w:t>
            </w:r>
          </w:p>
        </w:tc>
        <w:tc>
          <w:tcPr>
            <w:tcW w:w="1739" w:type="dxa"/>
            <w:vAlign w:val="top"/>
          </w:tcPr>
          <w:p w:rsidR="004C4A71" w:rsidRDefault="004C4A71">
            <w:pPr>
              <w:cnfStyle w:val="000000000000" w:firstRow="0" w:lastRow="0" w:firstColumn="0" w:lastColumn="0" w:oddVBand="0" w:evenVBand="0" w:oddHBand="0" w:evenHBand="0" w:firstRowFirstColumn="0" w:firstRowLastColumn="0" w:lastRowFirstColumn="0" w:lastRowLastColumn="0"/>
            </w:pPr>
            <w:r w:rsidRPr="00640990">
              <w:t>-4.52</w:t>
            </w:r>
          </w:p>
        </w:tc>
        <w:tc>
          <w:tcPr>
            <w:tcW w:w="1739" w:type="dxa"/>
            <w:vAlign w:val="top"/>
          </w:tcPr>
          <w:p w:rsidR="004C4A71" w:rsidRDefault="004C4A71">
            <w:pPr>
              <w:cnfStyle w:val="000000000000" w:firstRow="0" w:lastRow="0" w:firstColumn="0" w:lastColumn="0" w:oddVBand="0" w:evenVBand="0" w:oddHBand="0" w:evenHBand="0" w:firstRowFirstColumn="0" w:firstRowLastColumn="0" w:lastRowFirstColumn="0" w:lastRowLastColumn="0"/>
            </w:pPr>
            <w:r w:rsidRPr="00640990">
              <w:t>-4.52</w:t>
            </w:r>
          </w:p>
        </w:tc>
        <w:tc>
          <w:tcPr>
            <w:tcW w:w="1739" w:type="dxa"/>
            <w:vAlign w:val="bottom"/>
          </w:tcPr>
          <w:p w:rsidR="004C4A71" w:rsidRPr="003A5DE5" w:rsidRDefault="004C4A71" w:rsidP="004C4A71">
            <w:pPr>
              <w:cnfStyle w:val="000000000000" w:firstRow="0" w:lastRow="0" w:firstColumn="0" w:lastColumn="0" w:oddVBand="0" w:evenVBand="0" w:oddHBand="0" w:evenHBand="0" w:firstRowFirstColumn="0" w:firstRowLastColumn="0" w:lastRowFirstColumn="0" w:lastRowLastColumn="0"/>
            </w:pPr>
          </w:p>
        </w:tc>
      </w:tr>
    </w:tbl>
    <w:p w:rsidR="004C4A71" w:rsidRPr="00E8337C" w:rsidRDefault="004C4A71" w:rsidP="004C4A71">
      <w:pPr>
        <w:pStyle w:val="AERtablesource"/>
      </w:pPr>
      <w:r w:rsidRPr="00E8337C">
        <w:t>Source:</w:t>
      </w:r>
      <w:r w:rsidRPr="00E8337C">
        <w:tab/>
        <w:t>AER analysis</w:t>
      </w:r>
      <w:r w:rsidR="00BC709D">
        <w:t>.</w:t>
      </w:r>
    </w:p>
    <w:p w:rsidR="00891FDC" w:rsidRDefault="00BC51BE" w:rsidP="00891FDC">
      <m:oMath>
        <m:sSubSup>
          <m:sSubSupPr>
            <m:ctrlPr>
              <w:rPr>
                <w:rFonts w:ascii="Cambria Math" w:hAnsi="Cambria Math"/>
              </w:rPr>
            </m:ctrlPr>
          </m:sSubSupPr>
          <m:e>
            <m:r>
              <w:rPr>
                <w:rFonts w:ascii="Cambria Math" w:hAnsi="Cambria Math"/>
              </w:rPr>
              <m:t>A</m:t>
            </m:r>
            <m:ctrlPr>
              <w:rPr>
                <w:rFonts w:ascii="Cambria Math" w:hAnsi="Cambria Math"/>
                <w:i/>
              </w:rPr>
            </m:ctrlPr>
          </m:e>
          <m:sub>
            <m:r>
              <w:rPr>
                <w:rFonts w:ascii="Cambria Math" w:hAnsi="Cambria Math"/>
              </w:rPr>
              <m:t>t</m:t>
            </m:r>
          </m:sub>
          <m:sup>
            <m:r>
              <w:rPr>
                <w:rFonts w:ascii="Cambria Math" w:hAnsi="Cambria Math"/>
              </w:rPr>
              <m:t>i</m:t>
            </m:r>
          </m:sup>
        </m:sSubSup>
      </m:oMath>
      <w:r w:rsidR="00891FDC" w:rsidRPr="002D3A76">
        <w:t xml:space="preserve"> </w:t>
      </w:r>
      <w:r w:rsidR="00891FDC" w:rsidRPr="002D3A76">
        <w:tab/>
      </w:r>
      <w:proofErr w:type="gramStart"/>
      <w:r w:rsidR="00891FDC" w:rsidRPr="002D3A76">
        <w:t>is</w:t>
      </w:r>
      <w:proofErr w:type="gramEnd"/>
      <w:r w:rsidR="00891FDC" w:rsidRPr="002D3A76">
        <w:t xml:space="preserve"> an adjustment factor for residual charges when customers choose to replace assets before the end of their economic life.</w:t>
      </w:r>
    </w:p>
    <w:p w:rsidR="00BC709D" w:rsidRPr="00701BC1" w:rsidRDefault="00BC709D" w:rsidP="00891FDC"/>
    <w:p w:rsidR="00FE47E1" w:rsidRDefault="00701BC1" w:rsidP="00FE47E1">
      <w:pPr>
        <w:pStyle w:val="Heading2"/>
      </w:pPr>
      <w:r w:rsidRPr="00701BC1">
        <w:lastRenderedPageBreak/>
        <w:t xml:space="preserve"> </w:t>
      </w:r>
      <w:bookmarkStart w:id="23" w:name="_Toc433365989"/>
      <w:r w:rsidR="00FE47E1">
        <w:t>Ancillary network services</w:t>
      </w:r>
      <w:bookmarkEnd w:id="23"/>
    </w:p>
    <w:p w:rsidR="00F0058A" w:rsidRDefault="00960F60" w:rsidP="00346D76">
      <w:r>
        <w:t>Our</w:t>
      </w:r>
      <w:r w:rsidR="00F0058A" w:rsidRPr="00432A9F">
        <w:t xml:space="preserve"> </w:t>
      </w:r>
      <w:r w:rsidR="00D35D6E">
        <w:t>final</w:t>
      </w:r>
      <w:r w:rsidR="00F0058A" w:rsidRPr="00432A9F">
        <w:t xml:space="preserve"> decision refer</w:t>
      </w:r>
      <w:r>
        <w:t>s</w:t>
      </w:r>
      <w:r w:rsidR="00F0058A" w:rsidRPr="00432A9F">
        <w:t xml:space="preserve"> to the service groups identified as 'fee based services' and 'quoted services' collectively as 'ancillary network services'.</w:t>
      </w:r>
      <w:r w:rsidR="00D35D6E">
        <w:t xml:space="preserve"> This</w:t>
      </w:r>
      <w:r w:rsidR="00491863">
        <w:t xml:space="preserve"> approach</w:t>
      </w:r>
      <w:r w:rsidR="00D35D6E">
        <w:t xml:space="preserve"> is consistent with our final </w:t>
      </w:r>
      <w:r w:rsidR="000B1D0E">
        <w:t>F&amp;A</w:t>
      </w:r>
      <w:r w:rsidR="009D643F">
        <w:t xml:space="preserve"> </w:t>
      </w:r>
      <w:r w:rsidR="00346D76">
        <w:t>and</w:t>
      </w:r>
      <w:r w:rsidR="00491863">
        <w:t xml:space="preserve"> how these services are referred to in</w:t>
      </w:r>
      <w:r w:rsidR="00346D76">
        <w:t xml:space="preserve"> other jurisdictions</w:t>
      </w:r>
      <w:r w:rsidR="00D35D6E">
        <w:t>.</w:t>
      </w:r>
      <w:r w:rsidR="001E29C6">
        <w:rPr>
          <w:rStyle w:val="FootnoteReference"/>
        </w:rPr>
        <w:footnoteReference w:id="2"/>
      </w:r>
    </w:p>
    <w:p w:rsidR="006E3BD1" w:rsidRDefault="00F0058A" w:rsidP="00081626">
      <w:r w:rsidRPr="00E40DD1">
        <w:t>Ancillary network services share the common characteristic of being non-routine services provided to individual customers on an as requested </w:t>
      </w:r>
      <w:r>
        <w:t>basis.</w:t>
      </w:r>
      <w:r w:rsidRPr="00E40DD1">
        <w:rPr>
          <w:rStyle w:val="FootnoteReference"/>
        </w:rPr>
        <w:footnoteReference w:id="3"/>
      </w:r>
      <w:r w:rsidR="00D35D6E">
        <w:t xml:space="preserve"> </w:t>
      </w:r>
      <w:r w:rsidR="00051509" w:rsidRPr="00051509">
        <w:t xml:space="preserve">The </w:t>
      </w:r>
      <w:r w:rsidR="00051509" w:rsidRPr="00081626">
        <w:t>exi</w:t>
      </w:r>
      <w:r w:rsidR="00051509" w:rsidRPr="0091425D">
        <w:t>sting</w:t>
      </w:r>
      <w:r w:rsidR="00081626">
        <w:t xml:space="preserve"> </w:t>
      </w:r>
      <w:r w:rsidR="00051509" w:rsidRPr="00566F6B">
        <w:t>fee based services</w:t>
      </w:r>
      <w:r w:rsidR="00051509" w:rsidRPr="00081626">
        <w:t xml:space="preserve"> and </w:t>
      </w:r>
      <w:r w:rsidR="00051509" w:rsidRPr="00566F6B">
        <w:t xml:space="preserve">quoted </w:t>
      </w:r>
      <w:r w:rsidR="00051509" w:rsidRPr="00081626">
        <w:t>services groupings</w:t>
      </w:r>
      <w:r w:rsidR="00051509" w:rsidRPr="00122D97">
        <w:t xml:space="preserve"> describe the basis on which service prices are determined.</w:t>
      </w:r>
    </w:p>
    <w:p w:rsidR="006E3BD1" w:rsidRDefault="00051509" w:rsidP="00081626">
      <w:r w:rsidRPr="00122D97">
        <w:t>Prices for</w:t>
      </w:r>
      <w:r w:rsidR="00960F60" w:rsidRPr="00122D97">
        <w:t xml:space="preserve"> fee based services</w:t>
      </w:r>
      <w:r w:rsidR="00960F60">
        <w:t xml:space="preserve"> are predetermined, based on the cost of providing the service and the average time taken to perform it.</w:t>
      </w:r>
      <w:r w:rsidR="00122D97">
        <w:t xml:space="preserve"> </w:t>
      </w:r>
      <w:r w:rsidR="00122D97" w:rsidRPr="00122D97">
        <w:t>These services tend to be homogeneous in nature and scope, and can be costed in advance of supply with reasonable certainty.</w:t>
      </w:r>
    </w:p>
    <w:p w:rsidR="00D35D6E" w:rsidRDefault="00122D97" w:rsidP="00081626">
      <w:r>
        <w:t>By comparison</w:t>
      </w:r>
      <w:r w:rsidRPr="00122D97">
        <w:t>,</w:t>
      </w:r>
      <w:r w:rsidR="00051509" w:rsidRPr="00122D97">
        <w:t xml:space="preserve"> </w:t>
      </w:r>
      <w:r w:rsidR="006D5F88">
        <w:t xml:space="preserve">prices for </w:t>
      </w:r>
      <w:r w:rsidR="00051509" w:rsidRPr="00122D97">
        <w:t>quoted services are</w:t>
      </w:r>
      <w:r w:rsidR="00051509">
        <w:t xml:space="preserve"> based on quantities of labour and materials, with the quantities dependent on a particular task.</w:t>
      </w:r>
      <w:r w:rsidR="00910E55">
        <w:rPr>
          <w:rStyle w:val="FootnoteReference"/>
        </w:rPr>
        <w:footnoteReference w:id="4"/>
      </w:r>
      <w:r w:rsidR="00493997">
        <w:t xml:space="preserve"> Prices </w:t>
      </w:r>
      <w:r w:rsidR="00493997" w:rsidRPr="00122D97">
        <w:t>for quoted services are determined</w:t>
      </w:r>
      <w:r w:rsidR="00493997">
        <w:t xml:space="preserve"> at the time of a customer's enquiry and reflect the individual requirements of the customer and service requested. It is not possible to list</w:t>
      </w:r>
      <w:r w:rsidR="00AD433E">
        <w:t xml:space="preserve"> </w:t>
      </w:r>
      <w:r w:rsidR="00493997">
        <w:t>prices for quoted services in this decision (any such list would only be illustrative purposes).</w:t>
      </w:r>
    </w:p>
    <w:p w:rsidR="00FE47E1" w:rsidRDefault="00FE47E1" w:rsidP="00FE47E1">
      <w:pPr>
        <w:pStyle w:val="Heading3"/>
      </w:pPr>
      <w:bookmarkStart w:id="24" w:name="_Ref433094300"/>
      <w:bookmarkStart w:id="25" w:name="_Toc433365990"/>
      <w:r>
        <w:t>Final decision</w:t>
      </w:r>
      <w:bookmarkEnd w:id="24"/>
      <w:bookmarkEnd w:id="25"/>
    </w:p>
    <w:p w:rsidR="0055014C" w:rsidRDefault="0002238E" w:rsidP="00BE5446">
      <w:r w:rsidRPr="00606819">
        <w:t xml:space="preserve">We </w:t>
      </w:r>
      <w:r w:rsidR="004E079A">
        <w:t xml:space="preserve">generally </w:t>
      </w:r>
      <w:r w:rsidR="00F40280">
        <w:t>accept</w:t>
      </w:r>
      <w:r w:rsidR="00F40280" w:rsidRPr="00606819">
        <w:t xml:space="preserve"> </w:t>
      </w:r>
      <w:r w:rsidRPr="00606819">
        <w:t>Ergon Energy’s</w:t>
      </w:r>
      <w:r w:rsidR="00F40280">
        <w:t xml:space="preserve"> revised proposal</w:t>
      </w:r>
      <w:r w:rsidR="002C56AE">
        <w:t xml:space="preserve"> </w:t>
      </w:r>
      <w:r w:rsidR="007C3258">
        <w:t>regarding</w:t>
      </w:r>
      <w:r w:rsidRPr="00606819">
        <w:t xml:space="preserve"> ancillary network services.</w:t>
      </w:r>
      <w:r w:rsidR="004E079A">
        <w:t xml:space="preserve"> </w:t>
      </w:r>
      <w:r w:rsidR="00C54397">
        <w:t>However, w</w:t>
      </w:r>
      <w:r w:rsidR="002520E2">
        <w:t xml:space="preserve">e do not accept </w:t>
      </w:r>
      <w:r w:rsidR="0091425D">
        <w:t>its</w:t>
      </w:r>
      <w:r w:rsidR="002520E2">
        <w:t xml:space="preserve"> revised proposal </w:t>
      </w:r>
      <w:r w:rsidR="00D85743">
        <w:t>X factors</w:t>
      </w:r>
      <w:r w:rsidR="00F14F5B">
        <w:t xml:space="preserve"> or </w:t>
      </w:r>
      <w:r w:rsidR="00BE5446">
        <w:t xml:space="preserve">its </w:t>
      </w:r>
      <w:r w:rsidR="00E17029">
        <w:t xml:space="preserve">view </w:t>
      </w:r>
      <w:r w:rsidR="00FD4F4D">
        <w:t>that we</w:t>
      </w:r>
      <w:r w:rsidR="00B94C0D">
        <w:t xml:space="preserve"> </w:t>
      </w:r>
      <w:r w:rsidR="00FD4F4D" w:rsidRPr="00B94C0D">
        <w:t>cease</w:t>
      </w:r>
      <w:r w:rsidR="00FD4F4D">
        <w:t xml:space="preserve"> to collectively refer to </w:t>
      </w:r>
      <w:r w:rsidR="00FD4F4D" w:rsidRPr="00B94C0D">
        <w:t>fee based services and quoted services</w:t>
      </w:r>
      <w:r w:rsidR="00FD4F4D">
        <w:t xml:space="preserve"> as </w:t>
      </w:r>
      <w:r w:rsidR="00B94C0D" w:rsidRPr="00B94C0D">
        <w:t>ancillary network services</w:t>
      </w:r>
      <w:r w:rsidR="00D85743">
        <w:t>.</w:t>
      </w:r>
      <w:r w:rsidR="00BE5446">
        <w:t xml:space="preserve"> Our reasons are set out </w:t>
      </w:r>
      <w:r w:rsidR="00992A68">
        <w:t xml:space="preserve">in section </w:t>
      </w:r>
      <w:r w:rsidR="00992A68">
        <w:fldChar w:fldCharType="begin"/>
      </w:r>
      <w:r w:rsidR="00992A68">
        <w:instrText xml:space="preserve"> REF _Ref428893860 \r \h </w:instrText>
      </w:r>
      <w:r w:rsidR="00992A68">
        <w:fldChar w:fldCharType="separate"/>
      </w:r>
      <w:r w:rsidR="00E01BE0">
        <w:t>16.2.4</w:t>
      </w:r>
      <w:r w:rsidR="00992A68">
        <w:fldChar w:fldCharType="end"/>
      </w:r>
      <w:r w:rsidR="00BE5446">
        <w:t>.</w:t>
      </w:r>
    </w:p>
    <w:p w:rsidR="00A91109" w:rsidRDefault="00C54397" w:rsidP="00C54397">
      <w:r>
        <w:t xml:space="preserve">As per our preliminary decision, we will apply price caps as the </w:t>
      </w:r>
      <w:r w:rsidRPr="00C54397">
        <w:t>forms of control for</w:t>
      </w:r>
      <w:r>
        <w:t xml:space="preserve"> Ergon Energy's</w:t>
      </w:r>
      <w:r w:rsidRPr="00C54397">
        <w:t xml:space="preserve"> ancillary network services.</w:t>
      </w:r>
      <w:r w:rsidRPr="00C54397">
        <w:rPr>
          <w:rStyle w:val="FootnoteReference"/>
        </w:rPr>
        <w:footnoteReference w:id="5"/>
      </w:r>
      <w:r>
        <w:t xml:space="preserve"> </w:t>
      </w:r>
      <w:r w:rsidR="006A526D">
        <w:t xml:space="preserve">We have </w:t>
      </w:r>
      <w:r w:rsidR="00A91109">
        <w:t xml:space="preserve">amended the </w:t>
      </w:r>
      <w:r w:rsidR="00A91109" w:rsidRPr="00A91109">
        <w:t>price cap formula</w:t>
      </w:r>
      <w:r w:rsidR="0091425D">
        <w:t>e</w:t>
      </w:r>
      <w:r w:rsidR="00A91109" w:rsidRPr="00A91109">
        <w:t xml:space="preserve"> descriptions</w:t>
      </w:r>
      <w:r w:rsidR="006E3BD1">
        <w:t xml:space="preserve"> to be </w:t>
      </w:r>
      <w:r w:rsidR="00A91109">
        <w:t xml:space="preserve">consistent with those in Ergon Energy's </w:t>
      </w:r>
      <w:r w:rsidR="006E3BD1">
        <w:t>revised proposal.</w:t>
      </w:r>
      <w:r w:rsidR="006E3BD1">
        <w:rPr>
          <w:rStyle w:val="FootnoteReference"/>
        </w:rPr>
        <w:footnoteReference w:id="6"/>
      </w:r>
    </w:p>
    <w:p w:rsidR="0091425D" w:rsidRDefault="0091425D" w:rsidP="0091425D">
      <w:r>
        <w:lastRenderedPageBreak/>
        <w:t>We also accept</w:t>
      </w:r>
      <w:r w:rsidR="00DC074E">
        <w:t xml:space="preserve"> Ergon Energy's proposed</w:t>
      </w:r>
      <w:r>
        <w:t xml:space="preserve"> </w:t>
      </w:r>
      <w:r w:rsidR="00DC074E">
        <w:t>upfront capital charges and</w:t>
      </w:r>
      <w:r>
        <w:t xml:space="preserve"> </w:t>
      </w:r>
      <w:r w:rsidR="00DC074E">
        <w:t xml:space="preserve">a proposed </w:t>
      </w:r>
      <w:r>
        <w:t>quoted service for the installation and provision of type 5 and 6 meters.</w:t>
      </w:r>
      <w:r>
        <w:rPr>
          <w:rStyle w:val="FootnoteReference"/>
        </w:rPr>
        <w:footnoteReference w:id="7"/>
      </w:r>
    </w:p>
    <w:p w:rsidR="0091425D" w:rsidRDefault="0091425D" w:rsidP="00C54397">
      <w:r>
        <w:t>Our</w:t>
      </w:r>
      <w:r w:rsidRPr="002A3E72">
        <w:t xml:space="preserve"> final decision </w:t>
      </w:r>
      <w:r>
        <w:t>price cap formulae</w:t>
      </w:r>
      <w:r w:rsidRPr="002A3E72">
        <w:t xml:space="preserve"> for fee based services and quoted services</w:t>
      </w:r>
      <w:r>
        <w:t xml:space="preserve"> are set out in </w:t>
      </w:r>
      <w:r>
        <w:fldChar w:fldCharType="begin"/>
      </w:r>
      <w:r>
        <w:instrText xml:space="preserve"> REF  _Ref416342037 \* Lower \h </w:instrText>
      </w:r>
      <w:r>
        <w:fldChar w:fldCharType="separate"/>
      </w:r>
      <w:r w:rsidR="00E01BE0" w:rsidRPr="002D3A76">
        <w:t xml:space="preserve">figure </w:t>
      </w:r>
      <w:r w:rsidR="00E01BE0">
        <w:rPr>
          <w:noProof/>
        </w:rPr>
        <w:t>2</w:t>
      </w:r>
      <w:r>
        <w:fldChar w:fldCharType="end"/>
      </w:r>
      <w:r w:rsidRPr="002A3E72">
        <w:t xml:space="preserve"> and </w:t>
      </w:r>
      <w:r w:rsidRPr="002A3E72">
        <w:fldChar w:fldCharType="begin"/>
      </w:r>
      <w:r w:rsidRPr="002A3E72">
        <w:instrText xml:space="preserve"> REF  _Ref416342050 \* Lower \h </w:instrText>
      </w:r>
      <w:r w:rsidRPr="002A3E72">
        <w:fldChar w:fldCharType="separate"/>
      </w:r>
      <w:r w:rsidR="00E01BE0" w:rsidRPr="002D3A76">
        <w:t xml:space="preserve">figure </w:t>
      </w:r>
      <w:r w:rsidR="00E01BE0">
        <w:rPr>
          <w:noProof/>
        </w:rPr>
        <w:t>3</w:t>
      </w:r>
      <w:r w:rsidRPr="002A3E72">
        <w:fldChar w:fldCharType="end"/>
      </w:r>
      <w:r w:rsidRPr="002A3E72">
        <w:t xml:space="preserve"> </w:t>
      </w:r>
      <w:r>
        <w:t>respectively</w:t>
      </w:r>
      <w:r w:rsidRPr="002A3E72">
        <w:t>.</w:t>
      </w:r>
      <w:r>
        <w:t xml:space="preserve"> Ergon Energy's 2016–17 ancillary network service prices will be determined by the prices we approved for 2015–16 and the application of these formulae. Our</w:t>
      </w:r>
      <w:r w:rsidR="00992A68">
        <w:t xml:space="preserve"> final decision</w:t>
      </w:r>
      <w:r>
        <w:t xml:space="preserve"> 2015–16 approved prices for Ergon Energy's</w:t>
      </w:r>
      <w:r w:rsidRPr="0091425D">
        <w:t xml:space="preserve"> </w:t>
      </w:r>
      <w:r>
        <w:t>ancillary network services prices</w:t>
      </w:r>
      <w:r w:rsidR="000F20B3">
        <w:t xml:space="preserve"> </w:t>
      </w:r>
      <w:r>
        <w:t>are set out in a</w:t>
      </w:r>
      <w:r w:rsidRPr="00D5035D">
        <w:t xml:space="preserve">ppendix </w:t>
      </w:r>
      <w:r w:rsidR="000F20B3">
        <w:fldChar w:fldCharType="begin"/>
      </w:r>
      <w:r w:rsidR="000F20B3">
        <w:instrText xml:space="preserve"> REF _Ref432080012 \r \h </w:instrText>
      </w:r>
      <w:r w:rsidR="000F20B3">
        <w:fldChar w:fldCharType="separate"/>
      </w:r>
      <w:r w:rsidR="00E01BE0">
        <w:t>A</w:t>
      </w:r>
      <w:r w:rsidR="000F20B3">
        <w:fldChar w:fldCharType="end"/>
      </w:r>
      <w:r>
        <w:t>.</w:t>
      </w:r>
    </w:p>
    <w:p w:rsidR="002D3A76" w:rsidRPr="002D3A76" w:rsidRDefault="002D3A76" w:rsidP="002D3A76">
      <w:pPr>
        <w:pStyle w:val="HeadingBoldBlue"/>
        <w:numPr>
          <w:ilvl w:val="0"/>
          <w:numId w:val="25"/>
        </w:numPr>
      </w:pPr>
      <w:bookmarkStart w:id="26" w:name="_Toc416346921"/>
      <w:bookmarkStart w:id="27" w:name="_Toc417992500"/>
      <w:bookmarkStart w:id="28" w:name="_Toc417994606"/>
      <w:bookmarkStart w:id="29" w:name="_Toc433365991"/>
      <w:r w:rsidRPr="002D3A76">
        <w:t>Form of control—fee based services</w:t>
      </w:r>
      <w:bookmarkEnd w:id="26"/>
      <w:bookmarkEnd w:id="27"/>
      <w:bookmarkEnd w:id="28"/>
      <w:bookmarkEnd w:id="29"/>
    </w:p>
    <w:p w:rsidR="002D3A76" w:rsidRPr="002D3A76" w:rsidRDefault="002D3A76" w:rsidP="002D3A76">
      <w:r w:rsidRPr="002D3A76">
        <w:t>Ou</w:t>
      </w:r>
      <w:r w:rsidR="007731DA">
        <w:t>r</w:t>
      </w:r>
      <w:r w:rsidRPr="002D3A76">
        <w:t xml:space="preserve"> </w:t>
      </w:r>
      <w:r w:rsidR="00E25C86">
        <w:t>final</w:t>
      </w:r>
      <w:r w:rsidRPr="002D3A76">
        <w:t xml:space="preserve"> decision appl</w:t>
      </w:r>
      <w:r w:rsidR="007731DA">
        <w:t>ies</w:t>
      </w:r>
      <w:r w:rsidRPr="002D3A76">
        <w:t xml:space="preserve"> a price cap form of control </w:t>
      </w:r>
      <w:r w:rsidR="009118A8">
        <w:t>for</w:t>
      </w:r>
      <w:r w:rsidRPr="002D3A76">
        <w:t xml:space="preserve"> fee based services.</w:t>
      </w:r>
      <w:r w:rsidRPr="002D3A76">
        <w:rPr>
          <w:rStyle w:val="FootnoteReference"/>
        </w:rPr>
        <w:footnoteReference w:id="8"/>
      </w:r>
      <w:r w:rsidRPr="002D3A76">
        <w:t xml:space="preserve"> Under this form of control, </w:t>
      </w:r>
      <w:r w:rsidR="00E56083">
        <w:t xml:space="preserve">we approved </w:t>
      </w:r>
      <w:r w:rsidRPr="002D3A76">
        <w:t>a schedule of prices</w:t>
      </w:r>
      <w:r w:rsidR="002520E2">
        <w:t xml:space="preserve"> for 2015–16</w:t>
      </w:r>
      <w:r w:rsidR="00E56083">
        <w:t xml:space="preserve"> which are </w:t>
      </w:r>
      <w:r w:rsidRPr="002D3A76">
        <w:t xml:space="preserve">set </w:t>
      </w:r>
      <w:r w:rsidR="00E56083">
        <w:t xml:space="preserve">out in </w:t>
      </w:r>
      <w:r w:rsidR="0091425D">
        <w:fldChar w:fldCharType="begin"/>
      </w:r>
      <w:r w:rsidR="0091425D">
        <w:instrText xml:space="preserve"> REF  _Ref429746087 \* Lower \h </w:instrText>
      </w:r>
      <w:r w:rsidR="0091425D">
        <w:fldChar w:fldCharType="separate"/>
      </w:r>
      <w:r w:rsidR="00E01BE0">
        <w:t xml:space="preserve">table </w:t>
      </w:r>
      <w:r w:rsidR="00E01BE0">
        <w:rPr>
          <w:noProof/>
        </w:rPr>
        <w:t>16</w:t>
      </w:r>
      <w:r w:rsidR="00E01BE0">
        <w:t>.</w:t>
      </w:r>
      <w:r w:rsidR="00E01BE0">
        <w:rPr>
          <w:noProof/>
        </w:rPr>
        <w:t>16</w:t>
      </w:r>
      <w:r w:rsidR="0091425D">
        <w:fldChar w:fldCharType="end"/>
      </w:r>
      <w:r w:rsidR="0091425D">
        <w:t xml:space="preserve"> </w:t>
      </w:r>
      <w:r w:rsidR="00E56083">
        <w:t>of appendix</w:t>
      </w:r>
      <w:r w:rsidR="00566F6B">
        <w:t xml:space="preserve"> </w:t>
      </w:r>
      <w:r w:rsidR="006F0235">
        <w:fldChar w:fldCharType="begin"/>
      </w:r>
      <w:r w:rsidR="006F0235">
        <w:instrText xml:space="preserve"> REF _Ref432084839 \r \h </w:instrText>
      </w:r>
      <w:r w:rsidR="006F0235">
        <w:fldChar w:fldCharType="separate"/>
      </w:r>
      <w:r w:rsidR="00E01BE0">
        <w:t>A</w:t>
      </w:r>
      <w:r w:rsidR="006F0235">
        <w:fldChar w:fldCharType="end"/>
      </w:r>
      <w:r w:rsidR="00E56083">
        <w:t xml:space="preserve">. </w:t>
      </w:r>
      <w:r w:rsidR="00761FDB">
        <w:t xml:space="preserve">From </w:t>
      </w:r>
      <w:r w:rsidR="00E56083">
        <w:t>2016–17 and f</w:t>
      </w:r>
      <w:r w:rsidRPr="002D3A76">
        <w:t xml:space="preserve">or each </w:t>
      </w:r>
      <w:r w:rsidR="00CA7926">
        <w:t>subsequent</w:t>
      </w:r>
      <w:r w:rsidRPr="002D3A76">
        <w:t xml:space="preserve"> year</w:t>
      </w:r>
      <w:r w:rsidR="00761FDB">
        <w:t xml:space="preserve"> of the 2015–20 regulatory control </w:t>
      </w:r>
      <w:proofErr w:type="gramStart"/>
      <w:r w:rsidR="00761FDB">
        <w:t>period</w:t>
      </w:r>
      <w:proofErr w:type="gramEnd"/>
      <w:r w:rsidRPr="002D3A76">
        <w:t xml:space="preserve">, </w:t>
      </w:r>
      <w:r w:rsidR="00761FDB">
        <w:t>the year t price</w:t>
      </w:r>
      <w:r w:rsidR="0091425D">
        <w:t>s are</w:t>
      </w:r>
      <w:r w:rsidR="00761FDB">
        <w:t xml:space="preserve"> determined by adjusting </w:t>
      </w:r>
      <w:r w:rsidRPr="002D3A76">
        <w:t xml:space="preserve">the previous year’s prices by </w:t>
      </w:r>
      <w:r w:rsidR="00E56083">
        <w:t xml:space="preserve">the formula in </w:t>
      </w:r>
      <w:r w:rsidR="00E56083">
        <w:fldChar w:fldCharType="begin"/>
      </w:r>
      <w:r w:rsidR="00E56083">
        <w:instrText xml:space="preserve"> REF  _Ref416342037 \* Lower \h </w:instrText>
      </w:r>
      <w:r w:rsidR="00E56083">
        <w:fldChar w:fldCharType="separate"/>
      </w:r>
      <w:r w:rsidR="00E01BE0" w:rsidRPr="002D3A76">
        <w:t xml:space="preserve">figure </w:t>
      </w:r>
      <w:r w:rsidR="00BC709D">
        <w:t>16.</w:t>
      </w:r>
      <w:r w:rsidR="00E01BE0">
        <w:rPr>
          <w:noProof/>
        </w:rPr>
        <w:t>2</w:t>
      </w:r>
      <w:r w:rsidR="00E56083">
        <w:fldChar w:fldCharType="end"/>
      </w:r>
      <w:r w:rsidRPr="002D3A76">
        <w:t>.</w:t>
      </w:r>
    </w:p>
    <w:p w:rsidR="002D3A76" w:rsidRPr="002D3A76" w:rsidRDefault="002D3A76" w:rsidP="002D3A76">
      <w:pPr>
        <w:pStyle w:val="Caption"/>
      </w:pPr>
      <w:bookmarkStart w:id="30" w:name="_Ref416342037"/>
      <w:proofErr w:type="gramStart"/>
      <w:r w:rsidRPr="002D3A76">
        <w:t xml:space="preserve">Figure </w:t>
      </w:r>
      <w:proofErr w:type="gramEnd"/>
      <w:r w:rsidR="00952838">
        <w:fldChar w:fldCharType="begin"/>
      </w:r>
      <w:r w:rsidR="00952838">
        <w:instrText xml:space="preserve"> STYLEREF 1 \s </w:instrText>
      </w:r>
      <w:r w:rsidR="00952838">
        <w:fldChar w:fldCharType="separate"/>
      </w:r>
      <w:r w:rsidR="00F91916">
        <w:rPr>
          <w:noProof/>
        </w:rPr>
        <w:t>16</w:t>
      </w:r>
      <w:r w:rsidR="00952838">
        <w:rPr>
          <w:noProof/>
        </w:rPr>
        <w:fldChar w:fldCharType="end"/>
      </w:r>
      <w:proofErr w:type="gramStart"/>
      <w:r w:rsidR="00F91916">
        <w:t>.</w:t>
      </w:r>
      <w:proofErr w:type="gramEnd"/>
      <w:r w:rsidR="00F91916">
        <w:fldChar w:fldCharType="begin"/>
      </w:r>
      <w:r w:rsidR="00F91916">
        <w:instrText xml:space="preserve"> SEQ Figure \* ARABIC \s 1 </w:instrText>
      </w:r>
      <w:r w:rsidR="00F91916">
        <w:fldChar w:fldCharType="separate"/>
      </w:r>
      <w:r w:rsidR="00F91916">
        <w:rPr>
          <w:noProof/>
        </w:rPr>
        <w:t>2</w:t>
      </w:r>
      <w:r w:rsidR="00F91916">
        <w:fldChar w:fldCharType="end"/>
      </w:r>
      <w:bookmarkEnd w:id="30"/>
      <w:r w:rsidRPr="002D3A76">
        <w:tab/>
        <w:t>Fee based ancillary network services formula</w:t>
      </w:r>
    </w:p>
    <w:p w:rsidR="002D3A76" w:rsidRPr="002D3A76" w:rsidRDefault="00BC51BE" w:rsidP="002D3A76">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t</m:t>
            </m:r>
          </m:sub>
          <m:sup>
            <m:r>
              <w:rPr>
                <w:rFonts w:ascii="Cambria Math" w:hAnsi="Cambria Math"/>
              </w:rPr>
              <m:t>i</m:t>
            </m:r>
          </m:sup>
        </m:sSubSup>
      </m:oMath>
    </w:p>
    <w:p w:rsidR="002D3A76" w:rsidRDefault="00A91109" w:rsidP="002D3A76">
      <w:pPr>
        <w:numPr>
          <w:ilvl w:val="0"/>
          <w:numId w:val="25"/>
        </w:numPr>
      </w:pPr>
      <w:r>
        <w:t>w</w:t>
      </w:r>
      <w:r w:rsidR="002D3A76" w:rsidRPr="002D3A76">
        <w:t>here:</w:t>
      </w:r>
    </w:p>
    <w:p w:rsidR="00B426DC" w:rsidRPr="002D3A76" w:rsidRDefault="00BC51BE" w:rsidP="00B426DC">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00B426DC" w:rsidRPr="002D3A76">
        <w:t xml:space="preserve"> </w:t>
      </w:r>
      <w:r w:rsidR="00B426DC" w:rsidRPr="002D3A76">
        <w:tab/>
      </w:r>
      <w:r w:rsidR="00B426DC" w:rsidRPr="002D3A76">
        <w:tab/>
      </w:r>
      <w:proofErr w:type="gramStart"/>
      <w:r w:rsidR="00B426DC" w:rsidRPr="002D3A76">
        <w:t>is</w:t>
      </w:r>
      <w:proofErr w:type="gramEnd"/>
      <w:r w:rsidR="00B426DC" w:rsidRPr="002D3A76">
        <w:t xml:space="preserve"> the cap on the price of service i in year t.</w:t>
      </w:r>
    </w:p>
    <w:p w:rsidR="002D3A76" w:rsidRPr="002D3A76" w:rsidRDefault="00BC51BE" w:rsidP="002D3A76">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oMath>
      <w:r w:rsidR="002D3A76" w:rsidRPr="002D3A76">
        <w:t xml:space="preserve"> </w:t>
      </w:r>
      <w:r w:rsidR="002D3A76" w:rsidRPr="002D3A76">
        <w:tab/>
      </w:r>
      <w:proofErr w:type="gramStart"/>
      <w:r w:rsidR="002D3A76" w:rsidRPr="002D3A76">
        <w:t>is</w:t>
      </w:r>
      <w:proofErr w:type="gramEnd"/>
      <w:r w:rsidR="002D3A76" w:rsidRPr="002D3A76">
        <w:t xml:space="preserve"> the cap on the price of service i in year t–1</w:t>
      </w:r>
      <w:r w:rsidR="000F20B3">
        <w:t>.</w:t>
      </w:r>
    </w:p>
    <w:p w:rsidR="00DD33EF" w:rsidRDefault="002D3A76" w:rsidP="002D3A76">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2D3A76">
        <w:t xml:space="preserve"> </w:t>
      </w:r>
      <w:r w:rsidRPr="002D3A76">
        <w:tab/>
      </w:r>
      <w:proofErr w:type="gramStart"/>
      <w:r w:rsidRPr="002D3A76">
        <w:t>is</w:t>
      </w:r>
      <w:proofErr w:type="gramEnd"/>
      <w:r w:rsidRPr="002D3A76">
        <w:t xml:space="preserve"> the annual percentage change in the ABS CPI All Groups, Weighted Average of Eight Capital Cities</w:t>
      </w:r>
      <w:r w:rsidR="00DD33EF">
        <w:rPr>
          <w:rStyle w:val="FootnoteReference"/>
        </w:rPr>
        <w:footnoteReference w:id="9"/>
      </w:r>
      <w:r w:rsidRPr="002D3A76">
        <w:t xml:space="preserve"> from</w:t>
      </w:r>
      <w:r w:rsidR="00DD33EF">
        <w:t xml:space="preserve"> the</w:t>
      </w:r>
      <w:r w:rsidRPr="002D3A76">
        <w:t xml:space="preserve"> December </w:t>
      </w:r>
      <w:r w:rsidR="00DD33EF">
        <w:t xml:space="preserve">quarter </w:t>
      </w:r>
      <w:r w:rsidRPr="002D3A76">
        <w:t>in year t</w:t>
      </w:r>
      <w:r w:rsidR="00DD33EF">
        <w:t>–</w:t>
      </w:r>
      <w:r w:rsidRPr="002D3A76">
        <w:t>2 to</w:t>
      </w:r>
      <w:r w:rsidR="00DD33EF">
        <w:t xml:space="preserve"> the</w:t>
      </w:r>
      <w:r w:rsidRPr="002D3A76">
        <w:t xml:space="preserve"> December</w:t>
      </w:r>
      <w:r w:rsidR="00DD33EF">
        <w:t xml:space="preserve"> quarter</w:t>
      </w:r>
      <w:r w:rsidRPr="002D3A76">
        <w:t xml:space="preserve"> in year t</w:t>
      </w:r>
      <w:r w:rsidR="00DD33EF">
        <w:t>–</w:t>
      </w:r>
      <w:r w:rsidRPr="002D3A76">
        <w:t>1</w:t>
      </w:r>
      <w:r w:rsidR="00DD33EF">
        <w:t>, calculated using the following method:</w:t>
      </w:r>
    </w:p>
    <w:p w:rsidR="00DD33EF" w:rsidRPr="005B0486" w:rsidRDefault="00DD33EF" w:rsidP="00DD33EF">
      <w:pPr>
        <w:pStyle w:val="ListContinue"/>
      </w:pPr>
      <w:r w:rsidRPr="005B0486">
        <w:t xml:space="preserve">The ABS CPI All Groups, Weighted Average of Eight Capital Cities for the </w:t>
      </w:r>
      <w:r>
        <w:t>December</w:t>
      </w:r>
      <w:r w:rsidRPr="005B0486">
        <w:t xml:space="preserve"> quarter in regulatory year t–1</w:t>
      </w:r>
    </w:p>
    <w:p w:rsidR="00DD33EF" w:rsidRPr="005B0486" w:rsidRDefault="00DD33EF" w:rsidP="00DD33EF">
      <w:pPr>
        <w:pStyle w:val="ListContinue"/>
      </w:pPr>
      <w:r w:rsidRPr="005B0486">
        <w:t>divided by</w:t>
      </w:r>
    </w:p>
    <w:p w:rsidR="00DD33EF" w:rsidRPr="005B0486" w:rsidRDefault="00DD33EF" w:rsidP="00DD33EF">
      <w:pPr>
        <w:pStyle w:val="ListContinue"/>
      </w:pPr>
      <w:r w:rsidRPr="005B0486">
        <w:t xml:space="preserve">The ABS CPI All Groups, Weighted Average of Eight Capital Cities for the </w:t>
      </w:r>
      <w:r>
        <w:t>December</w:t>
      </w:r>
      <w:r w:rsidRPr="005B0486">
        <w:t xml:space="preserve"> quarter in regulatory year t–2</w:t>
      </w:r>
    </w:p>
    <w:p w:rsidR="00DD33EF" w:rsidRDefault="00DD33EF" w:rsidP="009118A8">
      <w:pPr>
        <w:pStyle w:val="ListContinue"/>
      </w:pPr>
      <w:proofErr w:type="gramStart"/>
      <w:r w:rsidRPr="005B0486">
        <w:t>minus</w:t>
      </w:r>
      <w:proofErr w:type="gramEnd"/>
      <w:r w:rsidRPr="005B0486">
        <w:t xml:space="preserve"> one.</w:t>
      </w:r>
    </w:p>
    <w:p w:rsidR="002D3A76" w:rsidRPr="002D3A76" w:rsidRDefault="002D3A76" w:rsidP="002D3A76">
      <w:r w:rsidRPr="002D3A76">
        <w:t>For example, for the 201</w:t>
      </w:r>
      <w:r w:rsidR="0093723E">
        <w:t>6</w:t>
      </w:r>
      <w:r w:rsidRPr="002D3A76">
        <w:t>–1</w:t>
      </w:r>
      <w:r w:rsidR="0093723E">
        <w:t>7</w:t>
      </w:r>
      <w:r w:rsidRPr="002D3A76">
        <w:t xml:space="preserve"> year, t–2 is </w:t>
      </w:r>
      <w:r w:rsidR="00DD33EF">
        <w:t xml:space="preserve">the </w:t>
      </w:r>
      <w:r w:rsidRPr="002D3A76">
        <w:t>December</w:t>
      </w:r>
      <w:r w:rsidR="00DD33EF">
        <w:t xml:space="preserve"> quarter</w:t>
      </w:r>
      <w:r w:rsidRPr="002D3A76">
        <w:t xml:space="preserve"> 201</w:t>
      </w:r>
      <w:r w:rsidR="0093723E">
        <w:t>4</w:t>
      </w:r>
      <w:r w:rsidRPr="002D3A76">
        <w:t xml:space="preserve"> and t–1 is </w:t>
      </w:r>
      <w:r w:rsidR="00DD33EF">
        <w:t xml:space="preserve">the </w:t>
      </w:r>
      <w:r w:rsidRPr="002D3A76">
        <w:t>December</w:t>
      </w:r>
      <w:r w:rsidR="00DD33EF">
        <w:t xml:space="preserve"> quarter</w:t>
      </w:r>
      <w:r w:rsidRPr="002D3A76">
        <w:t xml:space="preserve"> 201</w:t>
      </w:r>
      <w:r w:rsidR="0093723E">
        <w:t>5</w:t>
      </w:r>
      <w:r w:rsidRPr="002D3A76">
        <w:t xml:space="preserve"> and in the 201</w:t>
      </w:r>
      <w:r w:rsidR="0093723E">
        <w:t>7</w:t>
      </w:r>
      <w:r w:rsidRPr="002D3A76">
        <w:t>–1</w:t>
      </w:r>
      <w:r w:rsidR="0093723E">
        <w:t>8</w:t>
      </w:r>
      <w:r w:rsidRPr="002D3A76">
        <w:t xml:space="preserve"> year, t–2 is</w:t>
      </w:r>
      <w:r w:rsidR="00DD33EF">
        <w:t xml:space="preserve"> the</w:t>
      </w:r>
      <w:r w:rsidRPr="002D3A76">
        <w:t xml:space="preserve"> December</w:t>
      </w:r>
      <w:r w:rsidR="00DD33EF">
        <w:t xml:space="preserve"> quarter</w:t>
      </w:r>
      <w:r w:rsidRPr="002D3A76">
        <w:t xml:space="preserve"> 201</w:t>
      </w:r>
      <w:r w:rsidR="0093723E">
        <w:t>5</w:t>
      </w:r>
      <w:r w:rsidRPr="002D3A76">
        <w:t xml:space="preserve"> and t–1 is</w:t>
      </w:r>
      <w:r w:rsidR="00DD33EF">
        <w:t xml:space="preserve"> the</w:t>
      </w:r>
      <w:r w:rsidRPr="002D3A76">
        <w:t xml:space="preserve"> December</w:t>
      </w:r>
      <w:r w:rsidR="00DD33EF">
        <w:t xml:space="preserve"> quarter</w:t>
      </w:r>
      <w:r w:rsidRPr="002D3A76">
        <w:t xml:space="preserve"> 201</w:t>
      </w:r>
      <w:r w:rsidR="0093723E">
        <w:t>6</w:t>
      </w:r>
      <w:r w:rsidRPr="002D3A76">
        <w:t xml:space="preserve"> and so on.</w:t>
      </w:r>
    </w:p>
    <w:p w:rsidR="00A34E20" w:rsidRDefault="00BC51BE" w:rsidP="002D3A76">
      <m:oMath>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oMath>
      <w:r w:rsidR="002D3A76" w:rsidRPr="002D3A76">
        <w:t xml:space="preserve"> </w:t>
      </w:r>
      <w:r w:rsidR="002D3A76" w:rsidRPr="002D3A76">
        <w:tab/>
      </w:r>
      <w:r w:rsidR="002D3A76" w:rsidRPr="002D3A76">
        <w:tab/>
      </w:r>
      <w:proofErr w:type="gramStart"/>
      <w:r w:rsidR="002D3A76" w:rsidRPr="002D3A76">
        <w:t>is</w:t>
      </w:r>
      <w:proofErr w:type="gramEnd"/>
      <w:r w:rsidR="00A34E20">
        <w:t>:</w:t>
      </w:r>
    </w:p>
    <w:p w:rsidR="000244DB" w:rsidRDefault="000244DB" w:rsidP="000244DB">
      <w:pPr>
        <w:pStyle w:val="AERbulletlistfirststyle"/>
      </w:pPr>
      <w:r>
        <w:t xml:space="preserve">for service i in year t that are an upfront capital charge, the X factor as set out in </w:t>
      </w:r>
      <w:r>
        <w:fldChar w:fldCharType="begin"/>
      </w:r>
      <w:r>
        <w:instrText xml:space="preserve"> REF  _Ref433094525 \* Lower \h  \* MERGEFORMAT </w:instrText>
      </w:r>
      <w:r>
        <w:fldChar w:fldCharType="separate"/>
      </w:r>
      <w:r w:rsidR="00E01BE0">
        <w:t xml:space="preserve">table </w:t>
      </w:r>
      <w:r w:rsidR="00E01BE0">
        <w:rPr>
          <w:noProof/>
        </w:rPr>
        <w:t>16.3</w:t>
      </w:r>
      <w:r>
        <w:fldChar w:fldCharType="end"/>
      </w:r>
    </w:p>
    <w:p w:rsidR="0093723E" w:rsidRDefault="002D3A76" w:rsidP="000244DB">
      <w:pPr>
        <w:pStyle w:val="AERbulletlistfirststyle"/>
      </w:pPr>
      <w:proofErr w:type="gramStart"/>
      <w:r w:rsidRPr="002D3A76">
        <w:t>for</w:t>
      </w:r>
      <w:proofErr w:type="gramEnd"/>
      <w:r w:rsidR="000244DB">
        <w:t xml:space="preserve"> </w:t>
      </w:r>
      <w:r w:rsidRPr="002D3A76">
        <w:t xml:space="preserve">service </w:t>
      </w:r>
      <w:r w:rsidR="002325B2">
        <w:t>i in year t</w:t>
      </w:r>
      <w:r w:rsidRPr="002D3A76">
        <w:t xml:space="preserve"> </w:t>
      </w:r>
      <w:r w:rsidR="002325B2">
        <w:t>that are not</w:t>
      </w:r>
      <w:r w:rsidR="00A34E20">
        <w:t xml:space="preserve"> an upfront capital charge</w:t>
      </w:r>
      <w:r w:rsidR="002325B2">
        <w:t>,</w:t>
      </w:r>
      <w:r w:rsidR="00A34E20">
        <w:t xml:space="preserve"> the X factor</w:t>
      </w:r>
      <w:r w:rsidR="00674D47">
        <w:t xml:space="preserve"> as set out</w:t>
      </w:r>
      <w:r w:rsidRPr="002D3A76">
        <w:t xml:space="preserve"> </w:t>
      </w:r>
      <w:r w:rsidR="00E56083">
        <w:t>in</w:t>
      </w:r>
      <w:r w:rsidRPr="002D3A76">
        <w:t xml:space="preserve"> </w:t>
      </w:r>
      <w:r w:rsidRPr="002D3A76">
        <w:fldChar w:fldCharType="begin"/>
      </w:r>
      <w:r w:rsidRPr="002D3A76">
        <w:instrText xml:space="preserve"> REF  _Ref410636364 \* Lower \h </w:instrText>
      </w:r>
      <w:r w:rsidR="000244DB">
        <w:instrText xml:space="preserve"> \* MERGEFORMAT </w:instrText>
      </w:r>
      <w:r w:rsidRPr="002D3A76">
        <w:fldChar w:fldCharType="separate"/>
      </w:r>
      <w:r w:rsidR="00E01BE0" w:rsidRPr="002D3A76">
        <w:t xml:space="preserve">table </w:t>
      </w:r>
      <w:r w:rsidR="00E01BE0">
        <w:rPr>
          <w:noProof/>
        </w:rPr>
        <w:t>16.4</w:t>
      </w:r>
      <w:r w:rsidRPr="002D3A76">
        <w:fldChar w:fldCharType="end"/>
      </w:r>
      <w:r w:rsidR="000244DB">
        <w:t>.</w:t>
      </w:r>
      <w:r w:rsidR="000244DB" w:rsidRPr="00CC221E">
        <w:rPr>
          <w:rStyle w:val="FootnoteReference"/>
        </w:rPr>
        <w:footnoteReference w:id="10"/>
      </w:r>
    </w:p>
    <w:p w:rsidR="000244DB" w:rsidRDefault="000244DB" w:rsidP="000244DB">
      <w:pPr>
        <w:pStyle w:val="Caption"/>
      </w:pPr>
      <w:bookmarkStart w:id="31" w:name="_Ref433094525"/>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t>.</w:t>
      </w:r>
      <w:proofErr w:type="gramEnd"/>
      <w:r>
        <w:fldChar w:fldCharType="begin"/>
      </w:r>
      <w:r>
        <w:instrText xml:space="preserve"> SEQ Table \* ARABIC \s 1 </w:instrText>
      </w:r>
      <w:r>
        <w:fldChar w:fldCharType="separate"/>
      </w:r>
      <w:r w:rsidR="00E01BE0">
        <w:rPr>
          <w:noProof/>
        </w:rPr>
        <w:t>3</w:t>
      </w:r>
      <w:r>
        <w:fldChar w:fldCharType="end"/>
      </w:r>
      <w:bookmarkEnd w:id="31"/>
      <w:r>
        <w:tab/>
      </w:r>
      <w:r w:rsidRPr="002D3A76">
        <w:t xml:space="preserve">AER </w:t>
      </w:r>
      <w:r w:rsidRPr="002325B2">
        <w:t>final decision on</w:t>
      </w:r>
      <w:r>
        <w:t xml:space="preserve"> fee based services up front capital charge</w:t>
      </w:r>
      <w:r w:rsidRPr="002325B2">
        <w:t xml:space="preserve"> X factors for each year of the 2015–20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0244DB" w:rsidRPr="00683966" w:rsidTr="00024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0244DB" w:rsidRPr="002D3A76" w:rsidRDefault="000244DB" w:rsidP="000244DB"/>
        </w:tc>
        <w:tc>
          <w:tcPr>
            <w:tcW w:w="1738" w:type="dxa"/>
          </w:tcPr>
          <w:p w:rsidR="000244DB" w:rsidRPr="000244DB" w:rsidRDefault="000244DB" w:rsidP="000244DB">
            <w:pPr>
              <w:cnfStyle w:val="100000000000" w:firstRow="1" w:lastRow="0" w:firstColumn="0" w:lastColumn="0" w:oddVBand="0" w:evenVBand="0" w:oddHBand="0" w:evenHBand="0" w:firstRowFirstColumn="0" w:firstRowLastColumn="0" w:lastRowFirstColumn="0" w:lastRowLastColumn="0"/>
            </w:pPr>
            <w:r w:rsidRPr="002D3A76">
              <w:t>2016–17</w:t>
            </w:r>
          </w:p>
        </w:tc>
        <w:tc>
          <w:tcPr>
            <w:tcW w:w="1739" w:type="dxa"/>
          </w:tcPr>
          <w:p w:rsidR="000244DB" w:rsidRPr="000244DB" w:rsidRDefault="000244DB" w:rsidP="000244DB">
            <w:pPr>
              <w:cnfStyle w:val="100000000000" w:firstRow="1" w:lastRow="0" w:firstColumn="0" w:lastColumn="0" w:oddVBand="0" w:evenVBand="0" w:oddHBand="0" w:evenHBand="0" w:firstRowFirstColumn="0" w:firstRowLastColumn="0" w:lastRowFirstColumn="0" w:lastRowLastColumn="0"/>
            </w:pPr>
            <w:r w:rsidRPr="002D3A76">
              <w:t>2017–18</w:t>
            </w:r>
          </w:p>
        </w:tc>
        <w:tc>
          <w:tcPr>
            <w:tcW w:w="1739" w:type="dxa"/>
          </w:tcPr>
          <w:p w:rsidR="000244DB" w:rsidRPr="000244DB" w:rsidRDefault="000244DB" w:rsidP="000244DB">
            <w:pPr>
              <w:cnfStyle w:val="100000000000" w:firstRow="1" w:lastRow="0" w:firstColumn="0" w:lastColumn="0" w:oddVBand="0" w:evenVBand="0" w:oddHBand="0" w:evenHBand="0" w:firstRowFirstColumn="0" w:firstRowLastColumn="0" w:lastRowFirstColumn="0" w:lastRowLastColumn="0"/>
            </w:pPr>
            <w:r w:rsidRPr="002D3A76">
              <w:t>2018–19</w:t>
            </w:r>
          </w:p>
        </w:tc>
        <w:tc>
          <w:tcPr>
            <w:tcW w:w="1739" w:type="dxa"/>
          </w:tcPr>
          <w:p w:rsidR="000244DB" w:rsidRPr="000244DB" w:rsidRDefault="000244DB" w:rsidP="000244DB">
            <w:pPr>
              <w:cnfStyle w:val="100000000000" w:firstRow="1" w:lastRow="0" w:firstColumn="0" w:lastColumn="0" w:oddVBand="0" w:evenVBand="0" w:oddHBand="0" w:evenHBand="0" w:firstRowFirstColumn="0" w:firstRowLastColumn="0" w:lastRowFirstColumn="0" w:lastRowLastColumn="0"/>
            </w:pPr>
            <w:r w:rsidRPr="002D3A76">
              <w:t>2019–20</w:t>
            </w:r>
          </w:p>
        </w:tc>
      </w:tr>
      <w:tr w:rsidR="000244DB" w:rsidRPr="00683966" w:rsidTr="000244DB">
        <w:tc>
          <w:tcPr>
            <w:cnfStyle w:val="001000000000" w:firstRow="0" w:lastRow="0" w:firstColumn="1" w:lastColumn="0" w:oddVBand="0" w:evenVBand="0" w:oddHBand="0" w:evenHBand="0" w:firstRowFirstColumn="0" w:firstRowLastColumn="0" w:lastRowFirstColumn="0" w:lastRowLastColumn="0"/>
            <w:tcW w:w="1738" w:type="dxa"/>
          </w:tcPr>
          <w:p w:rsidR="000244DB" w:rsidRPr="000244DB" w:rsidRDefault="000244DB" w:rsidP="000244DB">
            <w:r w:rsidRPr="002D3A76">
              <w:t>X factor</w:t>
            </w:r>
          </w:p>
        </w:tc>
        <w:tc>
          <w:tcPr>
            <w:tcW w:w="1738" w:type="dxa"/>
            <w:vAlign w:val="bottom"/>
          </w:tcPr>
          <w:p w:rsidR="000244DB" w:rsidRPr="000244DB" w:rsidRDefault="000244DB" w:rsidP="000244DB">
            <w:pPr>
              <w:cnfStyle w:val="000000000000" w:firstRow="0" w:lastRow="0" w:firstColumn="0" w:lastColumn="0" w:oddVBand="0" w:evenVBand="0" w:oddHBand="0" w:evenHBand="0" w:firstRowFirstColumn="0" w:firstRowLastColumn="0" w:lastRowFirstColumn="0" w:lastRowLastColumn="0"/>
            </w:pPr>
            <w:r>
              <w:t>–0.25</w:t>
            </w:r>
          </w:p>
        </w:tc>
        <w:tc>
          <w:tcPr>
            <w:tcW w:w="1739" w:type="dxa"/>
            <w:vAlign w:val="bottom"/>
          </w:tcPr>
          <w:p w:rsidR="000244DB" w:rsidRPr="000244DB" w:rsidRDefault="000244DB" w:rsidP="000244DB">
            <w:pPr>
              <w:cnfStyle w:val="000000000000" w:firstRow="0" w:lastRow="0" w:firstColumn="0" w:lastColumn="0" w:oddVBand="0" w:evenVBand="0" w:oddHBand="0" w:evenHBand="0" w:firstRowFirstColumn="0" w:firstRowLastColumn="0" w:lastRowFirstColumn="0" w:lastRowLastColumn="0"/>
            </w:pPr>
            <w:r>
              <w:t>–0.37</w:t>
            </w:r>
          </w:p>
        </w:tc>
        <w:tc>
          <w:tcPr>
            <w:tcW w:w="1739" w:type="dxa"/>
            <w:vAlign w:val="bottom"/>
          </w:tcPr>
          <w:p w:rsidR="000244DB" w:rsidRPr="000244DB" w:rsidRDefault="000244DB" w:rsidP="000244DB">
            <w:pPr>
              <w:cnfStyle w:val="000000000000" w:firstRow="0" w:lastRow="0" w:firstColumn="0" w:lastColumn="0" w:oddVBand="0" w:evenVBand="0" w:oddHBand="0" w:evenHBand="0" w:firstRowFirstColumn="0" w:firstRowLastColumn="0" w:lastRowFirstColumn="0" w:lastRowLastColumn="0"/>
            </w:pPr>
            <w:r>
              <w:t>–0.46</w:t>
            </w:r>
          </w:p>
        </w:tc>
        <w:tc>
          <w:tcPr>
            <w:tcW w:w="1739" w:type="dxa"/>
            <w:vAlign w:val="bottom"/>
          </w:tcPr>
          <w:p w:rsidR="000244DB" w:rsidRPr="000244DB" w:rsidRDefault="000244DB" w:rsidP="000244DB">
            <w:pPr>
              <w:cnfStyle w:val="000000000000" w:firstRow="0" w:lastRow="0" w:firstColumn="0" w:lastColumn="0" w:oddVBand="0" w:evenVBand="0" w:oddHBand="0" w:evenHBand="0" w:firstRowFirstColumn="0" w:firstRowLastColumn="0" w:lastRowFirstColumn="0" w:lastRowLastColumn="0"/>
            </w:pPr>
            <w:r>
              <w:t>–0.55</w:t>
            </w:r>
          </w:p>
        </w:tc>
      </w:tr>
    </w:tbl>
    <w:p w:rsidR="000244DB" w:rsidRPr="002D3A76" w:rsidRDefault="000244DB" w:rsidP="000244DB">
      <w:pPr>
        <w:pStyle w:val="AERtablesource"/>
        <w:rPr>
          <w:rStyle w:val="CommentReference"/>
        </w:rPr>
      </w:pPr>
      <w:r w:rsidRPr="002D3A76">
        <w:rPr>
          <w:rStyle w:val="CommentReference"/>
        </w:rPr>
        <w:t xml:space="preserve">Source: </w:t>
      </w:r>
      <w:r w:rsidRPr="002D3A76">
        <w:rPr>
          <w:rStyle w:val="CommentReference"/>
        </w:rPr>
        <w:tab/>
        <w:t>AER analysis.</w:t>
      </w:r>
    </w:p>
    <w:p w:rsidR="000244DB" w:rsidRPr="000244DB" w:rsidRDefault="000244DB" w:rsidP="000244DB">
      <w:pPr>
        <w:pStyle w:val="AERtablesource"/>
      </w:pPr>
      <w:r w:rsidRPr="002D3A76">
        <w:rPr>
          <w:rStyle w:val="CommentReference"/>
        </w:rPr>
        <w:t>Note:</w:t>
      </w:r>
      <w:r w:rsidRPr="002D3A76">
        <w:rPr>
          <w:rStyle w:val="CommentReference"/>
        </w:rPr>
        <w:tab/>
        <w:t>To be clear, the labour</w:t>
      </w:r>
      <w:r w:rsidR="00751C6A">
        <w:rPr>
          <w:rStyle w:val="CommentReference"/>
        </w:rPr>
        <w:t xml:space="preserve"> price growth is </w:t>
      </w:r>
      <w:r w:rsidRPr="002D3A76">
        <w:rPr>
          <w:rStyle w:val="CommentReference"/>
        </w:rPr>
        <w:t xml:space="preserve">positive for each year of the regulatory control period. However, </w:t>
      </w:r>
      <w:r w:rsidR="00751C6A">
        <w:rPr>
          <w:rStyle w:val="CommentReference"/>
        </w:rPr>
        <w:t xml:space="preserve">in operating </w:t>
      </w:r>
      <w:r w:rsidRPr="002D3A76">
        <w:rPr>
          <w:rStyle w:val="CommentReference"/>
        </w:rPr>
        <w:t>as de</w:t>
      </w:r>
      <w:r>
        <w:rPr>
          <w:rStyle w:val="CommentReference"/>
        </w:rPr>
        <w:t xml:space="preserve"> </w:t>
      </w:r>
      <w:r w:rsidRPr="002D3A76">
        <w:rPr>
          <w:rStyle w:val="CommentReference"/>
        </w:rPr>
        <w:t>facto X factors</w:t>
      </w:r>
      <w:r w:rsidR="00751C6A">
        <w:rPr>
          <w:rStyle w:val="CommentReference"/>
        </w:rPr>
        <w:t xml:space="preserve"> in the price caps, positive labour price growth is presented as a negative value</w:t>
      </w:r>
      <w:r w:rsidRPr="002D3A76">
        <w:rPr>
          <w:rStyle w:val="CommentReference"/>
        </w:rPr>
        <w:t>.</w:t>
      </w:r>
    </w:p>
    <w:p w:rsidR="002D3A76" w:rsidRPr="002D3A76" w:rsidRDefault="002D3A76" w:rsidP="002D3A76">
      <w:pPr>
        <w:pStyle w:val="Caption"/>
      </w:pPr>
      <w:bookmarkStart w:id="32" w:name="_Ref410636364"/>
      <w:proofErr w:type="gramStart"/>
      <w:r w:rsidRPr="002D3A76">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4</w:t>
      </w:r>
      <w:r w:rsidR="00674D47">
        <w:fldChar w:fldCharType="end"/>
      </w:r>
      <w:bookmarkEnd w:id="32"/>
      <w:r w:rsidRPr="002D3A76">
        <w:tab/>
        <w:t xml:space="preserve">AER </w:t>
      </w:r>
      <w:r w:rsidR="00A301BE">
        <w:t>final</w:t>
      </w:r>
      <w:r w:rsidR="00A301BE" w:rsidRPr="002D3A76">
        <w:t xml:space="preserve"> </w:t>
      </w:r>
      <w:r w:rsidRPr="002D3A76">
        <w:t>decision on X factors</w:t>
      </w:r>
      <w:r w:rsidR="000244DB">
        <w:t xml:space="preserve"> for fee based services </w:t>
      </w:r>
      <w:r w:rsidRPr="002D3A76">
        <w:t xml:space="preserve">for each year of the 2015–20 </w:t>
      </w:r>
      <w:proofErr w:type="gramStart"/>
      <w:r w:rsidRPr="002D3A76">
        <w:t>period</w:t>
      </w:r>
      <w:proofErr w:type="gramEnd"/>
      <w:r w:rsidRPr="002D3A76">
        <w:t xml:space="preserve">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2D3A76" w:rsidRPr="00683966" w:rsidTr="002D3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2D3A76" w:rsidRPr="002D3A76" w:rsidRDefault="002D3A76" w:rsidP="002D3A76"/>
        </w:tc>
        <w:tc>
          <w:tcPr>
            <w:tcW w:w="1738" w:type="dxa"/>
          </w:tcPr>
          <w:p w:rsidR="002D3A76" w:rsidRPr="002D3A76" w:rsidRDefault="002D3A76" w:rsidP="002D3A76">
            <w:pPr>
              <w:cnfStyle w:val="100000000000" w:firstRow="1" w:lastRow="0" w:firstColumn="0" w:lastColumn="0" w:oddVBand="0" w:evenVBand="0" w:oddHBand="0" w:evenHBand="0" w:firstRowFirstColumn="0" w:firstRowLastColumn="0" w:lastRowFirstColumn="0" w:lastRowLastColumn="0"/>
            </w:pPr>
            <w:r w:rsidRPr="002D3A76">
              <w:t>2016–17</w:t>
            </w:r>
          </w:p>
        </w:tc>
        <w:tc>
          <w:tcPr>
            <w:tcW w:w="1739" w:type="dxa"/>
          </w:tcPr>
          <w:p w:rsidR="002D3A76" w:rsidRPr="002D3A76" w:rsidRDefault="002D3A76" w:rsidP="002D3A76">
            <w:pPr>
              <w:cnfStyle w:val="100000000000" w:firstRow="1" w:lastRow="0" w:firstColumn="0" w:lastColumn="0" w:oddVBand="0" w:evenVBand="0" w:oddHBand="0" w:evenHBand="0" w:firstRowFirstColumn="0" w:firstRowLastColumn="0" w:lastRowFirstColumn="0" w:lastRowLastColumn="0"/>
            </w:pPr>
            <w:r w:rsidRPr="002D3A76">
              <w:t>2017–18</w:t>
            </w:r>
          </w:p>
        </w:tc>
        <w:tc>
          <w:tcPr>
            <w:tcW w:w="1739" w:type="dxa"/>
          </w:tcPr>
          <w:p w:rsidR="002D3A76" w:rsidRPr="002D3A76" w:rsidRDefault="002D3A76" w:rsidP="002D3A76">
            <w:pPr>
              <w:cnfStyle w:val="100000000000" w:firstRow="1" w:lastRow="0" w:firstColumn="0" w:lastColumn="0" w:oddVBand="0" w:evenVBand="0" w:oddHBand="0" w:evenHBand="0" w:firstRowFirstColumn="0" w:firstRowLastColumn="0" w:lastRowFirstColumn="0" w:lastRowLastColumn="0"/>
            </w:pPr>
            <w:r w:rsidRPr="002D3A76">
              <w:t>2018–19</w:t>
            </w:r>
          </w:p>
        </w:tc>
        <w:tc>
          <w:tcPr>
            <w:tcW w:w="1739" w:type="dxa"/>
          </w:tcPr>
          <w:p w:rsidR="002D3A76" w:rsidRPr="002D3A76" w:rsidRDefault="002D3A76" w:rsidP="002D3A76">
            <w:pPr>
              <w:cnfStyle w:val="100000000000" w:firstRow="1" w:lastRow="0" w:firstColumn="0" w:lastColumn="0" w:oddVBand="0" w:evenVBand="0" w:oddHBand="0" w:evenHBand="0" w:firstRowFirstColumn="0" w:firstRowLastColumn="0" w:lastRowFirstColumn="0" w:lastRowLastColumn="0"/>
            </w:pPr>
            <w:r w:rsidRPr="002D3A76">
              <w:t>2019–20</w:t>
            </w:r>
          </w:p>
        </w:tc>
      </w:tr>
      <w:tr w:rsidR="002D3A76" w:rsidRPr="00683966" w:rsidTr="002D3A76">
        <w:tc>
          <w:tcPr>
            <w:cnfStyle w:val="001000000000" w:firstRow="0" w:lastRow="0" w:firstColumn="1" w:lastColumn="0" w:oddVBand="0" w:evenVBand="0" w:oddHBand="0" w:evenHBand="0" w:firstRowFirstColumn="0" w:firstRowLastColumn="0" w:lastRowFirstColumn="0" w:lastRowLastColumn="0"/>
            <w:tcW w:w="1738" w:type="dxa"/>
          </w:tcPr>
          <w:p w:rsidR="002D3A76" w:rsidRPr="002D3A76" w:rsidRDefault="002D3A76" w:rsidP="002D3A76">
            <w:r w:rsidRPr="002D3A76">
              <w:t>X factor</w:t>
            </w:r>
          </w:p>
        </w:tc>
        <w:tc>
          <w:tcPr>
            <w:tcW w:w="1738" w:type="dxa"/>
            <w:vAlign w:val="bottom"/>
          </w:tcPr>
          <w:p w:rsidR="002D3A76" w:rsidRPr="002D3A76" w:rsidRDefault="002325B2" w:rsidP="000F20B3">
            <w:pPr>
              <w:jc w:val="center"/>
              <w:cnfStyle w:val="000000000000" w:firstRow="0" w:lastRow="0" w:firstColumn="0" w:lastColumn="0" w:oddVBand="0" w:evenVBand="0" w:oddHBand="0" w:evenHBand="0" w:firstRowFirstColumn="0" w:firstRowLastColumn="0" w:lastRowFirstColumn="0" w:lastRowLastColumn="0"/>
            </w:pPr>
            <w:r>
              <w:t xml:space="preserve">                        </w:t>
            </w:r>
            <w:r w:rsidR="000F20B3">
              <w:t>–0.41</w:t>
            </w:r>
          </w:p>
        </w:tc>
        <w:tc>
          <w:tcPr>
            <w:tcW w:w="1739" w:type="dxa"/>
            <w:vAlign w:val="bottom"/>
          </w:tcPr>
          <w:p w:rsidR="002D3A76" w:rsidRPr="002D3A76" w:rsidRDefault="000F20B3" w:rsidP="002D3A76">
            <w:pPr>
              <w:cnfStyle w:val="000000000000" w:firstRow="0" w:lastRow="0" w:firstColumn="0" w:lastColumn="0" w:oddVBand="0" w:evenVBand="0" w:oddHBand="0" w:evenHBand="0" w:firstRowFirstColumn="0" w:firstRowLastColumn="0" w:lastRowFirstColumn="0" w:lastRowLastColumn="0"/>
            </w:pPr>
            <w:r>
              <w:t>–0.61</w:t>
            </w:r>
          </w:p>
        </w:tc>
        <w:tc>
          <w:tcPr>
            <w:tcW w:w="1739" w:type="dxa"/>
            <w:vAlign w:val="bottom"/>
          </w:tcPr>
          <w:p w:rsidR="002D3A76" w:rsidRPr="002D3A76" w:rsidRDefault="000F20B3" w:rsidP="002D3A76">
            <w:pPr>
              <w:cnfStyle w:val="000000000000" w:firstRow="0" w:lastRow="0" w:firstColumn="0" w:lastColumn="0" w:oddVBand="0" w:evenVBand="0" w:oddHBand="0" w:evenHBand="0" w:firstRowFirstColumn="0" w:firstRowLastColumn="0" w:lastRowFirstColumn="0" w:lastRowLastColumn="0"/>
            </w:pPr>
            <w:r>
              <w:t>–0.76</w:t>
            </w:r>
          </w:p>
        </w:tc>
        <w:tc>
          <w:tcPr>
            <w:tcW w:w="1739" w:type="dxa"/>
            <w:vAlign w:val="bottom"/>
          </w:tcPr>
          <w:p w:rsidR="002D3A76" w:rsidRPr="002D3A76" w:rsidRDefault="000F20B3" w:rsidP="002D3A76">
            <w:pPr>
              <w:cnfStyle w:val="000000000000" w:firstRow="0" w:lastRow="0" w:firstColumn="0" w:lastColumn="0" w:oddVBand="0" w:evenVBand="0" w:oddHBand="0" w:evenHBand="0" w:firstRowFirstColumn="0" w:firstRowLastColumn="0" w:lastRowFirstColumn="0" w:lastRowLastColumn="0"/>
            </w:pPr>
            <w:r>
              <w:t>–0.91</w:t>
            </w:r>
          </w:p>
        </w:tc>
      </w:tr>
    </w:tbl>
    <w:p w:rsidR="002D3A76" w:rsidRPr="002D3A76" w:rsidRDefault="002D3A76" w:rsidP="002D3A76">
      <w:pPr>
        <w:pStyle w:val="AERtablesource"/>
        <w:rPr>
          <w:rStyle w:val="CommentReference"/>
        </w:rPr>
      </w:pPr>
      <w:r w:rsidRPr="002D3A76">
        <w:rPr>
          <w:rStyle w:val="CommentReference"/>
        </w:rPr>
        <w:t xml:space="preserve">Source: </w:t>
      </w:r>
      <w:r w:rsidRPr="002D3A76">
        <w:rPr>
          <w:rStyle w:val="CommentReference"/>
        </w:rPr>
        <w:tab/>
        <w:t>AER analysis.</w:t>
      </w:r>
    </w:p>
    <w:p w:rsidR="002D3A76" w:rsidRDefault="002D3A76" w:rsidP="002D3A76">
      <w:pPr>
        <w:pStyle w:val="AERtablesource"/>
        <w:rPr>
          <w:rStyle w:val="CommentReference"/>
        </w:rPr>
      </w:pPr>
      <w:r w:rsidRPr="002D3A76">
        <w:rPr>
          <w:rStyle w:val="CommentReference"/>
        </w:rPr>
        <w:t>Note:</w:t>
      </w:r>
      <w:r w:rsidRPr="002D3A76">
        <w:rPr>
          <w:rStyle w:val="CommentReference"/>
        </w:rPr>
        <w:tab/>
        <w:t xml:space="preserve">To be clear, the labour </w:t>
      </w:r>
      <w:r w:rsidR="00AA4FB8">
        <w:rPr>
          <w:rStyle w:val="CommentReference"/>
        </w:rPr>
        <w:t xml:space="preserve">price growth is </w:t>
      </w:r>
      <w:r w:rsidRPr="002D3A76">
        <w:rPr>
          <w:rStyle w:val="CommentReference"/>
        </w:rPr>
        <w:t>positive for each year of the regulato</w:t>
      </w:r>
      <w:r w:rsidR="00AA4FB8">
        <w:rPr>
          <w:rStyle w:val="CommentReference"/>
        </w:rPr>
        <w:t xml:space="preserve">ry control period. However, in </w:t>
      </w:r>
      <w:r w:rsidRPr="002D3A76">
        <w:rPr>
          <w:rStyle w:val="CommentReference"/>
        </w:rPr>
        <w:t>operating as de</w:t>
      </w:r>
      <w:r w:rsidR="00BA335E">
        <w:rPr>
          <w:rStyle w:val="CommentReference"/>
        </w:rPr>
        <w:t xml:space="preserve"> </w:t>
      </w:r>
      <w:r w:rsidRPr="002D3A76">
        <w:rPr>
          <w:rStyle w:val="CommentReference"/>
        </w:rPr>
        <w:t>facto X factors</w:t>
      </w:r>
      <w:r w:rsidR="00AA4FB8">
        <w:rPr>
          <w:rStyle w:val="CommentReference"/>
        </w:rPr>
        <w:t xml:space="preserve"> in the price caps, positive labour price growth is presented as a negative value</w:t>
      </w:r>
      <w:r w:rsidRPr="002D3A76">
        <w:rPr>
          <w:rStyle w:val="CommentReference"/>
        </w:rPr>
        <w:t>.</w:t>
      </w:r>
    </w:p>
    <w:p w:rsidR="002D3A76" w:rsidRPr="002D3A76" w:rsidRDefault="00BC51BE" w:rsidP="002D3A76">
      <w:pPr>
        <w:pStyle w:val="ListParagraph"/>
        <w:numPr>
          <w:ilvl w:val="0"/>
          <w:numId w:val="25"/>
        </w:numPr>
      </w:pPr>
      <m:oMath>
        <m:sSubSup>
          <m:sSubSupPr>
            <m:ctrlPr>
              <w:rPr>
                <w:rFonts w:ascii="Cambria Math" w:hAnsi="Cambria Math"/>
              </w:rPr>
            </m:ctrlPr>
          </m:sSubSupPr>
          <m:e>
            <m:r>
              <w:rPr>
                <w:rFonts w:ascii="Cambria Math" w:hAnsi="Cambria Math"/>
              </w:rPr>
              <m:t>A</m:t>
            </m:r>
          </m:e>
          <m:sub>
            <m:r>
              <w:rPr>
                <w:rFonts w:ascii="Cambria Math" w:hAnsi="Cambria Math"/>
              </w:rPr>
              <m:t>t</m:t>
            </m:r>
          </m:sub>
          <m:sup>
            <m:r>
              <w:rPr>
                <w:rFonts w:ascii="Cambria Math" w:hAnsi="Cambria Math"/>
              </w:rPr>
              <m:t>i</m:t>
            </m:r>
          </m:sup>
        </m:sSubSup>
      </m:oMath>
      <w:r w:rsidR="002D3A76" w:rsidRPr="002D3A76">
        <w:t xml:space="preserve"> </w:t>
      </w:r>
      <w:r w:rsidR="002D3A76" w:rsidRPr="002D3A76">
        <w:tab/>
      </w:r>
      <w:r w:rsidR="002D3A76" w:rsidRPr="002D3A76">
        <w:tab/>
      </w:r>
      <w:proofErr w:type="gramStart"/>
      <w:r w:rsidR="002D3A76" w:rsidRPr="002D3A76">
        <w:t>is</w:t>
      </w:r>
      <w:proofErr w:type="gramEnd"/>
      <w:r w:rsidR="002D3A76" w:rsidRPr="002D3A76">
        <w:t xml:space="preserve"> an adjustment factor for residual charges when customers choose to replace assets before the end of their economic life.</w:t>
      </w:r>
    </w:p>
    <w:p w:rsidR="002D3A76" w:rsidRPr="002D3A76" w:rsidRDefault="002D3A76" w:rsidP="00CF20A2">
      <w:pPr>
        <w:pStyle w:val="HeadingBoldBlue"/>
      </w:pPr>
      <w:bookmarkStart w:id="33" w:name="_Toc416346922"/>
      <w:bookmarkStart w:id="34" w:name="_Toc417992501"/>
      <w:bookmarkStart w:id="35" w:name="_Toc417994607"/>
      <w:bookmarkStart w:id="36" w:name="_Toc433365992"/>
      <w:r w:rsidRPr="002D3A76">
        <w:t>Form of control—quoted services</w:t>
      </w:r>
      <w:bookmarkEnd w:id="33"/>
      <w:bookmarkEnd w:id="34"/>
      <w:bookmarkEnd w:id="35"/>
      <w:bookmarkEnd w:id="36"/>
    </w:p>
    <w:p w:rsidR="008E5298" w:rsidRDefault="002D3A76" w:rsidP="007347C6">
      <w:pPr>
        <w:pStyle w:val="ListContinue3"/>
        <w:ind w:left="0"/>
      </w:pPr>
      <w:r w:rsidRPr="002D3A76">
        <w:t xml:space="preserve">Our </w:t>
      </w:r>
      <w:r w:rsidR="00A301BE">
        <w:t>final</w:t>
      </w:r>
      <w:r w:rsidR="00A301BE" w:rsidRPr="002D3A76">
        <w:t xml:space="preserve"> </w:t>
      </w:r>
      <w:r w:rsidRPr="002D3A76">
        <w:t>decision appl</w:t>
      </w:r>
      <w:r w:rsidR="007731DA">
        <w:t>ies</w:t>
      </w:r>
      <w:r w:rsidRPr="002D3A76">
        <w:t xml:space="preserve"> a formula to determine the cost build-up of services that are priced on a ‘quoted’ basis.</w:t>
      </w:r>
      <w:r w:rsidRPr="002D3A76">
        <w:rPr>
          <w:rStyle w:val="FootnoteReference"/>
        </w:rPr>
        <w:footnoteReference w:id="11"/>
      </w:r>
      <w:r w:rsidR="00B426DC">
        <w:t xml:space="preserve"> </w:t>
      </w:r>
      <w:r w:rsidR="00B426DC">
        <w:fldChar w:fldCharType="begin"/>
      </w:r>
      <w:r w:rsidR="00B426DC">
        <w:instrText xml:space="preserve"> REF _Ref416342050 \h </w:instrText>
      </w:r>
      <w:r w:rsidR="00B426DC">
        <w:fldChar w:fldCharType="separate"/>
      </w:r>
      <w:r w:rsidR="00E01BE0" w:rsidRPr="002D3A76">
        <w:t xml:space="preserve">Figure </w:t>
      </w:r>
      <w:r w:rsidR="00BC709D">
        <w:t>16.</w:t>
      </w:r>
      <w:r w:rsidR="00E01BE0">
        <w:rPr>
          <w:noProof/>
        </w:rPr>
        <w:t>3</w:t>
      </w:r>
      <w:r w:rsidR="00B426DC">
        <w:fldChar w:fldCharType="end"/>
      </w:r>
      <w:r w:rsidR="00B426DC">
        <w:t xml:space="preserve"> sets out the price cap formula and </w:t>
      </w:r>
      <w:r w:rsidR="00B426DC">
        <w:fldChar w:fldCharType="begin"/>
      </w:r>
      <w:r w:rsidR="00B426DC">
        <w:instrText xml:space="preserve"> REF  _Ref429746132 \* Lower \h </w:instrText>
      </w:r>
      <w:r w:rsidR="00B426DC">
        <w:fldChar w:fldCharType="separate"/>
      </w:r>
      <w:r w:rsidR="00E01BE0">
        <w:t xml:space="preserve">table </w:t>
      </w:r>
      <w:r w:rsidR="00E01BE0">
        <w:rPr>
          <w:noProof/>
        </w:rPr>
        <w:t>16</w:t>
      </w:r>
      <w:r w:rsidR="00E01BE0">
        <w:t>.</w:t>
      </w:r>
      <w:r w:rsidR="00E01BE0">
        <w:rPr>
          <w:noProof/>
        </w:rPr>
        <w:t>18</w:t>
      </w:r>
      <w:r w:rsidR="00B426DC">
        <w:fldChar w:fldCharType="end"/>
      </w:r>
      <w:r w:rsidR="008E5298">
        <w:t xml:space="preserve"> in appendix </w:t>
      </w:r>
      <w:r w:rsidR="000F20B3">
        <w:fldChar w:fldCharType="begin"/>
      </w:r>
      <w:r w:rsidR="000F20B3">
        <w:instrText xml:space="preserve"> REF _Ref432080309 \r \h </w:instrText>
      </w:r>
      <w:r w:rsidR="000F20B3">
        <w:fldChar w:fldCharType="separate"/>
      </w:r>
      <w:proofErr w:type="gramStart"/>
      <w:r w:rsidR="00E01BE0">
        <w:t>A</w:t>
      </w:r>
      <w:proofErr w:type="gramEnd"/>
      <w:r w:rsidR="000F20B3">
        <w:fldChar w:fldCharType="end"/>
      </w:r>
      <w:r w:rsidR="008E5298">
        <w:t xml:space="preserve"> sets out the approved 2015–16</w:t>
      </w:r>
      <w:r w:rsidR="008E5298" w:rsidRPr="008E5298">
        <w:t xml:space="preserve"> labour rate</w:t>
      </w:r>
      <w:r w:rsidR="008E5298">
        <w:t xml:space="preserve">s </w:t>
      </w:r>
      <w:r w:rsidR="008E5298" w:rsidRPr="00F14F5B">
        <w:t>for quoted services.</w:t>
      </w:r>
    </w:p>
    <w:p w:rsidR="002D3A76" w:rsidRPr="002D3A76" w:rsidRDefault="002D3A76" w:rsidP="002D3A76">
      <w:pPr>
        <w:pStyle w:val="Caption"/>
      </w:pPr>
      <w:bookmarkStart w:id="37" w:name="_Ref416342050"/>
      <w:proofErr w:type="gramStart"/>
      <w:r w:rsidRPr="002D3A76">
        <w:t xml:space="preserve">Figure </w:t>
      </w:r>
      <w:proofErr w:type="gramEnd"/>
      <w:r w:rsidR="00952838">
        <w:fldChar w:fldCharType="begin"/>
      </w:r>
      <w:r w:rsidR="00952838">
        <w:instrText xml:space="preserve"> STYLEREF 1 \s </w:instrText>
      </w:r>
      <w:r w:rsidR="00952838">
        <w:fldChar w:fldCharType="separate"/>
      </w:r>
      <w:r w:rsidR="00F91916">
        <w:rPr>
          <w:noProof/>
        </w:rPr>
        <w:t>16</w:t>
      </w:r>
      <w:r w:rsidR="00952838">
        <w:rPr>
          <w:noProof/>
        </w:rPr>
        <w:fldChar w:fldCharType="end"/>
      </w:r>
      <w:proofErr w:type="gramStart"/>
      <w:r w:rsidR="00F91916">
        <w:t>.</w:t>
      </w:r>
      <w:proofErr w:type="gramEnd"/>
      <w:r w:rsidR="00F91916">
        <w:fldChar w:fldCharType="begin"/>
      </w:r>
      <w:r w:rsidR="00F91916">
        <w:instrText xml:space="preserve"> SEQ Figure \* ARABIC \s 1 </w:instrText>
      </w:r>
      <w:r w:rsidR="00F91916">
        <w:fldChar w:fldCharType="separate"/>
      </w:r>
      <w:r w:rsidR="00F91916">
        <w:rPr>
          <w:noProof/>
        </w:rPr>
        <w:t>3</w:t>
      </w:r>
      <w:r w:rsidR="00F91916">
        <w:fldChar w:fldCharType="end"/>
      </w:r>
      <w:bookmarkEnd w:id="37"/>
      <w:r w:rsidRPr="002D3A76">
        <w:t xml:space="preserve"> Quoted services formula</w:t>
      </w:r>
    </w:p>
    <w:p w:rsidR="002D3A76" w:rsidRPr="002D3A76" w:rsidRDefault="002D3A76" w:rsidP="002D3A76">
      <m:oMathPara>
        <m:oMathParaPr>
          <m:jc m:val="left"/>
        </m:oMathParaPr>
        <m:oMath>
          <m:r>
            <w:rPr>
              <w:rFonts w:ascii="Cambria Math" w:hAnsi="Cambria Math"/>
            </w:rPr>
            <m:t>Price=Labour+Contractor Services+Materials+Capital Allowance</m:t>
          </m:r>
        </m:oMath>
      </m:oMathPara>
    </w:p>
    <w:p w:rsidR="002D3A76" w:rsidRPr="002D3A76" w:rsidRDefault="00A91109" w:rsidP="002D3A76">
      <w:proofErr w:type="gramStart"/>
      <w:r>
        <w:lastRenderedPageBreak/>
        <w:t>w</w:t>
      </w:r>
      <w:r w:rsidR="002D3A76" w:rsidRPr="002D3A76">
        <w:t>here</w:t>
      </w:r>
      <w:proofErr w:type="gramEnd"/>
      <w:r w:rsidR="002D3A76" w:rsidRPr="002D3A76">
        <w:t>:</w:t>
      </w:r>
    </w:p>
    <w:p w:rsidR="00A91109" w:rsidRDefault="002D3A76" w:rsidP="002D3A76">
      <m:oMath>
        <m:r>
          <w:rPr>
            <w:rFonts w:ascii="Cambria Math" w:hAnsi="Cambria Math"/>
          </w:rPr>
          <m:t>Labour</m:t>
        </m:r>
      </m:oMath>
      <w:r w:rsidRPr="002D3A76">
        <w:t xml:space="preserve"> </w:t>
      </w:r>
      <w:proofErr w:type="gramStart"/>
      <w:r w:rsidRPr="002D3A76">
        <w:t>consists</w:t>
      </w:r>
      <w:proofErr w:type="gramEnd"/>
      <w:r w:rsidRPr="002D3A76">
        <w:t xml:space="preserve"> of all labour costs directly incurred in the provision of the service which may include labour on-costs, fleet on-costs and overheads. </w:t>
      </w:r>
      <w:r w:rsidR="00A91109">
        <w:t>From 2016–17, base l</w:t>
      </w:r>
      <w:r w:rsidRPr="002D3A76">
        <w:t>abour is escalated annually by (1+∆CPI</w:t>
      </w:r>
      <w:r w:rsidRPr="002D3A76">
        <w:rPr>
          <w:rStyle w:val="AERsubscript"/>
        </w:rPr>
        <w:t>t</w:t>
      </w:r>
      <w:proofErr w:type="gramStart"/>
      <w:r w:rsidRPr="002D3A76">
        <w:t>)</w:t>
      </w:r>
      <w:r w:rsidR="00B426DC" w:rsidRPr="002D3A76">
        <w:t>(</w:t>
      </w:r>
      <w:proofErr w:type="gramEnd"/>
      <w:r w:rsidR="00B426DC" w:rsidRPr="002D3A76">
        <w:t>1</w:t>
      </w:r>
      <w:r w:rsidR="00B426DC">
        <w:t>–</w:t>
      </w:r>
      <w:r w:rsidR="00B426DC" w:rsidRPr="002D3A76">
        <w:t>X</w:t>
      </w:r>
      <w:r w:rsidR="00B426DC" w:rsidRPr="002D3A76">
        <w:rPr>
          <w:rStyle w:val="AERsubscript"/>
        </w:rPr>
        <w:t>t</w:t>
      </w:r>
      <w:r w:rsidR="00B426DC" w:rsidRPr="002D3A76">
        <w:t>)</w:t>
      </w:r>
      <w:r w:rsidR="00A91109">
        <w:t>,where:</w:t>
      </w:r>
    </w:p>
    <w:p w:rsidR="00A91109" w:rsidRPr="00A91109" w:rsidRDefault="00A91109" w:rsidP="00F60C36">
      <w:pPr>
        <w:pStyle w:val="ListContinue"/>
      </w:pPr>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A91109">
        <w:t xml:space="preserve"> </w:t>
      </w:r>
      <w:r w:rsidRPr="00A91109">
        <w:tab/>
        <w:t>is the annual percentage change in the ABS CPI All Groups, Weighted Average of Eight Capital Cities</w:t>
      </w:r>
      <w:r w:rsidRPr="00A91109">
        <w:rPr>
          <w:rStyle w:val="FootnoteReference"/>
        </w:rPr>
        <w:footnoteReference w:id="12"/>
      </w:r>
      <w:r w:rsidRPr="00A91109">
        <w:t xml:space="preserve"> from the December quarter in year t–2 to the December quarter in year t–1, calculated using the following method:</w:t>
      </w:r>
    </w:p>
    <w:p w:rsidR="00A91109" w:rsidRPr="00A91109" w:rsidRDefault="00A91109" w:rsidP="00F60C36">
      <w:pPr>
        <w:pStyle w:val="ListContinue2"/>
      </w:pPr>
      <w:r w:rsidRPr="00A91109">
        <w:t>The ABS CPI All Groups, Weighted Average of Eight Capital Cities for the December quarter in regulatory year t–1</w:t>
      </w:r>
    </w:p>
    <w:p w:rsidR="00A91109" w:rsidRPr="00A91109" w:rsidRDefault="00A91109" w:rsidP="00F60C36">
      <w:pPr>
        <w:pStyle w:val="ListContinue2"/>
      </w:pPr>
      <w:r w:rsidRPr="00A91109">
        <w:t>divided by</w:t>
      </w:r>
    </w:p>
    <w:p w:rsidR="00A91109" w:rsidRPr="00A91109" w:rsidRDefault="00A91109" w:rsidP="00F60C36">
      <w:pPr>
        <w:pStyle w:val="ListContinue2"/>
      </w:pPr>
      <w:r w:rsidRPr="00A91109">
        <w:t>The ABS CPI All Groups, Weighted Average of Eight Capital Cities for the December quarter in regulatory year t–2</w:t>
      </w:r>
    </w:p>
    <w:p w:rsidR="00A91109" w:rsidRPr="00A91109" w:rsidRDefault="00A91109" w:rsidP="00F60C36">
      <w:pPr>
        <w:pStyle w:val="ListContinue2"/>
      </w:pPr>
      <w:proofErr w:type="gramStart"/>
      <w:r w:rsidRPr="00A91109">
        <w:t>minus</w:t>
      </w:r>
      <w:proofErr w:type="gramEnd"/>
      <w:r w:rsidRPr="00A91109">
        <w:t xml:space="preserve"> one.</w:t>
      </w:r>
    </w:p>
    <w:p w:rsidR="002D3A76" w:rsidRDefault="00A91109" w:rsidP="00F60C36">
      <w:pPr>
        <w:pStyle w:val="ListContinue"/>
      </w:pPr>
      <w:r w:rsidRPr="00A91109">
        <w:t>For example, for the 2016–17 year, t–2 is the December quarter 2014 and t–1 is the December quarter 2015 and in the 2017–18 year, t–2 is the December quarter 2015 and t–1 is the December quarter 2016 and so on.</w:t>
      </w:r>
    </w:p>
    <w:p w:rsidR="00B426DC" w:rsidRPr="002D3A76" w:rsidRDefault="00BC51BE" w:rsidP="00F60C36">
      <w:pPr>
        <w:pStyle w:val="ListContinue"/>
      </w:pPr>
      <m:oMath>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oMath>
      <w:r w:rsidR="00B426DC">
        <w:t xml:space="preserve"> </w:t>
      </w:r>
      <w:r w:rsidR="00B426DC">
        <w:tab/>
      </w:r>
      <w:r w:rsidR="00B426DC">
        <w:tab/>
      </w:r>
      <w:proofErr w:type="gramStart"/>
      <w:r w:rsidR="00B426DC">
        <w:t>is</w:t>
      </w:r>
      <w:proofErr w:type="gramEnd"/>
      <w:r w:rsidR="00B426DC">
        <w:t xml:space="preserve"> the X </w:t>
      </w:r>
      <w:r w:rsidR="00B426DC" w:rsidRPr="00A91109">
        <w:t>factor for service i in year t</w:t>
      </w:r>
      <w:r w:rsidR="00B426DC">
        <w:t>,</w:t>
      </w:r>
      <w:r w:rsidR="00B426DC" w:rsidRPr="00A91109">
        <w:t xml:space="preserve"> as set out in </w:t>
      </w:r>
      <w:r w:rsidR="00B426DC" w:rsidRPr="00A91109">
        <w:fldChar w:fldCharType="begin"/>
      </w:r>
      <w:r w:rsidR="00B426DC" w:rsidRPr="00A91109">
        <w:instrText xml:space="preserve"> REF  _Ref410636364 \* Lower \h </w:instrText>
      </w:r>
      <w:r w:rsidR="00B426DC">
        <w:instrText xml:space="preserve"> \* MERGEFORMAT </w:instrText>
      </w:r>
      <w:r w:rsidR="00B426DC" w:rsidRPr="00A91109">
        <w:fldChar w:fldCharType="separate"/>
      </w:r>
      <w:r w:rsidR="00E01BE0" w:rsidRPr="002D3A76">
        <w:t xml:space="preserve">table </w:t>
      </w:r>
      <w:r w:rsidR="00E01BE0">
        <w:t>16.4</w:t>
      </w:r>
      <w:r w:rsidR="00B426DC" w:rsidRPr="00A91109">
        <w:fldChar w:fldCharType="end"/>
      </w:r>
      <w:r w:rsidR="00B426DC">
        <w:t>.</w:t>
      </w:r>
    </w:p>
    <w:p w:rsidR="002D3A76" w:rsidRPr="002D3A76" w:rsidRDefault="002D3A76" w:rsidP="002D3A76">
      <m:oMath>
        <m:r>
          <w:rPr>
            <w:rFonts w:ascii="Cambria Math" w:hAnsi="Cambria Math"/>
          </w:rPr>
          <m:t xml:space="preserve">Contractor Services </m:t>
        </m:r>
      </m:oMath>
      <w:r w:rsidRPr="002D3A76">
        <w:tab/>
      </w:r>
      <w:proofErr w:type="gramStart"/>
      <w:r w:rsidR="00464B2C">
        <w:t>consists</w:t>
      </w:r>
      <w:proofErr w:type="gramEnd"/>
      <w:r w:rsidR="00464B2C">
        <w:t xml:space="preserve"> of</w:t>
      </w:r>
      <w:r w:rsidR="00464B2C" w:rsidRPr="002D3A76">
        <w:t xml:space="preserve"> </w:t>
      </w:r>
      <w:r w:rsidRPr="002D3A76">
        <w:t>all costs associated with the use of external labour including overheads and any direct costs incurred. The contracted services charge applies the rates under existing contractual arrangements. Direct costs incurred are passed on to the customer.</w:t>
      </w:r>
    </w:p>
    <w:p w:rsidR="002D3A76" w:rsidRPr="002D3A76" w:rsidRDefault="002D3A76" w:rsidP="002D3A76">
      <m:oMath>
        <m:r>
          <w:rPr>
            <w:rFonts w:ascii="Cambria Math" w:hAnsi="Cambria Math"/>
          </w:rPr>
          <m:t>Materials</m:t>
        </m:r>
      </m:oMath>
      <w:r w:rsidRPr="002D3A76">
        <w:tab/>
      </w:r>
      <w:proofErr w:type="gramStart"/>
      <w:r w:rsidR="00464B2C">
        <w:t>consists</w:t>
      </w:r>
      <w:proofErr w:type="gramEnd"/>
      <w:r w:rsidR="00464B2C">
        <w:t xml:space="preserve"> of</w:t>
      </w:r>
      <w:r w:rsidR="00464B2C" w:rsidRPr="002D3A76">
        <w:t xml:space="preserve"> </w:t>
      </w:r>
      <w:r w:rsidRPr="002D3A76">
        <w:t>the cost of materials directly incurred in the provision of the service, material storage and logistics on-costs and overheads.</w:t>
      </w:r>
    </w:p>
    <w:p w:rsidR="002D3A76" w:rsidRPr="002D3A76" w:rsidRDefault="002D3A76" w:rsidP="002D3A76">
      <m:oMath>
        <m:r>
          <w:rPr>
            <w:rFonts w:ascii="Cambria Math" w:hAnsi="Cambria Math"/>
          </w:rPr>
          <m:t>Capital Allowance</m:t>
        </m:r>
      </m:oMath>
      <w:r w:rsidRPr="002D3A76">
        <w:t xml:space="preserve"> </w:t>
      </w:r>
      <w:proofErr w:type="gramStart"/>
      <w:r w:rsidRPr="002D3A76">
        <w:t>represents</w:t>
      </w:r>
      <w:proofErr w:type="gramEnd"/>
      <w:r w:rsidRPr="002D3A76">
        <w:t xml:space="preserve"> a return on and return of capital for non-system assets.</w:t>
      </w:r>
    </w:p>
    <w:p w:rsidR="00FE47E1" w:rsidRDefault="00FE47E1" w:rsidP="00FE47E1">
      <w:pPr>
        <w:pStyle w:val="Heading3"/>
      </w:pPr>
      <w:bookmarkStart w:id="38" w:name="_Toc433365993"/>
      <w:r>
        <w:t>Ergon Energy's revised proposal</w:t>
      </w:r>
      <w:bookmarkEnd w:id="38"/>
    </w:p>
    <w:p w:rsidR="001E2E78" w:rsidRDefault="0002238E" w:rsidP="0002238E">
      <w:r w:rsidRPr="00C550FF">
        <w:t>Ergon Energy</w:t>
      </w:r>
      <w:r w:rsidR="00BA335E">
        <w:t>'s revised</w:t>
      </w:r>
      <w:r w:rsidRPr="00C550FF">
        <w:t xml:space="preserve"> propos</w:t>
      </w:r>
      <w:r w:rsidR="00BA335E">
        <w:t>al</w:t>
      </w:r>
      <w:r w:rsidRPr="00C550FF">
        <w:t xml:space="preserve"> </w:t>
      </w:r>
      <w:r w:rsidR="003B16A4">
        <w:t>generally accepted our preliminary decision on ancillary network services.</w:t>
      </w:r>
      <w:r w:rsidR="003B16A4">
        <w:rPr>
          <w:rStyle w:val="FootnoteReference"/>
        </w:rPr>
        <w:footnoteReference w:id="13"/>
      </w:r>
      <w:r w:rsidR="001E2E78">
        <w:t xml:space="preserve"> </w:t>
      </w:r>
      <w:r w:rsidR="00891F5B">
        <w:t>It</w:t>
      </w:r>
      <w:r w:rsidR="00891F5B" w:rsidRPr="00891F5B">
        <w:t xml:space="preserve"> accepted the application of price caps for these services</w:t>
      </w:r>
      <w:r w:rsidR="00891F5B">
        <w:t xml:space="preserve"> and </w:t>
      </w:r>
      <w:r w:rsidR="008E5A14">
        <w:t>our</w:t>
      </w:r>
      <w:r w:rsidR="00566F6B">
        <w:t xml:space="preserve"> approach to assessing and determining </w:t>
      </w:r>
      <w:r w:rsidR="00E359E3">
        <w:t xml:space="preserve">its </w:t>
      </w:r>
      <w:r w:rsidR="00566F6B">
        <w:t>prices</w:t>
      </w:r>
      <w:r w:rsidR="00891F5B" w:rsidRPr="00891F5B">
        <w:t>.</w:t>
      </w:r>
      <w:r w:rsidR="00891F5B" w:rsidRPr="00F60C36">
        <w:rPr>
          <w:rStyle w:val="FootnoteReference"/>
        </w:rPr>
        <w:footnoteReference w:id="14"/>
      </w:r>
      <w:r w:rsidR="00566F6B">
        <w:t xml:space="preserve"> H</w:t>
      </w:r>
      <w:r w:rsidR="007C21B7">
        <w:t>owever, Ergon Energy</w:t>
      </w:r>
      <w:r w:rsidR="00F67142">
        <w:t>'s</w:t>
      </w:r>
      <w:r w:rsidR="001E2E78">
        <w:t xml:space="preserve"> revised proposal </w:t>
      </w:r>
      <w:r w:rsidR="007C21B7">
        <w:t>contained:</w:t>
      </w:r>
    </w:p>
    <w:p w:rsidR="00DB2E14" w:rsidRDefault="007C21B7" w:rsidP="00F60C36">
      <w:pPr>
        <w:pStyle w:val="AERbulletlistfirststyle"/>
      </w:pPr>
      <w:r>
        <w:t xml:space="preserve">2015–16 prices to reflect those </w:t>
      </w:r>
      <w:r w:rsidR="008E5A14">
        <w:t>approved by the AER in Ergon Energy's</w:t>
      </w:r>
      <w:r>
        <w:t xml:space="preserve"> 2015–16 pricing proposal which differ from those in the AER's preliminary decision</w:t>
      </w:r>
      <w:r w:rsidR="00566F6B">
        <w:t xml:space="preserve"> </w:t>
      </w:r>
    </w:p>
    <w:p w:rsidR="001E2E78" w:rsidRDefault="001E2E78" w:rsidP="00F60C36">
      <w:pPr>
        <w:pStyle w:val="AERbulletlistfirststyle"/>
      </w:pPr>
      <w:r>
        <w:lastRenderedPageBreak/>
        <w:t>updated X factors to reflect its forecast real cost escalators</w:t>
      </w:r>
    </w:p>
    <w:p w:rsidR="001E2E78" w:rsidRDefault="003103B3" w:rsidP="00F60C36">
      <w:pPr>
        <w:pStyle w:val="AERbulletlistfirststyle"/>
      </w:pPr>
      <w:r>
        <w:t>eight upfront capital charges</w:t>
      </w:r>
      <w:r w:rsidR="001E2E78">
        <w:t xml:space="preserve"> for the installation and provision of type 5 and 6 meters on or after 1 July 2015 (during business hours)</w:t>
      </w:r>
    </w:p>
    <w:p w:rsidR="001E2E78" w:rsidRDefault="001E2E78" w:rsidP="00F60C36">
      <w:pPr>
        <w:pStyle w:val="AERbulletlistfirststyle"/>
      </w:pPr>
      <w:r>
        <w:t>one new quoted service for the installation and provision of type 5 and 6 meters on or after 1 July 2015 (after hours)</w:t>
      </w:r>
    </w:p>
    <w:p w:rsidR="000B17AC" w:rsidRDefault="001E2E78" w:rsidP="00F60C36">
      <w:pPr>
        <w:pStyle w:val="AERbulletlistfirststyle"/>
      </w:pPr>
      <w:proofErr w:type="gramStart"/>
      <w:r>
        <w:t>minor</w:t>
      </w:r>
      <w:proofErr w:type="gramEnd"/>
      <w:r>
        <w:t xml:space="preserve"> changes to the descriptions of some formula components for clarity.</w:t>
      </w:r>
      <w:r w:rsidR="007C21B7">
        <w:rPr>
          <w:rStyle w:val="FootnoteReference"/>
        </w:rPr>
        <w:footnoteReference w:id="15"/>
      </w:r>
    </w:p>
    <w:p w:rsidR="007C21B7" w:rsidRDefault="007C21B7" w:rsidP="00F60C36">
      <w:r>
        <w:t xml:space="preserve">Ergon Energy also stated it does not support collectively referring to </w:t>
      </w:r>
      <w:r w:rsidRPr="007C21B7">
        <w:t>fee based services and quoted services as ancillary network services</w:t>
      </w:r>
      <w:r>
        <w:t>.</w:t>
      </w:r>
      <w:r>
        <w:rPr>
          <w:rStyle w:val="FootnoteReference"/>
        </w:rPr>
        <w:footnoteReference w:id="16"/>
      </w:r>
    </w:p>
    <w:p w:rsidR="003103B3" w:rsidRDefault="003103B3" w:rsidP="003103B3">
      <w:r>
        <w:t>With regard to the eight upfront capital charge</w:t>
      </w:r>
      <w:r w:rsidR="00700984">
        <w:t>s</w:t>
      </w:r>
      <w:r>
        <w:t>, Ergon Energy's revised proposal:</w:t>
      </w:r>
    </w:p>
    <w:p w:rsidR="003103B3" w:rsidRDefault="003103B3" w:rsidP="003103B3">
      <w:pPr>
        <w:pStyle w:val="AERbulletlistfirststyle"/>
      </w:pPr>
      <w:r>
        <w:t>applied the pricing structure set out in our preliminary decision</w:t>
      </w:r>
      <w:r>
        <w:rPr>
          <w:rStyle w:val="FootnoteReference"/>
        </w:rPr>
        <w:footnoteReference w:id="17"/>
      </w:r>
      <w:r>
        <w:t xml:space="preserve"> </w:t>
      </w:r>
    </w:p>
    <w:p w:rsidR="003103B3" w:rsidRDefault="003103B3" w:rsidP="003103B3">
      <w:pPr>
        <w:pStyle w:val="AERbulletlistfirststyle"/>
      </w:pPr>
      <w:r>
        <w:t>rejected our preliminary decision not accepting separate charges for urban and rural customers</w:t>
      </w:r>
      <w:r>
        <w:rPr>
          <w:rStyle w:val="FootnoteReference"/>
        </w:rPr>
        <w:footnoteReference w:id="18"/>
      </w:r>
    </w:p>
    <w:p w:rsidR="003103B3" w:rsidRDefault="003103B3" w:rsidP="003103B3">
      <w:pPr>
        <w:pStyle w:val="AERbulletlistfirststyle"/>
      </w:pPr>
      <w:proofErr w:type="gramStart"/>
      <w:r>
        <w:t>put</w:t>
      </w:r>
      <w:proofErr w:type="gramEnd"/>
      <w:r>
        <w:t xml:space="preserve"> forward additional upfront capital charges for the installation or upgrade of a site with a current transformer (CT) meter.</w:t>
      </w:r>
      <w:r>
        <w:rPr>
          <w:rStyle w:val="FootnoteReference"/>
        </w:rPr>
        <w:footnoteReference w:id="19"/>
      </w:r>
      <w:r>
        <w:t xml:space="preserve">  </w:t>
      </w:r>
    </w:p>
    <w:p w:rsidR="003103B3" w:rsidRDefault="003103B3" w:rsidP="003103B3">
      <w:r>
        <w:t>The pricing structure specified in our preliminary decision provided that the cost of all new and upgraded meters installed from 1 July 2015 will be recovered from customers upfront.</w:t>
      </w:r>
      <w:r>
        <w:rPr>
          <w:rStyle w:val="FootnoteReference"/>
        </w:rPr>
        <w:footnoteReference w:id="20"/>
      </w:r>
      <w:r>
        <w:t xml:space="preserve"> Ergon Energy applied this aspect of our preliminary decision.</w:t>
      </w:r>
      <w:r>
        <w:rPr>
          <w:rStyle w:val="FootnoteReference"/>
        </w:rPr>
        <w:footnoteReference w:id="21"/>
      </w:r>
      <w:r>
        <w:t xml:space="preserve"> </w:t>
      </w:r>
      <w:r>
        <w:fldChar w:fldCharType="begin"/>
      </w:r>
      <w:r>
        <w:instrText xml:space="preserve"> REF _Ref425842789 \h </w:instrText>
      </w:r>
      <w:r>
        <w:fldChar w:fldCharType="separate"/>
      </w:r>
      <w:r w:rsidR="00E01BE0">
        <w:t xml:space="preserve">Table </w:t>
      </w:r>
      <w:r w:rsidR="00E01BE0">
        <w:rPr>
          <w:noProof/>
        </w:rPr>
        <w:t>16</w:t>
      </w:r>
      <w:r w:rsidR="00E01BE0">
        <w:t>.</w:t>
      </w:r>
      <w:r w:rsidR="00E01BE0">
        <w:rPr>
          <w:noProof/>
        </w:rPr>
        <w:t>5</w:t>
      </w:r>
      <w:r>
        <w:fldChar w:fldCharType="end"/>
      </w:r>
      <w:r>
        <w:t xml:space="preserve"> sets out the revised upfront capital charges put forward in its revised proposal, which Ergon Energy disaggregated according to urban and rural locations.</w:t>
      </w:r>
    </w:p>
    <w:p w:rsidR="00BC709D" w:rsidRDefault="00BC709D" w:rsidP="003103B3"/>
    <w:p w:rsidR="003103B3" w:rsidRDefault="003103B3" w:rsidP="003103B3">
      <w:pPr>
        <w:pStyle w:val="Caption"/>
      </w:pPr>
      <w:bookmarkStart w:id="39" w:name="_Ref425842789"/>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5</w:t>
      </w:r>
      <w:r w:rsidR="00674D47">
        <w:fldChar w:fldCharType="end"/>
      </w:r>
      <w:bookmarkEnd w:id="39"/>
      <w:r>
        <w:t xml:space="preserve"> </w:t>
      </w:r>
      <w:r>
        <w:tab/>
        <w:t>Revised upfront capital charges ($2015–16)</w:t>
      </w:r>
    </w:p>
    <w:tbl>
      <w:tblPr>
        <w:tblStyle w:val="AERtable-numbers"/>
        <w:tblW w:w="0" w:type="auto"/>
        <w:tblLook w:val="04A0" w:firstRow="1" w:lastRow="0" w:firstColumn="1" w:lastColumn="0" w:noHBand="0" w:noVBand="1"/>
      </w:tblPr>
      <w:tblGrid>
        <w:gridCol w:w="4312"/>
        <w:gridCol w:w="89"/>
        <w:gridCol w:w="4224"/>
      </w:tblGrid>
      <w:tr w:rsidR="003103B3" w:rsidTr="00206645">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401" w:type="dxa"/>
            <w:gridSpan w:val="2"/>
          </w:tcPr>
          <w:p w:rsidR="003103B3" w:rsidRPr="003103B3" w:rsidRDefault="003103B3" w:rsidP="003103B3">
            <w:r>
              <w:t>Meter</w:t>
            </w:r>
          </w:p>
        </w:tc>
        <w:tc>
          <w:tcPr>
            <w:tcW w:w="4224" w:type="dxa"/>
          </w:tcPr>
          <w:p w:rsidR="003103B3" w:rsidRPr="003103B3" w:rsidRDefault="003103B3" w:rsidP="003103B3">
            <w:pPr>
              <w:cnfStyle w:val="100000000000" w:firstRow="1" w:lastRow="0" w:firstColumn="0" w:lastColumn="0" w:oddVBand="0" w:evenVBand="0" w:oddHBand="0" w:evenHBand="0" w:firstRowFirstColumn="0" w:firstRowLastColumn="0" w:lastRowFirstColumn="0" w:lastRowLastColumn="0"/>
            </w:pPr>
            <w:r>
              <w:t xml:space="preserve">Revised </w:t>
            </w:r>
            <w:r w:rsidRPr="003103B3">
              <w:t>proposal</w:t>
            </w:r>
          </w:p>
        </w:tc>
      </w:tr>
      <w:tr w:rsidR="003103B3" w:rsidTr="00E01BE0">
        <w:trPr>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Pr="003103B3" w:rsidRDefault="003103B3" w:rsidP="003103B3">
            <w:pPr>
              <w:rPr>
                <w:rStyle w:val="Strong"/>
              </w:rPr>
            </w:pPr>
            <w:r w:rsidRPr="003333BA">
              <w:rPr>
                <w:rStyle w:val="Strong"/>
              </w:rPr>
              <w:t>Direct Current</w:t>
            </w:r>
          </w:p>
        </w:tc>
        <w:tc>
          <w:tcPr>
            <w:tcW w:w="4313" w:type="dxa"/>
            <w:gridSpan w:val="2"/>
          </w:tcPr>
          <w:p w:rsidR="003103B3" w:rsidRDefault="003103B3" w:rsidP="003103B3">
            <w:pPr>
              <w:cnfStyle w:val="000000000000" w:firstRow="0" w:lastRow="0" w:firstColumn="0" w:lastColumn="0" w:oddVBand="0" w:evenVBand="0" w:oddHBand="0" w:evenHBand="0" w:firstRowFirstColumn="0" w:firstRowLastColumn="0" w:lastRowFirstColumn="0" w:lastRowLastColumn="0"/>
            </w:pPr>
          </w:p>
        </w:tc>
      </w:tr>
      <w:tr w:rsidR="003103B3" w:rsidTr="00E01BE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Pr="003103B3" w:rsidRDefault="003103B3" w:rsidP="00B426DC">
            <w:r>
              <w:t>Single Element, Single Phase –</w:t>
            </w:r>
            <w:r w:rsidR="00B426DC">
              <w:t xml:space="preserve"> </w:t>
            </w:r>
            <w:r>
              <w:t>Urban</w:t>
            </w:r>
          </w:p>
        </w:tc>
        <w:tc>
          <w:tcPr>
            <w:tcW w:w="4313" w:type="dxa"/>
            <w:gridSpan w:val="2"/>
          </w:tcPr>
          <w:p w:rsidR="003103B3" w:rsidRPr="003103B3" w:rsidRDefault="003103B3" w:rsidP="003103B3">
            <w:pPr>
              <w:cnfStyle w:val="000000010000" w:firstRow="0" w:lastRow="0" w:firstColumn="0" w:lastColumn="0" w:oddVBand="0" w:evenVBand="0" w:oddHBand="0" w:evenHBand="1" w:firstRowFirstColumn="0" w:firstRowLastColumn="0" w:lastRowFirstColumn="0" w:lastRowLastColumn="0"/>
            </w:pPr>
            <w:r>
              <w:t>331.70</w:t>
            </w:r>
          </w:p>
        </w:tc>
      </w:tr>
      <w:tr w:rsidR="003103B3" w:rsidTr="00E01BE0">
        <w:trPr>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Default="003103B3" w:rsidP="00B426DC">
            <w:r>
              <w:t>Single Element, Single Phase</w:t>
            </w:r>
            <w:r w:rsidRPr="003103B3">
              <w:t xml:space="preserve"> – </w:t>
            </w:r>
            <w:r>
              <w:t>Rural</w:t>
            </w:r>
          </w:p>
        </w:tc>
        <w:tc>
          <w:tcPr>
            <w:tcW w:w="4313" w:type="dxa"/>
            <w:gridSpan w:val="2"/>
          </w:tcPr>
          <w:p w:rsidR="003103B3" w:rsidRPr="003103B3" w:rsidRDefault="003103B3" w:rsidP="003103B3">
            <w:pPr>
              <w:cnfStyle w:val="000000000000" w:firstRow="0" w:lastRow="0" w:firstColumn="0" w:lastColumn="0" w:oddVBand="0" w:evenVBand="0" w:oddHBand="0" w:evenHBand="0" w:firstRowFirstColumn="0" w:firstRowLastColumn="0" w:lastRowFirstColumn="0" w:lastRowLastColumn="0"/>
            </w:pPr>
            <w:r>
              <w:t>514.25</w:t>
            </w:r>
          </w:p>
        </w:tc>
      </w:tr>
      <w:tr w:rsidR="003103B3" w:rsidTr="00E01BE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Pr="003103B3" w:rsidRDefault="003103B3" w:rsidP="00B426DC">
            <w:r>
              <w:t>Dual Element, Single Phase – Urban</w:t>
            </w:r>
          </w:p>
        </w:tc>
        <w:tc>
          <w:tcPr>
            <w:tcW w:w="4313" w:type="dxa"/>
            <w:gridSpan w:val="2"/>
          </w:tcPr>
          <w:p w:rsidR="003103B3" w:rsidRPr="003103B3" w:rsidRDefault="003103B3" w:rsidP="003103B3">
            <w:pPr>
              <w:cnfStyle w:val="000000010000" w:firstRow="0" w:lastRow="0" w:firstColumn="0" w:lastColumn="0" w:oddVBand="0" w:evenVBand="0" w:oddHBand="0" w:evenHBand="1" w:firstRowFirstColumn="0" w:firstRowLastColumn="0" w:lastRowFirstColumn="0" w:lastRowLastColumn="0"/>
            </w:pPr>
            <w:r>
              <w:t>406.27</w:t>
            </w:r>
          </w:p>
        </w:tc>
      </w:tr>
      <w:tr w:rsidR="003103B3" w:rsidTr="00E01BE0">
        <w:trPr>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Default="003103B3" w:rsidP="00B426DC">
            <w:r>
              <w:lastRenderedPageBreak/>
              <w:t>Dual Element, Single Phase</w:t>
            </w:r>
            <w:r w:rsidR="00B426DC">
              <w:t xml:space="preserve"> </w:t>
            </w:r>
            <w:r w:rsidRPr="003103B3">
              <w:t xml:space="preserve">– </w:t>
            </w:r>
            <w:r>
              <w:t>Rural</w:t>
            </w:r>
          </w:p>
        </w:tc>
        <w:tc>
          <w:tcPr>
            <w:tcW w:w="4313" w:type="dxa"/>
            <w:gridSpan w:val="2"/>
          </w:tcPr>
          <w:p w:rsidR="003103B3" w:rsidRPr="003103B3" w:rsidRDefault="003103B3" w:rsidP="003103B3">
            <w:pPr>
              <w:cnfStyle w:val="000000000000" w:firstRow="0" w:lastRow="0" w:firstColumn="0" w:lastColumn="0" w:oddVBand="0" w:evenVBand="0" w:oddHBand="0" w:evenHBand="0" w:firstRowFirstColumn="0" w:firstRowLastColumn="0" w:lastRowFirstColumn="0" w:lastRowLastColumn="0"/>
            </w:pPr>
            <w:r>
              <w:t>588.82</w:t>
            </w:r>
          </w:p>
        </w:tc>
      </w:tr>
      <w:tr w:rsidR="003103B3" w:rsidTr="00E01BE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Pr="003103B3" w:rsidRDefault="003103B3" w:rsidP="00B426DC">
            <w:r>
              <w:t>Polyphase –</w:t>
            </w:r>
            <w:r w:rsidR="00B426DC">
              <w:t xml:space="preserve"> </w:t>
            </w:r>
            <w:r>
              <w:t>Urban</w:t>
            </w:r>
          </w:p>
        </w:tc>
        <w:tc>
          <w:tcPr>
            <w:tcW w:w="4313" w:type="dxa"/>
            <w:gridSpan w:val="2"/>
          </w:tcPr>
          <w:p w:rsidR="003103B3" w:rsidRPr="003103B3" w:rsidRDefault="003103B3" w:rsidP="003103B3">
            <w:pPr>
              <w:cnfStyle w:val="000000010000" w:firstRow="0" w:lastRow="0" w:firstColumn="0" w:lastColumn="0" w:oddVBand="0" w:evenVBand="0" w:oddHBand="0" w:evenHBand="1" w:firstRowFirstColumn="0" w:firstRowLastColumn="0" w:lastRowFirstColumn="0" w:lastRowLastColumn="0"/>
            </w:pPr>
            <w:r>
              <w:t>510.66</w:t>
            </w:r>
          </w:p>
        </w:tc>
      </w:tr>
      <w:tr w:rsidR="003103B3" w:rsidTr="00E01BE0">
        <w:trPr>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Default="003103B3" w:rsidP="00B426DC">
            <w:r>
              <w:t>Polyphase</w:t>
            </w:r>
            <w:r w:rsidRPr="003103B3">
              <w:t xml:space="preserve"> – </w:t>
            </w:r>
            <w:r>
              <w:t>Rural</w:t>
            </w:r>
          </w:p>
        </w:tc>
        <w:tc>
          <w:tcPr>
            <w:tcW w:w="4313" w:type="dxa"/>
            <w:gridSpan w:val="2"/>
          </w:tcPr>
          <w:p w:rsidR="003103B3" w:rsidRPr="003103B3" w:rsidRDefault="003103B3" w:rsidP="003103B3">
            <w:pPr>
              <w:cnfStyle w:val="000000000000" w:firstRow="0" w:lastRow="0" w:firstColumn="0" w:lastColumn="0" w:oddVBand="0" w:evenVBand="0" w:oddHBand="0" w:evenHBand="0" w:firstRowFirstColumn="0" w:firstRowLastColumn="0" w:lastRowFirstColumn="0" w:lastRowLastColumn="0"/>
            </w:pPr>
            <w:r>
              <w:t>693.21</w:t>
            </w:r>
          </w:p>
        </w:tc>
      </w:tr>
      <w:tr w:rsidR="003103B3" w:rsidTr="00E01BE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Pr="003103B3" w:rsidRDefault="003103B3" w:rsidP="003103B3">
            <w:pPr>
              <w:rPr>
                <w:rStyle w:val="Strong"/>
              </w:rPr>
            </w:pPr>
            <w:r w:rsidRPr="003333BA">
              <w:rPr>
                <w:rStyle w:val="Strong"/>
              </w:rPr>
              <w:t>Current Transformer</w:t>
            </w:r>
          </w:p>
        </w:tc>
        <w:tc>
          <w:tcPr>
            <w:tcW w:w="4313" w:type="dxa"/>
            <w:gridSpan w:val="2"/>
          </w:tcPr>
          <w:p w:rsidR="003103B3" w:rsidRDefault="003103B3" w:rsidP="003103B3">
            <w:pPr>
              <w:cnfStyle w:val="000000010000" w:firstRow="0" w:lastRow="0" w:firstColumn="0" w:lastColumn="0" w:oddVBand="0" w:evenVBand="0" w:oddHBand="0" w:evenHBand="1" w:firstRowFirstColumn="0" w:firstRowLastColumn="0" w:lastRowFirstColumn="0" w:lastRowLastColumn="0"/>
            </w:pPr>
          </w:p>
        </w:tc>
      </w:tr>
      <w:tr w:rsidR="003103B3" w:rsidTr="00E01BE0">
        <w:trPr>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Pr="003103B3" w:rsidRDefault="003103B3" w:rsidP="00B426DC">
            <w:r>
              <w:t>Polyphase –</w:t>
            </w:r>
            <w:r w:rsidR="00B426DC">
              <w:t xml:space="preserve"> </w:t>
            </w:r>
            <w:r>
              <w:t>Urban</w:t>
            </w:r>
          </w:p>
        </w:tc>
        <w:tc>
          <w:tcPr>
            <w:tcW w:w="4313" w:type="dxa"/>
            <w:gridSpan w:val="2"/>
          </w:tcPr>
          <w:p w:rsidR="003103B3" w:rsidRPr="003103B3" w:rsidRDefault="00C06D25" w:rsidP="003103B3">
            <w:pPr>
              <w:cnfStyle w:val="000000000000" w:firstRow="0" w:lastRow="0" w:firstColumn="0" w:lastColumn="0" w:oddVBand="0" w:evenVBand="0" w:oddHBand="0" w:evenHBand="0" w:firstRowFirstColumn="0" w:firstRowLastColumn="0" w:lastRowFirstColumn="0" w:lastRowLastColumn="0"/>
            </w:pPr>
            <w:r>
              <w:t>2426</w:t>
            </w:r>
            <w:r w:rsidR="003103B3">
              <w:t>.06</w:t>
            </w:r>
          </w:p>
        </w:tc>
      </w:tr>
      <w:tr w:rsidR="003103B3" w:rsidTr="00E01BE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12" w:type="dxa"/>
          </w:tcPr>
          <w:p w:rsidR="003103B3" w:rsidRDefault="003103B3" w:rsidP="00B426DC">
            <w:r>
              <w:t>Polyphase</w:t>
            </w:r>
            <w:r w:rsidRPr="003103B3">
              <w:t xml:space="preserve"> –</w:t>
            </w:r>
            <w:r w:rsidR="00B426DC">
              <w:t xml:space="preserve"> </w:t>
            </w:r>
            <w:r>
              <w:t>Rural</w:t>
            </w:r>
          </w:p>
        </w:tc>
        <w:tc>
          <w:tcPr>
            <w:tcW w:w="4313" w:type="dxa"/>
            <w:gridSpan w:val="2"/>
          </w:tcPr>
          <w:p w:rsidR="003103B3" w:rsidRPr="003103B3" w:rsidRDefault="003103B3" w:rsidP="003103B3">
            <w:pPr>
              <w:cnfStyle w:val="000000010000" w:firstRow="0" w:lastRow="0" w:firstColumn="0" w:lastColumn="0" w:oddVBand="0" w:evenVBand="0" w:oddHBand="0" w:evenHBand="1" w:firstRowFirstColumn="0" w:firstRowLastColumn="0" w:lastRowFirstColumn="0" w:lastRowLastColumn="0"/>
            </w:pPr>
            <w:r>
              <w:t>2775.35</w:t>
            </w:r>
          </w:p>
        </w:tc>
      </w:tr>
    </w:tbl>
    <w:p w:rsidR="003103B3" w:rsidRDefault="003103B3" w:rsidP="003103B3">
      <w:pPr>
        <w:pStyle w:val="AERtablesource"/>
      </w:pPr>
      <w:r>
        <w:t>Source:</w:t>
      </w:r>
      <w:r>
        <w:tab/>
        <w:t xml:space="preserve">Ergon </w:t>
      </w:r>
      <w:proofErr w:type="gramStart"/>
      <w:r>
        <w:t>Energy,</w:t>
      </w:r>
      <w:proofErr w:type="gramEnd"/>
      <w:r>
        <w:t xml:space="preserve"> </w:t>
      </w:r>
      <w:r w:rsidRPr="000459F9">
        <w:rPr>
          <w:rStyle w:val="AERtextitalic"/>
        </w:rPr>
        <w:t>Revised regulatory proposal</w:t>
      </w:r>
      <w:r>
        <w:t>, July 2015, p. 71.</w:t>
      </w:r>
    </w:p>
    <w:p w:rsidR="00FE47E1" w:rsidRDefault="00FE47E1" w:rsidP="00FE47E1">
      <w:pPr>
        <w:pStyle w:val="Heading3"/>
      </w:pPr>
      <w:bookmarkStart w:id="40" w:name="_Ref428904013"/>
      <w:bookmarkStart w:id="41" w:name="_Toc433365994"/>
      <w:r>
        <w:t>Assessment approach</w:t>
      </w:r>
      <w:bookmarkEnd w:id="40"/>
      <w:bookmarkEnd w:id="41"/>
    </w:p>
    <w:p w:rsidR="00955971" w:rsidRDefault="00EA7F11" w:rsidP="00C052EC">
      <w:r>
        <w:t xml:space="preserve">Our </w:t>
      </w:r>
      <w:r w:rsidR="009E47FF">
        <w:t xml:space="preserve">preliminary decision sets out our </w:t>
      </w:r>
      <w:r>
        <w:t>approach</w:t>
      </w:r>
      <w:r w:rsidR="009E47FF">
        <w:t xml:space="preserve"> to</w:t>
      </w:r>
      <w:r>
        <w:t xml:space="preserve"> </w:t>
      </w:r>
      <w:r w:rsidR="00356128">
        <w:t>assessing</w:t>
      </w:r>
      <w:r w:rsidR="009E47FF">
        <w:t xml:space="preserve"> Ergon Energy's 2015–16 ancillary network prices</w:t>
      </w:r>
      <w:r w:rsidR="008A5D0B">
        <w:t xml:space="preserve">. </w:t>
      </w:r>
      <w:r w:rsidR="00356128">
        <w:t>The same approach has been maintained for our final decision</w:t>
      </w:r>
      <w:r w:rsidR="00186AAF">
        <w:t>. Particularly in assessing the new type 5 and 6 metering service prices contained in Ergon Energy's revised proposal</w:t>
      </w:r>
      <w:r w:rsidR="00356128">
        <w:t>.</w:t>
      </w:r>
      <w:r w:rsidR="00955971">
        <w:t xml:space="preserve"> This involved assessing the material and non–material (labour) inputs into the proposed charges. </w:t>
      </w:r>
    </w:p>
    <w:p w:rsidR="00356128" w:rsidRDefault="0041713E" w:rsidP="00C052EC">
      <w:r>
        <w:t xml:space="preserve">Our assessment of </w:t>
      </w:r>
      <w:r w:rsidR="005C0086">
        <w:t>labour price growth is</w:t>
      </w:r>
      <w:r>
        <w:t xml:space="preserve"> discussed in</w:t>
      </w:r>
      <w:r w:rsidR="00356128">
        <w:t xml:space="preserve"> </w:t>
      </w:r>
      <w:r w:rsidRPr="0041713E">
        <w:t>attachment 7—operating expenditure.</w:t>
      </w:r>
    </w:p>
    <w:p w:rsidR="00FE47E1" w:rsidRDefault="00FE47E1" w:rsidP="00FE47E1">
      <w:pPr>
        <w:pStyle w:val="Heading3"/>
      </w:pPr>
      <w:bookmarkStart w:id="42" w:name="_Ref428893860"/>
      <w:bookmarkStart w:id="43" w:name="_Toc433365995"/>
      <w:r>
        <w:t>Reason</w:t>
      </w:r>
      <w:r w:rsidR="00F07DC6">
        <w:t>s</w:t>
      </w:r>
      <w:r>
        <w:t xml:space="preserve"> for final decision</w:t>
      </w:r>
      <w:bookmarkEnd w:id="42"/>
      <w:bookmarkEnd w:id="43"/>
    </w:p>
    <w:p w:rsidR="00F60C36" w:rsidRDefault="00F60C36" w:rsidP="00DB2E14">
      <w:pPr>
        <w:pStyle w:val="Heading4"/>
      </w:pPr>
      <w:r>
        <w:t>2015–16 ancillary network service prices</w:t>
      </w:r>
    </w:p>
    <w:p w:rsidR="0041713E" w:rsidRDefault="00DB2E14" w:rsidP="00F60C36">
      <w:r>
        <w:t xml:space="preserve">We accept Ergon Energy's </w:t>
      </w:r>
      <w:r w:rsidR="00926EC2">
        <w:t xml:space="preserve">revised proposal to apply its AER approved 2015–16 pricing proposal prices </w:t>
      </w:r>
      <w:r w:rsidR="0041713E">
        <w:t xml:space="preserve">when determining the fee based services and quoted services prices for 2016–17 using the formulae in </w:t>
      </w:r>
      <w:r w:rsidR="0041713E">
        <w:fldChar w:fldCharType="begin"/>
      </w:r>
      <w:r w:rsidR="0041713E">
        <w:instrText xml:space="preserve"> REF  _Ref416342037 \* Lower \h </w:instrText>
      </w:r>
      <w:r w:rsidR="0041713E">
        <w:fldChar w:fldCharType="separate"/>
      </w:r>
      <w:r w:rsidR="00E01BE0" w:rsidRPr="002D3A76">
        <w:t xml:space="preserve">figure </w:t>
      </w:r>
      <w:r w:rsidR="00BC709D">
        <w:t>16.</w:t>
      </w:r>
      <w:r w:rsidR="00E01BE0">
        <w:rPr>
          <w:noProof/>
        </w:rPr>
        <w:t>2</w:t>
      </w:r>
      <w:r w:rsidR="0041713E">
        <w:fldChar w:fldCharType="end"/>
      </w:r>
      <w:r w:rsidR="0041713E">
        <w:t xml:space="preserve"> and </w:t>
      </w:r>
      <w:r w:rsidR="0041713E">
        <w:fldChar w:fldCharType="begin"/>
      </w:r>
      <w:r w:rsidR="0041713E">
        <w:instrText xml:space="preserve"> REF  _Ref416342050 \* Lower \h </w:instrText>
      </w:r>
      <w:r w:rsidR="0041713E">
        <w:fldChar w:fldCharType="separate"/>
      </w:r>
      <w:r w:rsidR="00E01BE0" w:rsidRPr="002D3A76">
        <w:t xml:space="preserve">figure </w:t>
      </w:r>
      <w:r w:rsidR="00BC709D">
        <w:t>16.</w:t>
      </w:r>
      <w:r w:rsidR="00E01BE0">
        <w:rPr>
          <w:noProof/>
        </w:rPr>
        <w:t>3</w:t>
      </w:r>
      <w:r w:rsidR="0041713E">
        <w:fldChar w:fldCharType="end"/>
      </w:r>
      <w:r w:rsidR="0041713E">
        <w:t xml:space="preserve">. </w:t>
      </w:r>
      <w:r w:rsidR="00F67142">
        <w:t xml:space="preserve">For transparency, these prices are set out in </w:t>
      </w:r>
      <w:r w:rsidR="00F67142">
        <w:fldChar w:fldCharType="begin"/>
      </w:r>
      <w:r w:rsidR="00F67142">
        <w:instrText xml:space="preserve"> REF  _Ref429746087 \* Lower \h </w:instrText>
      </w:r>
      <w:r w:rsidR="00F67142">
        <w:fldChar w:fldCharType="separate"/>
      </w:r>
      <w:r w:rsidR="00E01BE0">
        <w:t xml:space="preserve">table </w:t>
      </w:r>
      <w:r w:rsidR="00E01BE0">
        <w:rPr>
          <w:noProof/>
        </w:rPr>
        <w:t>16</w:t>
      </w:r>
      <w:r w:rsidR="00E01BE0">
        <w:t>.</w:t>
      </w:r>
      <w:r w:rsidR="00E01BE0">
        <w:rPr>
          <w:noProof/>
        </w:rPr>
        <w:t>16</w:t>
      </w:r>
      <w:r w:rsidR="00F67142">
        <w:fldChar w:fldCharType="end"/>
      </w:r>
      <w:r w:rsidR="00F67142">
        <w:t xml:space="preserve"> and </w:t>
      </w:r>
      <w:r w:rsidR="00F67142">
        <w:fldChar w:fldCharType="begin"/>
      </w:r>
      <w:r w:rsidR="00F67142">
        <w:instrText xml:space="preserve"> REF  _Ref429746132 \* Lower \h </w:instrText>
      </w:r>
      <w:r w:rsidR="00F67142">
        <w:fldChar w:fldCharType="separate"/>
      </w:r>
      <w:r w:rsidR="00E01BE0">
        <w:t xml:space="preserve">table </w:t>
      </w:r>
      <w:r w:rsidR="00E01BE0">
        <w:rPr>
          <w:noProof/>
        </w:rPr>
        <w:t>16</w:t>
      </w:r>
      <w:r w:rsidR="00E01BE0">
        <w:t>.</w:t>
      </w:r>
      <w:r w:rsidR="00E01BE0">
        <w:rPr>
          <w:noProof/>
        </w:rPr>
        <w:t>18</w:t>
      </w:r>
      <w:r w:rsidR="00F67142">
        <w:fldChar w:fldCharType="end"/>
      </w:r>
      <w:r w:rsidR="00F67142">
        <w:t xml:space="preserve"> in appendix </w:t>
      </w:r>
      <w:r w:rsidR="00F67142">
        <w:fldChar w:fldCharType="begin"/>
      </w:r>
      <w:r w:rsidR="00F67142">
        <w:instrText xml:space="preserve"> REF _Ref429739351 \r \h </w:instrText>
      </w:r>
      <w:r w:rsidR="00F67142">
        <w:fldChar w:fldCharType="separate"/>
      </w:r>
      <w:r w:rsidR="00E01BE0">
        <w:t>A.1</w:t>
      </w:r>
      <w:r w:rsidR="00F67142">
        <w:fldChar w:fldCharType="end"/>
      </w:r>
      <w:r w:rsidR="00F67142">
        <w:t>.</w:t>
      </w:r>
    </w:p>
    <w:p w:rsidR="001C2626" w:rsidRDefault="001C2626" w:rsidP="00F60C36">
      <w:r>
        <w:t>O</w:t>
      </w:r>
      <w:r w:rsidR="00926EC2">
        <w:t>ur preliminary decision set out</w:t>
      </w:r>
      <w:r w:rsidR="0041713E">
        <w:t xml:space="preserve"> the</w:t>
      </w:r>
      <w:r w:rsidR="00DB2E14">
        <w:t xml:space="preserve"> 2015–16 prices for Ergon</w:t>
      </w:r>
      <w:r w:rsidR="00504F23">
        <w:t> Energy's fee based services and labour rates for quoted services.</w:t>
      </w:r>
      <w:r w:rsidR="00504F23">
        <w:rPr>
          <w:rStyle w:val="FootnoteReference"/>
        </w:rPr>
        <w:footnoteReference w:id="22"/>
      </w:r>
      <w:r w:rsidR="00504F23">
        <w:t xml:space="preserve"> However, these prices were</w:t>
      </w:r>
      <w:r w:rsidR="0041713E">
        <w:t xml:space="preserve"> subsequently</w:t>
      </w:r>
      <w:r w:rsidR="00504F23">
        <w:t xml:space="preserve"> adjusted in Ergon Energy's 2015–16 pricing proposal to update for actual CPI, overhead</w:t>
      </w:r>
      <w:r w:rsidR="00926EC2">
        <w:t xml:space="preserve"> rates and labour on–cost rates. </w:t>
      </w:r>
      <w:r w:rsidR="0041713E">
        <w:t xml:space="preserve">We approved </w:t>
      </w:r>
      <w:r w:rsidR="00926EC2">
        <w:t>Ergon Energy's</w:t>
      </w:r>
      <w:r w:rsidR="0041713E">
        <w:t xml:space="preserve"> 2015–16</w:t>
      </w:r>
      <w:r w:rsidR="00926EC2">
        <w:t xml:space="preserve"> prici</w:t>
      </w:r>
      <w:r w:rsidR="0041713E">
        <w:t xml:space="preserve">ng proposal in </w:t>
      </w:r>
      <w:r w:rsidR="00F348C6">
        <w:t>June 2015</w:t>
      </w:r>
      <w:r>
        <w:t>.</w:t>
      </w:r>
    </w:p>
    <w:p w:rsidR="00F60C36" w:rsidRDefault="00F60C36" w:rsidP="00DB2E14">
      <w:pPr>
        <w:pStyle w:val="Heading4"/>
      </w:pPr>
      <w:r>
        <w:t>X factors</w:t>
      </w:r>
    </w:p>
    <w:p w:rsidR="00E359E3" w:rsidRDefault="00F60C36" w:rsidP="00F60C36">
      <w:r>
        <w:t>We do not accept Ergon Energy's revi</w:t>
      </w:r>
      <w:r w:rsidR="00DD59AA">
        <w:t>sed proposal X factors</w:t>
      </w:r>
      <w:r w:rsidR="000244DB">
        <w:t xml:space="preserve"> for fee based services</w:t>
      </w:r>
      <w:r w:rsidR="006E64B9">
        <w:t xml:space="preserve"> that are not an upfront capital charge</w:t>
      </w:r>
      <w:r w:rsidR="00DD59AA">
        <w:t>. We note the</w:t>
      </w:r>
      <w:r w:rsidR="006E64B9">
        <w:t>se</w:t>
      </w:r>
      <w:r w:rsidR="00DD59AA">
        <w:t xml:space="preserve"> X factors are appl</w:t>
      </w:r>
      <w:r w:rsidR="00AD60DD">
        <w:t>ied in the price cap formulae</w:t>
      </w:r>
      <w:r w:rsidR="00DD59AA">
        <w:t xml:space="preserve"> </w:t>
      </w:r>
      <w:r w:rsidR="005C0086">
        <w:t>for labour price growth</w:t>
      </w:r>
      <w:r w:rsidR="00DD59AA">
        <w:t>.</w:t>
      </w:r>
      <w:r w:rsidR="00120598">
        <w:t xml:space="preserve"> We have substituted in o</w:t>
      </w:r>
      <w:r w:rsidR="00DD59AA">
        <w:t xml:space="preserve">ur final decision </w:t>
      </w:r>
      <w:r w:rsidR="005C0086">
        <w:t>labour price growth</w:t>
      </w:r>
      <w:r w:rsidR="00120598">
        <w:t xml:space="preserve"> which</w:t>
      </w:r>
      <w:r w:rsidR="00DD59AA">
        <w:t xml:space="preserve"> </w:t>
      </w:r>
      <w:r w:rsidR="005C0086">
        <w:t>is</w:t>
      </w:r>
      <w:r w:rsidR="00DD59AA">
        <w:t xml:space="preserve"> discussed in attachment 7—operating expenditure.</w:t>
      </w:r>
    </w:p>
    <w:p w:rsidR="00867657" w:rsidRDefault="00573B6F" w:rsidP="00DB2E14">
      <w:pPr>
        <w:pStyle w:val="Heading4"/>
      </w:pPr>
      <w:bookmarkStart w:id="44" w:name="_Ref433050367"/>
      <w:r>
        <w:lastRenderedPageBreak/>
        <w:t>Upfront capital charge</w:t>
      </w:r>
      <w:r w:rsidR="00F60C36">
        <w:t xml:space="preserve"> for type 5 and 6 meters</w:t>
      </w:r>
      <w:bookmarkEnd w:id="44"/>
    </w:p>
    <w:p w:rsidR="00573B6F" w:rsidRDefault="00573B6F" w:rsidP="00573B6F">
      <w:r>
        <w:t>We accept Ergon Energy's adoption of our preliminary decision that the cost of new or upgraded meters is recovered via an upfront capital charge.</w:t>
      </w:r>
      <w:r>
        <w:rPr>
          <w:rStyle w:val="FootnoteReference"/>
        </w:rPr>
        <w:footnoteReference w:id="23"/>
      </w:r>
      <w:r>
        <w:t xml:space="preserve"> We also approve the upfront capital charges in Ergon Energy's revised proposal. They are approved in place of the charges we accepted in our preliminary decision. </w:t>
      </w:r>
    </w:p>
    <w:p w:rsidR="00573B6F" w:rsidRDefault="00573B6F" w:rsidP="00573B6F">
      <w:r>
        <w:t>Our preliminary and final decisions differ in two respects. First, our preliminary decision did not accept Ergon Energy's proposal to charge urban and rural customers separate charges for new or upgraded meters.</w:t>
      </w:r>
      <w:r>
        <w:rPr>
          <w:rStyle w:val="FootnoteReference"/>
        </w:rPr>
        <w:footnoteReference w:id="24"/>
      </w:r>
      <w:r>
        <w:t xml:space="preserve"> We have not maintained this position in our final decision and accept that charging urban and rural customers separate charges is reasonable. Second, we have approved higher unit cost</w:t>
      </w:r>
      <w:r w:rsidR="007752A3">
        <w:t>s</w:t>
      </w:r>
      <w:r>
        <w:t xml:space="preserve"> for certain inputs into Ergon's charges. This is compared to the unit costs we accepted in our preliminary decision.</w:t>
      </w:r>
      <w:r>
        <w:rPr>
          <w:rStyle w:val="FootnoteReference"/>
        </w:rPr>
        <w:footnoteReference w:id="25"/>
      </w:r>
      <w:r>
        <w:t xml:space="preserve"> </w:t>
      </w:r>
    </w:p>
    <w:p w:rsidR="002325B2" w:rsidRDefault="002325B2" w:rsidP="00573B6F">
      <w:r>
        <w:t>We have maintained our preliminary decision that the X factors applicable to the upfront capital charge will be weighted.</w:t>
      </w:r>
      <w:r w:rsidR="00674D47">
        <w:rPr>
          <w:rStyle w:val="FootnoteReference"/>
        </w:rPr>
        <w:footnoteReference w:id="26"/>
      </w:r>
      <w:r>
        <w:t xml:space="preserve"> In particular, they are equal to 60 percent of our assessment of the forecast real labour price increases in Queensland. We have taken this approach because we observed that about 60 percent of the upfront capital charges are made up with a labour component, with the remainder materials. </w:t>
      </w:r>
      <w:r w:rsidR="00674D47">
        <w:t xml:space="preserve">The X factors we have approved are in section </w:t>
      </w:r>
      <w:r w:rsidR="00674D47">
        <w:fldChar w:fldCharType="begin"/>
      </w:r>
      <w:r w:rsidR="00674D47">
        <w:instrText xml:space="preserve"> REF _Ref433094300 \n \h </w:instrText>
      </w:r>
      <w:r w:rsidR="00674D47">
        <w:fldChar w:fldCharType="separate"/>
      </w:r>
      <w:r w:rsidR="00E01BE0">
        <w:t>16.2.1</w:t>
      </w:r>
      <w:r w:rsidR="00674D47">
        <w:fldChar w:fldCharType="end"/>
      </w:r>
      <w:r w:rsidR="00674D47">
        <w:t>.</w:t>
      </w:r>
    </w:p>
    <w:p w:rsidR="00573B6F" w:rsidRPr="00307CCD" w:rsidRDefault="00573B6F" w:rsidP="00307CCD">
      <w:pPr>
        <w:pStyle w:val="HeadingBoldItalic"/>
      </w:pPr>
      <w:r w:rsidRPr="00307CCD">
        <w:t xml:space="preserve">Urban and rural </w:t>
      </w:r>
    </w:p>
    <w:p w:rsidR="00573B6F" w:rsidRDefault="00573B6F" w:rsidP="00573B6F">
      <w:r>
        <w:t>We are satisfied that Ergon Energy's revised proposal demonstrates that charging urban and rural customers different charges is reasonable. This is because it should make the prices charged by Ergon Energy more cost reflective. We also accept the assumption Ergon Energy applied in calculating the different prices for urban and rural customers.</w:t>
      </w:r>
    </w:p>
    <w:p w:rsidR="00573B6F" w:rsidRDefault="0087136B" w:rsidP="00573B6F">
      <w:r>
        <w:t xml:space="preserve">We </w:t>
      </w:r>
      <w:r w:rsidR="00FA7642">
        <w:t xml:space="preserve">note that </w:t>
      </w:r>
      <w:r w:rsidR="00573B6F">
        <w:t xml:space="preserve">Ergon Energy did not </w:t>
      </w:r>
      <w:r>
        <w:t xml:space="preserve">initially </w:t>
      </w:r>
      <w:r w:rsidR="00573B6F">
        <w:t>propose to recover the cost of new or upgraded meters via an upfront capital charge. This is our preferred approach. Before making our preliminary decision, we sent an information request to Ergon Energy notifying it of our position on how the cost of new or upgraded meter meters should be recovered.</w:t>
      </w:r>
      <w:r w:rsidR="00573B6F">
        <w:rPr>
          <w:rStyle w:val="FootnoteReference"/>
        </w:rPr>
        <w:footnoteReference w:id="27"/>
      </w:r>
      <w:r w:rsidR="00573B6F">
        <w:t xml:space="preserve"> We also sought input on how the charges should be calculated.</w:t>
      </w:r>
      <w:r w:rsidR="00573B6F">
        <w:rPr>
          <w:rStyle w:val="FootnoteReference"/>
        </w:rPr>
        <w:footnoteReference w:id="28"/>
      </w:r>
      <w:r w:rsidR="00573B6F">
        <w:t xml:space="preserve"> </w:t>
      </w:r>
    </w:p>
    <w:p w:rsidR="00573B6F" w:rsidRDefault="00573B6F" w:rsidP="00573B6F">
      <w:r>
        <w:t>In response, Ergon Energy put forward a proposal which we largely accepted in our preliminary decision.</w:t>
      </w:r>
      <w:r>
        <w:rPr>
          <w:rStyle w:val="FootnoteReference"/>
        </w:rPr>
        <w:footnoteReference w:id="29"/>
      </w:r>
      <w:r>
        <w:t xml:space="preserve"> This is with the exception of a proposal to charge "Urban/Short Rural Feeder" customers a different set of prices than "Long Rural/Isolated Feeder" customers.</w:t>
      </w:r>
      <w:r>
        <w:rPr>
          <w:rStyle w:val="FootnoteReference"/>
        </w:rPr>
        <w:footnoteReference w:id="30"/>
      </w:r>
      <w:r>
        <w:t xml:space="preserve"> The way in which we should give effect to this arrangement was not </w:t>
      </w:r>
      <w:r>
        <w:lastRenderedPageBreak/>
        <w:t>outlined by Ergon Energy. We nonetheless did not accept the proposal on the basis that an electricity distributor with similar network characteristics (Essential Energy) does not have separate prices for urban and rural customers.</w:t>
      </w:r>
      <w:r>
        <w:rPr>
          <w:rStyle w:val="FootnoteReference"/>
        </w:rPr>
        <w:footnoteReference w:id="31"/>
      </w:r>
    </w:p>
    <w:p w:rsidR="00573B6F" w:rsidRDefault="00573B6F" w:rsidP="00573B6F">
      <w:r>
        <w:t xml:space="preserve">Our position, however, has changed since the preliminary decision. Ergon Energy's network is geographically </w:t>
      </w:r>
      <w:r w:rsidR="0087136B">
        <w:t>sparse</w:t>
      </w:r>
      <w:r>
        <w:t xml:space="preserve"> and has a low customer density. With respect to the installation of new or upgraded meters, these network characteristics are likely to lead to significantly different travel times. This is depending on whether a customer is located in an urban or rural location. To recognise the resulting differences in costs, our final decision is to accept Ergon Energy's proposal. This should lead to more efficient outcomes by increasing the cost reflectivity of Ergon Energy's charges for new or upgraded meters. </w:t>
      </w:r>
    </w:p>
    <w:p w:rsidR="00573B6F" w:rsidRDefault="00573B6F" w:rsidP="00573B6F">
      <w:r>
        <w:t>With respect to the assumptions Ergon Energy applied, it assumes a travel time of 30 minutes for an urban customer and 2 hours for a rural customer.</w:t>
      </w:r>
      <w:r>
        <w:rPr>
          <w:rStyle w:val="FootnoteReference"/>
        </w:rPr>
        <w:footnoteReference w:id="32"/>
      </w:r>
      <w:r>
        <w:t xml:space="preserve"> We found these assumptions to be reasonable</w:t>
      </w:r>
      <w:r w:rsidR="00745370">
        <w:t>. This is</w:t>
      </w:r>
      <w:r>
        <w:t xml:space="preserve"> </w:t>
      </w:r>
      <w:r w:rsidR="00700984">
        <w:t>because</w:t>
      </w:r>
      <w:r w:rsidR="00004AA4">
        <w:t>, on average, Ergon Energy has about five customers for every kilometre of line length along its network</w:t>
      </w:r>
      <w:r w:rsidR="00745370">
        <w:t>.</w:t>
      </w:r>
      <w:r w:rsidR="00004AA4">
        <w:rPr>
          <w:rStyle w:val="FootnoteReference"/>
        </w:rPr>
        <w:footnoteReference w:id="33"/>
      </w:r>
      <w:r w:rsidR="00745370">
        <w:t xml:space="preserve"> We c</w:t>
      </w:r>
      <w:r w:rsidR="00495823">
        <w:t xml:space="preserve">onsider this to be indicative of </w:t>
      </w:r>
      <w:r w:rsidR="00004AA4">
        <w:t>long travel times in rural areas.</w:t>
      </w:r>
    </w:p>
    <w:p w:rsidR="00573B6F" w:rsidRPr="00307CCD" w:rsidRDefault="00573B6F" w:rsidP="00307CCD">
      <w:pPr>
        <w:pStyle w:val="HeadingBoldItalic"/>
      </w:pPr>
      <w:r w:rsidRPr="00307CCD">
        <w:t>Unit costs</w:t>
      </w:r>
    </w:p>
    <w:p w:rsidR="00573B6F" w:rsidRDefault="00573B6F" w:rsidP="00573B6F">
      <w:r>
        <w:t xml:space="preserve">We are satisfied that the cost inputs Ergon Energy used are reasonable and, hence, have determined that the revised upfront capital charges should be approved. </w:t>
      </w:r>
    </w:p>
    <w:p w:rsidR="00573B6F" w:rsidRDefault="00573B6F" w:rsidP="00573B6F">
      <w:r>
        <w:t xml:space="preserve">We accepted Ergon Energy's initially proposed charges in our preliminary decision </w:t>
      </w:r>
      <w:r w:rsidR="00700984">
        <w:t>because</w:t>
      </w:r>
      <w:r>
        <w:t xml:space="preserve"> the inputs were within the maximum limits our consultant Marsden Jacob recommended that we should accept. To determine whether we should accept the revised upfront capital charges, we applied the same approach. The inputs we considered are: </w:t>
      </w:r>
    </w:p>
    <w:p w:rsidR="00573B6F" w:rsidRPr="00922321" w:rsidRDefault="00573B6F" w:rsidP="00E4628D">
      <w:pPr>
        <w:pStyle w:val="AERbulletlistfirststyle"/>
      </w:pPr>
      <w:r>
        <w:t>material inputs — the cost of the actual meter installed at a site</w:t>
      </w:r>
    </w:p>
    <w:p w:rsidR="00573B6F" w:rsidRDefault="00573B6F" w:rsidP="00E4628D">
      <w:pPr>
        <w:pStyle w:val="AERbulletlistfirststyle"/>
      </w:pPr>
      <w:r>
        <w:t>material cost adjustments — for on–costs and a capital allowance</w:t>
      </w:r>
    </w:p>
    <w:p w:rsidR="00573B6F" w:rsidRDefault="00573B6F" w:rsidP="00E4628D">
      <w:pPr>
        <w:pStyle w:val="AERbulletlistfirststyle"/>
      </w:pPr>
      <w:proofErr w:type="gramStart"/>
      <w:r>
        <w:t>labour</w:t>
      </w:r>
      <w:proofErr w:type="gramEnd"/>
      <w:r>
        <w:t xml:space="preserve"> cost adjustments — for on–costs and overheads</w:t>
      </w:r>
      <w:r w:rsidR="00637AA7">
        <w:t>.</w:t>
      </w:r>
    </w:p>
    <w:p w:rsidR="00573B6F" w:rsidRDefault="00573B6F" w:rsidP="00573B6F">
      <w:r>
        <w:fldChar w:fldCharType="begin"/>
      </w:r>
      <w:r>
        <w:instrText xml:space="preserve"> REF _Ref425938965 \h </w:instrText>
      </w:r>
      <w:r>
        <w:fldChar w:fldCharType="separate"/>
      </w:r>
      <w:r w:rsidR="00E01BE0">
        <w:t xml:space="preserve">Table </w:t>
      </w:r>
      <w:r w:rsidR="00E01BE0">
        <w:rPr>
          <w:noProof/>
        </w:rPr>
        <w:t>16</w:t>
      </w:r>
      <w:r w:rsidR="00E01BE0">
        <w:t>.</w:t>
      </w:r>
      <w:r w:rsidR="00E01BE0">
        <w:rPr>
          <w:noProof/>
        </w:rPr>
        <w:t>6</w:t>
      </w:r>
      <w:r>
        <w:fldChar w:fldCharType="end"/>
      </w:r>
      <w:r>
        <w:t xml:space="preserve"> and </w:t>
      </w:r>
      <w:r>
        <w:fldChar w:fldCharType="begin"/>
      </w:r>
      <w:r>
        <w:instrText xml:space="preserve"> REF _Ref426646050 \h </w:instrText>
      </w:r>
      <w:r>
        <w:fldChar w:fldCharType="separate"/>
      </w:r>
      <w:r w:rsidR="00307CCD">
        <w:t>t</w:t>
      </w:r>
      <w:r w:rsidR="00E01BE0">
        <w:t xml:space="preserve">able </w:t>
      </w:r>
      <w:r w:rsidR="00E01BE0">
        <w:rPr>
          <w:noProof/>
        </w:rPr>
        <w:t>16</w:t>
      </w:r>
      <w:r w:rsidR="00E01BE0">
        <w:t>.</w:t>
      </w:r>
      <w:r w:rsidR="00E01BE0">
        <w:rPr>
          <w:noProof/>
        </w:rPr>
        <w:t>7</w:t>
      </w:r>
      <w:r>
        <w:fldChar w:fldCharType="end"/>
      </w:r>
      <w:r>
        <w:t xml:space="preserve"> set out our assessment of Ergon Energy's revised material inputs and adjustments, which feed into the revised upfront capital charges. It shows that these inputs and adjustments fall within the maximum limits which Marsden Jacob advised we should accept. On that basis, our final decision is to approve them.</w:t>
      </w:r>
    </w:p>
    <w:p w:rsidR="00573B6F" w:rsidRDefault="00573B6F" w:rsidP="00573B6F">
      <w:pPr>
        <w:pStyle w:val="Caption"/>
      </w:pPr>
      <w:bookmarkStart w:id="45" w:name="_Ref425938965"/>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6</w:t>
      </w:r>
      <w:r w:rsidR="00674D47">
        <w:fldChar w:fldCharType="end"/>
      </w:r>
      <w:bookmarkEnd w:id="45"/>
      <w:r w:rsidR="00307CCD">
        <w:t xml:space="preserve"> </w:t>
      </w:r>
      <w:r w:rsidR="00307CCD">
        <w:tab/>
      </w:r>
      <w:r>
        <w:t>Material inputs ($201</w:t>
      </w:r>
      <w:r w:rsidR="00C06D25">
        <w:t>4–15</w:t>
      </w:r>
      <w:r>
        <w:t>)</w:t>
      </w:r>
    </w:p>
    <w:tbl>
      <w:tblPr>
        <w:tblStyle w:val="AERtable-numbers"/>
        <w:tblW w:w="0" w:type="auto"/>
        <w:tblLook w:val="04A0" w:firstRow="1" w:lastRow="0" w:firstColumn="1" w:lastColumn="0" w:noHBand="0" w:noVBand="1"/>
      </w:tblPr>
      <w:tblGrid>
        <w:gridCol w:w="1814"/>
        <w:gridCol w:w="1599"/>
        <w:gridCol w:w="1791"/>
        <w:gridCol w:w="1859"/>
        <w:gridCol w:w="1630"/>
      </w:tblGrid>
      <w:tr w:rsidR="00573B6F" w:rsidRPr="008F08EF" w:rsidTr="00573B6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14" w:type="dxa"/>
          </w:tcPr>
          <w:p w:rsidR="00573B6F" w:rsidRDefault="00573B6F" w:rsidP="00573B6F"/>
        </w:tc>
        <w:tc>
          <w:tcPr>
            <w:tcW w:w="1599" w:type="dxa"/>
          </w:tcPr>
          <w:p w:rsidR="00573B6F" w:rsidRPr="00573B6F" w:rsidRDefault="00573B6F" w:rsidP="00573B6F">
            <w:pPr>
              <w:cnfStyle w:val="100000000000" w:firstRow="1" w:lastRow="0" w:firstColumn="0" w:lastColumn="0" w:oddVBand="0" w:evenVBand="0" w:oddHBand="0" w:evenHBand="0" w:firstRowFirstColumn="0" w:firstRowLastColumn="0" w:lastRowFirstColumn="0" w:lastRowLastColumn="0"/>
            </w:pPr>
            <w:r>
              <w:t>Initial propos</w:t>
            </w:r>
            <w:r w:rsidRPr="00573B6F">
              <w:t>al</w:t>
            </w:r>
          </w:p>
        </w:tc>
        <w:tc>
          <w:tcPr>
            <w:tcW w:w="1791" w:type="dxa"/>
          </w:tcPr>
          <w:p w:rsidR="00573B6F" w:rsidRPr="00573B6F" w:rsidRDefault="00573B6F" w:rsidP="00573B6F">
            <w:pPr>
              <w:cnfStyle w:val="100000000000" w:firstRow="1" w:lastRow="0" w:firstColumn="0" w:lastColumn="0" w:oddVBand="0" w:evenVBand="0" w:oddHBand="0" w:evenHBand="0" w:firstRowFirstColumn="0" w:firstRowLastColumn="0" w:lastRowFirstColumn="0" w:lastRowLastColumn="0"/>
            </w:pPr>
            <w:r>
              <w:t>Revised propos</w:t>
            </w:r>
            <w:r w:rsidRPr="00573B6F">
              <w:t>al</w:t>
            </w:r>
          </w:p>
        </w:tc>
        <w:tc>
          <w:tcPr>
            <w:tcW w:w="1859" w:type="dxa"/>
          </w:tcPr>
          <w:p w:rsidR="00573B6F" w:rsidRPr="00573B6F" w:rsidRDefault="00573B6F" w:rsidP="00573B6F">
            <w:pPr>
              <w:cnfStyle w:val="100000000000" w:firstRow="1" w:lastRow="0" w:firstColumn="0" w:lastColumn="0" w:oddVBand="0" w:evenVBand="0" w:oddHBand="0" w:evenHBand="0" w:firstRowFirstColumn="0" w:firstRowLastColumn="0" w:lastRowFirstColumn="0" w:lastRowLastColumn="0"/>
            </w:pPr>
            <w:r>
              <w:t xml:space="preserve">Marsden Jacob </w:t>
            </w:r>
            <w:r>
              <w:lastRenderedPageBreak/>
              <w:t>maximum</w:t>
            </w:r>
          </w:p>
        </w:tc>
        <w:tc>
          <w:tcPr>
            <w:tcW w:w="1630" w:type="dxa"/>
          </w:tcPr>
          <w:p w:rsidR="00573B6F" w:rsidRPr="00573B6F" w:rsidRDefault="00573B6F" w:rsidP="00573B6F">
            <w:pPr>
              <w:cnfStyle w:val="100000000000" w:firstRow="1" w:lastRow="0" w:firstColumn="0" w:lastColumn="0" w:oddVBand="0" w:evenVBand="0" w:oddHBand="0" w:evenHBand="0" w:firstRowFirstColumn="0" w:firstRowLastColumn="0" w:lastRowFirstColumn="0" w:lastRowLastColumn="0"/>
            </w:pPr>
            <w:r>
              <w:lastRenderedPageBreak/>
              <w:t>Final decision</w:t>
            </w:r>
          </w:p>
        </w:tc>
      </w:tr>
      <w:tr w:rsidR="00573B6F" w:rsidRPr="008F08EF" w:rsidTr="00573B6F">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lastRenderedPageBreak/>
              <w:t>Single phase –</w:t>
            </w:r>
            <w:r w:rsidRPr="00573B6F">
              <w:t>one element</w:t>
            </w:r>
          </w:p>
        </w:tc>
        <w:tc>
          <w:tcPr>
            <w:tcW w:w="159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100.00</w:t>
            </w:r>
          </w:p>
        </w:tc>
        <w:tc>
          <w:tcPr>
            <w:tcW w:w="1791"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100.00</w:t>
            </w:r>
          </w:p>
        </w:tc>
        <w:tc>
          <w:tcPr>
            <w:tcW w:w="185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100.00</w:t>
            </w:r>
          </w:p>
        </w:tc>
        <w:tc>
          <w:tcPr>
            <w:tcW w:w="1630"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100.00</w:t>
            </w:r>
          </w:p>
        </w:tc>
      </w:tr>
      <w:tr w:rsidR="00573B6F" w:rsidRPr="008F08EF" w:rsidTr="00573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 xml:space="preserve">Single phase </w:t>
            </w:r>
            <w:r w:rsidRPr="00573B6F">
              <w:t>– two element</w:t>
            </w:r>
          </w:p>
        </w:tc>
        <w:tc>
          <w:tcPr>
            <w:tcW w:w="159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150.00</w:t>
            </w:r>
          </w:p>
        </w:tc>
        <w:tc>
          <w:tcPr>
            <w:tcW w:w="17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150.00</w:t>
            </w:r>
          </w:p>
        </w:tc>
        <w:tc>
          <w:tcPr>
            <w:tcW w:w="185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150.00</w:t>
            </w:r>
          </w:p>
        </w:tc>
        <w:tc>
          <w:tcPr>
            <w:tcW w:w="1630"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150.00</w:t>
            </w:r>
          </w:p>
        </w:tc>
      </w:tr>
      <w:tr w:rsidR="00573B6F" w:rsidRPr="008F08EF" w:rsidTr="00573B6F">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T</w:t>
            </w:r>
            <w:r w:rsidRPr="00573B6F">
              <w:t>hree phase</w:t>
            </w:r>
          </w:p>
        </w:tc>
        <w:tc>
          <w:tcPr>
            <w:tcW w:w="159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1</w:t>
            </w:r>
            <w:r w:rsidRPr="00573B6F">
              <w:t>89.27</w:t>
            </w:r>
          </w:p>
        </w:tc>
        <w:tc>
          <w:tcPr>
            <w:tcW w:w="1791"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220.00</w:t>
            </w:r>
          </w:p>
        </w:tc>
        <w:tc>
          <w:tcPr>
            <w:tcW w:w="185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220.00</w:t>
            </w:r>
          </w:p>
        </w:tc>
        <w:tc>
          <w:tcPr>
            <w:tcW w:w="1630"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220.00</w:t>
            </w:r>
          </w:p>
        </w:tc>
      </w:tr>
      <w:tr w:rsidR="00573B6F" w:rsidRPr="008F08EF" w:rsidTr="00573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 xml:space="preserve">Multi phase (CT) </w:t>
            </w:r>
          </w:p>
        </w:tc>
        <w:tc>
          <w:tcPr>
            <w:tcW w:w="159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N</w:t>
            </w:r>
            <w:r w:rsidRPr="00573B6F">
              <w:t>ot proposed</w:t>
            </w:r>
          </w:p>
        </w:tc>
        <w:tc>
          <w:tcPr>
            <w:tcW w:w="17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846.00</w:t>
            </w:r>
          </w:p>
        </w:tc>
        <w:tc>
          <w:tcPr>
            <w:tcW w:w="185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Insufficient information</w:t>
            </w:r>
          </w:p>
        </w:tc>
        <w:tc>
          <w:tcPr>
            <w:tcW w:w="1630"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846.00</w:t>
            </w:r>
          </w:p>
        </w:tc>
      </w:tr>
    </w:tbl>
    <w:p w:rsidR="00573B6F" w:rsidRPr="009F726D" w:rsidRDefault="00573B6F" w:rsidP="00573B6F">
      <w:pPr>
        <w:pStyle w:val="AERtablesource"/>
      </w:pPr>
      <w:r>
        <w:t>Source:</w:t>
      </w:r>
      <w:r>
        <w:tab/>
      </w:r>
      <w:r w:rsidRPr="00266F84">
        <w:t xml:space="preserve">Ergon Energy, </w:t>
      </w:r>
      <w:r w:rsidRPr="00266F84">
        <w:rPr>
          <w:rStyle w:val="AERtextitalic"/>
        </w:rPr>
        <w:t>Revised regul</w:t>
      </w:r>
      <w:r>
        <w:rPr>
          <w:rStyle w:val="AERtextitalic"/>
        </w:rPr>
        <w:t xml:space="preserve">atory proposal: Attachment 05.06.02 Fee based services </w:t>
      </w:r>
      <w:r w:rsidR="00771245">
        <w:rPr>
          <w:rStyle w:val="AERtextitalic"/>
        </w:rPr>
        <w:t>model redacted</w:t>
      </w:r>
      <w:r>
        <w:rPr>
          <w:rStyle w:val="AERtextitalic"/>
        </w:rPr>
        <w:t xml:space="preserve"> (public)</w:t>
      </w:r>
      <w:r>
        <w:t xml:space="preserve">, July 2015, "Inputs tab"; </w:t>
      </w:r>
      <w:r w:rsidRPr="00315C6C">
        <w:t xml:space="preserve">Marsden Jacob Associates, </w:t>
      </w:r>
      <w:r w:rsidRPr="00315C6C">
        <w:rPr>
          <w:rStyle w:val="AERtextitalic"/>
        </w:rPr>
        <w:t>Consultant report to the AER on Alternative Control Services</w:t>
      </w:r>
      <w:r w:rsidRPr="00315C6C">
        <w:t>, October 2014, section 2.1.1.</w:t>
      </w:r>
    </w:p>
    <w:p w:rsidR="00573B6F" w:rsidRPr="001F7048" w:rsidRDefault="00573B6F" w:rsidP="00573B6F">
      <w:pPr>
        <w:pStyle w:val="Caption"/>
      </w:pPr>
      <w:bookmarkStart w:id="46" w:name="_Ref426646050"/>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7</w:t>
      </w:r>
      <w:r w:rsidR="00674D47">
        <w:fldChar w:fldCharType="end"/>
      </w:r>
      <w:bookmarkEnd w:id="46"/>
      <w:r>
        <w:t xml:space="preserve"> </w:t>
      </w:r>
      <w:r w:rsidR="00307CCD">
        <w:tab/>
      </w:r>
      <w:r>
        <w:t>Material cost adjustments ($2015–16)</w:t>
      </w:r>
    </w:p>
    <w:tbl>
      <w:tblPr>
        <w:tblStyle w:val="AERtable-numbers"/>
        <w:tblW w:w="0" w:type="auto"/>
        <w:tblLook w:val="04A0" w:firstRow="1" w:lastRow="0" w:firstColumn="1" w:lastColumn="0" w:noHBand="0" w:noVBand="1"/>
      </w:tblPr>
      <w:tblGrid>
        <w:gridCol w:w="1814"/>
        <w:gridCol w:w="1599"/>
        <w:gridCol w:w="1791"/>
        <w:gridCol w:w="1859"/>
        <w:gridCol w:w="1630"/>
      </w:tblGrid>
      <w:tr w:rsidR="00573B6F" w:rsidRPr="008F08EF" w:rsidTr="00307CCD">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1814" w:type="dxa"/>
          </w:tcPr>
          <w:p w:rsidR="00573B6F" w:rsidRDefault="00573B6F" w:rsidP="00573B6F"/>
        </w:tc>
        <w:tc>
          <w:tcPr>
            <w:tcW w:w="1599" w:type="dxa"/>
          </w:tcPr>
          <w:p w:rsidR="00573B6F" w:rsidRPr="00573B6F" w:rsidRDefault="00573B6F" w:rsidP="00573B6F">
            <w:pPr>
              <w:cnfStyle w:val="100000000000" w:firstRow="1" w:lastRow="0" w:firstColumn="0" w:lastColumn="0" w:oddVBand="0" w:evenVBand="0" w:oddHBand="0" w:evenHBand="0" w:firstRowFirstColumn="0" w:firstRowLastColumn="0" w:lastRowFirstColumn="0" w:lastRowLastColumn="0"/>
            </w:pPr>
            <w:r>
              <w:t>Initial propos</w:t>
            </w:r>
            <w:r w:rsidRPr="00573B6F">
              <w:t>al</w:t>
            </w:r>
          </w:p>
        </w:tc>
        <w:tc>
          <w:tcPr>
            <w:tcW w:w="1791" w:type="dxa"/>
          </w:tcPr>
          <w:p w:rsidR="00573B6F" w:rsidRPr="00573B6F" w:rsidRDefault="00573B6F" w:rsidP="00573B6F">
            <w:pPr>
              <w:cnfStyle w:val="100000000000" w:firstRow="1" w:lastRow="0" w:firstColumn="0" w:lastColumn="0" w:oddVBand="0" w:evenVBand="0" w:oddHBand="0" w:evenHBand="0" w:firstRowFirstColumn="0" w:firstRowLastColumn="0" w:lastRowFirstColumn="0" w:lastRowLastColumn="0"/>
            </w:pPr>
            <w:r>
              <w:t>R</w:t>
            </w:r>
            <w:r w:rsidRPr="00573B6F">
              <w:t>evised proposal</w:t>
            </w:r>
          </w:p>
        </w:tc>
        <w:tc>
          <w:tcPr>
            <w:tcW w:w="1859" w:type="dxa"/>
          </w:tcPr>
          <w:p w:rsidR="00573B6F" w:rsidRPr="00573B6F" w:rsidRDefault="00573B6F" w:rsidP="00573B6F">
            <w:pPr>
              <w:cnfStyle w:val="100000000000" w:firstRow="1" w:lastRow="0" w:firstColumn="0" w:lastColumn="0" w:oddVBand="0" w:evenVBand="0" w:oddHBand="0" w:evenHBand="0" w:firstRowFirstColumn="0" w:firstRowLastColumn="0" w:lastRowFirstColumn="0" w:lastRowLastColumn="0"/>
            </w:pPr>
            <w:r>
              <w:t>Marsden Jacob maximum</w:t>
            </w:r>
          </w:p>
        </w:tc>
        <w:tc>
          <w:tcPr>
            <w:tcW w:w="1630" w:type="dxa"/>
          </w:tcPr>
          <w:p w:rsidR="00573B6F" w:rsidRPr="00573B6F" w:rsidRDefault="00573B6F" w:rsidP="00573B6F">
            <w:pPr>
              <w:cnfStyle w:val="100000000000" w:firstRow="1" w:lastRow="0" w:firstColumn="0" w:lastColumn="0" w:oddVBand="0" w:evenVBand="0" w:oddHBand="0" w:evenHBand="0" w:firstRowFirstColumn="0" w:firstRowLastColumn="0" w:lastRowFirstColumn="0" w:lastRowLastColumn="0"/>
            </w:pPr>
            <w:r>
              <w:t>F</w:t>
            </w:r>
            <w:r w:rsidRPr="00573B6F">
              <w:t>inal decision</w:t>
            </w:r>
          </w:p>
        </w:tc>
      </w:tr>
      <w:tr w:rsidR="00573B6F" w:rsidRPr="008F08EF" w:rsidTr="00573B6F">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pPr>
              <w:rPr>
                <w:rStyle w:val="AERtextunderline"/>
              </w:rPr>
            </w:pPr>
            <w:r w:rsidRPr="00E82781">
              <w:rPr>
                <w:rStyle w:val="AERtextunderline"/>
              </w:rPr>
              <w:t>On-costs</w:t>
            </w:r>
          </w:p>
          <w:p w:rsidR="00573B6F" w:rsidRPr="00573B6F" w:rsidRDefault="00573B6F" w:rsidP="00573B6F">
            <w:pPr>
              <w:rPr>
                <w:rStyle w:val="AERtextunderline"/>
              </w:rPr>
            </w:pPr>
            <w:r>
              <w:rPr>
                <w:rStyle w:val="AERtextunderline"/>
              </w:rPr>
              <w:t>($</w:t>
            </w:r>
            <w:r w:rsidRPr="00573B6F">
              <w:rPr>
                <w:rStyle w:val="AERtextunderline"/>
              </w:rPr>
              <w:t>2015–16) per meter</w:t>
            </w:r>
          </w:p>
        </w:tc>
        <w:tc>
          <w:tcPr>
            <w:tcW w:w="1599" w:type="dxa"/>
          </w:tcPr>
          <w:p w:rsidR="00573B6F" w:rsidRDefault="00573B6F" w:rsidP="00573B6F">
            <w:pPr>
              <w:cnfStyle w:val="000000000000" w:firstRow="0" w:lastRow="0" w:firstColumn="0" w:lastColumn="0" w:oddVBand="0" w:evenVBand="0" w:oddHBand="0" w:evenHBand="0" w:firstRowFirstColumn="0" w:firstRowLastColumn="0" w:lastRowFirstColumn="0" w:lastRowLastColumn="0"/>
            </w:pPr>
          </w:p>
        </w:tc>
        <w:tc>
          <w:tcPr>
            <w:tcW w:w="1791" w:type="dxa"/>
          </w:tcPr>
          <w:p w:rsidR="00573B6F" w:rsidRDefault="00573B6F" w:rsidP="00573B6F">
            <w:pPr>
              <w:cnfStyle w:val="000000000000" w:firstRow="0" w:lastRow="0" w:firstColumn="0" w:lastColumn="0" w:oddVBand="0" w:evenVBand="0" w:oddHBand="0" w:evenHBand="0" w:firstRowFirstColumn="0" w:firstRowLastColumn="0" w:lastRowFirstColumn="0" w:lastRowLastColumn="0"/>
            </w:pPr>
          </w:p>
        </w:tc>
        <w:tc>
          <w:tcPr>
            <w:tcW w:w="1859" w:type="dxa"/>
          </w:tcPr>
          <w:p w:rsidR="00573B6F" w:rsidRDefault="00573B6F" w:rsidP="00573B6F">
            <w:pPr>
              <w:cnfStyle w:val="000000000000" w:firstRow="0" w:lastRow="0" w:firstColumn="0" w:lastColumn="0" w:oddVBand="0" w:evenVBand="0" w:oddHBand="0" w:evenHBand="0" w:firstRowFirstColumn="0" w:firstRowLastColumn="0" w:lastRowFirstColumn="0" w:lastRowLastColumn="0"/>
            </w:pPr>
          </w:p>
        </w:tc>
        <w:tc>
          <w:tcPr>
            <w:tcW w:w="1630" w:type="dxa"/>
          </w:tcPr>
          <w:p w:rsidR="00573B6F" w:rsidRDefault="00573B6F" w:rsidP="00573B6F">
            <w:pPr>
              <w:cnfStyle w:val="000000000000" w:firstRow="0" w:lastRow="0" w:firstColumn="0" w:lastColumn="0" w:oddVBand="0" w:evenVBand="0" w:oddHBand="0" w:evenHBand="0" w:firstRowFirstColumn="0" w:firstRowLastColumn="0" w:lastRowFirstColumn="0" w:lastRowLastColumn="0"/>
            </w:pPr>
          </w:p>
        </w:tc>
      </w:tr>
      <w:tr w:rsidR="00573B6F" w:rsidRPr="008F08EF" w:rsidTr="00573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 xml:space="preserve">Single phase - one </w:t>
            </w:r>
            <w:r w:rsidRPr="00573B6F">
              <w:t>element</w:t>
            </w:r>
          </w:p>
        </w:tc>
        <w:tc>
          <w:tcPr>
            <w:tcW w:w="1599" w:type="dxa"/>
          </w:tcPr>
          <w:p w:rsidR="00573B6F" w:rsidRPr="00922321" w:rsidRDefault="00573B6F" w:rsidP="00573B6F">
            <w:pPr>
              <w:cnfStyle w:val="000000010000" w:firstRow="0" w:lastRow="0" w:firstColumn="0" w:lastColumn="0" w:oddVBand="0" w:evenVBand="0" w:oddHBand="0" w:evenHBand="1" w:firstRowFirstColumn="0" w:firstRowLastColumn="0" w:lastRowFirstColumn="0" w:lastRowLastColumn="0"/>
            </w:pPr>
          </w:p>
        </w:tc>
        <w:tc>
          <w:tcPr>
            <w:tcW w:w="17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12.21</w:t>
            </w:r>
          </w:p>
        </w:tc>
        <w:tc>
          <w:tcPr>
            <w:tcW w:w="185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25.64</w:t>
            </w:r>
          </w:p>
        </w:tc>
        <w:tc>
          <w:tcPr>
            <w:tcW w:w="1630"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12.21</w:t>
            </w:r>
          </w:p>
        </w:tc>
      </w:tr>
      <w:tr w:rsidR="00573B6F" w:rsidRPr="008F08EF" w:rsidTr="00573B6F">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Single phase - two element</w:t>
            </w:r>
          </w:p>
        </w:tc>
        <w:tc>
          <w:tcPr>
            <w:tcW w:w="1599" w:type="dxa"/>
          </w:tcPr>
          <w:p w:rsidR="00573B6F" w:rsidRPr="00922321" w:rsidRDefault="00573B6F" w:rsidP="00573B6F">
            <w:pPr>
              <w:cnfStyle w:val="000000000000" w:firstRow="0" w:lastRow="0" w:firstColumn="0" w:lastColumn="0" w:oddVBand="0" w:evenVBand="0" w:oddHBand="0" w:evenHBand="0" w:firstRowFirstColumn="0" w:firstRowLastColumn="0" w:lastRowFirstColumn="0" w:lastRowLastColumn="0"/>
            </w:pPr>
          </w:p>
        </w:tc>
        <w:tc>
          <w:tcPr>
            <w:tcW w:w="1791"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18.31</w:t>
            </w:r>
          </w:p>
        </w:tc>
        <w:tc>
          <w:tcPr>
            <w:tcW w:w="185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25.64</w:t>
            </w:r>
          </w:p>
        </w:tc>
        <w:tc>
          <w:tcPr>
            <w:tcW w:w="1630"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18.31</w:t>
            </w:r>
          </w:p>
        </w:tc>
      </w:tr>
      <w:tr w:rsidR="00573B6F" w:rsidRPr="008F08EF" w:rsidTr="00573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 xml:space="preserve">Multi </w:t>
            </w:r>
            <w:r w:rsidRPr="00573B6F">
              <w:t>phase (DC)</w:t>
            </w:r>
          </w:p>
        </w:tc>
        <w:tc>
          <w:tcPr>
            <w:tcW w:w="1599" w:type="dxa"/>
          </w:tcPr>
          <w:p w:rsidR="00573B6F" w:rsidRPr="00922321" w:rsidRDefault="00573B6F" w:rsidP="00573B6F">
            <w:pPr>
              <w:cnfStyle w:val="000000010000" w:firstRow="0" w:lastRow="0" w:firstColumn="0" w:lastColumn="0" w:oddVBand="0" w:evenVBand="0" w:oddHBand="0" w:evenHBand="1" w:firstRowFirstColumn="0" w:firstRowLastColumn="0" w:lastRowFirstColumn="0" w:lastRowLastColumn="0"/>
            </w:pPr>
          </w:p>
        </w:tc>
        <w:tc>
          <w:tcPr>
            <w:tcW w:w="17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2</w:t>
            </w:r>
            <w:r w:rsidRPr="00573B6F">
              <w:t>4.85</w:t>
            </w:r>
          </w:p>
        </w:tc>
        <w:tc>
          <w:tcPr>
            <w:tcW w:w="185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25.64</w:t>
            </w:r>
          </w:p>
        </w:tc>
        <w:tc>
          <w:tcPr>
            <w:tcW w:w="1630"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2</w:t>
            </w:r>
            <w:r w:rsidRPr="00573B6F">
              <w:t>4.85</w:t>
            </w:r>
          </w:p>
        </w:tc>
      </w:tr>
      <w:tr w:rsidR="00573B6F" w:rsidRPr="008F08EF" w:rsidTr="00573B6F">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Multi phase</w:t>
            </w:r>
            <w:r w:rsidRPr="00573B6F">
              <w:t xml:space="preserve"> (CT) - 2 man crew</w:t>
            </w:r>
          </w:p>
        </w:tc>
        <w:tc>
          <w:tcPr>
            <w:tcW w:w="1599" w:type="dxa"/>
          </w:tcPr>
          <w:p w:rsidR="00573B6F" w:rsidRPr="00922321" w:rsidRDefault="00573B6F" w:rsidP="00573B6F">
            <w:pPr>
              <w:cnfStyle w:val="000000000000" w:firstRow="0" w:lastRow="0" w:firstColumn="0" w:lastColumn="0" w:oddVBand="0" w:evenVBand="0" w:oddHBand="0" w:evenHBand="0" w:firstRowFirstColumn="0" w:firstRowLastColumn="0" w:lastRowFirstColumn="0" w:lastRowLastColumn="0"/>
            </w:pPr>
          </w:p>
        </w:tc>
        <w:tc>
          <w:tcPr>
            <w:tcW w:w="1791"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103.27</w:t>
            </w:r>
          </w:p>
        </w:tc>
        <w:tc>
          <w:tcPr>
            <w:tcW w:w="185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Not assessed</w:t>
            </w:r>
          </w:p>
        </w:tc>
        <w:tc>
          <w:tcPr>
            <w:tcW w:w="1630"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103.27</w:t>
            </w:r>
          </w:p>
        </w:tc>
      </w:tr>
      <w:tr w:rsidR="00573B6F" w:rsidRPr="008F08EF" w:rsidTr="00573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pPr>
              <w:rPr>
                <w:rStyle w:val="AERtextunderline"/>
              </w:rPr>
            </w:pPr>
            <w:r>
              <w:rPr>
                <w:rStyle w:val="AERtextunderline"/>
              </w:rPr>
              <w:t>Capital allowance</w:t>
            </w:r>
          </w:p>
          <w:p w:rsidR="00573B6F" w:rsidRPr="00573B6F" w:rsidRDefault="00573B6F" w:rsidP="00573B6F">
            <w:pPr>
              <w:rPr>
                <w:rStyle w:val="AERtextunderline"/>
              </w:rPr>
            </w:pPr>
            <w:r>
              <w:rPr>
                <w:rStyle w:val="AERtextunderline"/>
              </w:rPr>
              <w:t>per meter</w:t>
            </w:r>
          </w:p>
        </w:tc>
        <w:tc>
          <w:tcPr>
            <w:tcW w:w="1599" w:type="dxa"/>
          </w:tcPr>
          <w:p w:rsidR="00573B6F" w:rsidRDefault="00573B6F" w:rsidP="00573B6F">
            <w:pPr>
              <w:cnfStyle w:val="000000010000" w:firstRow="0" w:lastRow="0" w:firstColumn="0" w:lastColumn="0" w:oddVBand="0" w:evenVBand="0" w:oddHBand="0" w:evenHBand="1" w:firstRowFirstColumn="0" w:firstRowLastColumn="0" w:lastRowFirstColumn="0" w:lastRowLastColumn="0"/>
            </w:pPr>
          </w:p>
        </w:tc>
        <w:tc>
          <w:tcPr>
            <w:tcW w:w="1791" w:type="dxa"/>
          </w:tcPr>
          <w:p w:rsidR="00573B6F" w:rsidRDefault="00573B6F" w:rsidP="00573B6F">
            <w:pPr>
              <w:cnfStyle w:val="000000010000" w:firstRow="0" w:lastRow="0" w:firstColumn="0" w:lastColumn="0" w:oddVBand="0" w:evenVBand="0" w:oddHBand="0" w:evenHBand="1" w:firstRowFirstColumn="0" w:firstRowLastColumn="0" w:lastRowFirstColumn="0" w:lastRowLastColumn="0"/>
            </w:pPr>
          </w:p>
        </w:tc>
        <w:tc>
          <w:tcPr>
            <w:tcW w:w="1859" w:type="dxa"/>
          </w:tcPr>
          <w:p w:rsidR="00573B6F" w:rsidRDefault="00573B6F" w:rsidP="00573B6F">
            <w:pPr>
              <w:cnfStyle w:val="000000010000" w:firstRow="0" w:lastRow="0" w:firstColumn="0" w:lastColumn="0" w:oddVBand="0" w:evenVBand="0" w:oddHBand="0" w:evenHBand="1" w:firstRowFirstColumn="0" w:firstRowLastColumn="0" w:lastRowFirstColumn="0" w:lastRowLastColumn="0"/>
            </w:pPr>
          </w:p>
        </w:tc>
        <w:tc>
          <w:tcPr>
            <w:tcW w:w="1630" w:type="dxa"/>
          </w:tcPr>
          <w:p w:rsidR="00573B6F" w:rsidRDefault="00573B6F" w:rsidP="00573B6F">
            <w:pPr>
              <w:cnfStyle w:val="000000010000" w:firstRow="0" w:lastRow="0" w:firstColumn="0" w:lastColumn="0" w:oddVBand="0" w:evenVBand="0" w:oddHBand="0" w:evenHBand="1" w:firstRowFirstColumn="0" w:firstRowLastColumn="0" w:lastRowFirstColumn="0" w:lastRowLastColumn="0"/>
            </w:pPr>
          </w:p>
        </w:tc>
      </w:tr>
      <w:tr w:rsidR="00573B6F" w:rsidRPr="008F08EF" w:rsidTr="00573B6F">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 xml:space="preserve">Single phase </w:t>
            </w:r>
            <w:r w:rsidRPr="00573B6F">
              <w:t>– one element – urban/short rural feeder</w:t>
            </w:r>
          </w:p>
        </w:tc>
        <w:tc>
          <w:tcPr>
            <w:tcW w:w="1599" w:type="dxa"/>
          </w:tcPr>
          <w:p w:rsidR="00573B6F" w:rsidRPr="00922321" w:rsidRDefault="00573B6F" w:rsidP="00573B6F">
            <w:pPr>
              <w:cnfStyle w:val="000000000000" w:firstRow="0" w:lastRow="0" w:firstColumn="0" w:lastColumn="0" w:oddVBand="0" w:evenVBand="0" w:oddHBand="0" w:evenHBand="0" w:firstRowFirstColumn="0" w:firstRowLastColumn="0" w:lastRowFirstColumn="0" w:lastRowLastColumn="0"/>
            </w:pPr>
          </w:p>
        </w:tc>
        <w:tc>
          <w:tcPr>
            <w:tcW w:w="1791"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30.12</w:t>
            </w:r>
          </w:p>
        </w:tc>
        <w:tc>
          <w:tcPr>
            <w:tcW w:w="185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Not assessed</w:t>
            </w:r>
          </w:p>
        </w:tc>
        <w:tc>
          <w:tcPr>
            <w:tcW w:w="1630"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30.12</w:t>
            </w:r>
          </w:p>
        </w:tc>
      </w:tr>
      <w:tr w:rsidR="00573B6F" w:rsidRPr="008F08EF" w:rsidTr="00573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 xml:space="preserve">Single phase </w:t>
            </w:r>
            <w:r w:rsidRPr="00573B6F">
              <w:t>– one element – long rural/isolated feeder</w:t>
            </w:r>
          </w:p>
        </w:tc>
        <w:tc>
          <w:tcPr>
            <w:tcW w:w="1599" w:type="dxa"/>
          </w:tcPr>
          <w:p w:rsidR="00573B6F" w:rsidRPr="00922321" w:rsidRDefault="00573B6F" w:rsidP="00573B6F">
            <w:pPr>
              <w:cnfStyle w:val="000000010000" w:firstRow="0" w:lastRow="0" w:firstColumn="0" w:lastColumn="0" w:oddVBand="0" w:evenVBand="0" w:oddHBand="0" w:evenHBand="1" w:firstRowFirstColumn="0" w:firstRowLastColumn="0" w:lastRowFirstColumn="0" w:lastRowLastColumn="0"/>
            </w:pPr>
          </w:p>
        </w:tc>
        <w:tc>
          <w:tcPr>
            <w:tcW w:w="17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60.24</w:t>
            </w:r>
          </w:p>
        </w:tc>
        <w:tc>
          <w:tcPr>
            <w:tcW w:w="185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Not assessed</w:t>
            </w:r>
          </w:p>
        </w:tc>
        <w:tc>
          <w:tcPr>
            <w:tcW w:w="1630"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60.24</w:t>
            </w:r>
          </w:p>
        </w:tc>
      </w:tr>
      <w:tr w:rsidR="00573B6F" w:rsidRPr="008F08EF" w:rsidTr="00573B6F">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 xml:space="preserve">Single phase </w:t>
            </w:r>
            <w:r w:rsidRPr="00573B6F">
              <w:t>– two element – urban/short rural feeder</w:t>
            </w:r>
          </w:p>
        </w:tc>
        <w:tc>
          <w:tcPr>
            <w:tcW w:w="1599" w:type="dxa"/>
          </w:tcPr>
          <w:p w:rsidR="00573B6F" w:rsidRPr="00922321" w:rsidRDefault="00573B6F" w:rsidP="00573B6F">
            <w:pPr>
              <w:cnfStyle w:val="000000000000" w:firstRow="0" w:lastRow="0" w:firstColumn="0" w:lastColumn="0" w:oddVBand="0" w:evenVBand="0" w:oddHBand="0" w:evenHBand="0" w:firstRowFirstColumn="0" w:firstRowLastColumn="0" w:lastRowFirstColumn="0" w:lastRowLastColumn="0"/>
            </w:pPr>
          </w:p>
        </w:tc>
        <w:tc>
          <w:tcPr>
            <w:tcW w:w="1791"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30.12</w:t>
            </w:r>
          </w:p>
        </w:tc>
        <w:tc>
          <w:tcPr>
            <w:tcW w:w="185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Not assessed</w:t>
            </w:r>
          </w:p>
        </w:tc>
        <w:tc>
          <w:tcPr>
            <w:tcW w:w="1630"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30.12</w:t>
            </w:r>
          </w:p>
        </w:tc>
      </w:tr>
      <w:tr w:rsidR="00573B6F" w:rsidRPr="008F08EF" w:rsidTr="00573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 xml:space="preserve">Single phase </w:t>
            </w:r>
            <w:r w:rsidRPr="00573B6F">
              <w:t>– two element – long rural/isolated feeder</w:t>
            </w:r>
          </w:p>
        </w:tc>
        <w:tc>
          <w:tcPr>
            <w:tcW w:w="1599" w:type="dxa"/>
          </w:tcPr>
          <w:p w:rsidR="00573B6F" w:rsidRPr="00922321" w:rsidRDefault="00573B6F" w:rsidP="00573B6F">
            <w:pPr>
              <w:cnfStyle w:val="000000010000" w:firstRow="0" w:lastRow="0" w:firstColumn="0" w:lastColumn="0" w:oddVBand="0" w:evenVBand="0" w:oddHBand="0" w:evenHBand="1" w:firstRowFirstColumn="0" w:firstRowLastColumn="0" w:lastRowFirstColumn="0" w:lastRowLastColumn="0"/>
            </w:pPr>
          </w:p>
        </w:tc>
        <w:tc>
          <w:tcPr>
            <w:tcW w:w="17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60.24</w:t>
            </w:r>
          </w:p>
        </w:tc>
        <w:tc>
          <w:tcPr>
            <w:tcW w:w="185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Not assessed</w:t>
            </w:r>
          </w:p>
        </w:tc>
        <w:tc>
          <w:tcPr>
            <w:tcW w:w="1630"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60.24</w:t>
            </w:r>
          </w:p>
        </w:tc>
      </w:tr>
      <w:tr w:rsidR="00573B6F" w:rsidRPr="008F08EF" w:rsidTr="00573B6F">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T</w:t>
            </w:r>
            <w:r w:rsidRPr="00573B6F">
              <w:t>hree phase – urban/short rural feeder</w:t>
            </w:r>
          </w:p>
        </w:tc>
        <w:tc>
          <w:tcPr>
            <w:tcW w:w="1599" w:type="dxa"/>
          </w:tcPr>
          <w:p w:rsidR="00573B6F" w:rsidRPr="00922321" w:rsidRDefault="00573B6F" w:rsidP="00573B6F">
            <w:pPr>
              <w:cnfStyle w:val="000000000000" w:firstRow="0" w:lastRow="0" w:firstColumn="0" w:lastColumn="0" w:oddVBand="0" w:evenVBand="0" w:oddHBand="0" w:evenHBand="0" w:firstRowFirstColumn="0" w:firstRowLastColumn="0" w:lastRowFirstColumn="0" w:lastRowLastColumn="0"/>
            </w:pPr>
          </w:p>
        </w:tc>
        <w:tc>
          <w:tcPr>
            <w:tcW w:w="1791"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30.12</w:t>
            </w:r>
          </w:p>
        </w:tc>
        <w:tc>
          <w:tcPr>
            <w:tcW w:w="185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Not assessed</w:t>
            </w:r>
          </w:p>
        </w:tc>
        <w:tc>
          <w:tcPr>
            <w:tcW w:w="1630"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30.12</w:t>
            </w:r>
          </w:p>
        </w:tc>
      </w:tr>
      <w:tr w:rsidR="00573B6F" w:rsidRPr="008F08EF" w:rsidTr="00573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T</w:t>
            </w:r>
            <w:r w:rsidRPr="00573B6F">
              <w:t>hree phase – long rural/isolated feeder</w:t>
            </w:r>
          </w:p>
        </w:tc>
        <w:tc>
          <w:tcPr>
            <w:tcW w:w="1599" w:type="dxa"/>
          </w:tcPr>
          <w:p w:rsidR="00573B6F" w:rsidRPr="00922321" w:rsidRDefault="00573B6F" w:rsidP="00573B6F">
            <w:pPr>
              <w:cnfStyle w:val="000000010000" w:firstRow="0" w:lastRow="0" w:firstColumn="0" w:lastColumn="0" w:oddVBand="0" w:evenVBand="0" w:oddHBand="0" w:evenHBand="1" w:firstRowFirstColumn="0" w:firstRowLastColumn="0" w:lastRowFirstColumn="0" w:lastRowLastColumn="0"/>
            </w:pPr>
          </w:p>
        </w:tc>
        <w:tc>
          <w:tcPr>
            <w:tcW w:w="17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60.24</w:t>
            </w:r>
          </w:p>
        </w:tc>
        <w:tc>
          <w:tcPr>
            <w:tcW w:w="185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Not assessed</w:t>
            </w:r>
          </w:p>
        </w:tc>
        <w:tc>
          <w:tcPr>
            <w:tcW w:w="1630"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60.24</w:t>
            </w:r>
          </w:p>
        </w:tc>
      </w:tr>
      <w:tr w:rsidR="00573B6F" w:rsidRPr="008F08EF" w:rsidTr="00573B6F">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lastRenderedPageBreak/>
              <w:t>Multi phase (CT)</w:t>
            </w:r>
            <w:r w:rsidRPr="00573B6F">
              <w:t xml:space="preserve"> – urban/short rural feeder</w:t>
            </w:r>
          </w:p>
        </w:tc>
        <w:tc>
          <w:tcPr>
            <w:tcW w:w="1599" w:type="dxa"/>
          </w:tcPr>
          <w:p w:rsidR="00573B6F" w:rsidRPr="00922321" w:rsidRDefault="00573B6F" w:rsidP="00573B6F">
            <w:pPr>
              <w:cnfStyle w:val="000000000000" w:firstRow="0" w:lastRow="0" w:firstColumn="0" w:lastColumn="0" w:oddVBand="0" w:evenVBand="0" w:oddHBand="0" w:evenHBand="0" w:firstRowFirstColumn="0" w:firstRowLastColumn="0" w:lastRowFirstColumn="0" w:lastRowLastColumn="0"/>
            </w:pPr>
          </w:p>
        </w:tc>
        <w:tc>
          <w:tcPr>
            <w:tcW w:w="1791"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200.80</w:t>
            </w:r>
          </w:p>
        </w:tc>
        <w:tc>
          <w:tcPr>
            <w:tcW w:w="1859"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Not assessed</w:t>
            </w:r>
          </w:p>
        </w:tc>
        <w:tc>
          <w:tcPr>
            <w:tcW w:w="1630"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200.80</w:t>
            </w:r>
          </w:p>
        </w:tc>
      </w:tr>
      <w:tr w:rsidR="00573B6F" w:rsidRPr="008F08EF" w:rsidTr="00573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573B6F" w:rsidRPr="00573B6F" w:rsidRDefault="00573B6F" w:rsidP="00573B6F">
            <w:r>
              <w:t>Multi phase (CT)</w:t>
            </w:r>
            <w:r w:rsidRPr="00573B6F">
              <w:t xml:space="preserve"> – long rural/isolated feeder</w:t>
            </w:r>
          </w:p>
        </w:tc>
        <w:tc>
          <w:tcPr>
            <w:tcW w:w="1599" w:type="dxa"/>
          </w:tcPr>
          <w:p w:rsidR="00573B6F" w:rsidRPr="00922321" w:rsidRDefault="00573B6F" w:rsidP="00573B6F">
            <w:pPr>
              <w:cnfStyle w:val="000000010000" w:firstRow="0" w:lastRow="0" w:firstColumn="0" w:lastColumn="0" w:oddVBand="0" w:evenVBand="0" w:oddHBand="0" w:evenHBand="1" w:firstRowFirstColumn="0" w:firstRowLastColumn="0" w:lastRowFirstColumn="0" w:lastRowLastColumn="0"/>
            </w:pPr>
          </w:p>
        </w:tc>
        <w:tc>
          <w:tcPr>
            <w:tcW w:w="17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277.53</w:t>
            </w:r>
          </w:p>
        </w:tc>
        <w:tc>
          <w:tcPr>
            <w:tcW w:w="1859"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Not assessed</w:t>
            </w:r>
          </w:p>
        </w:tc>
        <w:tc>
          <w:tcPr>
            <w:tcW w:w="1630"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277.53</w:t>
            </w:r>
          </w:p>
        </w:tc>
      </w:tr>
    </w:tbl>
    <w:p w:rsidR="00573B6F" w:rsidRDefault="00573B6F" w:rsidP="00573B6F">
      <w:pPr>
        <w:pStyle w:val="AERtablesource"/>
      </w:pPr>
      <w:r>
        <w:t>Source:</w:t>
      </w:r>
      <w:r>
        <w:tab/>
      </w:r>
      <w:r w:rsidRPr="00266F84">
        <w:t xml:space="preserve">Ergon Energy, </w:t>
      </w:r>
      <w:r w:rsidRPr="00266F84">
        <w:rPr>
          <w:rStyle w:val="AERtextitalic"/>
        </w:rPr>
        <w:t>Revised regul</w:t>
      </w:r>
      <w:r>
        <w:rPr>
          <w:rStyle w:val="AERtextitalic"/>
        </w:rPr>
        <w:t xml:space="preserve">atory proposal: Attachment 05.06.02 Fee based services </w:t>
      </w:r>
      <w:r w:rsidR="00771245">
        <w:rPr>
          <w:rStyle w:val="AERtextitalic"/>
        </w:rPr>
        <w:t>model redacted</w:t>
      </w:r>
      <w:r>
        <w:rPr>
          <w:rStyle w:val="AERtextitalic"/>
        </w:rPr>
        <w:t xml:space="preserve"> (public)</w:t>
      </w:r>
      <w:r>
        <w:t xml:space="preserve">, July 2015, "Calculations tab"; </w:t>
      </w:r>
      <w:r w:rsidRPr="00315C6C">
        <w:t xml:space="preserve">Marsden Jacob Associates, </w:t>
      </w:r>
      <w:r w:rsidRPr="00315C6C">
        <w:rPr>
          <w:rStyle w:val="AERtextitalic"/>
        </w:rPr>
        <w:t>Consultant report to the AER on Alternative Control Services</w:t>
      </w:r>
      <w:r w:rsidRPr="00315C6C">
        <w:t>, October 2014, section 2.1.1.</w:t>
      </w:r>
    </w:p>
    <w:p w:rsidR="00573B6F" w:rsidRDefault="00573B6F" w:rsidP="00573B6F">
      <w:r>
        <w:t xml:space="preserve">Our final decision is to accept the labour rates Ergon Energy proposed for the installation of new or upgraded meters. Information relating to the proposed labour rates is subject to a confidentiality claim. However, without disclosing that information we confirm that Ergon Energy's proposal was within the maximum limits our consultant Marsden Jacob advised that we should accept. This maximum is a raw labour rate of $47.00 per hour ($2014–15). </w:t>
      </w:r>
    </w:p>
    <w:p w:rsidR="00573B6F" w:rsidRPr="00BB442B" w:rsidRDefault="00573B6F" w:rsidP="00573B6F">
      <w:r>
        <w:t xml:space="preserve">Additionally, we have determined that Ergon Energy's proposed labour cost adjustments are reasonable. Information relating to these adjustments is subject to a confidentiality claim as well. Nonetheless we confirm that Ergon Energy proposed adjustments were within the maximum limits we have been advised we should accept by our consultant Marsden Jacob.  </w:t>
      </w:r>
      <w:r>
        <w:fldChar w:fldCharType="begin"/>
      </w:r>
      <w:r>
        <w:instrText xml:space="preserve"> REF _Ref425938990 \h </w:instrText>
      </w:r>
      <w:r>
        <w:fldChar w:fldCharType="separate"/>
      </w:r>
      <w:r w:rsidR="00E01BE0">
        <w:t xml:space="preserve">Table </w:t>
      </w:r>
      <w:r w:rsidR="00E01BE0">
        <w:rPr>
          <w:noProof/>
        </w:rPr>
        <w:t>16</w:t>
      </w:r>
      <w:r w:rsidR="00E01BE0">
        <w:t>.</w:t>
      </w:r>
      <w:r w:rsidR="00E01BE0">
        <w:rPr>
          <w:noProof/>
        </w:rPr>
        <w:t>8</w:t>
      </w:r>
      <w:r>
        <w:fldChar w:fldCharType="end"/>
      </w:r>
      <w:r>
        <w:t xml:space="preserve"> sets out those limits.</w:t>
      </w:r>
    </w:p>
    <w:p w:rsidR="00573B6F" w:rsidRDefault="00573B6F" w:rsidP="00573B6F">
      <w:pPr>
        <w:pStyle w:val="Caption"/>
      </w:pPr>
      <w:bookmarkStart w:id="47" w:name="_Ref425938990"/>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8</w:t>
      </w:r>
      <w:r w:rsidR="00674D47">
        <w:fldChar w:fldCharType="end"/>
      </w:r>
      <w:bookmarkEnd w:id="47"/>
      <w:r>
        <w:t xml:space="preserve"> </w:t>
      </w:r>
      <w:r w:rsidR="00307CCD">
        <w:tab/>
      </w:r>
      <w:r>
        <w:t>Labour cost adjustments (percentage)</w:t>
      </w:r>
    </w:p>
    <w:tbl>
      <w:tblPr>
        <w:tblStyle w:val="AERtable-numbers"/>
        <w:tblW w:w="0" w:type="auto"/>
        <w:tblLook w:val="04A0" w:firstRow="1" w:lastRow="0" w:firstColumn="1" w:lastColumn="0" w:noHBand="0" w:noVBand="1"/>
      </w:tblPr>
      <w:tblGrid>
        <w:gridCol w:w="4284"/>
        <w:gridCol w:w="4391"/>
      </w:tblGrid>
      <w:tr w:rsidR="00573B6F" w:rsidRPr="00F26BF7" w:rsidTr="00573B6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4284" w:type="dxa"/>
          </w:tcPr>
          <w:p w:rsidR="00573B6F" w:rsidRDefault="00573B6F" w:rsidP="00573B6F"/>
        </w:tc>
        <w:tc>
          <w:tcPr>
            <w:tcW w:w="4391" w:type="dxa"/>
          </w:tcPr>
          <w:p w:rsidR="00573B6F" w:rsidRPr="00573B6F" w:rsidRDefault="00573B6F" w:rsidP="00573B6F">
            <w:pPr>
              <w:cnfStyle w:val="100000000000" w:firstRow="1" w:lastRow="0" w:firstColumn="0" w:lastColumn="0" w:oddVBand="0" w:evenVBand="0" w:oddHBand="0" w:evenHBand="0" w:firstRowFirstColumn="0" w:firstRowLastColumn="0" w:lastRowFirstColumn="0" w:lastRowLastColumn="0"/>
            </w:pPr>
            <w:r>
              <w:t>Marsden Jacob maximum</w:t>
            </w:r>
          </w:p>
        </w:tc>
      </w:tr>
      <w:tr w:rsidR="00573B6F" w:rsidRPr="00E82781" w:rsidTr="00573B6F">
        <w:trPr>
          <w:trHeight w:val="422"/>
        </w:trPr>
        <w:tc>
          <w:tcPr>
            <w:cnfStyle w:val="001000000000" w:firstRow="0" w:lastRow="0" w:firstColumn="1" w:lastColumn="0" w:oddVBand="0" w:evenVBand="0" w:oddHBand="0" w:evenHBand="0" w:firstRowFirstColumn="0" w:firstRowLastColumn="0" w:lastRowFirstColumn="0" w:lastRowLastColumn="0"/>
            <w:tcW w:w="4284" w:type="dxa"/>
          </w:tcPr>
          <w:p w:rsidR="00573B6F" w:rsidRPr="00573B6F" w:rsidRDefault="00573B6F" w:rsidP="00573B6F">
            <w:pPr>
              <w:rPr>
                <w:rStyle w:val="AERtextunderline"/>
              </w:rPr>
            </w:pPr>
            <w:r w:rsidRPr="001F7048">
              <w:rPr>
                <w:rStyle w:val="AERtextunderline"/>
              </w:rPr>
              <w:t>On-costs</w:t>
            </w:r>
          </w:p>
        </w:tc>
        <w:tc>
          <w:tcPr>
            <w:tcW w:w="4391" w:type="dxa"/>
          </w:tcPr>
          <w:p w:rsidR="00573B6F" w:rsidRPr="00E82781" w:rsidRDefault="00573B6F" w:rsidP="00573B6F">
            <w:pPr>
              <w:cnfStyle w:val="000000000000" w:firstRow="0" w:lastRow="0" w:firstColumn="0" w:lastColumn="0" w:oddVBand="0" w:evenVBand="0" w:oddHBand="0" w:evenHBand="0" w:firstRowFirstColumn="0" w:firstRowLastColumn="0" w:lastRowFirstColumn="0" w:lastRowLastColumn="0"/>
            </w:pPr>
          </w:p>
        </w:tc>
      </w:tr>
      <w:tr w:rsidR="00573B6F" w:rsidRPr="00E82781" w:rsidTr="00573B6F">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284" w:type="dxa"/>
          </w:tcPr>
          <w:p w:rsidR="00573B6F" w:rsidRPr="00573B6F" w:rsidRDefault="00573B6F" w:rsidP="00573B6F">
            <w:r>
              <w:t>Fleet on</w:t>
            </w:r>
            <w:r w:rsidRPr="00573B6F">
              <w:t>-costs</w:t>
            </w:r>
          </w:p>
        </w:tc>
        <w:tc>
          <w:tcPr>
            <w:tcW w:w="43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11.2</w:t>
            </w:r>
          </w:p>
        </w:tc>
      </w:tr>
      <w:tr w:rsidR="00573B6F" w:rsidRPr="00E82781" w:rsidTr="00573B6F">
        <w:trPr>
          <w:trHeight w:val="422"/>
        </w:trPr>
        <w:tc>
          <w:tcPr>
            <w:cnfStyle w:val="001000000000" w:firstRow="0" w:lastRow="0" w:firstColumn="1" w:lastColumn="0" w:oddVBand="0" w:evenVBand="0" w:oddHBand="0" w:evenHBand="0" w:firstRowFirstColumn="0" w:firstRowLastColumn="0" w:lastRowFirstColumn="0" w:lastRowLastColumn="0"/>
            <w:tcW w:w="4284" w:type="dxa"/>
          </w:tcPr>
          <w:p w:rsidR="00573B6F" w:rsidRPr="00573B6F" w:rsidRDefault="00573B6F" w:rsidP="00573B6F">
            <w:pPr>
              <w:rPr>
                <w:rStyle w:val="AERtextunderline"/>
              </w:rPr>
            </w:pPr>
            <w:r>
              <w:rPr>
                <w:rStyle w:val="AERtextunderline"/>
              </w:rPr>
              <w:t>Overheads</w:t>
            </w:r>
          </w:p>
        </w:tc>
        <w:tc>
          <w:tcPr>
            <w:tcW w:w="4391" w:type="dxa"/>
          </w:tcPr>
          <w:p w:rsidR="00573B6F" w:rsidRPr="00E82781" w:rsidRDefault="00573B6F" w:rsidP="00573B6F">
            <w:pPr>
              <w:cnfStyle w:val="000000000000" w:firstRow="0" w:lastRow="0" w:firstColumn="0" w:lastColumn="0" w:oddVBand="0" w:evenVBand="0" w:oddHBand="0" w:evenHBand="0" w:firstRowFirstColumn="0" w:firstRowLastColumn="0" w:lastRowFirstColumn="0" w:lastRowLastColumn="0"/>
            </w:pPr>
          </w:p>
        </w:tc>
      </w:tr>
      <w:tr w:rsidR="00573B6F" w:rsidRPr="00E82781" w:rsidTr="00573B6F">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284" w:type="dxa"/>
          </w:tcPr>
          <w:p w:rsidR="00573B6F" w:rsidRPr="00573B6F" w:rsidRDefault="00573B6F" w:rsidP="00573B6F">
            <w:r>
              <w:t>General overhead</w:t>
            </w:r>
          </w:p>
        </w:tc>
        <w:tc>
          <w:tcPr>
            <w:tcW w:w="43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43.31</w:t>
            </w:r>
          </w:p>
        </w:tc>
      </w:tr>
      <w:tr w:rsidR="00573B6F" w:rsidRPr="00E82781" w:rsidTr="00573B6F">
        <w:trPr>
          <w:trHeight w:val="633"/>
        </w:trPr>
        <w:tc>
          <w:tcPr>
            <w:cnfStyle w:val="001000000000" w:firstRow="0" w:lastRow="0" w:firstColumn="1" w:lastColumn="0" w:oddVBand="0" w:evenVBand="0" w:oddHBand="0" w:evenHBand="0" w:firstRowFirstColumn="0" w:firstRowLastColumn="0" w:lastRowFirstColumn="0" w:lastRowLastColumn="0"/>
            <w:tcW w:w="4284" w:type="dxa"/>
          </w:tcPr>
          <w:p w:rsidR="00573B6F" w:rsidRPr="00573B6F" w:rsidRDefault="00573B6F" w:rsidP="00573B6F">
            <w:r>
              <w:t xml:space="preserve">Corporate support </w:t>
            </w:r>
            <w:r w:rsidRPr="00573B6F">
              <w:t>overhead</w:t>
            </w:r>
          </w:p>
        </w:tc>
        <w:tc>
          <w:tcPr>
            <w:tcW w:w="4391" w:type="dxa"/>
          </w:tcPr>
          <w:p w:rsidR="00573B6F" w:rsidRPr="00573B6F" w:rsidRDefault="00573B6F" w:rsidP="00573B6F">
            <w:pPr>
              <w:cnfStyle w:val="000000000000" w:firstRow="0" w:lastRow="0" w:firstColumn="0" w:lastColumn="0" w:oddVBand="0" w:evenVBand="0" w:oddHBand="0" w:evenHBand="0" w:firstRowFirstColumn="0" w:firstRowLastColumn="0" w:lastRowFirstColumn="0" w:lastRowLastColumn="0"/>
            </w:pPr>
            <w:r>
              <w:t>7.57</w:t>
            </w:r>
          </w:p>
        </w:tc>
      </w:tr>
      <w:tr w:rsidR="00573B6F" w:rsidRPr="00E82781" w:rsidTr="00573B6F">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284" w:type="dxa"/>
          </w:tcPr>
          <w:p w:rsidR="00573B6F" w:rsidRPr="00573B6F" w:rsidRDefault="00573B6F" w:rsidP="00573B6F">
            <w:r>
              <w:t>Total (overheads)</w:t>
            </w:r>
          </w:p>
        </w:tc>
        <w:tc>
          <w:tcPr>
            <w:tcW w:w="4391" w:type="dxa"/>
          </w:tcPr>
          <w:p w:rsidR="00573B6F" w:rsidRPr="00573B6F" w:rsidRDefault="00573B6F" w:rsidP="00573B6F">
            <w:pPr>
              <w:cnfStyle w:val="000000010000" w:firstRow="0" w:lastRow="0" w:firstColumn="0" w:lastColumn="0" w:oddVBand="0" w:evenVBand="0" w:oddHBand="0" w:evenHBand="1" w:firstRowFirstColumn="0" w:firstRowLastColumn="0" w:lastRowFirstColumn="0" w:lastRowLastColumn="0"/>
            </w:pPr>
            <w:r>
              <w:t>50.88</w:t>
            </w:r>
          </w:p>
        </w:tc>
      </w:tr>
    </w:tbl>
    <w:p w:rsidR="00573B6F" w:rsidRPr="00573B6F" w:rsidRDefault="00573B6F" w:rsidP="00E4628D">
      <w:pPr>
        <w:pStyle w:val="AERtablesource"/>
      </w:pPr>
      <w:r>
        <w:t>Source:</w:t>
      </w:r>
      <w:r>
        <w:tab/>
      </w:r>
      <w:r w:rsidRPr="00315C6C">
        <w:t xml:space="preserve">Marsden Jacob Associates, </w:t>
      </w:r>
      <w:r w:rsidRPr="00315C6C">
        <w:rPr>
          <w:rStyle w:val="AERtextitalic"/>
        </w:rPr>
        <w:t>Consultant report to the AER on Alternative Control Services</w:t>
      </w:r>
      <w:r w:rsidRPr="00315C6C">
        <w:t xml:space="preserve">, October 2014, </w:t>
      </w:r>
      <w:r>
        <w:t>p.</w:t>
      </w:r>
      <w:r w:rsidR="00E01BE0">
        <w:t> </w:t>
      </w:r>
      <w:r>
        <w:t>33</w:t>
      </w:r>
      <w:r w:rsidRPr="00315C6C">
        <w:t>.</w:t>
      </w:r>
    </w:p>
    <w:p w:rsidR="00F60C36" w:rsidRPr="00F60C36" w:rsidRDefault="00E359E3" w:rsidP="00DB2E14">
      <w:pPr>
        <w:pStyle w:val="Heading4"/>
      </w:pPr>
      <w:r>
        <w:t>C</w:t>
      </w:r>
      <w:r w:rsidR="00F60C36">
        <w:t>hanges to</w:t>
      </w:r>
      <w:r w:rsidR="00F26091">
        <w:t xml:space="preserve"> descriptions </w:t>
      </w:r>
      <w:r w:rsidR="00926EC2">
        <w:t xml:space="preserve">of components </w:t>
      </w:r>
      <w:r w:rsidR="00F26091">
        <w:t>in the</w:t>
      </w:r>
      <w:r w:rsidR="00F60C36" w:rsidRPr="00F60C36">
        <w:t xml:space="preserve"> </w:t>
      </w:r>
      <w:r>
        <w:t xml:space="preserve">price cap </w:t>
      </w:r>
      <w:r w:rsidR="00F60C36" w:rsidRPr="00F60C36">
        <w:t>formula</w:t>
      </w:r>
      <w:r>
        <w:t>e</w:t>
      </w:r>
    </w:p>
    <w:p w:rsidR="00E359E3" w:rsidRDefault="00E359E3" w:rsidP="00FE47E1">
      <w:r>
        <w:lastRenderedPageBreak/>
        <w:t>We accept Ergon Energy's revised proposal</w:t>
      </w:r>
      <w:r w:rsidR="00F26091">
        <w:t xml:space="preserve"> changes to</w:t>
      </w:r>
      <w:r w:rsidR="00DD59AA">
        <w:t xml:space="preserve"> component</w:t>
      </w:r>
      <w:r w:rsidR="003667A5">
        <w:t xml:space="preserve"> descriptions</w:t>
      </w:r>
      <w:r w:rsidR="00926EC2">
        <w:t xml:space="preserve"> </w:t>
      </w:r>
      <w:r w:rsidR="00F26091">
        <w:t xml:space="preserve">in the </w:t>
      </w:r>
      <w:r>
        <w:t>price cap formulae</w:t>
      </w:r>
      <w:r w:rsidR="00F26091">
        <w:t xml:space="preserve"> as it provides clarity.</w:t>
      </w:r>
      <w:r w:rsidR="00926EC2">
        <w:rPr>
          <w:rStyle w:val="FootnoteReference"/>
        </w:rPr>
        <w:footnoteReference w:id="34"/>
      </w:r>
      <w:r w:rsidR="00F26091">
        <w:t xml:space="preserve"> We note these changes were </w:t>
      </w:r>
      <w:r>
        <w:t xml:space="preserve">relatively minor in nature </w:t>
      </w:r>
      <w:r w:rsidR="00F26091">
        <w:t>which</w:t>
      </w:r>
      <w:r w:rsidR="00926EC2">
        <w:t xml:space="preserve"> primarily involved</w:t>
      </w:r>
      <w:r w:rsidR="00F26091">
        <w:t xml:space="preserve"> removing </w:t>
      </w:r>
      <w:r w:rsidR="00926EC2">
        <w:t>redundant text.</w:t>
      </w:r>
    </w:p>
    <w:p w:rsidR="00491863" w:rsidRDefault="00B94C0D" w:rsidP="00DB2E14">
      <w:pPr>
        <w:pStyle w:val="Heading4"/>
      </w:pPr>
      <w:r>
        <w:t>Use of the term a</w:t>
      </w:r>
      <w:r w:rsidR="00491863">
        <w:t>ncil</w:t>
      </w:r>
      <w:r>
        <w:t>lary network services</w:t>
      </w:r>
    </w:p>
    <w:p w:rsidR="00A00F31" w:rsidRDefault="00E359E3" w:rsidP="003D661C">
      <w:r>
        <w:t>We do not accept Ergon Energy's revised proposal</w:t>
      </w:r>
      <w:r w:rsidR="003667A5">
        <w:t xml:space="preserve"> that our final decision</w:t>
      </w:r>
      <w:r>
        <w:t xml:space="preserve"> discontinue</w:t>
      </w:r>
      <w:r w:rsidR="00926EC2">
        <w:t xml:space="preserve"> the use of the </w:t>
      </w:r>
      <w:r w:rsidR="00B94C0D">
        <w:t>term ancillary</w:t>
      </w:r>
      <w:r w:rsidR="00926EC2" w:rsidRPr="007C21B7">
        <w:t xml:space="preserve"> network services</w:t>
      </w:r>
      <w:r w:rsidR="00926EC2">
        <w:t xml:space="preserve"> when </w:t>
      </w:r>
      <w:r w:rsidR="00B94C0D">
        <w:t xml:space="preserve">collectively </w:t>
      </w:r>
      <w:r w:rsidR="00491863">
        <w:t xml:space="preserve">referring to </w:t>
      </w:r>
      <w:r w:rsidR="00491863" w:rsidRPr="007C21B7">
        <w:t>fee bas</w:t>
      </w:r>
      <w:r w:rsidR="00F26091">
        <w:t>ed services and quoted services</w:t>
      </w:r>
      <w:r w:rsidR="00926EC2">
        <w:t>.</w:t>
      </w:r>
      <w:r w:rsidR="00491863">
        <w:rPr>
          <w:rStyle w:val="FootnoteReference"/>
        </w:rPr>
        <w:footnoteReference w:id="35"/>
      </w:r>
      <w:r>
        <w:t xml:space="preserve"> </w:t>
      </w:r>
      <w:r w:rsidR="00926EC2">
        <w:t>We</w:t>
      </w:r>
      <w:r w:rsidR="000E5C5B">
        <w:t xml:space="preserve"> consider collectively referring to these services as</w:t>
      </w:r>
      <w:r w:rsidR="003667A5">
        <w:t xml:space="preserve"> </w:t>
      </w:r>
      <w:r w:rsidR="00926EC2">
        <w:t>ancillary network services</w:t>
      </w:r>
      <w:r w:rsidR="00186AAF">
        <w:t xml:space="preserve"> </w:t>
      </w:r>
      <w:r w:rsidR="000E5C5B">
        <w:t>creates transparency as it</w:t>
      </w:r>
      <w:r w:rsidR="00926EC2">
        <w:t xml:space="preserve"> is consistent</w:t>
      </w:r>
      <w:r w:rsidR="000E5C5B">
        <w:t xml:space="preserve"> </w:t>
      </w:r>
      <w:r w:rsidR="00926EC2">
        <w:t>with our final F&amp;A and how these services are</w:t>
      </w:r>
      <w:r w:rsidR="003667A5">
        <w:t xml:space="preserve"> classified and</w:t>
      </w:r>
      <w:r w:rsidR="00926EC2">
        <w:t xml:space="preserve"> referred to in other jurisdictions.</w:t>
      </w:r>
      <w:r w:rsidR="00B94C0D">
        <w:rPr>
          <w:rStyle w:val="FootnoteReference"/>
        </w:rPr>
        <w:footnoteReference w:id="36"/>
      </w:r>
      <w:r w:rsidR="000E5C5B">
        <w:t xml:space="preserve"> </w:t>
      </w:r>
      <w:r w:rsidR="00330FCE">
        <w:t>This consistency</w:t>
      </w:r>
      <w:r w:rsidR="003D661C">
        <w:t xml:space="preserve"> </w:t>
      </w:r>
      <w:r w:rsidR="003667A5" w:rsidRPr="003667A5">
        <w:t xml:space="preserve">enables regulators, retailers, policy makers and end users to </w:t>
      </w:r>
      <w:r w:rsidR="007465C4">
        <w:t>compare</w:t>
      </w:r>
      <w:r w:rsidR="003667A5" w:rsidRPr="003667A5">
        <w:t xml:space="preserve"> pric</w:t>
      </w:r>
      <w:r w:rsidR="007465C4">
        <w:t>es for similar services across distributors and across jurisdictions.</w:t>
      </w:r>
    </w:p>
    <w:p w:rsidR="00A00F31" w:rsidRDefault="00A00F31" w:rsidP="00A00F31">
      <w:pPr>
        <w:pStyle w:val="Heading4"/>
      </w:pPr>
      <w:r>
        <w:t xml:space="preserve">Call-out fees </w:t>
      </w:r>
    </w:p>
    <w:p w:rsidR="00A00F31" w:rsidRDefault="00A00F31" w:rsidP="003D661C">
      <w:r>
        <w:t>We consider that Ergon Energy can charge for wasted attendances in various circumstances. A wasted attendance is an element of the service being provided, but a wasted attendance is not a service in itself.</w:t>
      </w:r>
      <w:r>
        <w:rPr>
          <w:rStyle w:val="FootnoteReference"/>
        </w:rPr>
        <w:footnoteReference w:id="37"/>
      </w:r>
      <w:r>
        <w:t xml:space="preserve"> Ergon Energy proposed to charge call-out fees for final meter reads and for other fee-based and quoted services.</w:t>
      </w:r>
      <w:r>
        <w:rPr>
          <w:rStyle w:val="FootnoteReference"/>
        </w:rPr>
        <w:footnoteReference w:id="38"/>
      </w:r>
      <w:r>
        <w:t xml:space="preserve"> We consider that these call-out fees reflect the opportunity cost of the fleet and labour Ergon Energy incurs in a wasted attendance. Therefore, we accept Ergon Energy’s call-out fees.</w:t>
      </w:r>
    </w:p>
    <w:p w:rsidR="00FE47E1" w:rsidRDefault="00FE47E1" w:rsidP="00FE47E1">
      <w:pPr>
        <w:pStyle w:val="Heading2"/>
      </w:pPr>
      <w:bookmarkStart w:id="48" w:name="_Toc433365996"/>
      <w:r>
        <w:t>Metering</w:t>
      </w:r>
      <w:bookmarkEnd w:id="48"/>
    </w:p>
    <w:p w:rsidR="00FE47E1" w:rsidRPr="00554A2E" w:rsidRDefault="00FE47E1" w:rsidP="00FE47E1">
      <w:r w:rsidRPr="00554A2E">
        <w:t xml:space="preserve">Our </w:t>
      </w:r>
      <w:r>
        <w:t>final</w:t>
      </w:r>
      <w:r w:rsidRPr="00554A2E">
        <w:t xml:space="preserve"> decision on </w:t>
      </w:r>
      <w:r>
        <w:t>Ergon Energy's</w:t>
      </w:r>
      <w:r w:rsidRPr="00554A2E">
        <w:t xml:space="preserve"> metering proposal is made in the context of ongoing policy reform. We based our assessment on the National Electricity Rules (NER) in place at the time of this </w:t>
      </w:r>
      <w:r>
        <w:t xml:space="preserve">preliminary </w:t>
      </w:r>
      <w:r w:rsidRPr="00554A2E">
        <w:t>decision, but have had regard to the likelihood of policy reform in the future through rule changes that will apply during this regulatory period.</w:t>
      </w:r>
    </w:p>
    <w:p w:rsidR="00FE47E1" w:rsidRPr="00554A2E" w:rsidRDefault="00FE47E1" w:rsidP="00FE47E1">
      <w:r w:rsidRPr="00554A2E">
        <w:lastRenderedPageBreak/>
        <w:t>Currently, competition in metering is limited to large customers in the national electricity market while regulated distributors have the sole responsibility to provide small customers with metering services.</w:t>
      </w:r>
      <w:r w:rsidRPr="00554A2E">
        <w:rPr>
          <w:rStyle w:val="FootnoteReference"/>
        </w:rPr>
        <w:footnoteReference w:id="39"/>
      </w:r>
    </w:p>
    <w:p w:rsidR="00FE47E1" w:rsidRPr="00554A2E" w:rsidRDefault="00FE47E1" w:rsidP="00FE47E1">
      <w:r w:rsidRPr="00554A2E">
        <w:t>The Australian Energy Market Commission (AEMC) is undertaking a rule change process to expand competition in metering and related services to help facilitate a market led roll out of advanced metering technology, following proposals from the COAG Energy Council. The increased availability of advanced meters will enable the introduction of more cost reflective network prices and allow consumers to make more informed decisions about how they want to use energy services.</w:t>
      </w:r>
    </w:p>
    <w:p w:rsidR="00FE47E1" w:rsidRPr="00554A2E" w:rsidRDefault="00FE47E1" w:rsidP="00FE47E1">
      <w:r w:rsidRPr="00554A2E">
        <w:t>The AEMC published its draft rule on 26 March 2015.</w:t>
      </w:r>
      <w:r>
        <w:rPr>
          <w:rStyle w:val="FootnoteReference"/>
        </w:rPr>
        <w:footnoteReference w:id="40"/>
      </w:r>
      <w:r w:rsidRPr="00554A2E">
        <w:t xml:space="preserve"> It provides that the AER should determine 'the arrangements for a DNSP to recover the residual costs of its regulated metering service</w:t>
      </w:r>
      <w:r>
        <w:t xml:space="preserve"> </w:t>
      </w:r>
      <w:r w:rsidRPr="00554A2E">
        <w:t>in accordance with the exis</w:t>
      </w:r>
      <w:r>
        <w:t>ting regulatory framework</w:t>
      </w:r>
      <w:r w:rsidRPr="00554A2E">
        <w:t>'</w:t>
      </w:r>
      <w:r>
        <w:t>.</w:t>
      </w:r>
      <w:r w:rsidRPr="00554A2E">
        <w:rPr>
          <w:rStyle w:val="FootnoteReference"/>
        </w:rPr>
        <w:footnoteReference w:id="41"/>
      </w:r>
      <w:r>
        <w:t xml:space="preserve"> </w:t>
      </w:r>
      <w:r w:rsidRPr="00554A2E">
        <w:t>Other key features of the draft rule change include:</w:t>
      </w:r>
    </w:p>
    <w:p w:rsidR="00FE47E1" w:rsidRPr="00554A2E" w:rsidRDefault="00FE47E1" w:rsidP="00FE47E1">
      <w:pPr>
        <w:pStyle w:val="AERbulletlistfirststyle"/>
      </w:pPr>
      <w:r w:rsidRPr="00554A2E">
        <w:t>the transfer of the role and responsibilities of the existing 'Responsible Person' to a new type of Registered Participant called a Metering Coordinator</w:t>
      </w:r>
    </w:p>
    <w:p w:rsidR="00FE47E1" w:rsidRPr="00554A2E" w:rsidRDefault="00FE47E1" w:rsidP="00FE47E1">
      <w:pPr>
        <w:pStyle w:val="AERbulletlistfirststyle"/>
      </w:pPr>
      <w:r w:rsidRPr="00554A2E">
        <w:t>allowing any person to become a Metering Coordinator, subject to meeting the registration requirements</w:t>
      </w:r>
    </w:p>
    <w:p w:rsidR="00FE47E1" w:rsidRPr="00554A2E" w:rsidRDefault="00FE47E1" w:rsidP="00FE47E1">
      <w:pPr>
        <w:pStyle w:val="AERbulletlistfirststyle"/>
      </w:pPr>
      <w:r w:rsidRPr="00554A2E">
        <w:t>permitting a large customer to appoint its own Metering Coordinator</w:t>
      </w:r>
    </w:p>
    <w:p w:rsidR="00FE47E1" w:rsidRPr="00554A2E" w:rsidRDefault="00FE47E1" w:rsidP="00FE47E1">
      <w:pPr>
        <w:pStyle w:val="AERbulletlistfirststyle"/>
      </w:pPr>
      <w:proofErr w:type="gramStart"/>
      <w:r w:rsidRPr="00554A2E">
        <w:t>requiring</w:t>
      </w:r>
      <w:proofErr w:type="gramEnd"/>
      <w:r w:rsidRPr="00554A2E">
        <w:t xml:space="preserve"> a retailer to appoint the Metering Coordinator, except where a large customer has appointed its own Metering Coordinator.</w:t>
      </w:r>
      <w:r w:rsidRPr="00554A2E">
        <w:rPr>
          <w:rStyle w:val="FootnoteReference"/>
        </w:rPr>
        <w:footnoteReference w:id="42"/>
      </w:r>
      <w:r w:rsidRPr="00554A2E">
        <w:t xml:space="preserve">   </w:t>
      </w:r>
    </w:p>
    <w:p w:rsidR="00FE47E1" w:rsidRPr="00554A2E" w:rsidRDefault="00FE47E1" w:rsidP="00FE47E1">
      <w:r>
        <w:t>The AEMC's final determination is due 26 November 2015.</w:t>
      </w:r>
      <w:r>
        <w:rPr>
          <w:rStyle w:val="FootnoteReference"/>
        </w:rPr>
        <w:footnoteReference w:id="43"/>
      </w:r>
      <w:r>
        <w:t xml:space="preserve"> In making our final</w:t>
      </w:r>
      <w:r w:rsidRPr="00554A2E">
        <w:t xml:space="preserve"> decision</w:t>
      </w:r>
      <w:r>
        <w:t>, we have taken the AEMC's draft determination into account. In doing so we have sought to establish</w:t>
      </w:r>
      <w:r w:rsidRPr="00554A2E">
        <w:t xml:space="preserve"> a regu</w:t>
      </w:r>
      <w:r>
        <w:t>latory framework for the 2015-20</w:t>
      </w:r>
      <w:r w:rsidRPr="00554A2E">
        <w:t xml:space="preserve"> regulatory </w:t>
      </w:r>
      <w:proofErr w:type="gramStart"/>
      <w:r w:rsidRPr="00554A2E">
        <w:t>period</w:t>
      </w:r>
      <w:proofErr w:type="gramEnd"/>
      <w:r w:rsidRPr="00554A2E">
        <w:t xml:space="preserve"> which will be robust enough to handle the transition to competition once the rule change takes effect from </w:t>
      </w:r>
      <w:r>
        <w:t>1 December</w:t>
      </w:r>
      <w:r w:rsidRPr="00554A2E">
        <w:t xml:space="preserve"> 2017.</w:t>
      </w:r>
      <w:r w:rsidRPr="00554A2E">
        <w:rPr>
          <w:rStyle w:val="FootnoteReference"/>
        </w:rPr>
        <w:footnoteReference w:id="44"/>
      </w:r>
      <w:r w:rsidRPr="00554A2E">
        <w:t xml:space="preserve"> This involves having transparent standalone prices for all new or upgraded meter connections and annual charges.</w:t>
      </w:r>
    </w:p>
    <w:p w:rsidR="00FE47E1" w:rsidRDefault="00FE47E1" w:rsidP="00FE47E1">
      <w:r w:rsidRPr="00554A2E">
        <w:t xml:space="preserve">The key issue in the lead up to competition is how to recover the residual metering capital costs that arises when metering customers begin to switch to competitive metering providers. Rather than an upfront exit fee which would create a regulatory barrier to competitive entry, our preliminary decision </w:t>
      </w:r>
      <w:r>
        <w:t>was</w:t>
      </w:r>
      <w:r w:rsidRPr="00554A2E">
        <w:t xml:space="preserve"> that switching customers continue to pay the capital cost component of the regulated annual metering service charge.</w:t>
      </w:r>
      <w:r>
        <w:t xml:space="preserve"> We have maintained that approach in our final decision. </w:t>
      </w:r>
    </w:p>
    <w:p w:rsidR="00FE47E1" w:rsidRDefault="00FE47E1" w:rsidP="00FE47E1">
      <w:pPr>
        <w:pStyle w:val="Heading3"/>
      </w:pPr>
      <w:bookmarkStart w:id="49" w:name="_Toc433365997"/>
      <w:r>
        <w:lastRenderedPageBreak/>
        <w:t>Final decision</w:t>
      </w:r>
      <w:bookmarkEnd w:id="49"/>
    </w:p>
    <w:p w:rsidR="00E13393" w:rsidRDefault="00E13393" w:rsidP="00E13393">
      <w:pPr>
        <w:pStyle w:val="Heading4"/>
      </w:pPr>
      <w:r>
        <w:t>Structure of metering charges</w:t>
      </w:r>
    </w:p>
    <w:p w:rsidR="00E13393" w:rsidRPr="00BC66B8" w:rsidRDefault="00E13393" w:rsidP="00E13393">
      <w:pPr>
        <w:numPr>
          <w:ilvl w:val="0"/>
          <w:numId w:val="25"/>
        </w:numPr>
      </w:pPr>
      <w:r w:rsidRPr="00BC66B8">
        <w:t xml:space="preserve">We </w:t>
      </w:r>
      <w:r>
        <w:t>classify</w:t>
      </w:r>
      <w:r w:rsidRPr="00BC66B8">
        <w:t xml:space="preserve"> type 5 and 6 metering services</w:t>
      </w:r>
      <w:r>
        <w:t xml:space="preserve"> as alternative control services</w:t>
      </w:r>
      <w:r w:rsidRPr="00BC66B8">
        <w:t xml:space="preserve">. </w:t>
      </w:r>
      <w:r>
        <w:t>Our final decision is that the</w:t>
      </w:r>
      <w:r w:rsidRPr="00BC66B8">
        <w:t xml:space="preserve"> control mechanism for alternative control metering services will be caps on the prices of individual services. </w:t>
      </w:r>
    </w:p>
    <w:p w:rsidR="00E13393" w:rsidRDefault="00E13393" w:rsidP="00E13393">
      <w:pPr>
        <w:rPr>
          <w:rStyle w:val="AERbody"/>
        </w:rPr>
      </w:pPr>
      <w:r>
        <w:rPr>
          <w:rStyle w:val="AERbody"/>
        </w:rPr>
        <w:t>Our final decision approves two types of metering service charges:</w:t>
      </w:r>
    </w:p>
    <w:p w:rsidR="00E13393" w:rsidRDefault="00E13393" w:rsidP="00E13393">
      <w:pPr>
        <w:pStyle w:val="AERbulletlistfirststyle"/>
        <w:rPr>
          <w:rStyle w:val="AERbody"/>
        </w:rPr>
      </w:pPr>
      <w:r>
        <w:rPr>
          <w:rStyle w:val="AERbody"/>
        </w:rPr>
        <w:t>Upfront capital charge (for all new and upgraded meters installed from 1 July 2015)</w:t>
      </w:r>
    </w:p>
    <w:p w:rsidR="00E13393" w:rsidRDefault="00E13393" w:rsidP="00E13393">
      <w:pPr>
        <w:pStyle w:val="AERbulletlistfirststyle"/>
        <w:rPr>
          <w:rStyle w:val="AERbody"/>
        </w:rPr>
      </w:pPr>
      <w:r>
        <w:rPr>
          <w:rStyle w:val="AERbody"/>
        </w:rPr>
        <w:t>Annual charge comprising of two components:</w:t>
      </w:r>
    </w:p>
    <w:p w:rsidR="00E13393" w:rsidRDefault="00E13393" w:rsidP="00E13393">
      <w:pPr>
        <w:pStyle w:val="AERbulletlistsecondstyle"/>
        <w:rPr>
          <w:rStyle w:val="AERbody"/>
        </w:rPr>
      </w:pPr>
      <w:r>
        <w:rPr>
          <w:rStyle w:val="AERbody"/>
        </w:rPr>
        <w:t>capital—metering asset base (MAB) recovery</w:t>
      </w:r>
    </w:p>
    <w:p w:rsidR="00E13393" w:rsidRDefault="00E13393" w:rsidP="00E13393">
      <w:pPr>
        <w:pStyle w:val="AERbulletlistsecondstyle"/>
        <w:rPr>
          <w:rStyle w:val="AERbody"/>
        </w:rPr>
      </w:pPr>
      <w:proofErr w:type="gramStart"/>
      <w:r>
        <w:rPr>
          <w:rStyle w:val="AERbody"/>
        </w:rPr>
        <w:t>non-capit</w:t>
      </w:r>
      <w:r w:rsidR="00461533">
        <w:rPr>
          <w:rStyle w:val="AERbody"/>
        </w:rPr>
        <w:t>al—</w:t>
      </w:r>
      <w:proofErr w:type="gramEnd"/>
      <w:r w:rsidR="00461533">
        <w:rPr>
          <w:rStyle w:val="AERbody"/>
        </w:rPr>
        <w:t>operating expenditure</w:t>
      </w:r>
      <w:r>
        <w:rPr>
          <w:rStyle w:val="AERbody"/>
        </w:rPr>
        <w:t>.</w:t>
      </w:r>
    </w:p>
    <w:p w:rsidR="00E13393" w:rsidRPr="00B202ED" w:rsidRDefault="00F947B6" w:rsidP="00E13393">
      <w:pPr>
        <w:rPr>
          <w:rStyle w:val="AERbody"/>
        </w:rPr>
      </w:pPr>
      <w:r>
        <w:rPr>
          <w:rStyle w:val="AERbody"/>
        </w:rPr>
        <w:t>Appendix</w:t>
      </w:r>
      <w:r w:rsidR="00E13393">
        <w:rPr>
          <w:rStyle w:val="AERbody"/>
        </w:rPr>
        <w:t xml:space="preserve"> B outlines in more detail how our approved structure of metering charges will work.</w:t>
      </w:r>
    </w:p>
    <w:p w:rsidR="00E13393" w:rsidRDefault="00E13393" w:rsidP="00E13393">
      <w:pPr>
        <w:pStyle w:val="Heading4"/>
      </w:pPr>
      <w:r>
        <w:t>Annual metering services charges</w:t>
      </w:r>
    </w:p>
    <w:p w:rsidR="00E13393" w:rsidRPr="00FC1FB4" w:rsidRDefault="00E13393" w:rsidP="00E13393">
      <w:r w:rsidRPr="00FC1FB4">
        <w:t xml:space="preserve">We generally accept </w:t>
      </w:r>
      <w:r>
        <w:t>Ergon Energy's</w:t>
      </w:r>
      <w:r w:rsidRPr="00FC1FB4">
        <w:t xml:space="preserve"> building block approach as the basis for establishing annual metering charges</w:t>
      </w:r>
      <w:r>
        <w:t>. With respect to each building block, our final decision is:</w:t>
      </w:r>
    </w:p>
    <w:p w:rsidR="00E13393" w:rsidRPr="000778DD" w:rsidRDefault="00E13393" w:rsidP="00E13393">
      <w:pPr>
        <w:pStyle w:val="AERbulletlistfirststyle"/>
      </w:pPr>
      <w:r>
        <w:t>Opening metering asset base</w:t>
      </w:r>
    </w:p>
    <w:p w:rsidR="00E13393" w:rsidRPr="00E13393" w:rsidRDefault="00E13393" w:rsidP="00E13393">
      <w:pPr>
        <w:pStyle w:val="AERbulletlistfirststyle"/>
        <w:numPr>
          <w:ilvl w:val="0"/>
          <w:numId w:val="0"/>
        </w:numPr>
        <w:ind w:left="357"/>
      </w:pPr>
      <w:r w:rsidRPr="00E13393">
        <w:t xml:space="preserve">Our final decision is to approve an opening MAB value as at 1 July 2015 of $60.7 million compared to Ergon Energy's proposed $61.6 million ($nominal). </w:t>
      </w:r>
    </w:p>
    <w:p w:rsidR="00E13393" w:rsidRDefault="00E13393" w:rsidP="00E13393">
      <w:pPr>
        <w:pStyle w:val="AERbulletlistfirststyle"/>
      </w:pPr>
      <w:r>
        <w:t>Depreciation</w:t>
      </w:r>
    </w:p>
    <w:p w:rsidR="00E13393" w:rsidRDefault="00E13393" w:rsidP="00E13393">
      <w:pPr>
        <w:pStyle w:val="AERbulletlistfirststyle"/>
        <w:numPr>
          <w:ilvl w:val="0"/>
          <w:numId w:val="0"/>
        </w:numPr>
        <w:ind w:left="357"/>
      </w:pPr>
      <w:r>
        <w:t xml:space="preserve">We maintain our preliminary decision giving effect to standard asset lives of 15 years. </w:t>
      </w:r>
      <w:r w:rsidRPr="000B1D07">
        <w:t>This is instead of Ergon Energy's proposal to apply accelerated depreciation of 5 years</w:t>
      </w:r>
      <w:r>
        <w:t>.</w:t>
      </w:r>
      <w:r>
        <w:rPr>
          <w:rStyle w:val="FootnoteReference"/>
        </w:rPr>
        <w:footnoteReference w:id="45"/>
      </w:r>
    </w:p>
    <w:p w:rsidR="00FD65A5" w:rsidRDefault="00FD65A5" w:rsidP="00E13393">
      <w:pPr>
        <w:pStyle w:val="AERbulletlistfirststyle"/>
      </w:pPr>
      <w:r>
        <w:t>Rate of return</w:t>
      </w:r>
    </w:p>
    <w:p w:rsidR="00FD65A5" w:rsidRDefault="00FD65A5" w:rsidP="00683D97">
      <w:pPr>
        <w:pStyle w:val="AERbulletlistfirststyle"/>
        <w:numPr>
          <w:ilvl w:val="0"/>
          <w:numId w:val="0"/>
        </w:numPr>
        <w:ind w:left="357"/>
      </w:pPr>
      <w:r>
        <w:t xml:space="preserve">Our final decision </w:t>
      </w:r>
      <w:r w:rsidR="00374ADA">
        <w:t xml:space="preserve">accepts that the same </w:t>
      </w:r>
      <w:r>
        <w:t>WACC and imputation credit (gamma) values for standard control services</w:t>
      </w:r>
      <w:r w:rsidR="00374ADA">
        <w:t xml:space="preserve"> should apply to alternative control metering services</w:t>
      </w:r>
      <w:r>
        <w:t xml:space="preserve">. </w:t>
      </w:r>
      <w:r w:rsidR="00E9623F">
        <w:t xml:space="preserve">However, unlike standard control, we will not be annual adjusting for return on debt. </w:t>
      </w:r>
    </w:p>
    <w:p w:rsidR="00E9623F" w:rsidRDefault="00E9623F" w:rsidP="00683D97">
      <w:pPr>
        <w:pStyle w:val="AERbulletlistfirststyle"/>
        <w:numPr>
          <w:ilvl w:val="0"/>
          <w:numId w:val="0"/>
        </w:numPr>
        <w:ind w:left="357"/>
      </w:pPr>
      <w:r>
        <w:t>W</w:t>
      </w:r>
      <w:r w:rsidR="00FD65A5">
        <w:t xml:space="preserve">e do not accept Ergon Energy's proposed WACC and gamma values. </w:t>
      </w:r>
      <w:r w:rsidR="00360510">
        <w:t xml:space="preserve">See attachments 3 and 4 for our decision, along with our reasons. </w:t>
      </w:r>
      <w:r>
        <w:t xml:space="preserve"> </w:t>
      </w:r>
    </w:p>
    <w:p w:rsidR="00E13393" w:rsidRDefault="00E13393" w:rsidP="00E13393">
      <w:pPr>
        <w:pStyle w:val="AERbulletlistfirststyle"/>
      </w:pPr>
      <w:r>
        <w:t>Forecast capex</w:t>
      </w:r>
    </w:p>
    <w:p w:rsidR="00E13393" w:rsidRPr="00E13393" w:rsidRDefault="00E13393" w:rsidP="00E13393">
      <w:pPr>
        <w:pStyle w:val="AERbulletlistfirststyle"/>
        <w:numPr>
          <w:ilvl w:val="0"/>
          <w:numId w:val="0"/>
        </w:numPr>
        <w:ind w:left="357"/>
      </w:pPr>
      <w:r>
        <w:lastRenderedPageBreak/>
        <w:t>Our final decision is to accept</w:t>
      </w:r>
      <w:r w:rsidRPr="00E13393">
        <w:t xml:space="preserve"> $71.1 million</w:t>
      </w:r>
      <w:r>
        <w:t xml:space="preserve"> in capex</w:t>
      </w:r>
      <w:r w:rsidRPr="00E13393">
        <w:t xml:space="preserve"> and substitute that amount for Ergon Energy's proposed $71.8 million</w:t>
      </w:r>
      <w:r>
        <w:t xml:space="preserve"> ($2014–15)</w:t>
      </w:r>
      <w:r w:rsidRPr="00E13393">
        <w:t xml:space="preserve">. </w:t>
      </w:r>
    </w:p>
    <w:p w:rsidR="00E13393" w:rsidRDefault="00E13393" w:rsidP="00E13393">
      <w:pPr>
        <w:pStyle w:val="AERbulletlistfirststyle"/>
      </w:pPr>
      <w:r>
        <w:t>Forecast opex</w:t>
      </w:r>
    </w:p>
    <w:p w:rsidR="00E13393" w:rsidRPr="00E13393" w:rsidRDefault="00E13393" w:rsidP="00CE616D">
      <w:pPr>
        <w:pStyle w:val="AERbulletlistfirststyle"/>
        <w:numPr>
          <w:ilvl w:val="0"/>
          <w:numId w:val="0"/>
        </w:numPr>
        <w:ind w:left="357"/>
      </w:pPr>
      <w:r w:rsidRPr="00BE103D">
        <w:t xml:space="preserve">In assessing the metering </w:t>
      </w:r>
      <w:r w:rsidRPr="00E13393">
        <w:t xml:space="preserve">opex building block, we used a base-step-trend approach to developing an alternative forecast. Our cost assessment led us to </w:t>
      </w:r>
      <w:r w:rsidR="00CE616D">
        <w:t>approve</w:t>
      </w:r>
      <w:r w:rsidR="00CE616D" w:rsidRPr="00E13393">
        <w:t xml:space="preserve"> </w:t>
      </w:r>
      <w:r w:rsidRPr="00E13393">
        <w:t>$</w:t>
      </w:r>
      <w:r w:rsidR="00514183">
        <w:t>166.2</w:t>
      </w:r>
      <w:r w:rsidRPr="00E13393">
        <w:t> million in opex</w:t>
      </w:r>
      <w:r w:rsidR="00514183">
        <w:t xml:space="preserve">, instead </w:t>
      </w:r>
      <w:r w:rsidR="00CE616D">
        <w:t xml:space="preserve">of </w:t>
      </w:r>
      <w:r w:rsidR="00CE616D" w:rsidRPr="00E13393">
        <w:t>Ergon</w:t>
      </w:r>
      <w:r w:rsidR="00CE616D">
        <w:t xml:space="preserve"> Energy's revised proposal of $182.6 million </w:t>
      </w:r>
      <w:r w:rsidRPr="00E13393">
        <w:t xml:space="preserve">($2014-15). </w:t>
      </w:r>
    </w:p>
    <w:p w:rsidR="00E13393" w:rsidRDefault="00E13393" w:rsidP="00E13393">
      <w:r w:rsidRPr="00FC1FB4">
        <w:t xml:space="preserve">Based on our cost assessment of the individual building blocks we rejected </w:t>
      </w:r>
      <w:r w:rsidR="00EA5A00">
        <w:t>Ergon Energy's</w:t>
      </w:r>
      <w:r w:rsidRPr="00FC1FB4">
        <w:t xml:space="preserve"> proposed price caps for annual</w:t>
      </w:r>
      <w:r>
        <w:t xml:space="preserve"> metering</w:t>
      </w:r>
      <w:r w:rsidRPr="00FC1FB4">
        <w:t xml:space="preserve"> charges. Our substitute price caps are set out in </w:t>
      </w:r>
      <w:r w:rsidR="000D00AB">
        <w:t>a</w:t>
      </w:r>
      <w:r w:rsidRPr="00FC1FB4">
        <w:t>ppendi</w:t>
      </w:r>
      <w:r>
        <w:t>x A</w:t>
      </w:r>
      <w:r w:rsidRPr="00FC1FB4">
        <w:t>.</w:t>
      </w:r>
    </w:p>
    <w:p w:rsidR="00E13393" w:rsidRDefault="00E13393" w:rsidP="00E13393">
      <w:pPr>
        <w:pStyle w:val="Heading4"/>
      </w:pPr>
      <w:bookmarkStart w:id="50" w:name="_Ref430774450"/>
      <w:r>
        <w:t>Control mechanism</w:t>
      </w:r>
      <w:bookmarkEnd w:id="50"/>
    </w:p>
    <w:p w:rsidR="00E13393" w:rsidRPr="00B04E0C" w:rsidRDefault="00E13393" w:rsidP="00E13393">
      <w:r>
        <w:t>We maintain our preliminary decision to</w:t>
      </w:r>
      <w:r w:rsidRPr="00B04E0C">
        <w:t xml:space="preserve"> apply price caps for individual type 5 and 6 metering services as the form of control. This means a schedule of prices is set for the first year. For the following year's the previous year’s prices are adjusted by CPI and an X factor. The control mechanism formula is set out below:</w:t>
      </w:r>
    </w:p>
    <w:p w:rsidR="008E3E11" w:rsidRPr="002D3A76" w:rsidRDefault="00BC51BE" w:rsidP="008E3E11">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t</m:t>
            </m:r>
          </m:sub>
          <m:sup>
            <m:r>
              <w:rPr>
                <w:rFonts w:ascii="Cambria Math" w:hAnsi="Cambria Math"/>
              </w:rPr>
              <m:t>i</m:t>
            </m:r>
          </m:sup>
        </m:sSubSup>
      </m:oMath>
    </w:p>
    <w:p w:rsidR="008E3E11" w:rsidRPr="002D3A76" w:rsidRDefault="008E3E11" w:rsidP="008E3E11">
      <w:pPr>
        <w:numPr>
          <w:ilvl w:val="0"/>
          <w:numId w:val="25"/>
        </w:numPr>
      </w:pPr>
      <w:r>
        <w:t>w</w:t>
      </w:r>
      <w:r w:rsidRPr="002D3A76">
        <w:t>here:</w:t>
      </w:r>
    </w:p>
    <w:p w:rsidR="008E3E11" w:rsidRPr="002D3A76" w:rsidRDefault="00BC51BE" w:rsidP="008E3E11">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oMath>
      <w:r w:rsidR="008E3E11" w:rsidRPr="002D3A76">
        <w:t xml:space="preserve"> </w:t>
      </w:r>
      <w:r w:rsidR="008E3E11" w:rsidRPr="002D3A76">
        <w:tab/>
        <w:t>is the cap on the price of service i in year t–1</w:t>
      </w:r>
    </w:p>
    <w:p w:rsidR="008E3E11" w:rsidRPr="002D3A76" w:rsidRDefault="00BC51BE" w:rsidP="008E3E11">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008E3E11" w:rsidRPr="002D3A76">
        <w:t xml:space="preserve"> </w:t>
      </w:r>
      <w:r w:rsidR="008E3E11" w:rsidRPr="002D3A76">
        <w:tab/>
      </w:r>
      <w:r w:rsidR="008E3E11" w:rsidRPr="002D3A76">
        <w:tab/>
      </w:r>
      <w:proofErr w:type="gramStart"/>
      <w:r w:rsidR="008E3E11" w:rsidRPr="002D3A76">
        <w:t>is</w:t>
      </w:r>
      <w:proofErr w:type="gramEnd"/>
      <w:r w:rsidR="008E3E11" w:rsidRPr="002D3A76">
        <w:t xml:space="preserve"> the cap on the price of service i in year t.</w:t>
      </w:r>
    </w:p>
    <w:p w:rsidR="008E3E11" w:rsidRDefault="008E3E11" w:rsidP="008E3E11">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2D3A76">
        <w:t xml:space="preserve"> </w:t>
      </w:r>
      <w:r w:rsidRPr="002D3A76">
        <w:tab/>
      </w:r>
      <w:proofErr w:type="gramStart"/>
      <w:r w:rsidRPr="002D3A76">
        <w:t>is</w:t>
      </w:r>
      <w:proofErr w:type="gramEnd"/>
      <w:r w:rsidRPr="002D3A76">
        <w:t xml:space="preserve"> the annual percentage change in the ABS CPI All Groups, Weighted Average of Eight Capital Cities</w:t>
      </w:r>
      <w:r>
        <w:rPr>
          <w:rStyle w:val="FootnoteReference"/>
        </w:rPr>
        <w:footnoteReference w:id="46"/>
      </w:r>
      <w:r w:rsidRPr="002D3A76">
        <w:t xml:space="preserve"> from</w:t>
      </w:r>
      <w:r>
        <w:t xml:space="preserve"> the</w:t>
      </w:r>
      <w:r w:rsidRPr="002D3A76">
        <w:t xml:space="preserve"> December </w:t>
      </w:r>
      <w:r>
        <w:t xml:space="preserve">quarter </w:t>
      </w:r>
      <w:r w:rsidRPr="002D3A76">
        <w:t>in year t</w:t>
      </w:r>
      <w:r>
        <w:t>–</w:t>
      </w:r>
      <w:r w:rsidRPr="002D3A76">
        <w:t>2 to</w:t>
      </w:r>
      <w:r>
        <w:t xml:space="preserve"> the</w:t>
      </w:r>
      <w:r w:rsidRPr="002D3A76">
        <w:t xml:space="preserve"> December</w:t>
      </w:r>
      <w:r>
        <w:t xml:space="preserve"> quarter</w:t>
      </w:r>
      <w:r w:rsidRPr="002D3A76">
        <w:t xml:space="preserve"> in year t</w:t>
      </w:r>
      <w:r>
        <w:t>–</w:t>
      </w:r>
      <w:r w:rsidRPr="002D3A76">
        <w:t>1</w:t>
      </w:r>
      <w:r>
        <w:t>, calculated using the following method:</w:t>
      </w:r>
    </w:p>
    <w:p w:rsidR="008E3E11" w:rsidRPr="005B0486" w:rsidRDefault="008E3E11" w:rsidP="008E3E11">
      <w:pPr>
        <w:pStyle w:val="ListContinue"/>
      </w:pPr>
      <w:r w:rsidRPr="005B0486">
        <w:t xml:space="preserve">The ABS CPI All Groups, Weighted Average of Eight Capital Cities for the </w:t>
      </w:r>
      <w:r>
        <w:t>December</w:t>
      </w:r>
      <w:r w:rsidRPr="005B0486">
        <w:t xml:space="preserve"> quarter in regulatory year t–1</w:t>
      </w:r>
    </w:p>
    <w:p w:rsidR="008E3E11" w:rsidRPr="005B0486" w:rsidRDefault="008E3E11" w:rsidP="008E3E11">
      <w:pPr>
        <w:pStyle w:val="ListContinue"/>
      </w:pPr>
      <w:r w:rsidRPr="005B0486">
        <w:t>divided by</w:t>
      </w:r>
    </w:p>
    <w:p w:rsidR="008E3E11" w:rsidRPr="005B0486" w:rsidRDefault="008E3E11" w:rsidP="008E3E11">
      <w:pPr>
        <w:pStyle w:val="ListContinue"/>
      </w:pPr>
      <w:r w:rsidRPr="005B0486">
        <w:t xml:space="preserve">The ABS CPI All Groups, Weighted Average of Eight Capital Cities for the </w:t>
      </w:r>
      <w:r>
        <w:t>December</w:t>
      </w:r>
      <w:r w:rsidRPr="005B0486">
        <w:t xml:space="preserve"> quarter in regulatory year t–2</w:t>
      </w:r>
    </w:p>
    <w:p w:rsidR="008E3E11" w:rsidRDefault="008E3E11" w:rsidP="008E3E11">
      <w:pPr>
        <w:pStyle w:val="ListContinue"/>
      </w:pPr>
      <w:proofErr w:type="gramStart"/>
      <w:r w:rsidRPr="005B0486">
        <w:t>minus</w:t>
      </w:r>
      <w:proofErr w:type="gramEnd"/>
      <w:r w:rsidRPr="005B0486">
        <w:t xml:space="preserve"> one.</w:t>
      </w:r>
    </w:p>
    <w:p w:rsidR="008E3E11" w:rsidRPr="002D3A76" w:rsidRDefault="008E3E11" w:rsidP="008E3E11">
      <w:r w:rsidRPr="002D3A76">
        <w:t>For example, for the 201</w:t>
      </w:r>
      <w:r>
        <w:t>6</w:t>
      </w:r>
      <w:r w:rsidRPr="002D3A76">
        <w:t>–1</w:t>
      </w:r>
      <w:r>
        <w:t>7</w:t>
      </w:r>
      <w:r w:rsidRPr="002D3A76">
        <w:t xml:space="preserve"> year, t–2 is </w:t>
      </w:r>
      <w:r>
        <w:t xml:space="preserve">the </w:t>
      </w:r>
      <w:r w:rsidRPr="002D3A76">
        <w:t>December</w:t>
      </w:r>
      <w:r>
        <w:t xml:space="preserve"> quarter</w:t>
      </w:r>
      <w:r w:rsidRPr="002D3A76">
        <w:t xml:space="preserve"> 201</w:t>
      </w:r>
      <w:r>
        <w:t>4</w:t>
      </w:r>
      <w:r w:rsidRPr="002D3A76">
        <w:t xml:space="preserve"> and t–1 is </w:t>
      </w:r>
      <w:r>
        <w:t xml:space="preserve">the </w:t>
      </w:r>
      <w:r w:rsidRPr="002D3A76">
        <w:t>December</w:t>
      </w:r>
      <w:r>
        <w:t xml:space="preserve"> quarter</w:t>
      </w:r>
      <w:r w:rsidRPr="002D3A76">
        <w:t xml:space="preserve"> 201</w:t>
      </w:r>
      <w:r>
        <w:t>5</w:t>
      </w:r>
      <w:r w:rsidRPr="002D3A76">
        <w:t xml:space="preserve"> and in the 201</w:t>
      </w:r>
      <w:r>
        <w:t>7</w:t>
      </w:r>
      <w:r w:rsidRPr="002D3A76">
        <w:t>–1</w:t>
      </w:r>
      <w:r>
        <w:t>8</w:t>
      </w:r>
      <w:r w:rsidRPr="002D3A76">
        <w:t xml:space="preserve"> year, t–2 is</w:t>
      </w:r>
      <w:r>
        <w:t xml:space="preserve"> the</w:t>
      </w:r>
      <w:r w:rsidRPr="002D3A76">
        <w:t xml:space="preserve"> December</w:t>
      </w:r>
      <w:r>
        <w:t xml:space="preserve"> quarter</w:t>
      </w:r>
      <w:r w:rsidRPr="002D3A76">
        <w:t xml:space="preserve"> 201</w:t>
      </w:r>
      <w:r>
        <w:t>5</w:t>
      </w:r>
      <w:r w:rsidRPr="002D3A76">
        <w:t xml:space="preserve"> and t–1 is</w:t>
      </w:r>
      <w:r>
        <w:t xml:space="preserve"> the</w:t>
      </w:r>
      <w:r w:rsidRPr="002D3A76">
        <w:t xml:space="preserve"> December</w:t>
      </w:r>
      <w:r>
        <w:t xml:space="preserve"> quarter</w:t>
      </w:r>
      <w:r w:rsidRPr="002D3A76">
        <w:t xml:space="preserve"> 201</w:t>
      </w:r>
      <w:r>
        <w:t>6</w:t>
      </w:r>
      <w:r w:rsidRPr="002D3A76">
        <w:t xml:space="preserve"> and so on.</w:t>
      </w:r>
    </w:p>
    <w:p w:rsidR="00674D47" w:rsidRDefault="00BC51BE" w:rsidP="008E3E11">
      <m:oMath>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oMath>
      <w:r w:rsidR="008E3E11" w:rsidRPr="002D3A76">
        <w:t xml:space="preserve"> </w:t>
      </w:r>
      <w:r w:rsidR="008E3E11" w:rsidRPr="002D3A76">
        <w:tab/>
      </w:r>
      <w:r w:rsidR="008E3E11">
        <w:tab/>
      </w:r>
      <w:proofErr w:type="gramStart"/>
      <w:r w:rsidR="00674D47">
        <w:t>is</w:t>
      </w:r>
      <w:proofErr w:type="gramEnd"/>
      <w:r w:rsidR="00674D47">
        <w:t>:</w:t>
      </w:r>
    </w:p>
    <w:p w:rsidR="008E3E11" w:rsidRDefault="008E3E11" w:rsidP="00674D47">
      <w:pPr>
        <w:pStyle w:val="ListContinue"/>
      </w:pPr>
      <w:r w:rsidRPr="002D3A76">
        <w:lastRenderedPageBreak/>
        <w:t xml:space="preserve">for service </w:t>
      </w:r>
      <w:r w:rsidR="00674D47">
        <w:t xml:space="preserve">i (annual metering charge — </w:t>
      </w:r>
      <w:r w:rsidR="00996887">
        <w:t>non–</w:t>
      </w:r>
      <w:r w:rsidR="00674D47">
        <w:t>capital component)</w:t>
      </w:r>
      <w:r w:rsidRPr="002D3A76">
        <w:t xml:space="preserve"> in year t</w:t>
      </w:r>
      <w:r>
        <w:t>,</w:t>
      </w:r>
      <w:r w:rsidRPr="002D3A76">
        <w:t xml:space="preserve"> </w:t>
      </w:r>
      <w:r w:rsidR="00674D47" w:rsidRPr="002D3A76">
        <w:t>the X</w:t>
      </w:r>
      <w:r w:rsidR="00674D47">
        <w:t> </w:t>
      </w:r>
      <w:r w:rsidR="00674D47" w:rsidRPr="002D3A76">
        <w:t>factor</w:t>
      </w:r>
      <w:r w:rsidR="00674D47">
        <w:t xml:space="preserve"> as set out</w:t>
      </w:r>
      <w:r w:rsidR="00674D47" w:rsidRPr="002D3A76">
        <w:t xml:space="preserve"> </w:t>
      </w:r>
      <w:r>
        <w:t xml:space="preserve">in </w:t>
      </w:r>
      <w:r>
        <w:fldChar w:fldCharType="begin"/>
      </w:r>
      <w:r>
        <w:instrText xml:space="preserve"> REF _Ref417593759 \h </w:instrText>
      </w:r>
      <w:r>
        <w:fldChar w:fldCharType="separate"/>
      </w:r>
      <w:r w:rsidR="00307CCD">
        <w:t>t</w:t>
      </w:r>
      <w:r w:rsidR="00E01BE0" w:rsidRPr="00B04E0C">
        <w:t xml:space="preserve">able </w:t>
      </w:r>
      <w:r w:rsidR="00E01BE0">
        <w:rPr>
          <w:noProof/>
        </w:rPr>
        <w:t>16</w:t>
      </w:r>
      <w:r w:rsidR="00E01BE0">
        <w:t>.</w:t>
      </w:r>
      <w:r w:rsidR="00E01BE0">
        <w:rPr>
          <w:noProof/>
        </w:rPr>
        <w:t>9</w:t>
      </w:r>
      <w:r>
        <w:fldChar w:fldCharType="end"/>
      </w:r>
    </w:p>
    <w:p w:rsidR="00674D47" w:rsidRPr="002D3A76" w:rsidRDefault="00674D47" w:rsidP="00674D47">
      <w:pPr>
        <w:pStyle w:val="ListContinue"/>
      </w:pPr>
      <w:r w:rsidRPr="002D3A76">
        <w:t xml:space="preserve">for service </w:t>
      </w:r>
      <w:r>
        <w:t>i (annual metering charge — capital component)</w:t>
      </w:r>
      <w:r w:rsidRPr="002D3A76">
        <w:t xml:space="preserve"> in year t</w:t>
      </w:r>
      <w:r>
        <w:t>,</w:t>
      </w:r>
      <w:r w:rsidRPr="002D3A76">
        <w:t xml:space="preserve"> the X</w:t>
      </w:r>
      <w:r>
        <w:t> </w:t>
      </w:r>
      <w:r w:rsidRPr="002D3A76">
        <w:t>factor</w:t>
      </w:r>
      <w:r>
        <w:t xml:space="preserve"> as set out</w:t>
      </w:r>
      <w:r w:rsidRPr="002D3A76">
        <w:t xml:space="preserve"> </w:t>
      </w:r>
      <w:r>
        <w:t xml:space="preserve">in </w:t>
      </w:r>
      <w:r w:rsidR="00043AD8">
        <w:fldChar w:fldCharType="begin"/>
      </w:r>
      <w:r w:rsidR="00043AD8">
        <w:instrText xml:space="preserve"> REF _Ref433101256 \h </w:instrText>
      </w:r>
      <w:r w:rsidR="00043AD8">
        <w:fldChar w:fldCharType="separate"/>
      </w:r>
      <w:r w:rsidR="00307CCD">
        <w:t>t</w:t>
      </w:r>
      <w:r w:rsidR="00043AD8">
        <w:t xml:space="preserve">able </w:t>
      </w:r>
      <w:r w:rsidR="00043AD8">
        <w:rPr>
          <w:noProof/>
        </w:rPr>
        <w:t>16</w:t>
      </w:r>
      <w:r w:rsidR="00043AD8">
        <w:t>.</w:t>
      </w:r>
      <w:r w:rsidR="00043AD8">
        <w:rPr>
          <w:noProof/>
        </w:rPr>
        <w:t>10</w:t>
      </w:r>
      <w:r w:rsidR="00043AD8">
        <w:fldChar w:fldCharType="end"/>
      </w:r>
    </w:p>
    <w:p w:rsidR="00E13393" w:rsidRPr="00B04E0C" w:rsidRDefault="00E13393" w:rsidP="00E13393">
      <w:pPr>
        <w:pStyle w:val="Caption"/>
      </w:pPr>
      <w:bookmarkStart w:id="51" w:name="_Ref417593759"/>
      <w:proofErr w:type="gramStart"/>
      <w:r w:rsidRPr="00B04E0C">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9</w:t>
      </w:r>
      <w:r w:rsidR="00674D47">
        <w:fldChar w:fldCharType="end"/>
      </w:r>
      <w:bookmarkEnd w:id="51"/>
      <w:r w:rsidR="00043AD8">
        <w:tab/>
        <w:t xml:space="preserve">X </w:t>
      </w:r>
      <w:r w:rsidRPr="00B04E0C">
        <w:t xml:space="preserve">Factors for annual metering charges </w:t>
      </w:r>
      <w:r w:rsidR="00A1300C" w:rsidRPr="00A1300C">
        <w:t xml:space="preserve">— non–capital component </w:t>
      </w:r>
      <w:r w:rsidRPr="00B04E0C">
        <w:t>(per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E13393" w:rsidRPr="003A5DE5" w:rsidTr="00BD2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E13393" w:rsidRPr="00B04E0C" w:rsidRDefault="00E13393" w:rsidP="00E13393"/>
        </w:tc>
        <w:tc>
          <w:tcPr>
            <w:tcW w:w="1739" w:type="dxa"/>
          </w:tcPr>
          <w:p w:rsidR="00E13393" w:rsidRPr="00E13393" w:rsidRDefault="00E13393" w:rsidP="00E13393">
            <w:pPr>
              <w:cnfStyle w:val="100000000000" w:firstRow="1" w:lastRow="0" w:firstColumn="0" w:lastColumn="0" w:oddVBand="0" w:evenVBand="0" w:oddHBand="0" w:evenHBand="0" w:firstRowFirstColumn="0" w:firstRowLastColumn="0" w:lastRowFirstColumn="0" w:lastRowLastColumn="0"/>
            </w:pPr>
            <w:r w:rsidRPr="00B04E0C">
              <w:t>2016–17</w:t>
            </w:r>
          </w:p>
        </w:tc>
        <w:tc>
          <w:tcPr>
            <w:tcW w:w="1739" w:type="dxa"/>
          </w:tcPr>
          <w:p w:rsidR="00E13393" w:rsidRPr="00E13393" w:rsidRDefault="00E13393" w:rsidP="00E13393">
            <w:pPr>
              <w:cnfStyle w:val="100000000000" w:firstRow="1" w:lastRow="0" w:firstColumn="0" w:lastColumn="0" w:oddVBand="0" w:evenVBand="0" w:oddHBand="0" w:evenHBand="0" w:firstRowFirstColumn="0" w:firstRowLastColumn="0" w:lastRowFirstColumn="0" w:lastRowLastColumn="0"/>
            </w:pPr>
            <w:r w:rsidRPr="00B04E0C">
              <w:t>2017–18</w:t>
            </w:r>
          </w:p>
        </w:tc>
        <w:tc>
          <w:tcPr>
            <w:tcW w:w="1739" w:type="dxa"/>
          </w:tcPr>
          <w:p w:rsidR="00E13393" w:rsidRPr="00E13393" w:rsidRDefault="00E13393" w:rsidP="00E13393">
            <w:pPr>
              <w:cnfStyle w:val="100000000000" w:firstRow="1" w:lastRow="0" w:firstColumn="0" w:lastColumn="0" w:oddVBand="0" w:evenVBand="0" w:oddHBand="0" w:evenHBand="0" w:firstRowFirstColumn="0" w:firstRowLastColumn="0" w:lastRowFirstColumn="0" w:lastRowLastColumn="0"/>
            </w:pPr>
            <w:r w:rsidRPr="00B04E0C">
              <w:t>2018–19</w:t>
            </w:r>
          </w:p>
        </w:tc>
        <w:tc>
          <w:tcPr>
            <w:tcW w:w="1739" w:type="dxa"/>
          </w:tcPr>
          <w:p w:rsidR="00E13393" w:rsidRPr="00E13393" w:rsidRDefault="00E13393" w:rsidP="00E13393">
            <w:pPr>
              <w:cnfStyle w:val="100000000000" w:firstRow="1" w:lastRow="0" w:firstColumn="0" w:lastColumn="0" w:oddVBand="0" w:evenVBand="0" w:oddHBand="0" w:evenHBand="0" w:firstRowFirstColumn="0" w:firstRowLastColumn="0" w:lastRowFirstColumn="0" w:lastRowLastColumn="0"/>
            </w:pPr>
            <w:r>
              <w:t>2019–20</w:t>
            </w:r>
          </w:p>
        </w:tc>
      </w:tr>
      <w:tr w:rsidR="00E13393" w:rsidRPr="003A5DE5" w:rsidTr="00BD222D">
        <w:tc>
          <w:tcPr>
            <w:cnfStyle w:val="001000000000" w:firstRow="0" w:lastRow="0" w:firstColumn="1" w:lastColumn="0" w:oddVBand="0" w:evenVBand="0" w:oddHBand="0" w:evenHBand="0" w:firstRowFirstColumn="0" w:firstRowLastColumn="0" w:lastRowFirstColumn="0" w:lastRowLastColumn="0"/>
            <w:tcW w:w="1737" w:type="dxa"/>
          </w:tcPr>
          <w:p w:rsidR="00E13393" w:rsidRPr="00E13393" w:rsidRDefault="00E13393" w:rsidP="00E13393">
            <w:r w:rsidRPr="00B04E0C">
              <w:t>X factor</w:t>
            </w:r>
          </w:p>
        </w:tc>
        <w:tc>
          <w:tcPr>
            <w:tcW w:w="1739" w:type="dxa"/>
            <w:vAlign w:val="bottom"/>
          </w:tcPr>
          <w:p w:rsidR="00E13393" w:rsidRPr="009001D0" w:rsidRDefault="00A771EF" w:rsidP="00E13393">
            <w:pPr>
              <w:cnfStyle w:val="000000000000" w:firstRow="0" w:lastRow="0" w:firstColumn="0" w:lastColumn="0" w:oddVBand="0" w:evenVBand="0" w:oddHBand="0" w:evenHBand="0" w:firstRowFirstColumn="0" w:firstRowLastColumn="0" w:lastRowFirstColumn="0" w:lastRowLastColumn="0"/>
            </w:pPr>
            <w:r>
              <w:t>–69</w:t>
            </w:r>
            <w:r w:rsidR="00996887">
              <w:t>.</w:t>
            </w:r>
            <w:r>
              <w:t>11</w:t>
            </w:r>
          </w:p>
        </w:tc>
        <w:tc>
          <w:tcPr>
            <w:tcW w:w="1739" w:type="dxa"/>
            <w:vAlign w:val="bottom"/>
          </w:tcPr>
          <w:p w:rsidR="00E13393" w:rsidRPr="009001D0" w:rsidRDefault="00A771EF" w:rsidP="00E13393">
            <w:pPr>
              <w:cnfStyle w:val="000000000000" w:firstRow="0" w:lastRow="0" w:firstColumn="0" w:lastColumn="0" w:oddVBand="0" w:evenVBand="0" w:oddHBand="0" w:evenHBand="0" w:firstRowFirstColumn="0" w:firstRowLastColumn="0" w:lastRowFirstColumn="0" w:lastRowLastColumn="0"/>
            </w:pPr>
            <w:r>
              <w:t>4</w:t>
            </w:r>
            <w:r w:rsidR="00996887">
              <w:t>.00</w:t>
            </w:r>
          </w:p>
        </w:tc>
        <w:tc>
          <w:tcPr>
            <w:tcW w:w="1739" w:type="dxa"/>
            <w:vAlign w:val="bottom"/>
          </w:tcPr>
          <w:p w:rsidR="00E13393" w:rsidRPr="009001D0" w:rsidRDefault="00A771EF" w:rsidP="00E13393">
            <w:pPr>
              <w:cnfStyle w:val="000000000000" w:firstRow="0" w:lastRow="0" w:firstColumn="0" w:lastColumn="0" w:oddVBand="0" w:evenVBand="0" w:oddHBand="0" w:evenHBand="0" w:firstRowFirstColumn="0" w:firstRowLastColumn="0" w:lastRowFirstColumn="0" w:lastRowLastColumn="0"/>
            </w:pPr>
            <w:r>
              <w:t>4</w:t>
            </w:r>
            <w:r w:rsidR="00996887">
              <w:t>.00</w:t>
            </w:r>
          </w:p>
        </w:tc>
        <w:tc>
          <w:tcPr>
            <w:tcW w:w="1739" w:type="dxa"/>
          </w:tcPr>
          <w:p w:rsidR="00E13393" w:rsidRPr="009001D0" w:rsidRDefault="00A771EF" w:rsidP="00E13393">
            <w:pPr>
              <w:cnfStyle w:val="000000000000" w:firstRow="0" w:lastRow="0" w:firstColumn="0" w:lastColumn="0" w:oddVBand="0" w:evenVBand="0" w:oddHBand="0" w:evenHBand="0" w:firstRowFirstColumn="0" w:firstRowLastColumn="0" w:lastRowFirstColumn="0" w:lastRowLastColumn="0"/>
            </w:pPr>
            <w:r>
              <w:t>4</w:t>
            </w:r>
            <w:r w:rsidR="00996887">
              <w:t>.00</w:t>
            </w:r>
          </w:p>
        </w:tc>
      </w:tr>
    </w:tbl>
    <w:p w:rsidR="00A771EF" w:rsidRDefault="00E13393" w:rsidP="00A771EF">
      <w:pPr>
        <w:pStyle w:val="AERtablesource"/>
      </w:pPr>
      <w:r w:rsidRPr="00B04E0C">
        <w:t>Source:</w:t>
      </w:r>
      <w:r w:rsidRPr="00B04E0C">
        <w:tab/>
        <w:t>AER analysis</w:t>
      </w:r>
      <w:r w:rsidR="00307CCD">
        <w:t>.</w:t>
      </w:r>
    </w:p>
    <w:p w:rsidR="00316725" w:rsidRPr="00D009B2" w:rsidRDefault="00316725" w:rsidP="00A771EF">
      <w:pPr>
        <w:pStyle w:val="AERtablesource"/>
      </w:pPr>
      <w:r>
        <w:t>Note:</w:t>
      </w:r>
      <w:r>
        <w:tab/>
        <w:t xml:space="preserve">As outlined in section </w:t>
      </w:r>
      <w:r>
        <w:fldChar w:fldCharType="begin"/>
      </w:r>
      <w:r>
        <w:instrText xml:space="preserve"> REF _Ref433212597 \n \h </w:instrText>
      </w:r>
      <w:r>
        <w:fldChar w:fldCharType="separate"/>
      </w:r>
      <w:r w:rsidR="00556533">
        <w:t>16.3.5.3</w:t>
      </w:r>
      <w:r>
        <w:fldChar w:fldCharType="end"/>
      </w:r>
      <w:r>
        <w:t xml:space="preserve">, the X factor has been used to "true-up" the difference between our preliminary and final decisions. </w:t>
      </w:r>
      <w:r w:rsidR="00A771EF" w:rsidRPr="00A771EF">
        <w:rPr>
          <w:lang w:val="en-US"/>
        </w:rPr>
        <w:t xml:space="preserve">Our final decision approves $180.6 ($nominal) in revenue associated with the non–capital component of Ergon Energy’s </w:t>
      </w:r>
      <w:r w:rsidR="00A771EF">
        <w:t xml:space="preserve">annual metering </w:t>
      </w:r>
      <w:r w:rsidR="00A771EF" w:rsidRPr="00A771EF">
        <w:rPr>
          <w:lang w:val="en-US"/>
        </w:rPr>
        <w:t>charge</w:t>
      </w:r>
      <w:r w:rsidR="00A771EF">
        <w:t>s</w:t>
      </w:r>
      <w:r w:rsidR="00A771EF" w:rsidRPr="00A771EF">
        <w:rPr>
          <w:lang w:val="en-US"/>
        </w:rPr>
        <w:t>. This is more than the $129.0 million ($nominal) in revenue we accepted at the preliminary decision stage.  We have accordingly s</w:t>
      </w:r>
      <w:r w:rsidR="00A771EF">
        <w:rPr>
          <w:lang w:val="en-US"/>
        </w:rPr>
        <w:t>pecified a non–capital X factor</w:t>
      </w:r>
      <w:r w:rsidR="00562A7E">
        <w:t xml:space="preserve"> in 2016–17</w:t>
      </w:r>
      <w:r w:rsidR="00A771EF">
        <w:t xml:space="preserve"> </w:t>
      </w:r>
      <w:r w:rsidR="00A771EF">
        <w:rPr>
          <w:lang w:val="en-US"/>
        </w:rPr>
        <w:t>that give</w:t>
      </w:r>
      <w:r w:rsidR="00562A7E">
        <w:t>s</w:t>
      </w:r>
      <w:r w:rsidR="00A771EF" w:rsidRPr="00A771EF">
        <w:rPr>
          <w:lang w:val="en-US"/>
        </w:rPr>
        <w:t xml:space="preserve"> effect to an increase in annual metering prices when used in conjunction with the CPI–X formula.</w:t>
      </w:r>
      <w:r w:rsidR="00A771EF">
        <w:t xml:space="preserve"> </w:t>
      </w:r>
      <w:r>
        <w:t xml:space="preserve"> Refer to </w:t>
      </w:r>
      <w:r>
        <w:fldChar w:fldCharType="begin"/>
      </w:r>
      <w:r>
        <w:instrText xml:space="preserve"> REF _Ref433213055 \h </w:instrText>
      </w:r>
      <w:r>
        <w:fldChar w:fldCharType="separate"/>
      </w:r>
      <w:r w:rsidR="00556533">
        <w:t xml:space="preserve">Table </w:t>
      </w:r>
      <w:r w:rsidR="00556533">
        <w:rPr>
          <w:noProof/>
        </w:rPr>
        <w:t>16</w:t>
      </w:r>
      <w:r w:rsidR="00556533">
        <w:t>.</w:t>
      </w:r>
      <w:r w:rsidR="00556533">
        <w:rPr>
          <w:noProof/>
        </w:rPr>
        <w:t>20</w:t>
      </w:r>
      <w:r>
        <w:fldChar w:fldCharType="end"/>
      </w:r>
      <w:r>
        <w:t xml:space="preserve"> in Appendix </w:t>
      </w:r>
      <w:r w:rsidR="00F91916">
        <w:fldChar w:fldCharType="begin"/>
      </w:r>
      <w:r w:rsidR="00F91916">
        <w:instrText xml:space="preserve"> REF _Ref433214372 \n \h </w:instrText>
      </w:r>
      <w:r w:rsidR="00F91916">
        <w:fldChar w:fldCharType="separate"/>
      </w:r>
      <w:r w:rsidR="00F91916">
        <w:t>A</w:t>
      </w:r>
      <w:r w:rsidR="00F91916">
        <w:fldChar w:fldCharType="end"/>
      </w:r>
      <w:r w:rsidR="00F91916">
        <w:t xml:space="preserve"> </w:t>
      </w:r>
      <w:r>
        <w:t xml:space="preserve">for the indicative price changes as result of the above X factors. </w:t>
      </w:r>
    </w:p>
    <w:p w:rsidR="00674D47" w:rsidRPr="00B04E0C" w:rsidRDefault="00674D47" w:rsidP="00674D47">
      <w:pPr>
        <w:pStyle w:val="Caption"/>
      </w:pPr>
      <w:bookmarkStart w:id="52" w:name="_Ref433101256"/>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t>.</w:t>
      </w:r>
      <w:proofErr w:type="gramEnd"/>
      <w:r>
        <w:fldChar w:fldCharType="begin"/>
      </w:r>
      <w:r>
        <w:instrText xml:space="preserve"> SEQ Table \* ARABIC \s 1 </w:instrText>
      </w:r>
      <w:r>
        <w:fldChar w:fldCharType="separate"/>
      </w:r>
      <w:r w:rsidR="00E01BE0">
        <w:rPr>
          <w:noProof/>
        </w:rPr>
        <w:t>10</w:t>
      </w:r>
      <w:r>
        <w:fldChar w:fldCharType="end"/>
      </w:r>
      <w:bookmarkEnd w:id="52"/>
      <w:r w:rsidR="00043AD8">
        <w:tab/>
        <w:t xml:space="preserve">X </w:t>
      </w:r>
      <w:r w:rsidRPr="00B04E0C">
        <w:t>Factors for annual metering charges</w:t>
      </w:r>
      <w:r w:rsidR="00A1300C">
        <w:t xml:space="preserve"> — </w:t>
      </w:r>
      <w:r w:rsidR="00A1300C" w:rsidRPr="00A1300C">
        <w:t xml:space="preserve">capital component </w:t>
      </w:r>
      <w:r w:rsidRPr="00B04E0C">
        <w:t>(per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674D47" w:rsidRPr="003A5DE5" w:rsidTr="00024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674D47" w:rsidRPr="00B04E0C" w:rsidRDefault="00674D47" w:rsidP="00674D47"/>
        </w:tc>
        <w:tc>
          <w:tcPr>
            <w:tcW w:w="1739" w:type="dxa"/>
          </w:tcPr>
          <w:p w:rsidR="00674D47" w:rsidRPr="00674D47" w:rsidRDefault="00674D47" w:rsidP="00674D47">
            <w:pPr>
              <w:cnfStyle w:val="100000000000" w:firstRow="1" w:lastRow="0" w:firstColumn="0" w:lastColumn="0" w:oddVBand="0" w:evenVBand="0" w:oddHBand="0" w:evenHBand="0" w:firstRowFirstColumn="0" w:firstRowLastColumn="0" w:lastRowFirstColumn="0" w:lastRowLastColumn="0"/>
            </w:pPr>
            <w:r w:rsidRPr="00B04E0C">
              <w:t>2016–17</w:t>
            </w:r>
          </w:p>
        </w:tc>
        <w:tc>
          <w:tcPr>
            <w:tcW w:w="1739" w:type="dxa"/>
          </w:tcPr>
          <w:p w:rsidR="00674D47" w:rsidRPr="00674D47" w:rsidRDefault="00674D47" w:rsidP="00674D47">
            <w:pPr>
              <w:cnfStyle w:val="100000000000" w:firstRow="1" w:lastRow="0" w:firstColumn="0" w:lastColumn="0" w:oddVBand="0" w:evenVBand="0" w:oddHBand="0" w:evenHBand="0" w:firstRowFirstColumn="0" w:firstRowLastColumn="0" w:lastRowFirstColumn="0" w:lastRowLastColumn="0"/>
            </w:pPr>
            <w:r w:rsidRPr="00B04E0C">
              <w:t>2017–18</w:t>
            </w:r>
          </w:p>
        </w:tc>
        <w:tc>
          <w:tcPr>
            <w:tcW w:w="1739" w:type="dxa"/>
          </w:tcPr>
          <w:p w:rsidR="00674D47" w:rsidRPr="00674D47" w:rsidRDefault="00674D47" w:rsidP="00674D47">
            <w:pPr>
              <w:cnfStyle w:val="100000000000" w:firstRow="1" w:lastRow="0" w:firstColumn="0" w:lastColumn="0" w:oddVBand="0" w:evenVBand="0" w:oddHBand="0" w:evenHBand="0" w:firstRowFirstColumn="0" w:firstRowLastColumn="0" w:lastRowFirstColumn="0" w:lastRowLastColumn="0"/>
            </w:pPr>
            <w:r w:rsidRPr="00B04E0C">
              <w:t>2018–19</w:t>
            </w:r>
          </w:p>
        </w:tc>
        <w:tc>
          <w:tcPr>
            <w:tcW w:w="1739" w:type="dxa"/>
          </w:tcPr>
          <w:p w:rsidR="00674D47" w:rsidRPr="00674D47" w:rsidRDefault="00674D47" w:rsidP="00674D47">
            <w:pPr>
              <w:cnfStyle w:val="100000000000" w:firstRow="1" w:lastRow="0" w:firstColumn="0" w:lastColumn="0" w:oddVBand="0" w:evenVBand="0" w:oddHBand="0" w:evenHBand="0" w:firstRowFirstColumn="0" w:firstRowLastColumn="0" w:lastRowFirstColumn="0" w:lastRowLastColumn="0"/>
            </w:pPr>
            <w:r>
              <w:t>2019–20</w:t>
            </w:r>
          </w:p>
        </w:tc>
      </w:tr>
      <w:tr w:rsidR="00674D47" w:rsidRPr="003A5DE5" w:rsidTr="000244DB">
        <w:tc>
          <w:tcPr>
            <w:cnfStyle w:val="001000000000" w:firstRow="0" w:lastRow="0" w:firstColumn="1" w:lastColumn="0" w:oddVBand="0" w:evenVBand="0" w:oddHBand="0" w:evenHBand="0" w:firstRowFirstColumn="0" w:firstRowLastColumn="0" w:lastRowFirstColumn="0" w:lastRowLastColumn="0"/>
            <w:tcW w:w="1737" w:type="dxa"/>
          </w:tcPr>
          <w:p w:rsidR="00674D47" w:rsidRPr="00674D47" w:rsidRDefault="00674D47" w:rsidP="00674D47">
            <w:r w:rsidRPr="00B04E0C">
              <w:t>X factor</w:t>
            </w:r>
          </w:p>
        </w:tc>
        <w:tc>
          <w:tcPr>
            <w:tcW w:w="1739" w:type="dxa"/>
            <w:vAlign w:val="bottom"/>
          </w:tcPr>
          <w:p w:rsidR="00674D47" w:rsidRPr="009001D0" w:rsidRDefault="00996887" w:rsidP="00674D47">
            <w:pPr>
              <w:cnfStyle w:val="000000000000" w:firstRow="0" w:lastRow="0" w:firstColumn="0" w:lastColumn="0" w:oddVBand="0" w:evenVBand="0" w:oddHBand="0" w:evenHBand="0" w:firstRowFirstColumn="0" w:firstRowLastColumn="0" w:lastRowFirstColumn="0" w:lastRowLastColumn="0"/>
            </w:pPr>
            <w:r>
              <w:t>–</w:t>
            </w:r>
            <w:r w:rsidR="00A771EF">
              <w:t>55.11</w:t>
            </w:r>
          </w:p>
        </w:tc>
        <w:tc>
          <w:tcPr>
            <w:tcW w:w="1739" w:type="dxa"/>
            <w:vAlign w:val="bottom"/>
          </w:tcPr>
          <w:p w:rsidR="00674D47" w:rsidRPr="009001D0" w:rsidRDefault="00A771EF" w:rsidP="00674D47">
            <w:pPr>
              <w:cnfStyle w:val="000000000000" w:firstRow="0" w:lastRow="0" w:firstColumn="0" w:lastColumn="0" w:oddVBand="0" w:evenVBand="0" w:oddHBand="0" w:evenHBand="0" w:firstRowFirstColumn="0" w:firstRowLastColumn="0" w:lastRowFirstColumn="0" w:lastRowLastColumn="0"/>
            </w:pPr>
            <w:r>
              <w:t>–</w:t>
            </w:r>
            <w:r w:rsidR="00996887">
              <w:t>1</w:t>
            </w:r>
            <w:r>
              <w:t>0</w:t>
            </w:r>
            <w:r w:rsidR="00996887">
              <w:t>.00</w:t>
            </w:r>
          </w:p>
        </w:tc>
        <w:tc>
          <w:tcPr>
            <w:tcW w:w="1739" w:type="dxa"/>
            <w:vAlign w:val="bottom"/>
          </w:tcPr>
          <w:p w:rsidR="00674D47" w:rsidRPr="009001D0" w:rsidRDefault="00A771EF" w:rsidP="00674D47">
            <w:pPr>
              <w:cnfStyle w:val="000000000000" w:firstRow="0" w:lastRow="0" w:firstColumn="0" w:lastColumn="0" w:oddVBand="0" w:evenVBand="0" w:oddHBand="0" w:evenHBand="0" w:firstRowFirstColumn="0" w:firstRowLastColumn="0" w:lastRowFirstColumn="0" w:lastRowLastColumn="0"/>
            </w:pPr>
            <w:r>
              <w:t>–</w:t>
            </w:r>
            <w:r w:rsidR="00996887">
              <w:t>1</w:t>
            </w:r>
            <w:r>
              <w:t>0</w:t>
            </w:r>
            <w:r w:rsidR="00996887">
              <w:t>.00</w:t>
            </w:r>
          </w:p>
        </w:tc>
        <w:tc>
          <w:tcPr>
            <w:tcW w:w="1739" w:type="dxa"/>
          </w:tcPr>
          <w:p w:rsidR="00674D47" w:rsidRPr="009001D0" w:rsidRDefault="00A771EF" w:rsidP="00674D47">
            <w:pPr>
              <w:cnfStyle w:val="000000000000" w:firstRow="0" w:lastRow="0" w:firstColumn="0" w:lastColumn="0" w:oddVBand="0" w:evenVBand="0" w:oddHBand="0" w:evenHBand="0" w:firstRowFirstColumn="0" w:firstRowLastColumn="0" w:lastRowFirstColumn="0" w:lastRowLastColumn="0"/>
            </w:pPr>
            <w:r>
              <w:t>–</w:t>
            </w:r>
            <w:r w:rsidR="00996887">
              <w:t>1</w:t>
            </w:r>
            <w:r>
              <w:t>0</w:t>
            </w:r>
            <w:r w:rsidR="00996887">
              <w:t>.00</w:t>
            </w:r>
          </w:p>
        </w:tc>
      </w:tr>
    </w:tbl>
    <w:p w:rsidR="00674D47" w:rsidRDefault="00316725" w:rsidP="00316725">
      <w:pPr>
        <w:pStyle w:val="AERtablesource"/>
      </w:pPr>
      <w:r>
        <w:t>Source:</w:t>
      </w:r>
      <w:r>
        <w:tab/>
        <w:t>AER analysis</w:t>
      </w:r>
      <w:r w:rsidR="00307CCD">
        <w:t>.</w:t>
      </w:r>
    </w:p>
    <w:p w:rsidR="00316725" w:rsidRPr="00316725" w:rsidRDefault="00316725" w:rsidP="00316725">
      <w:pPr>
        <w:pStyle w:val="AERtablesource"/>
      </w:pPr>
      <w:r>
        <w:t>Note:</w:t>
      </w:r>
      <w:r>
        <w:tab/>
      </w:r>
      <w:r w:rsidR="00A771EF" w:rsidRPr="00A771EF">
        <w:t xml:space="preserve">As outlined in section </w:t>
      </w:r>
      <w:r w:rsidR="00A771EF" w:rsidRPr="00A771EF">
        <w:fldChar w:fldCharType="begin"/>
      </w:r>
      <w:r w:rsidR="00A771EF" w:rsidRPr="00A771EF">
        <w:instrText xml:space="preserve"> REF _Ref433212597 \n \h </w:instrText>
      </w:r>
      <w:r w:rsidR="00A771EF" w:rsidRPr="00A771EF">
        <w:fldChar w:fldCharType="separate"/>
      </w:r>
      <w:r w:rsidR="00A771EF" w:rsidRPr="00A771EF">
        <w:t>16.3.5.3</w:t>
      </w:r>
      <w:r w:rsidR="00A771EF" w:rsidRPr="00A771EF">
        <w:fldChar w:fldCharType="end"/>
      </w:r>
      <w:r w:rsidR="00A771EF" w:rsidRPr="00A771EF">
        <w:t xml:space="preserve">, the X factor has been used to "true-up" the difference between our preliminary and final decisions. </w:t>
      </w:r>
      <w:r w:rsidR="00A771EF" w:rsidRPr="00A771EF">
        <w:rPr>
          <w:lang w:val="en-US"/>
        </w:rPr>
        <w:t>Ou</w:t>
      </w:r>
      <w:r w:rsidR="00A771EF">
        <w:rPr>
          <w:lang w:val="en-US"/>
        </w:rPr>
        <w:t>r final decision approves $</w:t>
      </w:r>
      <w:r w:rsidR="00A771EF">
        <w:t>51.3</w:t>
      </w:r>
      <w:r w:rsidR="00A771EF" w:rsidRPr="00A771EF">
        <w:rPr>
          <w:lang w:val="en-US"/>
        </w:rPr>
        <w:t xml:space="preserve"> ($nominal) in </w:t>
      </w:r>
      <w:r w:rsidR="00A771EF">
        <w:rPr>
          <w:lang w:val="en-US"/>
        </w:rPr>
        <w:t xml:space="preserve">revenue associated with the </w:t>
      </w:r>
      <w:r w:rsidR="00A771EF" w:rsidRPr="00A771EF">
        <w:rPr>
          <w:lang w:val="en-US"/>
        </w:rPr>
        <w:t xml:space="preserve">capital component of Ergon Energy’s </w:t>
      </w:r>
      <w:r w:rsidR="00A771EF" w:rsidRPr="00A771EF">
        <w:t xml:space="preserve">annual metering </w:t>
      </w:r>
      <w:r w:rsidR="00A771EF" w:rsidRPr="00A771EF">
        <w:rPr>
          <w:lang w:val="en-US"/>
        </w:rPr>
        <w:t>charge</w:t>
      </w:r>
      <w:r w:rsidR="00A771EF" w:rsidRPr="00A771EF">
        <w:t>s</w:t>
      </w:r>
      <w:r w:rsidR="00A771EF" w:rsidRPr="00A771EF">
        <w:rPr>
          <w:lang w:val="en-US"/>
        </w:rPr>
        <w:t xml:space="preserve">. This is </w:t>
      </w:r>
      <w:r w:rsidR="00A771EF">
        <w:rPr>
          <w:lang w:val="en-US"/>
        </w:rPr>
        <w:t>more than the $</w:t>
      </w:r>
      <w:r w:rsidR="00A771EF">
        <w:t>34.3</w:t>
      </w:r>
      <w:r w:rsidR="00A771EF" w:rsidRPr="00A771EF">
        <w:rPr>
          <w:lang w:val="en-US"/>
        </w:rPr>
        <w:t xml:space="preserve"> million ($nominal) in revenue we accepted at the preliminary decisi</w:t>
      </w:r>
      <w:r w:rsidR="00A771EF">
        <w:rPr>
          <w:lang w:val="en-US"/>
        </w:rPr>
        <w:t>on stage.  We have accordingly</w:t>
      </w:r>
      <w:r w:rsidR="00562A7E">
        <w:t xml:space="preserve"> specified </w:t>
      </w:r>
      <w:r w:rsidR="00A771EF">
        <w:t xml:space="preserve">a </w:t>
      </w:r>
      <w:r w:rsidR="00562A7E">
        <w:t>capital X factor in 2016–17</w:t>
      </w:r>
      <w:r w:rsidR="00A771EF" w:rsidRPr="00A771EF">
        <w:t xml:space="preserve"> that give</w:t>
      </w:r>
      <w:r w:rsidR="00562A7E">
        <w:t>s</w:t>
      </w:r>
      <w:r w:rsidR="00A771EF" w:rsidRPr="00A771EF">
        <w:rPr>
          <w:lang w:val="en-US"/>
        </w:rPr>
        <w:t xml:space="preserve"> effect to an increase in annual metering prices when used in conjunction with the CPI–X formula.</w:t>
      </w:r>
      <w:r w:rsidR="00A771EF" w:rsidRPr="00A771EF">
        <w:t xml:space="preserve">  Refer to </w:t>
      </w:r>
      <w:r w:rsidR="00A771EF" w:rsidRPr="00A771EF">
        <w:fldChar w:fldCharType="begin"/>
      </w:r>
      <w:r w:rsidR="00A771EF" w:rsidRPr="00A771EF">
        <w:instrText xml:space="preserve"> REF _Ref433213055 \h </w:instrText>
      </w:r>
      <w:r w:rsidR="00A771EF" w:rsidRPr="00A771EF">
        <w:fldChar w:fldCharType="separate"/>
      </w:r>
      <w:r w:rsidR="00A771EF" w:rsidRPr="00A771EF">
        <w:t>Table 16.20</w:t>
      </w:r>
      <w:r w:rsidR="00A771EF" w:rsidRPr="00A771EF">
        <w:fldChar w:fldCharType="end"/>
      </w:r>
      <w:r w:rsidR="00A771EF" w:rsidRPr="00A771EF">
        <w:t xml:space="preserve"> in Appendix </w:t>
      </w:r>
      <w:r w:rsidR="00A771EF" w:rsidRPr="00A771EF">
        <w:fldChar w:fldCharType="begin"/>
      </w:r>
      <w:r w:rsidR="00A771EF" w:rsidRPr="00A771EF">
        <w:instrText xml:space="preserve"> REF _Ref433214372 \n \h </w:instrText>
      </w:r>
      <w:r w:rsidR="00A771EF" w:rsidRPr="00A771EF">
        <w:fldChar w:fldCharType="separate"/>
      </w:r>
      <w:r w:rsidR="00A771EF" w:rsidRPr="00A771EF">
        <w:t>A</w:t>
      </w:r>
      <w:r w:rsidR="00A771EF" w:rsidRPr="00A771EF">
        <w:fldChar w:fldCharType="end"/>
      </w:r>
      <w:r w:rsidR="00A771EF" w:rsidRPr="00A771EF">
        <w:t xml:space="preserve"> for the indicative price changes as result of the above X factors.</w:t>
      </w:r>
    </w:p>
    <w:p w:rsidR="008E3E11" w:rsidRDefault="00BC51BE" w:rsidP="008E3E11">
      <w:pPr>
        <w:numPr>
          <w:ilvl w:val="0"/>
          <w:numId w:val="25"/>
        </w:numPr>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8E3E11" w:rsidRPr="00B04E0C">
        <w:t xml:space="preserve"> </w:t>
      </w:r>
      <w:r w:rsidR="00705979">
        <w:tab/>
      </w:r>
      <w:r w:rsidR="00705979">
        <w:tab/>
      </w:r>
      <w:proofErr w:type="gramStart"/>
      <w:r w:rsidR="008E3E11" w:rsidRPr="00B04E0C">
        <w:t>is</w:t>
      </w:r>
      <w:proofErr w:type="gramEnd"/>
      <w:r w:rsidR="008E3E11" w:rsidRPr="00B04E0C">
        <w:t xml:space="preserve"> </w:t>
      </w:r>
      <w:r w:rsidR="00705979">
        <w:t xml:space="preserve">an adjustment factor for residual charges when customers choose to replace assets before the end of their economic life. For </w:t>
      </w:r>
      <w:r w:rsidR="00FF13DC">
        <w:t>the annual metering charge</w:t>
      </w:r>
      <w:r w:rsidR="00705979">
        <w:t>, the value of A is zero.</w:t>
      </w:r>
      <w:r w:rsidR="008E3E11" w:rsidRPr="00B04E0C">
        <w:t xml:space="preserve"> </w:t>
      </w:r>
    </w:p>
    <w:p w:rsidR="00374ADA" w:rsidRDefault="00E9623F" w:rsidP="00D93C9D">
      <w:pPr>
        <w:pStyle w:val="ListParagraph"/>
        <w:numPr>
          <w:ilvl w:val="0"/>
          <w:numId w:val="0"/>
        </w:numPr>
      </w:pPr>
      <w:r>
        <w:t xml:space="preserve">As </w:t>
      </w:r>
      <w:r w:rsidR="00374ADA">
        <w:t xml:space="preserve">return on debt </w:t>
      </w:r>
      <w:r w:rsidR="00145A55">
        <w:t xml:space="preserve">will not be annually adjusted for alternative control </w:t>
      </w:r>
      <w:r w:rsidR="00374ADA">
        <w:t>metering service charges</w:t>
      </w:r>
      <w:r>
        <w:t xml:space="preserve">, </w:t>
      </w:r>
      <w:r w:rsidR="005947B7">
        <w:t xml:space="preserve">the X factors are fixed for the regulatory control period. </w:t>
      </w:r>
    </w:p>
    <w:p w:rsidR="00705979" w:rsidRPr="00B04E0C" w:rsidRDefault="00705979" w:rsidP="00C152A6">
      <w:pPr>
        <w:pStyle w:val="ListParagraph"/>
        <w:numPr>
          <w:ilvl w:val="0"/>
          <w:numId w:val="25"/>
        </w:numPr>
      </w:pPr>
      <w:r w:rsidRPr="00705979">
        <w:t>Note—we have a made a typographical adjustment to the formulae, such that time in each parameter is now denoted as a subscript, rather than superscript from the preliminary determination. This change has no effect on the operation of the formula, and is merely for consistency with the way we have described formulae in other determinations.</w:t>
      </w:r>
    </w:p>
    <w:p w:rsidR="00FE47E1" w:rsidRDefault="005335F5" w:rsidP="00FE47E1">
      <w:pPr>
        <w:pStyle w:val="Heading3"/>
      </w:pPr>
      <w:bookmarkStart w:id="53" w:name="_Toc433365998"/>
      <w:r>
        <w:lastRenderedPageBreak/>
        <w:t>Ergon Energy's</w:t>
      </w:r>
      <w:r w:rsidR="00FE47E1">
        <w:t xml:space="preserve"> revised proposal</w:t>
      </w:r>
      <w:bookmarkEnd w:id="53"/>
    </w:p>
    <w:p w:rsidR="00FE47E1" w:rsidRDefault="00FE47E1" w:rsidP="00FE47E1">
      <w:r>
        <w:t>We made our preliminary decision in relation to Ergon Energy's initial alternative</w:t>
      </w:r>
      <w:r w:rsidR="00952838">
        <w:t xml:space="preserve"> control metering proposal on 29</w:t>
      </w:r>
      <w:r>
        <w:t xml:space="preserve"> April 2015. In its revised proposal, Ergon Energy accepted some aspects of our preliminary decision, but not others.</w:t>
      </w:r>
    </w:p>
    <w:p w:rsidR="00FE47E1" w:rsidRDefault="00FE47E1" w:rsidP="00FE47E1">
      <w:pPr>
        <w:pStyle w:val="Heading4"/>
      </w:pPr>
      <w:r>
        <w:t>Structure of metering charges</w:t>
      </w:r>
    </w:p>
    <w:p w:rsidR="00145A55" w:rsidRDefault="00145A55" w:rsidP="00FE47E1">
      <w:r>
        <w:t>Ergon Energy maintains "that an exit fee (with accelerated depreciation) is the most equitable mechanism for recovering residual metering capital costs".</w:t>
      </w:r>
      <w:r>
        <w:rPr>
          <w:rStyle w:val="FootnoteReference"/>
        </w:rPr>
        <w:footnoteReference w:id="47"/>
      </w:r>
    </w:p>
    <w:p w:rsidR="00FE47E1" w:rsidRPr="00825E03" w:rsidRDefault="00145A55" w:rsidP="00FE47E1">
      <w:pPr>
        <w:rPr>
          <w:rStyle w:val="AERbody"/>
        </w:rPr>
      </w:pPr>
      <w:r>
        <w:t xml:space="preserve">Despite this general opposition, </w:t>
      </w:r>
      <w:r w:rsidR="00FE47E1">
        <w:rPr>
          <w:rStyle w:val="AERbody"/>
        </w:rPr>
        <w:t>Ergon Energy's</w:t>
      </w:r>
      <w:r w:rsidR="00C60174">
        <w:rPr>
          <w:rStyle w:val="AERbody"/>
        </w:rPr>
        <w:t xml:space="preserve"> revised proposal applied the structure of metering charges set out in our preliminary decision</w:t>
      </w:r>
      <w:r w:rsidR="00FE47E1">
        <w:rPr>
          <w:rStyle w:val="AERbody"/>
        </w:rPr>
        <w:t>.</w:t>
      </w:r>
      <w:r w:rsidR="00FE47E1">
        <w:rPr>
          <w:rStyle w:val="FootnoteReference"/>
        </w:rPr>
        <w:footnoteReference w:id="48"/>
      </w:r>
      <w:r w:rsidR="00FE47E1">
        <w:rPr>
          <w:rStyle w:val="AERbody"/>
        </w:rPr>
        <w:t xml:space="preserve"> This structure comprised of:</w:t>
      </w:r>
    </w:p>
    <w:p w:rsidR="00FE47E1" w:rsidRPr="00825E03" w:rsidRDefault="00FE47E1" w:rsidP="00FE47E1">
      <w:pPr>
        <w:pStyle w:val="AERbulletlistfirststyle"/>
        <w:rPr>
          <w:rStyle w:val="AERbody"/>
        </w:rPr>
      </w:pPr>
      <w:r>
        <w:rPr>
          <w:rStyle w:val="AERbody"/>
        </w:rPr>
        <w:t xml:space="preserve">upfront capital charge </w:t>
      </w:r>
      <w:r w:rsidRPr="00825E03">
        <w:rPr>
          <w:rStyle w:val="AERbody"/>
        </w:rPr>
        <w:t>for all new and upgraded me</w:t>
      </w:r>
      <w:r>
        <w:rPr>
          <w:rStyle w:val="AERbody"/>
        </w:rPr>
        <w:t>ters installed from 1 July 2015</w:t>
      </w:r>
    </w:p>
    <w:p w:rsidR="00FE47E1" w:rsidRPr="00825E03" w:rsidRDefault="00FE47E1" w:rsidP="00FE47E1">
      <w:pPr>
        <w:pStyle w:val="AERbulletlistfirststyle"/>
        <w:rPr>
          <w:rStyle w:val="AERbody"/>
        </w:rPr>
      </w:pPr>
      <w:r>
        <w:rPr>
          <w:rStyle w:val="AERbody"/>
        </w:rPr>
        <w:t>a</w:t>
      </w:r>
      <w:r w:rsidRPr="00825E03">
        <w:rPr>
          <w:rStyle w:val="AERbody"/>
        </w:rPr>
        <w:t xml:space="preserve">nnual </w:t>
      </w:r>
      <w:r>
        <w:rPr>
          <w:rStyle w:val="AERbody"/>
        </w:rPr>
        <w:t xml:space="preserve">metering </w:t>
      </w:r>
      <w:r w:rsidRPr="00825E03">
        <w:rPr>
          <w:rStyle w:val="AERbody"/>
        </w:rPr>
        <w:t>charge comprising two components</w:t>
      </w:r>
      <w:r>
        <w:rPr>
          <w:rStyle w:val="AERbody"/>
        </w:rPr>
        <w:t>:</w:t>
      </w:r>
    </w:p>
    <w:p w:rsidR="00FE47E1" w:rsidRPr="00825E03" w:rsidRDefault="00FE47E1" w:rsidP="00FE47E1">
      <w:pPr>
        <w:pStyle w:val="AERbulletlistsecondstyle"/>
        <w:rPr>
          <w:rStyle w:val="AERbody"/>
        </w:rPr>
      </w:pPr>
      <w:r>
        <w:rPr>
          <w:rStyle w:val="AERbody"/>
        </w:rPr>
        <w:t>c</w:t>
      </w:r>
      <w:r w:rsidRPr="00825E03">
        <w:rPr>
          <w:rStyle w:val="AERbody"/>
        </w:rPr>
        <w:t>apital</w:t>
      </w:r>
    </w:p>
    <w:p w:rsidR="00FE47E1" w:rsidRDefault="00FE47E1" w:rsidP="00FE47E1">
      <w:pPr>
        <w:pStyle w:val="AERbulletlistsecondstyle"/>
        <w:rPr>
          <w:rStyle w:val="AERbody"/>
        </w:rPr>
      </w:pPr>
      <w:r w:rsidRPr="00825E03">
        <w:rPr>
          <w:rStyle w:val="AERbody"/>
        </w:rPr>
        <w:t>non-capita</w:t>
      </w:r>
      <w:r>
        <w:rPr>
          <w:rStyle w:val="AERbody"/>
        </w:rPr>
        <w:t>l</w:t>
      </w:r>
    </w:p>
    <w:p w:rsidR="00FE47E1" w:rsidRDefault="00FE47E1" w:rsidP="00FE47E1">
      <w:pPr>
        <w:pStyle w:val="AERbulletlistfirststyle"/>
        <w:rPr>
          <w:rStyle w:val="AERbody"/>
        </w:rPr>
      </w:pPr>
      <w:proofErr w:type="gramStart"/>
      <w:r>
        <w:rPr>
          <w:rStyle w:val="AERbody"/>
        </w:rPr>
        <w:t>no</w:t>
      </w:r>
      <w:proofErr w:type="gramEnd"/>
      <w:r>
        <w:rPr>
          <w:rStyle w:val="AERbody"/>
        </w:rPr>
        <w:t xml:space="preserve"> exit fee for when a customer 'churns' to a competitive metering service.</w:t>
      </w:r>
      <w:r>
        <w:rPr>
          <w:rStyle w:val="FootnoteReference"/>
        </w:rPr>
        <w:footnoteReference w:id="49"/>
      </w:r>
    </w:p>
    <w:p w:rsidR="00FE47E1" w:rsidRDefault="00FE47E1" w:rsidP="00FE47E1">
      <w:pPr>
        <w:pStyle w:val="Heading4"/>
      </w:pPr>
      <w:r>
        <w:t>Annual metering charge</w:t>
      </w:r>
    </w:p>
    <w:p w:rsidR="00FE47E1" w:rsidRDefault="00FE47E1" w:rsidP="00FE47E1">
      <w:r>
        <w:t xml:space="preserve">With regard to the annual metering charge, </w:t>
      </w:r>
      <w:r w:rsidR="00DE097A">
        <w:t>Ergon Energy's</w:t>
      </w:r>
      <w:r>
        <w:t xml:space="preserve"> revised proposal:</w:t>
      </w:r>
    </w:p>
    <w:p w:rsidR="00FE47E1" w:rsidRDefault="00DE097A" w:rsidP="00FE47E1">
      <w:pPr>
        <w:pStyle w:val="AERbulletlistfirststyle"/>
      </w:pPr>
      <w:r>
        <w:t>applied</w:t>
      </w:r>
      <w:r w:rsidR="00FE47E1">
        <w:t xml:space="preserve"> the</w:t>
      </w:r>
      <w:r>
        <w:t xml:space="preserve"> general </w:t>
      </w:r>
      <w:r w:rsidR="00FE47E1">
        <w:t>pricing structure set out in our preliminary decision</w:t>
      </w:r>
      <w:r w:rsidR="00FE47E1">
        <w:rPr>
          <w:rStyle w:val="FootnoteReference"/>
        </w:rPr>
        <w:footnoteReference w:id="50"/>
      </w:r>
    </w:p>
    <w:p w:rsidR="00FE47E1" w:rsidRDefault="00FE47E1" w:rsidP="00FE47E1">
      <w:pPr>
        <w:pStyle w:val="AERbulletlistfirststyle"/>
      </w:pPr>
      <w:r>
        <w:t>submitted a revised c</w:t>
      </w:r>
      <w:r w:rsidR="00DE097A">
        <w:t>apex of $</w:t>
      </w:r>
      <w:r w:rsidR="00343D7C">
        <w:t>71.8</w:t>
      </w:r>
      <w:r>
        <w:t xml:space="preserve"> million for annual metering charges,</w:t>
      </w:r>
      <w:r w:rsidR="00F638F6">
        <w:rPr>
          <w:rStyle w:val="FootnoteReference"/>
        </w:rPr>
        <w:footnoteReference w:id="51"/>
      </w:r>
      <w:r>
        <w:t xml:space="preserve"> compared to the AER's prel</w:t>
      </w:r>
      <w:r w:rsidR="00343D7C">
        <w:t>iminary decision accepting $51.3</w:t>
      </w:r>
      <w:r>
        <w:t xml:space="preserve"> million ($2014–15)</w:t>
      </w:r>
      <w:r>
        <w:rPr>
          <w:rStyle w:val="FootnoteReference"/>
        </w:rPr>
        <w:footnoteReference w:id="52"/>
      </w:r>
    </w:p>
    <w:p w:rsidR="00FE47E1" w:rsidRDefault="00343D7C" w:rsidP="00FE47E1">
      <w:pPr>
        <w:pStyle w:val="AERbulletlistfirststyle"/>
      </w:pPr>
      <w:r>
        <w:t>submitted a</w:t>
      </w:r>
      <w:r w:rsidR="0092222B">
        <w:t xml:space="preserve"> revised opex of $182.6 million,</w:t>
      </w:r>
      <w:r w:rsidR="00F638F6">
        <w:rPr>
          <w:rStyle w:val="FootnoteReference"/>
        </w:rPr>
        <w:footnoteReference w:id="53"/>
      </w:r>
      <w:r w:rsidR="0092222B">
        <w:t xml:space="preserve"> which is </w:t>
      </w:r>
      <w:r w:rsidR="00827936">
        <w:t>more than the</w:t>
      </w:r>
      <w:r>
        <w:t xml:space="preserve"> $118.8 million we accepted in our preliminary decision</w:t>
      </w:r>
      <w:r w:rsidR="00F638F6">
        <w:rPr>
          <w:rStyle w:val="FootnoteReference"/>
        </w:rPr>
        <w:footnoteReference w:id="54"/>
      </w:r>
      <w:r>
        <w:t xml:space="preserve"> and </w:t>
      </w:r>
      <w:r w:rsidR="0092222B">
        <w:t>in excess of</w:t>
      </w:r>
      <w:r>
        <w:t xml:space="preserve"> </w:t>
      </w:r>
      <w:r w:rsidR="005335F5">
        <w:t>Ergon Energy's</w:t>
      </w:r>
      <w:r w:rsidR="00827936">
        <w:t xml:space="preserve"> initial proposal for</w:t>
      </w:r>
      <w:r>
        <w:t xml:space="preserve"> $169.5 million </w:t>
      </w:r>
      <w:r w:rsidR="00FE47E1">
        <w:t>($2014–15)</w:t>
      </w:r>
      <w:r w:rsidR="00FE47E1">
        <w:rPr>
          <w:rStyle w:val="FootnoteReference"/>
        </w:rPr>
        <w:footnoteReference w:id="55"/>
      </w:r>
    </w:p>
    <w:p w:rsidR="00FE47E1" w:rsidRDefault="00F638F6" w:rsidP="00FE47E1">
      <w:pPr>
        <w:pStyle w:val="AERbulletlistfirststyle"/>
      </w:pPr>
      <w:r>
        <w:lastRenderedPageBreak/>
        <w:t>maintained its initial proposal for an opening metering asset base (MAB) value as at 1 July 2015 of $61.6 million,</w:t>
      </w:r>
      <w:r>
        <w:rPr>
          <w:rStyle w:val="FootnoteReference"/>
        </w:rPr>
        <w:footnoteReference w:id="56"/>
      </w:r>
      <w:r>
        <w:t xml:space="preserve"> </w:t>
      </w:r>
      <w:r w:rsidR="005F7777">
        <w:t>and hence did not accept the</w:t>
      </w:r>
      <w:r w:rsidR="00FE47E1">
        <w:t xml:space="preserve"> AER's pre</w:t>
      </w:r>
      <w:r>
        <w:t>liminary decision to approve $60.7</w:t>
      </w:r>
      <w:r w:rsidR="00FE47E1">
        <w:t xml:space="preserve"> million</w:t>
      </w:r>
      <w:r w:rsidR="00FE47E1">
        <w:rPr>
          <w:rStyle w:val="FootnoteReference"/>
        </w:rPr>
        <w:footnoteReference w:id="57"/>
      </w:r>
    </w:p>
    <w:p w:rsidR="004C136E" w:rsidRDefault="004C136E" w:rsidP="00FE47E1">
      <w:pPr>
        <w:pStyle w:val="AERbulletlistfirststyle"/>
      </w:pPr>
      <w:r>
        <w:t xml:space="preserve">applied </w:t>
      </w:r>
      <w:r w:rsidR="00D51FEA">
        <w:t>an accelerated</w:t>
      </w:r>
      <w:r>
        <w:t xml:space="preserve"> depreciation</w:t>
      </w:r>
      <w:r w:rsidR="00D51FEA">
        <w:t xml:space="preserve"> rate of five years to "sunk" default metering assets, rather than the 15 years which we determined in our preliminary decision</w:t>
      </w:r>
      <w:r w:rsidR="00D51FEA">
        <w:rPr>
          <w:rStyle w:val="FootnoteReference"/>
        </w:rPr>
        <w:footnoteReference w:id="58"/>
      </w:r>
      <w:r w:rsidR="00D51FEA">
        <w:t xml:space="preserve">  </w:t>
      </w:r>
      <w:r>
        <w:t xml:space="preserve">  </w:t>
      </w:r>
    </w:p>
    <w:p w:rsidR="00D51FEA" w:rsidRDefault="00D51FEA" w:rsidP="00D51FEA">
      <w:pPr>
        <w:pStyle w:val="AERbulletlistfirststyle"/>
      </w:pPr>
      <w:r>
        <w:t xml:space="preserve">applied depreciation of a newly installed meter to reflect </w:t>
      </w:r>
      <w:r w:rsidR="00914B6B">
        <w:t>Ergon Energy's</w:t>
      </w:r>
      <w:r>
        <w:t xml:space="preserve"> understanding of the economic life of a meter in a competitive environment (three years)</w:t>
      </w:r>
      <w:r>
        <w:rPr>
          <w:rStyle w:val="FootnoteReference"/>
        </w:rPr>
        <w:footnoteReference w:id="59"/>
      </w:r>
    </w:p>
    <w:p w:rsidR="00FE47E1" w:rsidRPr="00FE47E1" w:rsidRDefault="00FE47E1" w:rsidP="00343D7C">
      <w:pPr>
        <w:pStyle w:val="AERbulletlistfirststyle"/>
        <w:numPr>
          <w:ilvl w:val="0"/>
          <w:numId w:val="0"/>
        </w:numPr>
      </w:pPr>
      <w:r>
        <w:t xml:space="preserve">The </w:t>
      </w:r>
      <w:r w:rsidRPr="00FE47E1">
        <w:t xml:space="preserve">pricing structure which </w:t>
      </w:r>
      <w:r w:rsidR="00F638F6">
        <w:t>Ergon Energy applied</w:t>
      </w:r>
      <w:r w:rsidRPr="00FE47E1">
        <w:t xml:space="preserve"> involves separating out the cost recovery of its revised annual metering charges into capital and non–capital components.  Our preliminary decision provided a detailed explanation of how this charging structure would operate.</w:t>
      </w:r>
      <w:r w:rsidRPr="00FE47E1">
        <w:rPr>
          <w:rStyle w:val="FootnoteReference"/>
        </w:rPr>
        <w:footnoteReference w:id="60"/>
      </w:r>
      <w:r w:rsidRPr="00FE47E1">
        <w:t xml:space="preserve"> For ease of reference, Appendix </w:t>
      </w:r>
      <w:r w:rsidR="00DC32D9">
        <w:fldChar w:fldCharType="begin"/>
      </w:r>
      <w:r w:rsidR="00DC32D9">
        <w:instrText xml:space="preserve"> REF _Ref426025655 \n \h </w:instrText>
      </w:r>
      <w:r w:rsidR="00DC32D9">
        <w:fldChar w:fldCharType="separate"/>
      </w:r>
      <w:r w:rsidR="00E01BE0">
        <w:t>B</w:t>
      </w:r>
      <w:r w:rsidR="00DC32D9">
        <w:fldChar w:fldCharType="end"/>
      </w:r>
      <w:r w:rsidR="00DC32D9">
        <w:t xml:space="preserve"> </w:t>
      </w:r>
      <w:r w:rsidRPr="00FE47E1">
        <w:t xml:space="preserve">to this attachment provides that information once more.  </w:t>
      </w:r>
    </w:p>
    <w:p w:rsidR="00FE47E1" w:rsidRPr="00FE47E1" w:rsidRDefault="00FE47E1" w:rsidP="00343D7C">
      <w:pPr>
        <w:pStyle w:val="AERbulletlistfirststyle"/>
        <w:numPr>
          <w:ilvl w:val="0"/>
          <w:numId w:val="0"/>
        </w:numPr>
      </w:pPr>
      <w:r w:rsidRPr="005E38A6">
        <w:t xml:space="preserve">To derive both the capital and non–capital components of its annual metering charges, </w:t>
      </w:r>
      <w:r w:rsidR="005F7777">
        <w:t>Ergon Energy's</w:t>
      </w:r>
      <w:r w:rsidRPr="00FE47E1">
        <w:t xml:space="preserve"> revised proposal applied the building block approach. This approach involved forecasting the revenue requirement for each of the metering cost categories and then translating those amounts into price caps. </w:t>
      </w:r>
      <w:r w:rsidR="00DC32D9">
        <w:fldChar w:fldCharType="begin"/>
      </w:r>
      <w:r w:rsidR="00DC32D9">
        <w:instrText xml:space="preserve"> REF _Ref426025676 \h </w:instrText>
      </w:r>
      <w:r w:rsidR="00DC32D9">
        <w:fldChar w:fldCharType="separate"/>
      </w:r>
      <w:r w:rsidR="00E01BE0">
        <w:t xml:space="preserve">Table </w:t>
      </w:r>
      <w:r w:rsidR="00E01BE0">
        <w:rPr>
          <w:noProof/>
        </w:rPr>
        <w:t>16</w:t>
      </w:r>
      <w:r w:rsidR="00E01BE0">
        <w:t>.</w:t>
      </w:r>
      <w:r w:rsidR="00E01BE0">
        <w:rPr>
          <w:noProof/>
        </w:rPr>
        <w:t>11</w:t>
      </w:r>
      <w:r w:rsidR="00DC32D9">
        <w:fldChar w:fldCharType="end"/>
      </w:r>
      <w:r w:rsidR="00DC32D9">
        <w:t xml:space="preserve"> </w:t>
      </w:r>
      <w:r w:rsidRPr="00FE47E1">
        <w:t xml:space="preserve">shows the forecast metering building block requirement in </w:t>
      </w:r>
      <w:r w:rsidR="005F7777">
        <w:t>Ergon Energy's</w:t>
      </w:r>
      <w:r w:rsidRPr="00FE47E1">
        <w:t xml:space="preserve"> revised proposal. </w:t>
      </w:r>
      <w:r w:rsidR="00DC32D9">
        <w:fldChar w:fldCharType="begin"/>
      </w:r>
      <w:r w:rsidR="00DC32D9">
        <w:instrText xml:space="preserve"> REF _Ref426017406 \h </w:instrText>
      </w:r>
      <w:r w:rsidR="00DC32D9">
        <w:fldChar w:fldCharType="separate"/>
      </w:r>
      <w:r w:rsidR="00E01BE0">
        <w:t xml:space="preserve">Table </w:t>
      </w:r>
      <w:r w:rsidR="00E01BE0">
        <w:rPr>
          <w:noProof/>
        </w:rPr>
        <w:t>16</w:t>
      </w:r>
      <w:r w:rsidR="00E01BE0">
        <w:t>.</w:t>
      </w:r>
      <w:r w:rsidR="00E01BE0">
        <w:rPr>
          <w:noProof/>
        </w:rPr>
        <w:t>12</w:t>
      </w:r>
      <w:r w:rsidR="00DC32D9">
        <w:fldChar w:fldCharType="end"/>
      </w:r>
      <w:r w:rsidR="00DC32D9">
        <w:t xml:space="preserve"> </w:t>
      </w:r>
      <w:r w:rsidRPr="00FE47E1">
        <w:t xml:space="preserve">shows the proposed annual charges for metering services that recover the total revised revenue. </w:t>
      </w:r>
    </w:p>
    <w:p w:rsidR="00FE47E1" w:rsidRPr="005E38A6" w:rsidRDefault="00FE47E1" w:rsidP="00FE47E1">
      <w:pPr>
        <w:pStyle w:val="Caption"/>
      </w:pPr>
      <w:bookmarkStart w:id="54" w:name="_Ref426025676"/>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11</w:t>
      </w:r>
      <w:r w:rsidR="00674D47">
        <w:fldChar w:fldCharType="end"/>
      </w:r>
      <w:bookmarkEnd w:id="54"/>
      <w:r w:rsidR="00307CCD">
        <w:t xml:space="preserve"> </w:t>
      </w:r>
      <w:r w:rsidR="00307CCD">
        <w:tab/>
      </w:r>
      <w:r w:rsidR="004C136E">
        <w:t>Ergon Energy</w:t>
      </w:r>
      <w:r w:rsidR="005335F5">
        <w:t>'s</w:t>
      </w:r>
      <w:r>
        <w:t xml:space="preserve"> proposed metering building block requirement</w:t>
      </w:r>
    </w:p>
    <w:tbl>
      <w:tblPr>
        <w:tblStyle w:val="AERtable-numbers"/>
        <w:tblW w:w="0" w:type="auto"/>
        <w:tblLook w:val="04A0" w:firstRow="1" w:lastRow="0" w:firstColumn="1" w:lastColumn="0" w:noHBand="0" w:noVBand="1"/>
      </w:tblPr>
      <w:tblGrid>
        <w:gridCol w:w="2383"/>
        <w:gridCol w:w="1262"/>
        <w:gridCol w:w="1263"/>
        <w:gridCol w:w="1263"/>
        <w:gridCol w:w="1263"/>
        <w:gridCol w:w="1259"/>
      </w:tblGrid>
      <w:tr w:rsidR="00FE47E1" w:rsidRPr="002B2506" w:rsidTr="00F63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FE47E1" w:rsidRPr="00FE47E1" w:rsidRDefault="00FE47E1" w:rsidP="00FE47E1">
            <w:r>
              <w:t>($ million, nominal)</w:t>
            </w:r>
          </w:p>
        </w:tc>
        <w:tc>
          <w:tcPr>
            <w:tcW w:w="1262" w:type="dxa"/>
          </w:tcPr>
          <w:p w:rsidR="00FE47E1" w:rsidRPr="00FE47E1" w:rsidRDefault="00FE47E1" w:rsidP="00FE47E1">
            <w:pPr>
              <w:cnfStyle w:val="100000000000" w:firstRow="1" w:lastRow="0" w:firstColumn="0" w:lastColumn="0" w:oddVBand="0" w:evenVBand="0" w:oddHBand="0" w:evenHBand="0" w:firstRowFirstColumn="0" w:firstRowLastColumn="0" w:lastRowFirstColumn="0" w:lastRowLastColumn="0"/>
            </w:pPr>
            <w:r>
              <w:t>2015</w:t>
            </w:r>
            <w:r w:rsidRPr="00FE47E1">
              <w:t>–16</w:t>
            </w:r>
          </w:p>
        </w:tc>
        <w:tc>
          <w:tcPr>
            <w:tcW w:w="1263" w:type="dxa"/>
          </w:tcPr>
          <w:p w:rsidR="00FE47E1" w:rsidRPr="00FE47E1" w:rsidRDefault="00FE47E1" w:rsidP="00FE47E1">
            <w:pPr>
              <w:cnfStyle w:val="100000000000" w:firstRow="1" w:lastRow="0" w:firstColumn="0" w:lastColumn="0" w:oddVBand="0" w:evenVBand="0" w:oddHBand="0" w:evenHBand="0" w:firstRowFirstColumn="0" w:firstRowLastColumn="0" w:lastRowFirstColumn="0" w:lastRowLastColumn="0"/>
            </w:pPr>
            <w:r>
              <w:t>2016</w:t>
            </w:r>
            <w:r w:rsidRPr="00FE47E1">
              <w:t>–17</w:t>
            </w:r>
          </w:p>
        </w:tc>
        <w:tc>
          <w:tcPr>
            <w:tcW w:w="1263" w:type="dxa"/>
          </w:tcPr>
          <w:p w:rsidR="00FE47E1" w:rsidRPr="00FE47E1" w:rsidRDefault="00FE47E1" w:rsidP="00FE47E1">
            <w:pPr>
              <w:cnfStyle w:val="100000000000" w:firstRow="1" w:lastRow="0" w:firstColumn="0" w:lastColumn="0" w:oddVBand="0" w:evenVBand="0" w:oddHBand="0" w:evenHBand="0" w:firstRowFirstColumn="0" w:firstRowLastColumn="0" w:lastRowFirstColumn="0" w:lastRowLastColumn="0"/>
            </w:pPr>
            <w:r w:rsidRPr="002B2506">
              <w:t>201</w:t>
            </w:r>
            <w:r w:rsidRPr="00FE47E1">
              <w:t>7–18</w:t>
            </w:r>
          </w:p>
        </w:tc>
        <w:tc>
          <w:tcPr>
            <w:tcW w:w="1263" w:type="dxa"/>
          </w:tcPr>
          <w:p w:rsidR="00FE47E1" w:rsidRPr="00FE47E1" w:rsidRDefault="00FE47E1" w:rsidP="00FE47E1">
            <w:pPr>
              <w:cnfStyle w:val="100000000000" w:firstRow="1" w:lastRow="0" w:firstColumn="0" w:lastColumn="0" w:oddVBand="0" w:evenVBand="0" w:oddHBand="0" w:evenHBand="0" w:firstRowFirstColumn="0" w:firstRowLastColumn="0" w:lastRowFirstColumn="0" w:lastRowLastColumn="0"/>
            </w:pPr>
            <w:r w:rsidRPr="002B2506">
              <w:t>201</w:t>
            </w:r>
            <w:r w:rsidRPr="00FE47E1">
              <w:t>8–19</w:t>
            </w:r>
          </w:p>
        </w:tc>
        <w:tc>
          <w:tcPr>
            <w:tcW w:w="1259" w:type="dxa"/>
          </w:tcPr>
          <w:p w:rsidR="00FE47E1" w:rsidRPr="00FE47E1" w:rsidRDefault="00FE47E1" w:rsidP="00FE47E1">
            <w:pPr>
              <w:cnfStyle w:val="100000000000" w:firstRow="1" w:lastRow="0" w:firstColumn="0" w:lastColumn="0" w:oddVBand="0" w:evenVBand="0" w:oddHBand="0" w:evenHBand="0" w:firstRowFirstColumn="0" w:firstRowLastColumn="0" w:lastRowFirstColumn="0" w:lastRowLastColumn="0"/>
            </w:pPr>
            <w:r w:rsidRPr="002B2506">
              <w:t>201</w:t>
            </w:r>
            <w:r w:rsidRPr="00FE47E1">
              <w:t>9</w:t>
            </w:r>
            <w:r w:rsidRPr="00FE47E1">
              <w:softHyphen/>
              <w:t>–20</w:t>
            </w:r>
          </w:p>
        </w:tc>
      </w:tr>
      <w:tr w:rsidR="00FE47E1" w:rsidRPr="002B2506" w:rsidTr="00F638F6">
        <w:tc>
          <w:tcPr>
            <w:cnfStyle w:val="001000000000" w:firstRow="0" w:lastRow="0" w:firstColumn="1" w:lastColumn="0" w:oddVBand="0" w:evenVBand="0" w:oddHBand="0" w:evenHBand="0" w:firstRowFirstColumn="0" w:firstRowLastColumn="0" w:lastRowFirstColumn="0" w:lastRowLastColumn="0"/>
            <w:tcW w:w="2383" w:type="dxa"/>
          </w:tcPr>
          <w:p w:rsidR="00FE47E1" w:rsidRPr="00FE47E1" w:rsidRDefault="00FE47E1" w:rsidP="00FE47E1">
            <w:r w:rsidRPr="002B2506">
              <w:t>Return on capital</w:t>
            </w:r>
          </w:p>
        </w:tc>
        <w:tc>
          <w:tcPr>
            <w:tcW w:w="1262"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4.6</w:t>
            </w:r>
          </w:p>
        </w:tc>
        <w:tc>
          <w:tcPr>
            <w:tcW w:w="1263"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4.9</w:t>
            </w:r>
          </w:p>
        </w:tc>
        <w:tc>
          <w:tcPr>
            <w:tcW w:w="1263"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4.8</w:t>
            </w:r>
          </w:p>
        </w:tc>
        <w:tc>
          <w:tcPr>
            <w:tcW w:w="1263"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4.4</w:t>
            </w:r>
          </w:p>
        </w:tc>
        <w:tc>
          <w:tcPr>
            <w:tcW w:w="1259"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3.5</w:t>
            </w:r>
          </w:p>
        </w:tc>
      </w:tr>
      <w:tr w:rsidR="00FE47E1" w:rsidRPr="002B2506" w:rsidTr="00F63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FE47E1" w:rsidRPr="00FE47E1" w:rsidRDefault="00FE47E1" w:rsidP="00FE47E1">
            <w:r w:rsidRPr="002B2506">
              <w:t>Return of capital</w:t>
            </w:r>
          </w:p>
        </w:tc>
        <w:tc>
          <w:tcPr>
            <w:tcW w:w="1262" w:type="dxa"/>
          </w:tcPr>
          <w:p w:rsidR="00FE47E1" w:rsidRPr="00FE47E1" w:rsidRDefault="005F7777" w:rsidP="00FE47E1">
            <w:pPr>
              <w:cnfStyle w:val="000000010000" w:firstRow="0" w:lastRow="0" w:firstColumn="0" w:lastColumn="0" w:oddVBand="0" w:evenVBand="0" w:oddHBand="0" w:evenHBand="1" w:firstRowFirstColumn="0" w:firstRowLastColumn="0" w:lastRowFirstColumn="0" w:lastRowLastColumn="0"/>
            </w:pPr>
            <w:r>
              <w:t>11.1</w:t>
            </w:r>
          </w:p>
        </w:tc>
        <w:tc>
          <w:tcPr>
            <w:tcW w:w="1263" w:type="dxa"/>
          </w:tcPr>
          <w:p w:rsidR="00FE47E1" w:rsidRPr="00FE47E1" w:rsidRDefault="005F7777" w:rsidP="00FE47E1">
            <w:pPr>
              <w:cnfStyle w:val="000000010000" w:firstRow="0" w:lastRow="0" w:firstColumn="0" w:lastColumn="0" w:oddVBand="0" w:evenVBand="0" w:oddHBand="0" w:evenHBand="1" w:firstRowFirstColumn="0" w:firstRowLastColumn="0" w:lastRowFirstColumn="0" w:lastRowLastColumn="0"/>
            </w:pPr>
            <w:r>
              <w:t>17.9</w:t>
            </w:r>
          </w:p>
        </w:tc>
        <w:tc>
          <w:tcPr>
            <w:tcW w:w="1263" w:type="dxa"/>
          </w:tcPr>
          <w:p w:rsidR="00FE47E1" w:rsidRPr="00FE47E1" w:rsidRDefault="005F7777" w:rsidP="00FE47E1">
            <w:pPr>
              <w:cnfStyle w:val="000000010000" w:firstRow="0" w:lastRow="0" w:firstColumn="0" w:lastColumn="0" w:oddVBand="0" w:evenVBand="0" w:oddHBand="0" w:evenHBand="1" w:firstRowFirstColumn="0" w:firstRowLastColumn="0" w:lastRowFirstColumn="0" w:lastRowLastColumn="0"/>
            </w:pPr>
            <w:r>
              <w:t>22.2</w:t>
            </w:r>
          </w:p>
        </w:tc>
        <w:tc>
          <w:tcPr>
            <w:tcW w:w="1263" w:type="dxa"/>
          </w:tcPr>
          <w:p w:rsidR="00FE47E1" w:rsidRPr="00FE47E1" w:rsidRDefault="005F7777" w:rsidP="00FE47E1">
            <w:pPr>
              <w:cnfStyle w:val="000000010000" w:firstRow="0" w:lastRow="0" w:firstColumn="0" w:lastColumn="0" w:oddVBand="0" w:evenVBand="0" w:oddHBand="0" w:evenHBand="1" w:firstRowFirstColumn="0" w:firstRowLastColumn="0" w:lastRowFirstColumn="0" w:lastRowLastColumn="0"/>
            </w:pPr>
            <w:r>
              <w:t>28.6</w:t>
            </w:r>
          </w:p>
        </w:tc>
        <w:tc>
          <w:tcPr>
            <w:tcW w:w="1259" w:type="dxa"/>
          </w:tcPr>
          <w:p w:rsidR="00FE47E1" w:rsidRPr="00FE47E1" w:rsidRDefault="005F7777" w:rsidP="00FE47E1">
            <w:pPr>
              <w:cnfStyle w:val="000000010000" w:firstRow="0" w:lastRow="0" w:firstColumn="0" w:lastColumn="0" w:oddVBand="0" w:evenVBand="0" w:oddHBand="0" w:evenHBand="1" w:firstRowFirstColumn="0" w:firstRowLastColumn="0" w:lastRowFirstColumn="0" w:lastRowLastColumn="0"/>
            </w:pPr>
            <w:r>
              <w:t>29.9</w:t>
            </w:r>
          </w:p>
        </w:tc>
      </w:tr>
      <w:tr w:rsidR="00FE47E1" w:rsidRPr="002B2506" w:rsidTr="00F638F6">
        <w:tc>
          <w:tcPr>
            <w:cnfStyle w:val="001000000000" w:firstRow="0" w:lastRow="0" w:firstColumn="1" w:lastColumn="0" w:oddVBand="0" w:evenVBand="0" w:oddHBand="0" w:evenHBand="0" w:firstRowFirstColumn="0" w:firstRowLastColumn="0" w:lastRowFirstColumn="0" w:lastRowLastColumn="0"/>
            <w:tcW w:w="2383" w:type="dxa"/>
          </w:tcPr>
          <w:p w:rsidR="00FE47E1" w:rsidRPr="00FE47E1" w:rsidRDefault="00FE47E1" w:rsidP="00FE47E1">
            <w:r w:rsidRPr="002B2506">
              <w:t>Operating expenditure</w:t>
            </w:r>
          </w:p>
        </w:tc>
        <w:tc>
          <w:tcPr>
            <w:tcW w:w="1262"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34.8</w:t>
            </w:r>
          </w:p>
        </w:tc>
        <w:tc>
          <w:tcPr>
            <w:tcW w:w="1263"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37.3</w:t>
            </w:r>
          </w:p>
        </w:tc>
        <w:tc>
          <w:tcPr>
            <w:tcW w:w="1263"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39.8</w:t>
            </w:r>
          </w:p>
        </w:tc>
        <w:tc>
          <w:tcPr>
            <w:tcW w:w="1263"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41.9</w:t>
            </w:r>
          </w:p>
        </w:tc>
        <w:tc>
          <w:tcPr>
            <w:tcW w:w="1259" w:type="dxa"/>
          </w:tcPr>
          <w:p w:rsidR="00FE47E1" w:rsidRPr="00FE47E1" w:rsidRDefault="005F7777" w:rsidP="00FE47E1">
            <w:pPr>
              <w:cnfStyle w:val="000000000000" w:firstRow="0" w:lastRow="0" w:firstColumn="0" w:lastColumn="0" w:oddVBand="0" w:evenVBand="0" w:oddHBand="0" w:evenHBand="0" w:firstRowFirstColumn="0" w:firstRowLastColumn="0" w:lastRowFirstColumn="0" w:lastRowLastColumn="0"/>
            </w:pPr>
            <w:r>
              <w:t>44.0</w:t>
            </w:r>
          </w:p>
        </w:tc>
      </w:tr>
      <w:tr w:rsidR="00FE47E1" w:rsidRPr="002B2506" w:rsidTr="00F63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FE47E1" w:rsidRPr="00FE47E1" w:rsidRDefault="00FE47E1" w:rsidP="00FE47E1">
            <w:r>
              <w:t>Tax</w:t>
            </w:r>
            <w:r w:rsidRPr="00FE47E1">
              <w:t xml:space="preserve"> liability</w:t>
            </w:r>
          </w:p>
        </w:tc>
        <w:tc>
          <w:tcPr>
            <w:tcW w:w="1262" w:type="dxa"/>
          </w:tcPr>
          <w:p w:rsidR="00FE47E1" w:rsidRPr="00FE47E1" w:rsidRDefault="005F7777" w:rsidP="00FE47E1">
            <w:pPr>
              <w:cnfStyle w:val="000000010000" w:firstRow="0" w:lastRow="0" w:firstColumn="0" w:lastColumn="0" w:oddVBand="0" w:evenVBand="0" w:oddHBand="0" w:evenHBand="1" w:firstRowFirstColumn="0" w:firstRowLastColumn="0" w:lastRowFirstColumn="0" w:lastRowLastColumn="0"/>
            </w:pPr>
            <w:r>
              <w:t>2.8</w:t>
            </w:r>
          </w:p>
        </w:tc>
        <w:tc>
          <w:tcPr>
            <w:tcW w:w="1263" w:type="dxa"/>
          </w:tcPr>
          <w:p w:rsidR="00FE47E1" w:rsidRPr="00FE47E1" w:rsidRDefault="005F7777" w:rsidP="00FE47E1">
            <w:pPr>
              <w:cnfStyle w:val="000000010000" w:firstRow="0" w:lastRow="0" w:firstColumn="0" w:lastColumn="0" w:oddVBand="0" w:evenVBand="0" w:oddHBand="0" w:evenHBand="1" w:firstRowFirstColumn="0" w:firstRowLastColumn="0" w:lastRowFirstColumn="0" w:lastRowLastColumn="0"/>
            </w:pPr>
            <w:r>
              <w:t>4.2</w:t>
            </w:r>
          </w:p>
        </w:tc>
        <w:tc>
          <w:tcPr>
            <w:tcW w:w="1263" w:type="dxa"/>
          </w:tcPr>
          <w:p w:rsidR="00FE47E1" w:rsidRPr="00FE47E1" w:rsidRDefault="005F7777" w:rsidP="00FE47E1">
            <w:pPr>
              <w:cnfStyle w:val="000000010000" w:firstRow="0" w:lastRow="0" w:firstColumn="0" w:lastColumn="0" w:oddVBand="0" w:evenVBand="0" w:oddHBand="0" w:evenHBand="1" w:firstRowFirstColumn="0" w:firstRowLastColumn="0" w:lastRowFirstColumn="0" w:lastRowLastColumn="0"/>
            </w:pPr>
            <w:r>
              <w:t>5.8</w:t>
            </w:r>
          </w:p>
        </w:tc>
        <w:tc>
          <w:tcPr>
            <w:tcW w:w="1263" w:type="dxa"/>
          </w:tcPr>
          <w:p w:rsidR="00FE47E1" w:rsidRPr="00FE47E1" w:rsidRDefault="004C136E" w:rsidP="00FE47E1">
            <w:pPr>
              <w:cnfStyle w:val="000000010000" w:firstRow="0" w:lastRow="0" w:firstColumn="0" w:lastColumn="0" w:oddVBand="0" w:evenVBand="0" w:oddHBand="0" w:evenHBand="1" w:firstRowFirstColumn="0" w:firstRowLastColumn="0" w:lastRowFirstColumn="0" w:lastRowLastColumn="0"/>
            </w:pPr>
            <w:r>
              <w:t>7.4</w:t>
            </w:r>
          </w:p>
        </w:tc>
        <w:tc>
          <w:tcPr>
            <w:tcW w:w="1259" w:type="dxa"/>
          </w:tcPr>
          <w:p w:rsidR="00FE47E1" w:rsidRPr="00FE47E1" w:rsidRDefault="004C136E" w:rsidP="00FE47E1">
            <w:pPr>
              <w:cnfStyle w:val="000000010000" w:firstRow="0" w:lastRow="0" w:firstColumn="0" w:lastColumn="0" w:oddVBand="0" w:evenVBand="0" w:oddHBand="0" w:evenHBand="1" w:firstRowFirstColumn="0" w:firstRowLastColumn="0" w:lastRowFirstColumn="0" w:lastRowLastColumn="0"/>
            </w:pPr>
            <w:r>
              <w:t>7.2</w:t>
            </w:r>
          </w:p>
        </w:tc>
      </w:tr>
      <w:tr w:rsidR="00FE47E1" w:rsidRPr="002B2506" w:rsidTr="00F638F6">
        <w:tc>
          <w:tcPr>
            <w:cnfStyle w:val="001000000000" w:firstRow="0" w:lastRow="0" w:firstColumn="1" w:lastColumn="0" w:oddVBand="0" w:evenVBand="0" w:oddHBand="0" w:evenHBand="0" w:firstRowFirstColumn="0" w:firstRowLastColumn="0" w:lastRowFirstColumn="0" w:lastRowLastColumn="0"/>
            <w:tcW w:w="2383" w:type="dxa"/>
          </w:tcPr>
          <w:p w:rsidR="00FE47E1" w:rsidRPr="00FE47E1" w:rsidRDefault="00FE47E1" w:rsidP="00FE47E1">
            <w:r w:rsidRPr="002B2506">
              <w:t>Total</w:t>
            </w:r>
            <w:r w:rsidRPr="00FE47E1">
              <w:t xml:space="preserve"> unsmoothed revenue</w:t>
            </w:r>
          </w:p>
        </w:tc>
        <w:tc>
          <w:tcPr>
            <w:tcW w:w="1262" w:type="dxa"/>
          </w:tcPr>
          <w:p w:rsidR="00FE47E1" w:rsidRPr="00FE47E1" w:rsidRDefault="004C136E" w:rsidP="00FE47E1">
            <w:pPr>
              <w:cnfStyle w:val="000000000000" w:firstRow="0" w:lastRow="0" w:firstColumn="0" w:lastColumn="0" w:oddVBand="0" w:evenVBand="0" w:oddHBand="0" w:evenHBand="0" w:firstRowFirstColumn="0" w:firstRowLastColumn="0" w:lastRowFirstColumn="0" w:lastRowLastColumn="0"/>
            </w:pPr>
            <w:r>
              <w:t>53.3</w:t>
            </w:r>
          </w:p>
        </w:tc>
        <w:tc>
          <w:tcPr>
            <w:tcW w:w="1263" w:type="dxa"/>
          </w:tcPr>
          <w:p w:rsidR="00FE47E1" w:rsidRPr="00FE47E1" w:rsidRDefault="004C136E" w:rsidP="00FE47E1">
            <w:pPr>
              <w:cnfStyle w:val="000000000000" w:firstRow="0" w:lastRow="0" w:firstColumn="0" w:lastColumn="0" w:oddVBand="0" w:evenVBand="0" w:oddHBand="0" w:evenHBand="0" w:firstRowFirstColumn="0" w:firstRowLastColumn="0" w:lastRowFirstColumn="0" w:lastRowLastColumn="0"/>
            </w:pPr>
            <w:r>
              <w:t>64.4</w:t>
            </w:r>
          </w:p>
        </w:tc>
        <w:tc>
          <w:tcPr>
            <w:tcW w:w="1263" w:type="dxa"/>
          </w:tcPr>
          <w:p w:rsidR="00FE47E1" w:rsidRPr="00FE47E1" w:rsidRDefault="004C136E" w:rsidP="00FE47E1">
            <w:pPr>
              <w:cnfStyle w:val="000000000000" w:firstRow="0" w:lastRow="0" w:firstColumn="0" w:lastColumn="0" w:oddVBand="0" w:evenVBand="0" w:oddHBand="0" w:evenHBand="0" w:firstRowFirstColumn="0" w:firstRowLastColumn="0" w:lastRowFirstColumn="0" w:lastRowLastColumn="0"/>
            </w:pPr>
            <w:r>
              <w:t>72.5</w:t>
            </w:r>
          </w:p>
        </w:tc>
        <w:tc>
          <w:tcPr>
            <w:tcW w:w="1263" w:type="dxa"/>
          </w:tcPr>
          <w:p w:rsidR="00FE47E1" w:rsidRPr="00FE47E1" w:rsidRDefault="004C136E" w:rsidP="00FE47E1">
            <w:pPr>
              <w:cnfStyle w:val="000000000000" w:firstRow="0" w:lastRow="0" w:firstColumn="0" w:lastColumn="0" w:oddVBand="0" w:evenVBand="0" w:oddHBand="0" w:evenHBand="0" w:firstRowFirstColumn="0" w:firstRowLastColumn="0" w:lastRowFirstColumn="0" w:lastRowLastColumn="0"/>
            </w:pPr>
            <w:r>
              <w:t>82.3</w:t>
            </w:r>
          </w:p>
        </w:tc>
        <w:tc>
          <w:tcPr>
            <w:tcW w:w="1259" w:type="dxa"/>
          </w:tcPr>
          <w:p w:rsidR="00FE47E1" w:rsidRPr="00FE47E1" w:rsidRDefault="004C136E" w:rsidP="00FE47E1">
            <w:pPr>
              <w:cnfStyle w:val="000000000000" w:firstRow="0" w:lastRow="0" w:firstColumn="0" w:lastColumn="0" w:oddVBand="0" w:evenVBand="0" w:oddHBand="0" w:evenHBand="0" w:firstRowFirstColumn="0" w:firstRowLastColumn="0" w:lastRowFirstColumn="0" w:lastRowLastColumn="0"/>
            </w:pPr>
            <w:r>
              <w:t>84.8</w:t>
            </w:r>
          </w:p>
        </w:tc>
      </w:tr>
    </w:tbl>
    <w:p w:rsidR="00FE47E1" w:rsidRDefault="00FE47E1" w:rsidP="00FE47E1">
      <w:pPr>
        <w:pStyle w:val="Source"/>
      </w:pPr>
      <w:bookmarkStart w:id="55" w:name="_Ref399428660"/>
      <w:r w:rsidRPr="005E38A6">
        <w:t xml:space="preserve">Source: </w:t>
      </w:r>
      <w:r w:rsidRPr="005E38A6">
        <w:tab/>
        <w:t xml:space="preserve"> </w:t>
      </w:r>
      <w:r w:rsidR="004C136E">
        <w:t xml:space="preserve">Ergon </w:t>
      </w:r>
      <w:proofErr w:type="gramStart"/>
      <w:r w:rsidR="004C136E">
        <w:t>Energy</w:t>
      </w:r>
      <w:r>
        <w:t>,</w:t>
      </w:r>
      <w:proofErr w:type="gramEnd"/>
      <w:r>
        <w:t xml:space="preserve"> </w:t>
      </w:r>
      <w:r w:rsidRPr="000459F9">
        <w:rPr>
          <w:rStyle w:val="AERtextitalic"/>
        </w:rPr>
        <w:t>Revised regulatory proposal</w:t>
      </w:r>
      <w:r w:rsidR="004C136E">
        <w:t>, July 2015, p. 60</w:t>
      </w:r>
      <w:r>
        <w:t>.</w:t>
      </w:r>
      <w:r>
        <w:tab/>
      </w:r>
    </w:p>
    <w:p w:rsidR="00FE47E1" w:rsidRPr="005E38A6" w:rsidRDefault="00FE47E1" w:rsidP="00FE47E1">
      <w:pPr>
        <w:pStyle w:val="Caption"/>
      </w:pPr>
      <w:bookmarkStart w:id="56" w:name="_Ref426017406"/>
      <w:proofErr w:type="gramStart"/>
      <w:r>
        <w:lastRenderedPageBreak/>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12</w:t>
      </w:r>
      <w:r w:rsidR="00674D47">
        <w:fldChar w:fldCharType="end"/>
      </w:r>
      <w:bookmarkEnd w:id="56"/>
      <w:r>
        <w:t xml:space="preserve"> </w:t>
      </w:r>
      <w:r w:rsidR="00307CCD">
        <w:tab/>
      </w:r>
      <w:r w:rsidR="005335F5">
        <w:t>Ergon Energy's</w:t>
      </w:r>
      <w:r>
        <w:t xml:space="preserve"> proposed annual metering service charges</w:t>
      </w:r>
      <w:r>
        <w:tab/>
      </w:r>
    </w:p>
    <w:tbl>
      <w:tblPr>
        <w:tblStyle w:val="AERtable-text1"/>
        <w:tblW w:w="8693" w:type="dxa"/>
        <w:tblInd w:w="0" w:type="dxa"/>
        <w:tblLook w:val="04A0" w:firstRow="1" w:lastRow="0" w:firstColumn="1" w:lastColumn="0" w:noHBand="0" w:noVBand="1"/>
      </w:tblPr>
      <w:tblGrid>
        <w:gridCol w:w="2073"/>
        <w:gridCol w:w="1051"/>
        <w:gridCol w:w="1116"/>
        <w:gridCol w:w="1116"/>
        <w:gridCol w:w="1116"/>
        <w:gridCol w:w="1109"/>
        <w:gridCol w:w="8"/>
        <w:gridCol w:w="1104"/>
      </w:tblGrid>
      <w:tr w:rsidR="00FE47E1" w:rsidRPr="002B2506" w:rsidTr="00F638F6">
        <w:trPr>
          <w:cnfStyle w:val="100000000000" w:firstRow="1" w:lastRow="0" w:firstColumn="0" w:lastColumn="0" w:oddVBand="0" w:evenVBand="0" w:oddHBand="0" w:evenHBand="0" w:firstRowFirstColumn="0" w:firstRowLastColumn="0" w:lastRowFirstColumn="0" w:lastRowLastColumn="0"/>
        </w:trPr>
        <w:tc>
          <w:tcPr>
            <w:tcW w:w="2073" w:type="dxa"/>
          </w:tcPr>
          <w:p w:rsidR="00FE47E1" w:rsidRPr="00FE47E1" w:rsidRDefault="00FE47E1" w:rsidP="00FE47E1">
            <w:r>
              <w:t>($/year, nominal</w:t>
            </w:r>
            <w:r w:rsidRPr="00FE47E1">
              <w:t>)</w:t>
            </w:r>
          </w:p>
        </w:tc>
        <w:tc>
          <w:tcPr>
            <w:tcW w:w="1051" w:type="dxa"/>
          </w:tcPr>
          <w:p w:rsidR="00FE47E1" w:rsidRDefault="00FE47E1" w:rsidP="00FE47E1"/>
        </w:tc>
        <w:tc>
          <w:tcPr>
            <w:tcW w:w="1116" w:type="dxa"/>
          </w:tcPr>
          <w:p w:rsidR="00FE47E1" w:rsidRPr="00FE47E1" w:rsidRDefault="00FE47E1" w:rsidP="00FE47E1">
            <w:r>
              <w:t>201</w:t>
            </w:r>
            <w:r w:rsidRPr="00FE47E1">
              <w:t>5–16</w:t>
            </w:r>
          </w:p>
        </w:tc>
        <w:tc>
          <w:tcPr>
            <w:tcW w:w="1116" w:type="dxa"/>
          </w:tcPr>
          <w:p w:rsidR="00FE47E1" w:rsidRPr="00FE47E1" w:rsidRDefault="00FE47E1" w:rsidP="00FE47E1">
            <w:r>
              <w:t>201</w:t>
            </w:r>
            <w:r w:rsidRPr="00FE47E1">
              <w:t>6–17</w:t>
            </w:r>
          </w:p>
        </w:tc>
        <w:tc>
          <w:tcPr>
            <w:tcW w:w="1116" w:type="dxa"/>
          </w:tcPr>
          <w:p w:rsidR="00FE47E1" w:rsidRPr="00FE47E1" w:rsidRDefault="00FE47E1" w:rsidP="00FE47E1">
            <w:r w:rsidRPr="002B2506">
              <w:t>201</w:t>
            </w:r>
            <w:r w:rsidRPr="00FE47E1">
              <w:t>7–18</w:t>
            </w:r>
          </w:p>
        </w:tc>
        <w:tc>
          <w:tcPr>
            <w:tcW w:w="1117" w:type="dxa"/>
            <w:gridSpan w:val="2"/>
          </w:tcPr>
          <w:p w:rsidR="00FE47E1" w:rsidRPr="00FE47E1" w:rsidRDefault="00FE47E1" w:rsidP="00FE47E1">
            <w:r w:rsidRPr="002B2506">
              <w:t>201</w:t>
            </w:r>
            <w:r w:rsidRPr="00FE47E1">
              <w:t>8–19</w:t>
            </w:r>
          </w:p>
        </w:tc>
        <w:tc>
          <w:tcPr>
            <w:tcW w:w="1104" w:type="dxa"/>
          </w:tcPr>
          <w:p w:rsidR="00FE47E1" w:rsidRPr="00FE47E1" w:rsidRDefault="00FE47E1" w:rsidP="00FE47E1">
            <w:r w:rsidRPr="002B2506">
              <w:t>201</w:t>
            </w:r>
            <w:r w:rsidRPr="00FE47E1">
              <w:t>9</w:t>
            </w:r>
            <w:r w:rsidRPr="00FE47E1">
              <w:softHyphen/>
              <w:t>–20</w:t>
            </w:r>
          </w:p>
        </w:tc>
      </w:tr>
      <w:tr w:rsidR="00FE47E1" w:rsidRPr="00750E7A" w:rsidTr="00F638F6">
        <w:trPr>
          <w:trHeight w:val="608"/>
        </w:trPr>
        <w:tc>
          <w:tcPr>
            <w:tcW w:w="2073" w:type="dxa"/>
            <w:vMerge w:val="restart"/>
            <w:hideMark/>
          </w:tcPr>
          <w:p w:rsidR="00FE47E1" w:rsidRPr="00FE47E1" w:rsidRDefault="00FE47E1" w:rsidP="00FE47E1">
            <w:r>
              <w:t>Primary</w:t>
            </w:r>
          </w:p>
        </w:tc>
        <w:tc>
          <w:tcPr>
            <w:tcW w:w="1051" w:type="dxa"/>
          </w:tcPr>
          <w:p w:rsidR="00FE47E1" w:rsidRPr="00FE47E1" w:rsidRDefault="00FE47E1" w:rsidP="00FE47E1">
            <w:r>
              <w:t>Capital</w:t>
            </w:r>
          </w:p>
        </w:tc>
        <w:tc>
          <w:tcPr>
            <w:tcW w:w="1116" w:type="dxa"/>
          </w:tcPr>
          <w:p w:rsidR="00FE47E1" w:rsidRPr="00FE47E1" w:rsidRDefault="004C136E" w:rsidP="00FE47E1">
            <w:r>
              <w:t>6.49</w:t>
            </w:r>
          </w:p>
        </w:tc>
        <w:tc>
          <w:tcPr>
            <w:tcW w:w="1116" w:type="dxa"/>
          </w:tcPr>
          <w:p w:rsidR="00FE47E1" w:rsidRPr="00FE47E1" w:rsidRDefault="004C136E" w:rsidP="00FE47E1">
            <w:r>
              <w:t>33.96</w:t>
            </w:r>
          </w:p>
        </w:tc>
        <w:tc>
          <w:tcPr>
            <w:tcW w:w="1116" w:type="dxa"/>
          </w:tcPr>
          <w:p w:rsidR="00FE47E1" w:rsidRPr="00FE47E1" w:rsidRDefault="004C136E" w:rsidP="00FE47E1">
            <w:r>
              <w:t>34.96</w:t>
            </w:r>
          </w:p>
        </w:tc>
        <w:tc>
          <w:tcPr>
            <w:tcW w:w="1109" w:type="dxa"/>
          </w:tcPr>
          <w:p w:rsidR="00FE47E1" w:rsidRPr="00FE47E1" w:rsidRDefault="004C136E" w:rsidP="00FE47E1">
            <w:r>
              <w:t>35.99</w:t>
            </w:r>
          </w:p>
        </w:tc>
        <w:tc>
          <w:tcPr>
            <w:tcW w:w="1112" w:type="dxa"/>
            <w:gridSpan w:val="2"/>
          </w:tcPr>
          <w:p w:rsidR="00FE47E1" w:rsidRPr="00FE47E1" w:rsidRDefault="004C136E" w:rsidP="00FE47E1">
            <w:r>
              <w:t>37.07</w:t>
            </w:r>
          </w:p>
        </w:tc>
      </w:tr>
      <w:tr w:rsidR="00FE47E1" w:rsidRPr="00750E7A" w:rsidTr="00F638F6">
        <w:trPr>
          <w:cnfStyle w:val="000000010000" w:firstRow="0" w:lastRow="0" w:firstColumn="0" w:lastColumn="0" w:oddVBand="0" w:evenVBand="0" w:oddHBand="0" w:evenHBand="1" w:firstRowFirstColumn="0" w:firstRowLastColumn="0" w:lastRowFirstColumn="0" w:lastRowLastColumn="0"/>
          <w:trHeight w:val="607"/>
        </w:trPr>
        <w:tc>
          <w:tcPr>
            <w:tcW w:w="2073" w:type="dxa"/>
            <w:vMerge/>
          </w:tcPr>
          <w:p w:rsidR="00FE47E1" w:rsidRDefault="00FE47E1" w:rsidP="00FE47E1"/>
        </w:tc>
        <w:tc>
          <w:tcPr>
            <w:tcW w:w="1051" w:type="dxa"/>
          </w:tcPr>
          <w:p w:rsidR="00FE47E1" w:rsidRPr="00FE47E1" w:rsidRDefault="00FE47E1" w:rsidP="00FE47E1">
            <w:r>
              <w:t>Non–capital</w:t>
            </w:r>
          </w:p>
        </w:tc>
        <w:tc>
          <w:tcPr>
            <w:tcW w:w="1116" w:type="dxa"/>
          </w:tcPr>
          <w:p w:rsidR="00FE47E1" w:rsidRPr="00FE47E1" w:rsidRDefault="004C136E" w:rsidP="00FE47E1">
            <w:r>
              <w:t>24.44</w:t>
            </w:r>
          </w:p>
        </w:tc>
        <w:tc>
          <w:tcPr>
            <w:tcW w:w="1116" w:type="dxa"/>
          </w:tcPr>
          <w:p w:rsidR="00FE47E1" w:rsidRPr="00FE47E1" w:rsidRDefault="004C136E" w:rsidP="00FE47E1">
            <w:r>
              <w:t>50.27</w:t>
            </w:r>
          </w:p>
        </w:tc>
        <w:tc>
          <w:tcPr>
            <w:tcW w:w="1116" w:type="dxa"/>
          </w:tcPr>
          <w:p w:rsidR="00FE47E1" w:rsidRPr="00FE47E1" w:rsidRDefault="004C136E" w:rsidP="00FE47E1">
            <w:r>
              <w:t>51.74</w:t>
            </w:r>
          </w:p>
        </w:tc>
        <w:tc>
          <w:tcPr>
            <w:tcW w:w="1109" w:type="dxa"/>
          </w:tcPr>
          <w:p w:rsidR="00FE47E1" w:rsidRPr="00FE47E1" w:rsidRDefault="004C136E" w:rsidP="00FE47E1">
            <w:r>
              <w:t>53.27</w:t>
            </w:r>
          </w:p>
        </w:tc>
        <w:tc>
          <w:tcPr>
            <w:tcW w:w="1112" w:type="dxa"/>
            <w:gridSpan w:val="2"/>
          </w:tcPr>
          <w:p w:rsidR="00FE47E1" w:rsidRPr="00FE47E1" w:rsidRDefault="004C136E" w:rsidP="00FE47E1">
            <w:r>
              <w:t>54.86</w:t>
            </w:r>
          </w:p>
        </w:tc>
      </w:tr>
      <w:tr w:rsidR="00FE47E1" w:rsidRPr="00750E7A" w:rsidTr="00F638F6">
        <w:trPr>
          <w:trHeight w:val="608"/>
        </w:trPr>
        <w:tc>
          <w:tcPr>
            <w:tcW w:w="2073" w:type="dxa"/>
            <w:vMerge w:val="restart"/>
            <w:hideMark/>
          </w:tcPr>
          <w:p w:rsidR="00FE47E1" w:rsidRPr="00FE47E1" w:rsidRDefault="004C136E" w:rsidP="00FE47E1">
            <w:r>
              <w:t>Controlled load</w:t>
            </w:r>
          </w:p>
        </w:tc>
        <w:tc>
          <w:tcPr>
            <w:tcW w:w="1051" w:type="dxa"/>
          </w:tcPr>
          <w:p w:rsidR="00FE47E1" w:rsidRPr="00FE47E1" w:rsidRDefault="00FE47E1" w:rsidP="00FE47E1">
            <w:r w:rsidRPr="005775D8">
              <w:t>Capital</w:t>
            </w:r>
          </w:p>
        </w:tc>
        <w:tc>
          <w:tcPr>
            <w:tcW w:w="1116" w:type="dxa"/>
          </w:tcPr>
          <w:p w:rsidR="00FE47E1" w:rsidRPr="00FE47E1" w:rsidRDefault="004C136E" w:rsidP="00FE47E1">
            <w:r>
              <w:t>2.39</w:t>
            </w:r>
          </w:p>
        </w:tc>
        <w:tc>
          <w:tcPr>
            <w:tcW w:w="1116" w:type="dxa"/>
          </w:tcPr>
          <w:p w:rsidR="00FE47E1" w:rsidRPr="00FE47E1" w:rsidRDefault="004C136E" w:rsidP="00FE47E1">
            <w:r>
              <w:t>12.49</w:t>
            </w:r>
          </w:p>
        </w:tc>
        <w:tc>
          <w:tcPr>
            <w:tcW w:w="1116" w:type="dxa"/>
          </w:tcPr>
          <w:p w:rsidR="00FE47E1" w:rsidRPr="00FE47E1" w:rsidRDefault="004C136E" w:rsidP="00FE47E1">
            <w:r>
              <w:t>12.85</w:t>
            </w:r>
          </w:p>
        </w:tc>
        <w:tc>
          <w:tcPr>
            <w:tcW w:w="1109" w:type="dxa"/>
          </w:tcPr>
          <w:p w:rsidR="00FE47E1" w:rsidRPr="00FE47E1" w:rsidRDefault="004C136E" w:rsidP="00FE47E1">
            <w:r>
              <w:t>13.23</w:t>
            </w:r>
          </w:p>
        </w:tc>
        <w:tc>
          <w:tcPr>
            <w:tcW w:w="1112" w:type="dxa"/>
            <w:gridSpan w:val="2"/>
          </w:tcPr>
          <w:p w:rsidR="00FE47E1" w:rsidRPr="00FE47E1" w:rsidRDefault="004C136E" w:rsidP="00FE47E1">
            <w:r>
              <w:t>13.63</w:t>
            </w:r>
          </w:p>
        </w:tc>
      </w:tr>
      <w:tr w:rsidR="00FE47E1" w:rsidRPr="00750E7A" w:rsidTr="00F638F6">
        <w:trPr>
          <w:cnfStyle w:val="000000010000" w:firstRow="0" w:lastRow="0" w:firstColumn="0" w:lastColumn="0" w:oddVBand="0" w:evenVBand="0" w:oddHBand="0" w:evenHBand="1" w:firstRowFirstColumn="0" w:firstRowLastColumn="0" w:lastRowFirstColumn="0" w:lastRowLastColumn="0"/>
          <w:trHeight w:val="607"/>
        </w:trPr>
        <w:tc>
          <w:tcPr>
            <w:tcW w:w="2073" w:type="dxa"/>
            <w:vMerge/>
          </w:tcPr>
          <w:p w:rsidR="00FE47E1" w:rsidRPr="005775D8" w:rsidRDefault="00FE47E1" w:rsidP="00FE47E1"/>
        </w:tc>
        <w:tc>
          <w:tcPr>
            <w:tcW w:w="1051" w:type="dxa"/>
          </w:tcPr>
          <w:p w:rsidR="00FE47E1" w:rsidRPr="00FE47E1" w:rsidRDefault="00FE47E1" w:rsidP="00FE47E1">
            <w:r w:rsidRPr="005775D8">
              <w:t>Non–capital</w:t>
            </w:r>
          </w:p>
        </w:tc>
        <w:tc>
          <w:tcPr>
            <w:tcW w:w="1116" w:type="dxa"/>
          </w:tcPr>
          <w:p w:rsidR="00FE47E1" w:rsidRPr="00FE47E1" w:rsidRDefault="004C136E" w:rsidP="00FE47E1">
            <w:r>
              <w:t>8.99</w:t>
            </w:r>
          </w:p>
        </w:tc>
        <w:tc>
          <w:tcPr>
            <w:tcW w:w="1116" w:type="dxa"/>
          </w:tcPr>
          <w:p w:rsidR="00FE47E1" w:rsidRPr="00FE47E1" w:rsidRDefault="004C136E" w:rsidP="00FE47E1">
            <w:r>
              <w:t>18.48</w:t>
            </w:r>
          </w:p>
        </w:tc>
        <w:tc>
          <w:tcPr>
            <w:tcW w:w="1116" w:type="dxa"/>
          </w:tcPr>
          <w:p w:rsidR="00FE47E1" w:rsidRPr="00FE47E1" w:rsidRDefault="004C136E" w:rsidP="00FE47E1">
            <w:r>
              <w:t>13.02</w:t>
            </w:r>
          </w:p>
        </w:tc>
        <w:tc>
          <w:tcPr>
            <w:tcW w:w="1109" w:type="dxa"/>
          </w:tcPr>
          <w:p w:rsidR="00FE47E1" w:rsidRPr="00FE47E1" w:rsidRDefault="004C136E" w:rsidP="00FE47E1">
            <w:r>
              <w:t>19.58</w:t>
            </w:r>
          </w:p>
        </w:tc>
        <w:tc>
          <w:tcPr>
            <w:tcW w:w="1112" w:type="dxa"/>
            <w:gridSpan w:val="2"/>
          </w:tcPr>
          <w:p w:rsidR="00FE47E1" w:rsidRPr="00FE47E1" w:rsidRDefault="004C136E" w:rsidP="00FE47E1">
            <w:r>
              <w:t>20.17</w:t>
            </w:r>
          </w:p>
        </w:tc>
      </w:tr>
      <w:tr w:rsidR="00FE47E1" w:rsidRPr="00750E7A" w:rsidTr="00F638F6">
        <w:trPr>
          <w:trHeight w:val="727"/>
        </w:trPr>
        <w:tc>
          <w:tcPr>
            <w:tcW w:w="2073" w:type="dxa"/>
            <w:vMerge w:val="restart"/>
            <w:hideMark/>
          </w:tcPr>
          <w:p w:rsidR="00FE47E1" w:rsidRPr="00FE47E1" w:rsidRDefault="00FE47E1" w:rsidP="00FE47E1">
            <w:r>
              <w:t>Solar</w:t>
            </w:r>
          </w:p>
        </w:tc>
        <w:tc>
          <w:tcPr>
            <w:tcW w:w="1051" w:type="dxa"/>
          </w:tcPr>
          <w:p w:rsidR="00FE47E1" w:rsidRPr="00FE47E1" w:rsidRDefault="00FE47E1" w:rsidP="00FE47E1">
            <w:r w:rsidRPr="005775D8">
              <w:t>Capital</w:t>
            </w:r>
          </w:p>
        </w:tc>
        <w:tc>
          <w:tcPr>
            <w:tcW w:w="1116" w:type="dxa"/>
          </w:tcPr>
          <w:p w:rsidR="00FE47E1" w:rsidRPr="00FE47E1" w:rsidRDefault="004C136E" w:rsidP="00FE47E1">
            <w:r>
              <w:t>1.61</w:t>
            </w:r>
          </w:p>
        </w:tc>
        <w:tc>
          <w:tcPr>
            <w:tcW w:w="1116" w:type="dxa"/>
          </w:tcPr>
          <w:p w:rsidR="00FE47E1" w:rsidRPr="00FE47E1" w:rsidRDefault="004C136E" w:rsidP="00FE47E1">
            <w:r>
              <w:t>8.45</w:t>
            </w:r>
          </w:p>
        </w:tc>
        <w:tc>
          <w:tcPr>
            <w:tcW w:w="1116" w:type="dxa"/>
          </w:tcPr>
          <w:p w:rsidR="00FE47E1" w:rsidRPr="00FE47E1" w:rsidRDefault="004C136E" w:rsidP="00FE47E1">
            <w:r>
              <w:t>8.69</w:t>
            </w:r>
          </w:p>
        </w:tc>
        <w:tc>
          <w:tcPr>
            <w:tcW w:w="1109" w:type="dxa"/>
          </w:tcPr>
          <w:p w:rsidR="00FE47E1" w:rsidRPr="00FE47E1" w:rsidRDefault="004C136E" w:rsidP="00FE47E1">
            <w:r>
              <w:t>8.95</w:t>
            </w:r>
          </w:p>
        </w:tc>
        <w:tc>
          <w:tcPr>
            <w:tcW w:w="1112" w:type="dxa"/>
            <w:gridSpan w:val="2"/>
          </w:tcPr>
          <w:p w:rsidR="00FE47E1" w:rsidRPr="00FE47E1" w:rsidRDefault="004C136E" w:rsidP="00FE47E1">
            <w:r>
              <w:t>9.22</w:t>
            </w:r>
          </w:p>
        </w:tc>
      </w:tr>
      <w:tr w:rsidR="00FE47E1" w:rsidRPr="00750E7A" w:rsidTr="00F638F6">
        <w:trPr>
          <w:cnfStyle w:val="000000010000" w:firstRow="0" w:lastRow="0" w:firstColumn="0" w:lastColumn="0" w:oddVBand="0" w:evenVBand="0" w:oddHBand="0" w:evenHBand="1" w:firstRowFirstColumn="0" w:firstRowLastColumn="0" w:lastRowFirstColumn="0" w:lastRowLastColumn="0"/>
          <w:trHeight w:val="726"/>
        </w:trPr>
        <w:tc>
          <w:tcPr>
            <w:tcW w:w="2073" w:type="dxa"/>
            <w:vMerge/>
          </w:tcPr>
          <w:p w:rsidR="00FE47E1" w:rsidRPr="005775D8" w:rsidRDefault="00FE47E1" w:rsidP="00FE47E1"/>
        </w:tc>
        <w:tc>
          <w:tcPr>
            <w:tcW w:w="1051" w:type="dxa"/>
          </w:tcPr>
          <w:p w:rsidR="00FE47E1" w:rsidRPr="00FE47E1" w:rsidRDefault="00FE47E1" w:rsidP="00FE47E1">
            <w:r w:rsidRPr="005775D8">
              <w:t>Non–capital</w:t>
            </w:r>
          </w:p>
        </w:tc>
        <w:tc>
          <w:tcPr>
            <w:tcW w:w="1116" w:type="dxa"/>
          </w:tcPr>
          <w:p w:rsidR="00FE47E1" w:rsidRPr="00FE47E1" w:rsidRDefault="004C136E" w:rsidP="00FE47E1">
            <w:r>
              <w:t>6.08</w:t>
            </w:r>
          </w:p>
        </w:tc>
        <w:tc>
          <w:tcPr>
            <w:tcW w:w="1116" w:type="dxa"/>
          </w:tcPr>
          <w:p w:rsidR="00FE47E1" w:rsidRPr="00FE47E1" w:rsidRDefault="004C136E" w:rsidP="00FE47E1">
            <w:r>
              <w:t>12.50</w:t>
            </w:r>
          </w:p>
        </w:tc>
        <w:tc>
          <w:tcPr>
            <w:tcW w:w="1116" w:type="dxa"/>
          </w:tcPr>
          <w:p w:rsidR="00FE47E1" w:rsidRPr="00FE47E1" w:rsidRDefault="004C136E" w:rsidP="00FE47E1">
            <w:r>
              <w:t>12.86</w:t>
            </w:r>
          </w:p>
        </w:tc>
        <w:tc>
          <w:tcPr>
            <w:tcW w:w="1109" w:type="dxa"/>
          </w:tcPr>
          <w:p w:rsidR="00FE47E1" w:rsidRPr="00FE47E1" w:rsidRDefault="004C136E" w:rsidP="00FE47E1">
            <w:r>
              <w:t>13.25</w:t>
            </w:r>
          </w:p>
        </w:tc>
        <w:tc>
          <w:tcPr>
            <w:tcW w:w="1112" w:type="dxa"/>
            <w:gridSpan w:val="2"/>
          </w:tcPr>
          <w:p w:rsidR="00FE47E1" w:rsidRPr="00FE47E1" w:rsidRDefault="004C136E" w:rsidP="00FE47E1">
            <w:r>
              <w:t>13.64</w:t>
            </w:r>
          </w:p>
        </w:tc>
      </w:tr>
    </w:tbl>
    <w:bookmarkEnd w:id="55"/>
    <w:p w:rsidR="00FE47E1" w:rsidRDefault="00FE47E1" w:rsidP="00FE47E1">
      <w:pPr>
        <w:pStyle w:val="Source"/>
      </w:pPr>
      <w:r>
        <w:t>Source:</w:t>
      </w:r>
      <w:r>
        <w:tab/>
      </w:r>
      <w:r w:rsidR="005335F5">
        <w:t xml:space="preserve">Ergon </w:t>
      </w:r>
      <w:proofErr w:type="gramStart"/>
      <w:r w:rsidR="005335F5">
        <w:t>Energy</w:t>
      </w:r>
      <w:r>
        <w:t>,</w:t>
      </w:r>
      <w:proofErr w:type="gramEnd"/>
      <w:r>
        <w:t xml:space="preserve"> </w:t>
      </w:r>
      <w:r w:rsidRPr="000459F9">
        <w:rPr>
          <w:rStyle w:val="AERtextitalic"/>
        </w:rPr>
        <w:t>Revised regulatory proposal</w:t>
      </w:r>
      <w:r>
        <w:t xml:space="preserve">, July 2015, p. </w:t>
      </w:r>
      <w:r w:rsidR="004C136E">
        <w:t>61</w:t>
      </w:r>
      <w:r>
        <w:t>.</w:t>
      </w:r>
      <w:r>
        <w:tab/>
      </w:r>
    </w:p>
    <w:p w:rsidR="007B7D6D" w:rsidRDefault="00615A0D" w:rsidP="00D51FEA">
      <w:r>
        <w:fldChar w:fldCharType="begin"/>
      </w:r>
      <w:r>
        <w:instrText xml:space="preserve"> REF _Ref426017406 \h </w:instrText>
      </w:r>
      <w:r>
        <w:fldChar w:fldCharType="separate"/>
      </w:r>
      <w:r w:rsidR="00E01BE0">
        <w:t xml:space="preserve">Table </w:t>
      </w:r>
      <w:r w:rsidR="00E01BE0">
        <w:rPr>
          <w:noProof/>
        </w:rPr>
        <w:t>16</w:t>
      </w:r>
      <w:r w:rsidR="00E01BE0">
        <w:t>.</w:t>
      </w:r>
      <w:r w:rsidR="00E01BE0">
        <w:rPr>
          <w:noProof/>
        </w:rPr>
        <w:t>12</w:t>
      </w:r>
      <w:r>
        <w:fldChar w:fldCharType="end"/>
      </w:r>
      <w:r w:rsidR="00474141">
        <w:t xml:space="preserve"> shows that</w:t>
      </w:r>
      <w:r>
        <w:t xml:space="preserve"> </w:t>
      </w:r>
      <w:r w:rsidR="00474141">
        <w:t>Ergon Energy is forecasting step changes to the capital components of the annual metering service charges in the 2016–17 pricing year</w:t>
      </w:r>
      <w:r>
        <w:t>. The step changes are primarily driven by Ergon Energy's proposal to implement a greater rate of depreciation than we accepted in our preliminary decision.</w:t>
      </w:r>
      <w:r>
        <w:rPr>
          <w:rStyle w:val="FootnoteReference"/>
        </w:rPr>
        <w:footnoteReference w:id="61"/>
      </w:r>
      <w:r w:rsidR="00474141">
        <w:t xml:space="preserve"> </w:t>
      </w:r>
    </w:p>
    <w:p w:rsidR="0071448B" w:rsidRDefault="0071448B" w:rsidP="0071448B">
      <w:pPr>
        <w:pStyle w:val="Heading4"/>
      </w:pPr>
      <w:r>
        <w:t>Control mechanism</w:t>
      </w:r>
    </w:p>
    <w:p w:rsidR="0071448B" w:rsidRDefault="0071448B" w:rsidP="0071448B">
      <w:r>
        <w:t>Ergon Energy accepted that the form of control will be a cap on the price of each metering service it provides.</w:t>
      </w:r>
      <w:r>
        <w:rPr>
          <w:rStyle w:val="FootnoteReference"/>
        </w:rPr>
        <w:footnoteReference w:id="62"/>
      </w:r>
      <w:r>
        <w:t xml:space="preserve"> It nonetheless sought modifications to the operation of the control formula giving effect to alternative control metering prices.</w:t>
      </w:r>
      <w:r>
        <w:rPr>
          <w:rStyle w:val="FootnoteReference"/>
        </w:rPr>
        <w:footnoteReference w:id="63"/>
      </w:r>
      <w:r>
        <w:t xml:space="preserve"> It stated that we should approve:</w:t>
      </w:r>
    </w:p>
    <w:p w:rsidR="0071448B" w:rsidRDefault="0071448B" w:rsidP="0071448B">
      <w:pPr>
        <w:pStyle w:val="AERbulletlistfirststyle"/>
      </w:pPr>
      <w:r>
        <w:t>a true–up mechanism capable of accounting for differences between 2015–16 prices approved in the preliminary decision and those approved in the final decision</w:t>
      </w:r>
    </w:p>
    <w:p w:rsidR="0071448B" w:rsidRDefault="0071448B" w:rsidP="0071448B">
      <w:pPr>
        <w:pStyle w:val="AERbulletlistfirststyle"/>
      </w:pPr>
      <w:proofErr w:type="gramStart"/>
      <w:r>
        <w:t>the</w:t>
      </w:r>
      <w:proofErr w:type="gramEnd"/>
      <w:r>
        <w:t xml:space="preserve"> use of the X–factor to smooth the revenue recoverable from alternative control metering services in the 2015–20 regulatory control period.</w:t>
      </w:r>
      <w:r>
        <w:rPr>
          <w:rStyle w:val="FootnoteReference"/>
        </w:rPr>
        <w:footnoteReference w:id="64"/>
      </w:r>
    </w:p>
    <w:p w:rsidR="00307CCD" w:rsidRDefault="00307CCD" w:rsidP="00307CCD">
      <w:pPr>
        <w:pStyle w:val="AERbulletlistfirststyle"/>
        <w:numPr>
          <w:ilvl w:val="0"/>
          <w:numId w:val="0"/>
        </w:numPr>
        <w:ind w:left="357" w:hanging="357"/>
      </w:pPr>
    </w:p>
    <w:p w:rsidR="00307CCD" w:rsidRDefault="00307CCD" w:rsidP="00307CCD">
      <w:pPr>
        <w:pStyle w:val="AERbulletlistfirststyle"/>
        <w:numPr>
          <w:ilvl w:val="0"/>
          <w:numId w:val="0"/>
        </w:numPr>
        <w:ind w:left="357" w:hanging="357"/>
      </w:pPr>
    </w:p>
    <w:p w:rsidR="00307CCD" w:rsidRDefault="00307CCD" w:rsidP="00307CCD">
      <w:pPr>
        <w:pStyle w:val="AERbulletlistfirststyle"/>
        <w:numPr>
          <w:ilvl w:val="0"/>
          <w:numId w:val="0"/>
        </w:numPr>
        <w:ind w:left="357" w:hanging="357"/>
      </w:pPr>
    </w:p>
    <w:p w:rsidR="00DC32D9" w:rsidRDefault="00DC32D9" w:rsidP="00DC32D9">
      <w:pPr>
        <w:pStyle w:val="Heading3"/>
      </w:pPr>
      <w:bookmarkStart w:id="57" w:name="_Toc433365999"/>
      <w:r>
        <w:lastRenderedPageBreak/>
        <w:t>Assessment approach</w:t>
      </w:r>
      <w:bookmarkEnd w:id="57"/>
    </w:p>
    <w:p w:rsidR="00DC32D9" w:rsidRDefault="00DC32D9" w:rsidP="00DC32D9">
      <w:r>
        <w:t xml:space="preserve">In our preliminary decision we </w:t>
      </w:r>
      <w:r w:rsidRPr="0025576A">
        <w:t xml:space="preserve">first considered </w:t>
      </w:r>
      <w:r>
        <w:t>Ergon Energy's</w:t>
      </w:r>
      <w:r w:rsidRPr="0025576A">
        <w:t xml:space="preserve"> proposed structure of metering services. We then considered </w:t>
      </w:r>
      <w:r w:rsidR="00914B6B">
        <w:t>Ergon Energy's</w:t>
      </w:r>
      <w:r w:rsidRPr="0025576A">
        <w:t xml:space="preserve"> proposed costs, tailoring our assessment approach according to each type of charge.</w:t>
      </w:r>
    </w:p>
    <w:p w:rsidR="00DC32D9" w:rsidRDefault="00DC32D9" w:rsidP="00DC32D9">
      <w:r>
        <w:t xml:space="preserve">We have followed the same assessment approach in our final decision. </w:t>
      </w:r>
      <w:r w:rsidR="00914B6B">
        <w:t>Ergon Energy</w:t>
      </w:r>
      <w:r>
        <w:t xml:space="preserve"> applied the structure of metering services specified in our preliminary decision so our assessment of the distributor's revised proposal focused on its revised costs. </w:t>
      </w:r>
    </w:p>
    <w:p w:rsidR="00DC32D9" w:rsidRDefault="00DC32D9" w:rsidP="00DC32D9">
      <w:pPr>
        <w:pStyle w:val="Heading4"/>
      </w:pPr>
      <w:r>
        <w:t>Structure of metering charges</w:t>
      </w:r>
    </w:p>
    <w:p w:rsidR="00DC32D9" w:rsidRDefault="00DC32D9" w:rsidP="00DC32D9">
      <w:r>
        <w:t>Ergon Energy's revised proposal applied the structure of metering charges we approved in our preliminary decision.</w:t>
      </w:r>
      <w:r>
        <w:rPr>
          <w:rStyle w:val="FootnoteReference"/>
        </w:rPr>
        <w:footnoteReference w:id="65"/>
      </w:r>
      <w:r>
        <w:t xml:space="preserve"> In considering whether we should maintain this structure in our final determination, we were guided by:</w:t>
      </w:r>
    </w:p>
    <w:p w:rsidR="00DC32D9" w:rsidRDefault="00DC32D9" w:rsidP="00DC32D9">
      <w:pPr>
        <w:pStyle w:val="AERbulletlistfirststyle"/>
      </w:pPr>
      <w:r>
        <w:t xml:space="preserve">the AEMC's draft rule change </w:t>
      </w:r>
      <w:r w:rsidR="006F4C51">
        <w:t>on</w:t>
      </w:r>
      <w:r>
        <w:t xml:space="preserve"> metering contestability</w:t>
      </w:r>
    </w:p>
    <w:p w:rsidR="00DC32D9" w:rsidRDefault="00DC32D9" w:rsidP="00DC32D9">
      <w:pPr>
        <w:pStyle w:val="AERbulletlistfirststyle"/>
      </w:pPr>
      <w:r>
        <w:t>the service classification and control mechanism factors in the NER</w:t>
      </w:r>
      <w:r w:rsidRPr="008706BD">
        <w:rPr>
          <w:rStyle w:val="FootnoteReference"/>
        </w:rPr>
        <w:footnoteReference w:id="66"/>
      </w:r>
    </w:p>
    <w:p w:rsidR="00DC32D9" w:rsidRDefault="00DC32D9" w:rsidP="00DC32D9">
      <w:pPr>
        <w:pStyle w:val="AERbulletlistfirststyle"/>
      </w:pPr>
      <w:r>
        <w:t>SA Power Networks' revised proposal to reallocate the costs attributed to the capital and non–capital components of the annual metering charge.</w:t>
      </w:r>
      <w:r>
        <w:rPr>
          <w:rStyle w:val="FootnoteReference"/>
        </w:rPr>
        <w:footnoteReference w:id="67"/>
      </w:r>
    </w:p>
    <w:p w:rsidR="00DC32D9" w:rsidRDefault="00DC32D9" w:rsidP="00DC32D9">
      <w:r>
        <w:t xml:space="preserve">In relation to the structure of metering services, the AEMC's draft rule states that </w:t>
      </w:r>
      <w:r w:rsidRPr="00554A2E">
        <w:t>the AER should determine 'the arrangements for a DNSP to recover the residual costs of its regulated metering service</w:t>
      </w:r>
      <w:r>
        <w:t xml:space="preserve"> </w:t>
      </w:r>
      <w:r w:rsidRPr="00554A2E">
        <w:t>in accordance with the exis</w:t>
      </w:r>
      <w:r>
        <w:t>ting regulatory framework</w:t>
      </w:r>
      <w:r w:rsidRPr="00554A2E">
        <w:t>'</w:t>
      </w:r>
      <w:r>
        <w:t>.</w:t>
      </w:r>
      <w:r w:rsidRPr="00554A2E">
        <w:rPr>
          <w:rStyle w:val="FootnoteReference"/>
        </w:rPr>
        <w:footnoteReference w:id="68"/>
      </w:r>
      <w:r>
        <w:t xml:space="preserve"> The way in which the AER achieves this outcome is not specified.</w:t>
      </w:r>
    </w:p>
    <w:p w:rsidR="00DC32D9" w:rsidRDefault="00DC32D9" w:rsidP="00DC32D9">
      <w:pPr>
        <w:numPr>
          <w:ilvl w:val="0"/>
          <w:numId w:val="25"/>
        </w:numPr>
      </w:pPr>
      <w:r>
        <w:rPr>
          <w:rStyle w:val="AERbody"/>
        </w:rPr>
        <w:t xml:space="preserve">With regard to the service classification and control mechanism factors, </w:t>
      </w:r>
      <w:r>
        <w:t>t</w:t>
      </w:r>
      <w:r w:rsidRPr="008706BD">
        <w:t xml:space="preserve">hey require us to consider whether it is more appropriate to allocate metering services costs through annual charges, upfront fees or network charges recovered from all customers. </w:t>
      </w:r>
      <w:r>
        <w:fldChar w:fldCharType="begin"/>
      </w:r>
      <w:r>
        <w:instrText xml:space="preserve"> REF _Ref424814915 \h </w:instrText>
      </w:r>
      <w:r>
        <w:fldChar w:fldCharType="separate"/>
      </w:r>
      <w:r w:rsidR="00E01BE0">
        <w:t xml:space="preserve">Table </w:t>
      </w:r>
      <w:r w:rsidR="00E01BE0">
        <w:rPr>
          <w:noProof/>
        </w:rPr>
        <w:t>16</w:t>
      </w:r>
      <w:r w:rsidR="00E01BE0">
        <w:t>.</w:t>
      </w:r>
      <w:r w:rsidR="00E01BE0">
        <w:rPr>
          <w:noProof/>
        </w:rPr>
        <w:t>13</w:t>
      </w:r>
      <w:r>
        <w:fldChar w:fldCharType="end"/>
      </w:r>
      <w:r>
        <w:t xml:space="preserve"> sets out the factors which we have considered.</w:t>
      </w:r>
    </w:p>
    <w:p w:rsidR="00DC32D9" w:rsidRDefault="00DC32D9" w:rsidP="00DC32D9">
      <w:pPr>
        <w:pStyle w:val="Caption"/>
      </w:pPr>
      <w:bookmarkStart w:id="58" w:name="_Ref424814915"/>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13</w:t>
      </w:r>
      <w:r w:rsidR="00674D47">
        <w:fldChar w:fldCharType="end"/>
      </w:r>
      <w:bookmarkEnd w:id="58"/>
      <w:r>
        <w:t xml:space="preserve"> - Classification and control mechanism factors</w:t>
      </w:r>
    </w:p>
    <w:tbl>
      <w:tblPr>
        <w:tblStyle w:val="AERtable-text0"/>
        <w:tblW w:w="0" w:type="auto"/>
        <w:tblLook w:val="04A0" w:firstRow="1" w:lastRow="0" w:firstColumn="1" w:lastColumn="0" w:noHBand="0" w:noVBand="1"/>
      </w:tblPr>
      <w:tblGrid>
        <w:gridCol w:w="4346"/>
        <w:gridCol w:w="4347"/>
      </w:tblGrid>
      <w:tr w:rsidR="00DC32D9" w:rsidTr="00A64E6A">
        <w:trPr>
          <w:cnfStyle w:val="100000000000" w:firstRow="1" w:lastRow="0" w:firstColumn="0" w:lastColumn="0" w:oddVBand="0" w:evenVBand="0" w:oddHBand="0" w:evenHBand="0" w:firstRowFirstColumn="0" w:firstRowLastColumn="0" w:lastRowFirstColumn="0" w:lastRowLastColumn="0"/>
          <w:tblHeader/>
        </w:trPr>
        <w:tc>
          <w:tcPr>
            <w:tcW w:w="4346" w:type="dxa"/>
          </w:tcPr>
          <w:p w:rsidR="00DC32D9" w:rsidRDefault="00DC32D9" w:rsidP="00DC32D9">
            <w:pPr>
              <w:numPr>
                <w:ilvl w:val="0"/>
                <w:numId w:val="25"/>
              </w:numPr>
            </w:pPr>
            <w:r>
              <w:t>Classification factors</w:t>
            </w:r>
          </w:p>
        </w:tc>
        <w:tc>
          <w:tcPr>
            <w:tcW w:w="4347" w:type="dxa"/>
          </w:tcPr>
          <w:p w:rsidR="00DC32D9" w:rsidRDefault="00DC32D9" w:rsidP="00DC32D9">
            <w:pPr>
              <w:numPr>
                <w:ilvl w:val="0"/>
                <w:numId w:val="25"/>
              </w:numPr>
            </w:pPr>
            <w:r>
              <w:t>Control mechanism factors</w:t>
            </w:r>
          </w:p>
        </w:tc>
      </w:tr>
      <w:tr w:rsidR="00DC32D9" w:rsidTr="00A64E6A">
        <w:tc>
          <w:tcPr>
            <w:tcW w:w="4346" w:type="dxa"/>
          </w:tcPr>
          <w:p w:rsidR="00DC32D9" w:rsidRDefault="00DC32D9" w:rsidP="00DC32D9">
            <w:pPr>
              <w:numPr>
                <w:ilvl w:val="0"/>
                <w:numId w:val="25"/>
              </w:numPr>
            </w:pPr>
            <w:r>
              <w:t>Potential for development of competition in the relevant market and how the classification might influence that potential</w:t>
            </w:r>
          </w:p>
        </w:tc>
        <w:tc>
          <w:tcPr>
            <w:tcW w:w="4347" w:type="dxa"/>
          </w:tcPr>
          <w:p w:rsidR="00DC32D9" w:rsidRDefault="00DC32D9" w:rsidP="00DC32D9">
            <w:pPr>
              <w:numPr>
                <w:ilvl w:val="0"/>
                <w:numId w:val="25"/>
              </w:numPr>
            </w:pPr>
            <w:r>
              <w:t>Potential for development of competition in the relevant market and how the control mechanism might influence that potential</w:t>
            </w:r>
          </w:p>
        </w:tc>
      </w:tr>
      <w:tr w:rsidR="00DC32D9" w:rsidTr="00A64E6A">
        <w:trPr>
          <w:cnfStyle w:val="000000010000" w:firstRow="0" w:lastRow="0" w:firstColumn="0" w:lastColumn="0" w:oddVBand="0" w:evenVBand="0" w:oddHBand="0" w:evenHBand="1" w:firstRowFirstColumn="0" w:firstRowLastColumn="0" w:lastRowFirstColumn="0" w:lastRowLastColumn="0"/>
        </w:trPr>
        <w:tc>
          <w:tcPr>
            <w:tcW w:w="4346" w:type="dxa"/>
          </w:tcPr>
          <w:p w:rsidR="00DC32D9" w:rsidRPr="00DC32D9" w:rsidRDefault="00DC32D9" w:rsidP="00DC32D9">
            <w:r>
              <w:t>The possible effects of classification on administrative costs of the AER, the distribution business and users or potential user</w:t>
            </w:r>
            <w:r w:rsidRPr="00DC32D9">
              <w:t>s</w:t>
            </w:r>
          </w:p>
        </w:tc>
        <w:tc>
          <w:tcPr>
            <w:tcW w:w="4347" w:type="dxa"/>
          </w:tcPr>
          <w:p w:rsidR="00DC32D9" w:rsidRPr="00DC32D9" w:rsidRDefault="00DC32D9" w:rsidP="00DC32D9">
            <w:r>
              <w:t>The possible effects of the control mechanism on administrative</w:t>
            </w:r>
            <w:r w:rsidRPr="00DC32D9">
              <w:t xml:space="preserve"> costs of the AER, the distribution business and users or potential users</w:t>
            </w:r>
          </w:p>
        </w:tc>
      </w:tr>
      <w:tr w:rsidR="00DC32D9" w:rsidTr="00A64E6A">
        <w:tc>
          <w:tcPr>
            <w:tcW w:w="4346" w:type="dxa"/>
          </w:tcPr>
          <w:p w:rsidR="00DC32D9" w:rsidRDefault="00DC32D9" w:rsidP="00DC32D9">
            <w:pPr>
              <w:numPr>
                <w:ilvl w:val="0"/>
                <w:numId w:val="25"/>
              </w:numPr>
            </w:pPr>
            <w:r>
              <w:t xml:space="preserve">The regulatory approach (if any) applicable to the relevant </w:t>
            </w:r>
            <w:r>
              <w:lastRenderedPageBreak/>
              <w:t>service immediately before the commencement of the distribution determination for which the classification is made</w:t>
            </w:r>
          </w:p>
        </w:tc>
        <w:tc>
          <w:tcPr>
            <w:tcW w:w="4347" w:type="dxa"/>
          </w:tcPr>
          <w:p w:rsidR="00DC32D9" w:rsidRDefault="00DC32D9" w:rsidP="00DC32D9">
            <w:pPr>
              <w:numPr>
                <w:ilvl w:val="0"/>
                <w:numId w:val="25"/>
              </w:numPr>
            </w:pPr>
            <w:r>
              <w:lastRenderedPageBreak/>
              <w:t xml:space="preserve">The regulatory arrangements (if any) applicable to the </w:t>
            </w:r>
            <w:r>
              <w:lastRenderedPageBreak/>
              <w:t>relevant service immediately before the commencement of the distribution determination for which the classification is made</w:t>
            </w:r>
          </w:p>
        </w:tc>
      </w:tr>
      <w:tr w:rsidR="00DC32D9" w:rsidTr="00A64E6A">
        <w:trPr>
          <w:cnfStyle w:val="000000010000" w:firstRow="0" w:lastRow="0" w:firstColumn="0" w:lastColumn="0" w:oddVBand="0" w:evenVBand="0" w:oddHBand="0" w:evenHBand="1" w:firstRowFirstColumn="0" w:firstRowLastColumn="0" w:lastRowFirstColumn="0" w:lastRowLastColumn="0"/>
        </w:trPr>
        <w:tc>
          <w:tcPr>
            <w:tcW w:w="4346" w:type="dxa"/>
          </w:tcPr>
          <w:p w:rsidR="00DC32D9" w:rsidRDefault="00DC32D9" w:rsidP="00DC32D9">
            <w:pPr>
              <w:numPr>
                <w:ilvl w:val="0"/>
                <w:numId w:val="25"/>
              </w:numPr>
            </w:pPr>
            <w:r>
              <w:lastRenderedPageBreak/>
              <w:t>The desirability of a consistent regulatory approach to similar services (both within and beyond the relevant jurisdiction)</w:t>
            </w:r>
          </w:p>
        </w:tc>
        <w:tc>
          <w:tcPr>
            <w:tcW w:w="4347" w:type="dxa"/>
          </w:tcPr>
          <w:p w:rsidR="00DC32D9" w:rsidRDefault="00DC32D9" w:rsidP="00DC32D9">
            <w:pPr>
              <w:numPr>
                <w:ilvl w:val="0"/>
                <w:numId w:val="25"/>
              </w:numPr>
            </w:pPr>
            <w:r>
              <w:t>The desirability of a consistent regulatory arrangements to similar services (both within and beyond the relevant jurisdiction)</w:t>
            </w:r>
          </w:p>
        </w:tc>
      </w:tr>
      <w:tr w:rsidR="00DC32D9" w:rsidTr="00A64E6A">
        <w:tc>
          <w:tcPr>
            <w:tcW w:w="4346" w:type="dxa"/>
          </w:tcPr>
          <w:p w:rsidR="00DC32D9" w:rsidRDefault="00DC32D9" w:rsidP="00DC32D9">
            <w:pPr>
              <w:numPr>
                <w:ilvl w:val="0"/>
                <w:numId w:val="25"/>
              </w:numPr>
            </w:pPr>
            <w:r>
              <w:t>The extent of the costs of providing the relevant service are directly attributable to the person to which the service is provided</w:t>
            </w:r>
          </w:p>
        </w:tc>
        <w:tc>
          <w:tcPr>
            <w:tcW w:w="4347" w:type="dxa"/>
          </w:tcPr>
          <w:p w:rsidR="00DC32D9" w:rsidRDefault="00DC32D9" w:rsidP="00DC32D9">
            <w:pPr>
              <w:numPr>
                <w:ilvl w:val="0"/>
                <w:numId w:val="25"/>
              </w:numPr>
            </w:pPr>
            <w:r>
              <w:t>Any other relevant factor</w:t>
            </w:r>
          </w:p>
        </w:tc>
      </w:tr>
      <w:tr w:rsidR="00DC32D9" w:rsidTr="00A64E6A">
        <w:trPr>
          <w:cnfStyle w:val="000000010000" w:firstRow="0" w:lastRow="0" w:firstColumn="0" w:lastColumn="0" w:oddVBand="0" w:evenVBand="0" w:oddHBand="0" w:evenHBand="1" w:firstRowFirstColumn="0" w:firstRowLastColumn="0" w:lastRowFirstColumn="0" w:lastRowLastColumn="0"/>
        </w:trPr>
        <w:tc>
          <w:tcPr>
            <w:tcW w:w="4346" w:type="dxa"/>
          </w:tcPr>
          <w:p w:rsidR="00DC32D9" w:rsidRDefault="00DC32D9" w:rsidP="00DC32D9">
            <w:pPr>
              <w:numPr>
                <w:ilvl w:val="0"/>
                <w:numId w:val="25"/>
              </w:numPr>
            </w:pPr>
            <w:r>
              <w:t>Any other relevant factor</w:t>
            </w:r>
          </w:p>
        </w:tc>
        <w:tc>
          <w:tcPr>
            <w:tcW w:w="4347" w:type="dxa"/>
          </w:tcPr>
          <w:p w:rsidR="00DC32D9" w:rsidRDefault="00DC32D9" w:rsidP="00DC32D9">
            <w:pPr>
              <w:numPr>
                <w:ilvl w:val="0"/>
                <w:numId w:val="25"/>
              </w:numPr>
            </w:pPr>
          </w:p>
        </w:tc>
      </w:tr>
    </w:tbl>
    <w:p w:rsidR="00DC32D9" w:rsidRPr="005975D1" w:rsidRDefault="00DC32D9" w:rsidP="00DC32D9">
      <w:pPr>
        <w:pStyle w:val="Source"/>
      </w:pPr>
      <w:r>
        <w:t>Source:</w:t>
      </w:r>
      <w:r>
        <w:tab/>
        <w:t>NER, cl</w:t>
      </w:r>
      <w:r w:rsidR="00307CCD">
        <w:t>l. 6.2.2</w:t>
      </w:r>
      <w:proofErr w:type="gramStart"/>
      <w:r w:rsidR="00307CCD">
        <w:t>(c)</w:t>
      </w:r>
      <w:proofErr w:type="gramEnd"/>
      <w:r w:rsidR="00307CCD">
        <w:t xml:space="preserve"> and </w:t>
      </w:r>
      <w:r>
        <w:t>6.2.5(d).</w:t>
      </w:r>
    </w:p>
    <w:p w:rsidR="00DC32D9" w:rsidRPr="00DC32D9" w:rsidRDefault="00DC32D9" w:rsidP="00DC32D9">
      <w:pPr>
        <w:pStyle w:val="AERbulletlistfirststyle"/>
        <w:numPr>
          <w:ilvl w:val="0"/>
          <w:numId w:val="0"/>
        </w:numPr>
      </w:pPr>
      <w:r>
        <w:t xml:space="preserve">We considered whether the recovery of </w:t>
      </w:r>
      <w:r w:rsidR="00FB6BC2">
        <w:t>Ergon Energy's</w:t>
      </w:r>
      <w:r>
        <w:t xml:space="preserve"> tax liability should be moved from the non–capital component of the annual metering charge, to the capital component. </w:t>
      </w:r>
      <w:r w:rsidRPr="00DC32D9">
        <w:t>This was a put forward by SA Power Networks in its revised regulatory proposal.</w:t>
      </w:r>
      <w:r w:rsidRPr="00DC32D9">
        <w:rPr>
          <w:rStyle w:val="FootnoteReference"/>
        </w:rPr>
        <w:footnoteReference w:id="69"/>
      </w:r>
      <w:r w:rsidRPr="00DC32D9">
        <w:t xml:space="preserve"> We took the view that if we consider the reallocation to be correct, then we should apply it to </w:t>
      </w:r>
      <w:r w:rsidR="00FB6BC2">
        <w:t>Ergon Energy</w:t>
      </w:r>
      <w:r w:rsidRPr="00DC32D9">
        <w:t>.</w:t>
      </w:r>
    </w:p>
    <w:p w:rsidR="00DC32D9" w:rsidRDefault="00DC32D9" w:rsidP="00DC32D9">
      <w:pPr>
        <w:pStyle w:val="Heading4"/>
      </w:pPr>
      <w:bookmarkStart w:id="59" w:name="_Ref426125751"/>
      <w:r>
        <w:t>Annual metering charges</w:t>
      </w:r>
      <w:bookmarkEnd w:id="59"/>
    </w:p>
    <w:p w:rsidR="00DC32D9" w:rsidRDefault="00DC32D9" w:rsidP="00DC32D9">
      <w:r>
        <w:t xml:space="preserve">To develop its proposed price caps for annual metering services, </w:t>
      </w:r>
      <w:r w:rsidR="00FB6BC2">
        <w:t>Ergon Energy's</w:t>
      </w:r>
      <w:r>
        <w:t xml:space="preserve"> revised proposal applied the building block approach. We considered this to be a good forecasting approach. Our assessment focused on the value of each building block in </w:t>
      </w:r>
      <w:r w:rsidR="00FB6BC2">
        <w:t>Ergon Energy's</w:t>
      </w:r>
      <w:r>
        <w:t xml:space="preserve"> revised proposal.</w:t>
      </w:r>
    </w:p>
    <w:p w:rsidR="00DC32D9" w:rsidRPr="00307CCD" w:rsidRDefault="00DC32D9" w:rsidP="00307CCD">
      <w:pPr>
        <w:pStyle w:val="HeadingBoldItalic"/>
      </w:pPr>
      <w:bookmarkStart w:id="60" w:name="_Toc417502138"/>
      <w:r w:rsidRPr="00307CCD">
        <w:t>Opening metering asset base</w:t>
      </w:r>
      <w:bookmarkEnd w:id="60"/>
    </w:p>
    <w:p w:rsidR="00DC32D9" w:rsidRPr="0025576A" w:rsidRDefault="00DC32D9" w:rsidP="00DC32D9">
      <w:pPr>
        <w:numPr>
          <w:ilvl w:val="0"/>
          <w:numId w:val="25"/>
        </w:numPr>
      </w:pPr>
      <w:r w:rsidRPr="0025576A">
        <w:t xml:space="preserve">In assessing the proposed opening MAB value, we reviewed how </w:t>
      </w:r>
      <w:r w:rsidR="00FB6BC2">
        <w:t>Ergon Energy</w:t>
      </w:r>
      <w:r w:rsidRPr="0025576A">
        <w:t xml:space="preserve"> had separated its proposed opening</w:t>
      </w:r>
      <w:r>
        <w:t xml:space="preserve"> value </w:t>
      </w:r>
      <w:r w:rsidRPr="0025576A">
        <w:t xml:space="preserve">as at 1 July 2015 from the RAB for standard control services. </w:t>
      </w:r>
      <w:r>
        <w:t>This is consistent with our preliminary decision.</w:t>
      </w:r>
    </w:p>
    <w:p w:rsidR="00DC32D9" w:rsidRPr="00307CCD" w:rsidRDefault="00DC32D9" w:rsidP="00307CCD">
      <w:pPr>
        <w:pStyle w:val="HeadingBoldItalic"/>
      </w:pPr>
      <w:bookmarkStart w:id="61" w:name="_Toc417502139"/>
      <w:r w:rsidRPr="00307CCD">
        <w:t>Depreciation</w:t>
      </w:r>
      <w:bookmarkEnd w:id="61"/>
    </w:p>
    <w:p w:rsidR="00DC32D9" w:rsidRPr="0025576A" w:rsidRDefault="00DC32D9" w:rsidP="00DC32D9">
      <w:r w:rsidRPr="0025576A">
        <w:t xml:space="preserve">With respect to depreciation, </w:t>
      </w:r>
      <w:r>
        <w:t>we maintained our preliminary decision approach and</w:t>
      </w:r>
      <w:r w:rsidRPr="0025576A">
        <w:t xml:space="preserve"> considered the remaining asset lives </w:t>
      </w:r>
      <w:r w:rsidR="00FB6BC2">
        <w:t>Ergon Energy</w:t>
      </w:r>
      <w:r w:rsidRPr="0025576A">
        <w:t xml:space="preserve"> proposed and had regard to the opening of competition to metering services.</w:t>
      </w:r>
    </w:p>
    <w:p w:rsidR="00DC32D9" w:rsidRPr="00307CCD" w:rsidRDefault="00DC32D9" w:rsidP="00307CCD">
      <w:pPr>
        <w:pStyle w:val="HeadingBoldItalic"/>
      </w:pPr>
      <w:bookmarkStart w:id="62" w:name="_Toc417502140"/>
      <w:r w:rsidRPr="00307CCD">
        <w:t xml:space="preserve">Forecast </w:t>
      </w:r>
      <w:bookmarkEnd w:id="62"/>
      <w:r w:rsidRPr="00307CCD">
        <w:t>capex</w:t>
      </w:r>
    </w:p>
    <w:p w:rsidR="00DC32D9" w:rsidRDefault="00DC32D9" w:rsidP="00DC32D9">
      <w:r>
        <w:t xml:space="preserve">Most of </w:t>
      </w:r>
      <w:r w:rsidR="00FB6BC2">
        <w:t>Ergon Energy's</w:t>
      </w:r>
      <w:r>
        <w:t xml:space="preserve"> revised capex forecast for annual metering services comprises of the cost of replacing meters.</w:t>
      </w:r>
      <w:r>
        <w:rPr>
          <w:rStyle w:val="FootnoteReference"/>
        </w:rPr>
        <w:footnoteReference w:id="70"/>
      </w:r>
      <w:r>
        <w:t xml:space="preserve"> To assess this aspect of </w:t>
      </w:r>
      <w:r w:rsidR="00FB6BC2">
        <w:t>Ergon Energy's</w:t>
      </w:r>
      <w:r>
        <w:t xml:space="preserve"> forecast </w:t>
      </w:r>
      <w:r>
        <w:lastRenderedPageBreak/>
        <w:t>capex, we applied the same approach used in our preliminary decision. This required us to consider the revised:</w:t>
      </w:r>
    </w:p>
    <w:p w:rsidR="00DC32D9" w:rsidRPr="0025576A" w:rsidRDefault="00DC32D9" w:rsidP="00DC32D9">
      <w:pPr>
        <w:pStyle w:val="AERbulletlistfirststyle"/>
      </w:pPr>
      <w:r w:rsidRPr="0025576A">
        <w:t>'material' and 'non–material' unit costs</w:t>
      </w:r>
      <w:r w:rsidRPr="0025576A">
        <w:rPr>
          <w:rStyle w:val="FootnoteReference"/>
        </w:rPr>
        <w:footnoteReference w:id="71"/>
      </w:r>
      <w:r w:rsidRPr="0025576A">
        <w:t xml:space="preserve">  </w:t>
      </w:r>
    </w:p>
    <w:p w:rsidR="00DC32D9" w:rsidRDefault="00DC32D9" w:rsidP="00DC32D9">
      <w:pPr>
        <w:pStyle w:val="AERbulletlistfirststyle"/>
      </w:pPr>
      <w:proofErr w:type="gramStart"/>
      <w:r w:rsidRPr="0025576A">
        <w:t>volume</w:t>
      </w:r>
      <w:proofErr w:type="gramEnd"/>
      <w:r w:rsidRPr="0025576A">
        <w:t xml:space="preserve"> of ‘reactive’ and ‘proactive’ replacements. </w:t>
      </w:r>
    </w:p>
    <w:p w:rsidR="00DC32D9" w:rsidRPr="00307CCD" w:rsidRDefault="00DC32D9" w:rsidP="00307CCD">
      <w:pPr>
        <w:pStyle w:val="HeadingBoldItalic"/>
      </w:pPr>
      <w:bookmarkStart w:id="63" w:name="_Toc417502141"/>
      <w:r w:rsidRPr="00307CCD">
        <w:t xml:space="preserve">Forecast </w:t>
      </w:r>
      <w:bookmarkEnd w:id="63"/>
      <w:r w:rsidRPr="00307CCD">
        <w:t>opex</w:t>
      </w:r>
    </w:p>
    <w:p w:rsidR="00C53981" w:rsidRDefault="00C53981" w:rsidP="00C53981">
      <w:r w:rsidRPr="00C53981">
        <w:t xml:space="preserve">We applied </w:t>
      </w:r>
      <w:r>
        <w:t xml:space="preserve">a base-step-trend </w:t>
      </w:r>
      <w:r w:rsidRPr="00C53981">
        <w:t xml:space="preserve">approach to assessing </w:t>
      </w:r>
      <w:r>
        <w:t xml:space="preserve">Ergon Energy's proposed opex. </w:t>
      </w:r>
    </w:p>
    <w:p w:rsidR="00C53981" w:rsidRPr="00307CCD" w:rsidRDefault="00C53981" w:rsidP="00307CCD">
      <w:pPr>
        <w:pStyle w:val="HeadingItalic"/>
        <w:rPr>
          <w:rStyle w:val="AERtextitalic"/>
          <w:i/>
        </w:rPr>
      </w:pPr>
      <w:r w:rsidRPr="00307CCD">
        <w:rPr>
          <w:rStyle w:val="AERtextitalic"/>
          <w:i/>
        </w:rPr>
        <w:t>Base</w:t>
      </w:r>
    </w:p>
    <w:p w:rsidR="00C53981" w:rsidRPr="00C53981" w:rsidRDefault="00C53981" w:rsidP="00C53981">
      <w:r w:rsidRPr="00C53981">
        <w:t xml:space="preserve">As opex is largely recurrent in nature, we considered </w:t>
      </w:r>
      <w:r>
        <w:t xml:space="preserve">Ergon Energy's </w:t>
      </w:r>
      <w:r w:rsidRPr="00C53981">
        <w:t xml:space="preserve">historical costs to be a useful starting point to establish a base to forecast future costs. We also used benchmarking to assess the relative efficiency of the base year compared with comparable network businesses in the national electricity market. </w:t>
      </w:r>
    </w:p>
    <w:p w:rsidR="00C53981" w:rsidRPr="00C53981" w:rsidRDefault="00D93C9D" w:rsidP="00C53981">
      <w:r>
        <w:t xml:space="preserve">Our preference is to use </w:t>
      </w:r>
      <w:r w:rsidR="00C53981" w:rsidRPr="00C53981">
        <w:t>historical data over a five year period</w:t>
      </w:r>
      <w:r>
        <w:t xml:space="preserve"> to establish the base</w:t>
      </w:r>
      <w:r w:rsidR="00C53981" w:rsidRPr="00C53981">
        <w:t xml:space="preserve">, rather than selecting a single base year. Given that we do not apply an efficiency benefit sharing scheme (EBSS) to alternative control services, we consider an average of multiple years to be a better measure of a business’ efficient base; it avoids any incentive to ‘load’ a single base year with expenditure going forward. </w:t>
      </w:r>
    </w:p>
    <w:p w:rsidR="00C53981" w:rsidRPr="00C53981" w:rsidRDefault="00C53981" w:rsidP="00C53981">
      <w:r w:rsidRPr="00C53981">
        <w:t>We used 'opex for metering' data collected in our economic benchmarking regulatory information notices (RIN). This audited data is suitable for comparison because the data provided by the distributors was prepared according to a consistent set of instructions and definitions.</w:t>
      </w:r>
      <w:r>
        <w:rPr>
          <w:rStyle w:val="FootnoteReference"/>
        </w:rPr>
        <w:footnoteReference w:id="72"/>
      </w:r>
    </w:p>
    <w:p w:rsidR="00C53981" w:rsidRPr="00C53981" w:rsidRDefault="00C53981" w:rsidP="00C53981">
      <w:r w:rsidRPr="00C53981">
        <w:t xml:space="preserve">Our metering assessment relates to annual charges for default metering services common to all regulated type 5 and 6 metering customers. There are also ancillary metering services paid for by customers specifically requesting a service like an off-cycle meter read or a meter accuracy test. However, the economic benchmarking metering opex data does not distinguish between ancillary and default metering services. </w:t>
      </w:r>
      <w:r w:rsidR="00461D22">
        <w:t xml:space="preserve">We therefore made the necessary adjustments to the base so that it only included historic metering opex related to default metering services. </w:t>
      </w:r>
    </w:p>
    <w:p w:rsidR="00C53981" w:rsidRPr="00C53981" w:rsidRDefault="00C53981" w:rsidP="00C53981">
      <w:r w:rsidRPr="00C53981">
        <w:t xml:space="preserve">With this adjusted base data, we then performed our benchmarking analysis. We used a partial performance indicator for our benchmarking analysis. This compared historic </w:t>
      </w:r>
      <w:r w:rsidRPr="00C53981">
        <w:lastRenderedPageBreak/>
        <w:t>annual metering opex per customer across non-Victorian distributors in the national electricity market.</w:t>
      </w:r>
      <w:r w:rsidR="003B717A">
        <w:rPr>
          <w:rStyle w:val="FootnoteReference"/>
        </w:rPr>
        <w:footnoteReference w:id="73"/>
      </w:r>
      <w:r w:rsidRPr="00C53981">
        <w:t xml:space="preserve"> </w:t>
      </w:r>
    </w:p>
    <w:p w:rsidR="00C53981" w:rsidRPr="00C53981" w:rsidRDefault="00C53981" w:rsidP="00C53981">
      <w:r w:rsidRPr="00C53981">
        <w:t xml:space="preserve">Our benchmarking analysis for metering is a simpler version than what we used to assess standard control opex. This reflects the generally lighter handed regulatory approach to alternative control services compared with standard control services. For example, our econometric modelling results we used to assess standard control opex were based on data for network services and therefore do not strictly apply to metering services. </w:t>
      </w:r>
    </w:p>
    <w:p w:rsidR="00C53981" w:rsidRPr="00C53981" w:rsidRDefault="00C53981" w:rsidP="00C53981">
      <w:r w:rsidRPr="00C53981">
        <w:t xml:space="preserve">As with our </w:t>
      </w:r>
      <w:r w:rsidR="003B717A">
        <w:t xml:space="preserve">preliminary </w:t>
      </w:r>
      <w:r w:rsidRPr="00C53981">
        <w:t xml:space="preserve">decision, we adjusted the benchmarking results for customer density. This is a network characteristic </w:t>
      </w:r>
      <w:r w:rsidR="008B6D3D">
        <w:t xml:space="preserve">that </w:t>
      </w:r>
      <w:r w:rsidRPr="00C53981">
        <w:t xml:space="preserve">exogenously influences opex requirements. </w:t>
      </w:r>
    </w:p>
    <w:p w:rsidR="00C53981" w:rsidRPr="00307CCD" w:rsidRDefault="00C53981" w:rsidP="00307CCD">
      <w:pPr>
        <w:pStyle w:val="HeadingItalic"/>
      </w:pPr>
      <w:r w:rsidRPr="00307CCD">
        <w:t xml:space="preserve">Step changes </w:t>
      </w:r>
    </w:p>
    <w:p w:rsidR="003B717A" w:rsidRDefault="003B717A" w:rsidP="003B717A">
      <w:pPr>
        <w:numPr>
          <w:ilvl w:val="0"/>
          <w:numId w:val="25"/>
        </w:numPr>
      </w:pPr>
      <w:r>
        <w:t>We considered whether we should apply any step changes. These are adjustments which increase or decrease a distribution business' efficient expenditure.</w:t>
      </w:r>
      <w:r>
        <w:rPr>
          <w:rStyle w:val="FootnoteReference"/>
        </w:rPr>
        <w:footnoteReference w:id="74"/>
      </w:r>
      <w:r>
        <w:t xml:space="preserve"> </w:t>
      </w:r>
    </w:p>
    <w:p w:rsidR="003B717A" w:rsidRDefault="003B717A" w:rsidP="003B717A">
      <w:r>
        <w:t xml:space="preserve">As outlined in our </w:t>
      </w:r>
      <w:r w:rsidRPr="00B626AF">
        <w:rPr>
          <w:rStyle w:val="AERtextitalic"/>
        </w:rPr>
        <w:t>Expenditure forecast assessment guideline</w:t>
      </w:r>
      <w:r>
        <w:t>, our approach to step changes is that we will only accept them if they are associated with a new regulatory obligation or a capex/opex trade off.</w:t>
      </w:r>
      <w:r>
        <w:rPr>
          <w:rStyle w:val="FootnoteReference"/>
        </w:rPr>
        <w:footnoteReference w:id="75"/>
      </w:r>
    </w:p>
    <w:p w:rsidR="003B717A" w:rsidRPr="00533B91" w:rsidRDefault="003B717A" w:rsidP="003B717A">
      <w:r>
        <w:t>For step changes arising from new regulatory obligations, we will assess (among other things)</w:t>
      </w:r>
      <w:r w:rsidRPr="00533B91">
        <w:t>:</w:t>
      </w:r>
    </w:p>
    <w:p w:rsidR="003B717A" w:rsidRPr="00106E48" w:rsidRDefault="003B717A" w:rsidP="003B717A">
      <w:pPr>
        <w:pStyle w:val="AERbulletlistfirststyle"/>
      </w:pPr>
      <w:r>
        <w:t>whether</w:t>
      </w:r>
      <w:r w:rsidRPr="00106E48">
        <w:t xml:space="preserve"> there is a binding (that is, uncontrollable) change in regulatory obligations that affects their efficient forecast expenditure</w:t>
      </w:r>
    </w:p>
    <w:p w:rsidR="003B717A" w:rsidRPr="00106E48" w:rsidRDefault="003B717A" w:rsidP="003B717A">
      <w:pPr>
        <w:pStyle w:val="AERbulletlistfirststyle"/>
      </w:pPr>
      <w:r w:rsidRPr="00533B91">
        <w:t xml:space="preserve">when this change event occurs and when it is efficient to incur expenditure to comply with the changed obligation </w:t>
      </w:r>
    </w:p>
    <w:p w:rsidR="003B717A" w:rsidRPr="00106E48" w:rsidRDefault="003B717A" w:rsidP="003B717A">
      <w:pPr>
        <w:pStyle w:val="AERbulletlistfirststyle"/>
      </w:pPr>
      <w:r>
        <w:t xml:space="preserve">what </w:t>
      </w:r>
      <w:r w:rsidRPr="00106E48">
        <w:t xml:space="preserve"> options were considered to meet the change in regulatory obligations </w:t>
      </w:r>
    </w:p>
    <w:p w:rsidR="003B717A" w:rsidRDefault="003B717A" w:rsidP="003B717A">
      <w:pPr>
        <w:pStyle w:val="AERbulletlistfirststyle"/>
      </w:pPr>
      <w:proofErr w:type="gramStart"/>
      <w:r>
        <w:t>whether</w:t>
      </w:r>
      <w:proofErr w:type="gramEnd"/>
      <w:r>
        <w:t xml:space="preserve"> the option </w:t>
      </w:r>
      <w:r w:rsidRPr="00106E48">
        <w:t xml:space="preserve">selected was an efficient option––that is, whether the </w:t>
      </w:r>
      <w:r>
        <w:t>distribution business</w:t>
      </w:r>
      <w:r w:rsidRPr="00106E48">
        <w:t xml:space="preserve"> took appropriate steps to minimise its expected cost of compliance from the time there was sufficient certainty that the obligation would become binding</w:t>
      </w:r>
      <w:r>
        <w:t>.</w:t>
      </w:r>
      <w:r>
        <w:rPr>
          <w:rStyle w:val="FootnoteReference"/>
        </w:rPr>
        <w:footnoteReference w:id="76"/>
      </w:r>
    </w:p>
    <w:p w:rsidR="003B717A" w:rsidRDefault="003B717A" w:rsidP="003B717A">
      <w:r>
        <w:t>For capex/opex trade-off step changes, we will assess whether it is prudent and efficient to substitute capex for opex or vice versa.</w:t>
      </w:r>
      <w:r>
        <w:rPr>
          <w:rStyle w:val="FootnoteReference"/>
        </w:rPr>
        <w:footnoteReference w:id="77"/>
      </w:r>
    </w:p>
    <w:p w:rsidR="00307CCD" w:rsidRDefault="00307CCD" w:rsidP="003B717A"/>
    <w:p w:rsidR="00C53981" w:rsidRPr="00307CCD" w:rsidRDefault="00C53981" w:rsidP="00307CCD">
      <w:pPr>
        <w:pStyle w:val="HeadingItalic"/>
      </w:pPr>
      <w:r w:rsidRPr="00307CCD">
        <w:lastRenderedPageBreak/>
        <w:t xml:space="preserve">Trend </w:t>
      </w:r>
    </w:p>
    <w:p w:rsidR="00C53981" w:rsidRPr="00C53981" w:rsidRDefault="00C53981" w:rsidP="00C53981">
      <w:r w:rsidRPr="00C53981">
        <w:t xml:space="preserve">We then trended forward base opex (plus any step changes) by considering forecast changes in output, price and productivity. </w:t>
      </w:r>
    </w:p>
    <w:p w:rsidR="00FB6BC2" w:rsidRDefault="00FB6BC2" w:rsidP="00FB6BC2">
      <w:pPr>
        <w:pStyle w:val="Heading3"/>
      </w:pPr>
      <w:bookmarkStart w:id="64" w:name="_Toc433366000"/>
      <w:r>
        <w:t>Interrelationships</w:t>
      </w:r>
      <w:bookmarkEnd w:id="64"/>
    </w:p>
    <w:p w:rsidR="00CE616D" w:rsidRDefault="00CE616D" w:rsidP="00CE616D">
      <w:pPr>
        <w:rPr>
          <w:rStyle w:val="AERbody"/>
        </w:rPr>
      </w:pPr>
      <w:r w:rsidRPr="00E81BCB">
        <w:rPr>
          <w:rStyle w:val="AERbody"/>
        </w:rPr>
        <w:t xml:space="preserve">We apply the same </w:t>
      </w:r>
      <w:r>
        <w:rPr>
          <w:rStyle w:val="AERbody"/>
        </w:rPr>
        <w:t>rate of return parameters for</w:t>
      </w:r>
      <w:r w:rsidRPr="00E81BCB">
        <w:rPr>
          <w:rStyle w:val="AERbody"/>
        </w:rPr>
        <w:t xml:space="preserve"> </w:t>
      </w:r>
      <w:r>
        <w:rPr>
          <w:rStyle w:val="AERbody"/>
        </w:rPr>
        <w:t>all direct control services (</w:t>
      </w:r>
      <w:r w:rsidRPr="00E81BCB">
        <w:rPr>
          <w:rStyle w:val="AERbody"/>
        </w:rPr>
        <w:t xml:space="preserve">standard </w:t>
      </w:r>
      <w:r>
        <w:rPr>
          <w:rStyle w:val="AERbody"/>
        </w:rPr>
        <w:t>and alternative control services)</w:t>
      </w:r>
      <w:r w:rsidRPr="00E81BCB">
        <w:rPr>
          <w:rStyle w:val="AERbody"/>
        </w:rPr>
        <w:t xml:space="preserve">. </w:t>
      </w:r>
    </w:p>
    <w:p w:rsidR="00CE616D" w:rsidRDefault="00CE616D" w:rsidP="00CE616D">
      <w:r w:rsidRPr="00E81BCB">
        <w:rPr>
          <w:rStyle w:val="AERbody"/>
        </w:rPr>
        <w:t xml:space="preserve">Our </w:t>
      </w:r>
      <w:r>
        <w:rPr>
          <w:rStyle w:val="AERbody"/>
        </w:rPr>
        <w:t xml:space="preserve">final </w:t>
      </w:r>
      <w:r w:rsidRPr="00E81BCB">
        <w:rPr>
          <w:rStyle w:val="AERbody"/>
        </w:rPr>
        <w:t xml:space="preserve">decision on </w:t>
      </w:r>
      <w:r>
        <w:rPr>
          <w:rStyle w:val="AERbody"/>
        </w:rPr>
        <w:t xml:space="preserve">Ergon Energy's </w:t>
      </w:r>
      <w:r w:rsidRPr="00E81BCB">
        <w:rPr>
          <w:rStyle w:val="AERbody"/>
        </w:rPr>
        <w:t>alternative control metering proposal</w:t>
      </w:r>
      <w:r>
        <w:rPr>
          <w:rStyle w:val="AERbody"/>
        </w:rPr>
        <w:t xml:space="preserve"> therefore interrelates with our final decision on rate of return and imput</w:t>
      </w:r>
      <w:r w:rsidR="00307CCD">
        <w:rPr>
          <w:rStyle w:val="AERbody"/>
        </w:rPr>
        <w:t>ation credits. Please refer to a</w:t>
      </w:r>
      <w:r>
        <w:rPr>
          <w:rStyle w:val="AERbody"/>
        </w:rPr>
        <w:t xml:space="preserve">ttachments 3 and 4 for the </w:t>
      </w:r>
      <w:r w:rsidR="00307CCD">
        <w:rPr>
          <w:rStyle w:val="AERbody"/>
        </w:rPr>
        <w:t>rate of return</w:t>
      </w:r>
      <w:r>
        <w:rPr>
          <w:rStyle w:val="AERbody"/>
        </w:rPr>
        <w:t xml:space="preserve"> and gamma values we accept for direct control services, along with our reasons. </w:t>
      </w:r>
    </w:p>
    <w:p w:rsidR="00FB6BC2" w:rsidRPr="00FB6BC2" w:rsidRDefault="00FB6BC2" w:rsidP="00FB6BC2">
      <w:pPr>
        <w:pStyle w:val="Heading3"/>
        <w:rPr>
          <w:rStyle w:val="AERbody"/>
          <w:color w:val="70635A" w:themeColor="text2"/>
          <w:sz w:val="28"/>
        </w:rPr>
      </w:pPr>
      <w:bookmarkStart w:id="65" w:name="_Toc433366001"/>
      <w:r w:rsidRPr="00FB6BC2">
        <w:rPr>
          <w:rStyle w:val="AERbody"/>
          <w:color w:val="70635A" w:themeColor="text2"/>
          <w:sz w:val="28"/>
        </w:rPr>
        <w:t>Reason for final decision</w:t>
      </w:r>
      <w:bookmarkEnd w:id="65"/>
    </w:p>
    <w:p w:rsidR="00FB6BC2" w:rsidRDefault="0018092C" w:rsidP="0018092C">
      <w:pPr>
        <w:pStyle w:val="Heading4"/>
      </w:pPr>
      <w:r>
        <w:t>Structure of metering charges</w:t>
      </w:r>
    </w:p>
    <w:p w:rsidR="0018092C" w:rsidRDefault="0018092C" w:rsidP="0018092C">
      <w:r>
        <w:t>We maintain the same general structure of metering charges specified in our preliminary decision. We, however, have decided to reallocate certain costs between the capital and non–capital components of the annual metering charge. The general structure of metering charges we maintain from ou</w:t>
      </w:r>
      <w:r w:rsidR="00F947B6">
        <w:t>r preliminary to final decision</w:t>
      </w:r>
      <w:r>
        <w:t xml:space="preserve"> consists of two types of charges:   </w:t>
      </w:r>
    </w:p>
    <w:p w:rsidR="0018092C" w:rsidRDefault="0018092C" w:rsidP="0018092C">
      <w:pPr>
        <w:pStyle w:val="ListNumber"/>
        <w:rPr>
          <w:rStyle w:val="AERbody"/>
        </w:rPr>
      </w:pPr>
      <w:r>
        <w:rPr>
          <w:rStyle w:val="AERbody"/>
        </w:rPr>
        <w:t>upfront capital charge for all new and upgraded meters from 1 July 2015</w:t>
      </w:r>
    </w:p>
    <w:p w:rsidR="0018092C" w:rsidRPr="001810CB" w:rsidRDefault="0018092C" w:rsidP="0018092C">
      <w:pPr>
        <w:pStyle w:val="ListNumber"/>
        <w:rPr>
          <w:rStyle w:val="AERbody"/>
        </w:rPr>
      </w:pPr>
      <w:proofErr w:type="gramStart"/>
      <w:r>
        <w:rPr>
          <w:rStyle w:val="AERbody"/>
        </w:rPr>
        <w:t>annual</w:t>
      </w:r>
      <w:proofErr w:type="gramEnd"/>
      <w:r>
        <w:rPr>
          <w:rStyle w:val="AERbody"/>
        </w:rPr>
        <w:t xml:space="preserve"> metering charge comprising of capital and non–capital components.</w:t>
      </w:r>
    </w:p>
    <w:p w:rsidR="00F1170B" w:rsidRDefault="0018092C" w:rsidP="00F1170B">
      <w:r>
        <w:rPr>
          <w:rStyle w:val="AERbody"/>
        </w:rPr>
        <w:t>This general structure was applied by Ergon Energy in its revised proposal.</w:t>
      </w:r>
      <w:r>
        <w:rPr>
          <w:rStyle w:val="FootnoteReference"/>
        </w:rPr>
        <w:footnoteReference w:id="78"/>
      </w:r>
      <w:r>
        <w:rPr>
          <w:rStyle w:val="AERbody"/>
        </w:rPr>
        <w:t xml:space="preserve"> </w:t>
      </w:r>
      <w:r w:rsidR="00F1170B">
        <w:rPr>
          <w:rStyle w:val="AERbody"/>
        </w:rPr>
        <w:t>In a submission on our preliminary decision, Vector supported our approach too. In particular, it agreed with the removal of exit fees and the method by which we would</w:t>
      </w:r>
      <w:r w:rsidR="00F1170B">
        <w:t xml:space="preserve"> 'allow distributors… </w:t>
      </w:r>
      <w:r w:rsidR="00F1170B" w:rsidRPr="00174C11">
        <w:t>to recover the “residual capital cost” of their efficient regulated investment</w:t>
      </w:r>
      <w:r w:rsidR="00F1170B">
        <w:t>'.</w:t>
      </w:r>
      <w:r w:rsidR="00F1170B" w:rsidRPr="00174C11">
        <w:rPr>
          <w:rStyle w:val="FootnoteReference"/>
        </w:rPr>
        <w:footnoteReference w:id="79"/>
      </w:r>
      <w:r w:rsidR="00F1170B" w:rsidRPr="00174C11">
        <w:t xml:space="preserve"> </w:t>
      </w:r>
      <w:r w:rsidR="00F1170B">
        <w:t>We, however, received submissions from the Queensland Farmers Federation</w:t>
      </w:r>
      <w:r w:rsidR="009B036C">
        <w:t xml:space="preserve">, </w:t>
      </w:r>
      <w:r w:rsidR="00F1170B">
        <w:t>Origin</w:t>
      </w:r>
      <w:r w:rsidR="009B036C">
        <w:t xml:space="preserve"> Energy and the Energy Retailers Association of Australia (ERAA)</w:t>
      </w:r>
      <w:r w:rsidR="00F1170B">
        <w:t xml:space="preserve"> which were not fully support of our structure of metering charges in our preliminary decision. In deciding whether we should maintain our preliminary decision, we considered those submissions.</w:t>
      </w:r>
    </w:p>
    <w:p w:rsidR="00F1170B" w:rsidRDefault="00F1170B" w:rsidP="00F1170B">
      <w:r w:rsidRPr="00D86B92">
        <w:t>The Queensland Farmers</w:t>
      </w:r>
      <w:r w:rsidR="00307CCD">
        <w:t>'</w:t>
      </w:r>
      <w:r w:rsidRPr="00D86B92">
        <w:t xml:space="preserve"> Federation raised concerns with respect to the consultation leading up to the unbundling of meter services. We note these concerns, but given our preliminary decision and the AEMC's draft rule change, we do not consider the AER </w:t>
      </w:r>
      <w:r w:rsidR="008B6D3D">
        <w:t>was</w:t>
      </w:r>
      <w:r w:rsidRPr="00D86B92">
        <w:t xml:space="preserve"> in a position to conduct further consultation</w:t>
      </w:r>
      <w:r w:rsidR="008B6D3D">
        <w:t xml:space="preserve"> and meet its timelines under the NER</w:t>
      </w:r>
      <w:r w:rsidRPr="00D86B92">
        <w:t xml:space="preserve">. </w:t>
      </w:r>
      <w:r w:rsidR="008B6D3D">
        <w:lastRenderedPageBreak/>
        <w:t>Further delays</w:t>
      </w:r>
      <w:r w:rsidRPr="00D86B92">
        <w:t xml:space="preserve"> would </w:t>
      </w:r>
      <w:r w:rsidR="008B6D3D">
        <w:t xml:space="preserve">also </w:t>
      </w:r>
      <w:r w:rsidRPr="00D86B92">
        <w:t xml:space="preserve">create further regulatory uncertainty for </w:t>
      </w:r>
      <w:r w:rsidR="00F947B6">
        <w:t>Ergon Energy</w:t>
      </w:r>
      <w:r w:rsidRPr="00D86B92">
        <w:t xml:space="preserve"> and other stakeholders. </w:t>
      </w:r>
    </w:p>
    <w:p w:rsidR="00F1170B" w:rsidRDefault="00F1170B" w:rsidP="00F1170B">
      <w:r>
        <w:rPr>
          <w:rStyle w:val="AERbody"/>
        </w:rPr>
        <w:t>With respect to Origin's submission, it stated that the structure set out in our preliminary decision 'effectively imposes an exit fee to those customers who migrate to a "smart meter"'.</w:t>
      </w:r>
      <w:r>
        <w:rPr>
          <w:rStyle w:val="FootnoteReference"/>
        </w:rPr>
        <w:footnoteReference w:id="80"/>
      </w:r>
      <w:r>
        <w:rPr>
          <w:rStyle w:val="AERbody"/>
        </w:rPr>
        <w:t xml:space="preserve"> It considered this to be the case because 'a customer taking a smart meter will bear the cost of legacy metering investments for the remaining life of the asset base rather than as a lump sum'.</w:t>
      </w:r>
      <w:r>
        <w:rPr>
          <w:rStyle w:val="FootnoteReference"/>
        </w:rPr>
        <w:footnoteReference w:id="81"/>
      </w:r>
      <w:r>
        <w:rPr>
          <w:rStyle w:val="AERbody"/>
        </w:rPr>
        <w:t xml:space="preserve"> </w:t>
      </w:r>
    </w:p>
    <w:p w:rsidR="00F1170B" w:rsidRDefault="00F1170B" w:rsidP="00F1170B">
      <w:pPr>
        <w:rPr>
          <w:rStyle w:val="AERbody"/>
        </w:rPr>
      </w:pPr>
      <w:r>
        <w:rPr>
          <w:rStyle w:val="AERbody"/>
        </w:rPr>
        <w:t>Origin Energy is correct in submitting that when customers transition to alternative metering providers they will continue paying the capital component of their annual metering charge (see appendix B). However, Origin Energy appears to be unsupportive of this o</w:t>
      </w:r>
      <w:r w:rsidR="0001188E">
        <w:rPr>
          <w:rStyle w:val="AERbody"/>
        </w:rPr>
        <w:t>n the basis that it considered</w:t>
      </w:r>
      <w:r>
        <w:rPr>
          <w:rStyle w:val="AERbody"/>
        </w:rPr>
        <w:t xml:space="preserve"> that customers should not pay any costs relating to a legacy meter after they have 'churned'. Such an approach, however, would not comply with the regulatory framework we administer as Ergon Energy must be given a reasonable opportunity to recover the costs of its past investme</w:t>
      </w:r>
      <w:r w:rsidR="00294250">
        <w:rPr>
          <w:rStyle w:val="AERbody"/>
        </w:rPr>
        <w:t>nts. The manner in which Ergon Energy</w:t>
      </w:r>
      <w:r>
        <w:rPr>
          <w:rStyle w:val="AERbody"/>
        </w:rPr>
        <w:t xml:space="preserve"> recovers its legacy metering costs, thus, needs to be considered.</w:t>
      </w:r>
    </w:p>
    <w:p w:rsidR="00F1170B" w:rsidRPr="0023662E" w:rsidRDefault="00CC4F91" w:rsidP="00F1170B">
      <w:pPr>
        <w:rPr>
          <w:rStyle w:val="AERbody"/>
        </w:rPr>
      </w:pPr>
      <w:r>
        <w:rPr>
          <w:rStyle w:val="AERbody"/>
        </w:rPr>
        <w:t>P</w:t>
      </w:r>
      <w:r w:rsidR="00F1170B">
        <w:rPr>
          <w:rStyle w:val="AERbody"/>
        </w:rPr>
        <w:t xml:space="preserve">rior to 1 July 2015 the capital costs Ergon Energy has incurred in relation to metering have been amortised. </w:t>
      </w:r>
      <w:r w:rsidR="00F1170B" w:rsidRPr="0023662E">
        <w:rPr>
          <w:rStyle w:val="AERbody"/>
        </w:rPr>
        <w:t xml:space="preserve">That is, </w:t>
      </w:r>
      <w:r w:rsidR="00F1170B">
        <w:rPr>
          <w:rStyle w:val="AERbody"/>
        </w:rPr>
        <w:t>the network service provider has</w:t>
      </w:r>
      <w:r w:rsidR="00F1170B" w:rsidRPr="0023662E">
        <w:rPr>
          <w:rStyle w:val="AERbody"/>
        </w:rPr>
        <w:t xml:space="preserve"> </w:t>
      </w:r>
      <w:r w:rsidR="00F1170B">
        <w:rPr>
          <w:rStyle w:val="AERbody"/>
        </w:rPr>
        <w:t>incurred its capital cost for metering services upfront, which have</w:t>
      </w:r>
      <w:r w:rsidR="00F1170B" w:rsidRPr="0023662E">
        <w:rPr>
          <w:rStyle w:val="AERbody"/>
        </w:rPr>
        <w:t xml:space="preserve"> then</w:t>
      </w:r>
      <w:r w:rsidR="00F1170B">
        <w:rPr>
          <w:rStyle w:val="AERbody"/>
        </w:rPr>
        <w:t xml:space="preserve"> been</w:t>
      </w:r>
      <w:r w:rsidR="00F1170B" w:rsidRPr="0023662E">
        <w:rPr>
          <w:rStyle w:val="AERbody"/>
        </w:rPr>
        <w:t xml:space="preserve"> added to </w:t>
      </w:r>
      <w:r w:rsidR="00F1170B">
        <w:rPr>
          <w:rStyle w:val="AERbody"/>
        </w:rPr>
        <w:t>an</w:t>
      </w:r>
      <w:r w:rsidR="00F1170B" w:rsidRPr="0023662E">
        <w:rPr>
          <w:rStyle w:val="AERbody"/>
        </w:rPr>
        <w:t xml:space="preserve"> asset base and recovered gradually through annual charges</w:t>
      </w:r>
      <w:r w:rsidR="00F1170B">
        <w:rPr>
          <w:rStyle w:val="AERbody"/>
        </w:rPr>
        <w:t xml:space="preserve"> over time</w:t>
      </w:r>
      <w:r w:rsidR="00F1170B" w:rsidRPr="0023662E">
        <w:rPr>
          <w:rStyle w:val="AERbody"/>
        </w:rPr>
        <w:t xml:space="preserve">. </w:t>
      </w:r>
      <w:r w:rsidR="00F1170B">
        <w:rPr>
          <w:rStyle w:val="AERbody"/>
        </w:rPr>
        <w:t xml:space="preserve"> Origin Energy's submission appears to advocate for a ch</w:t>
      </w:r>
      <w:r w:rsidR="00294250">
        <w:rPr>
          <w:rStyle w:val="AERbody"/>
        </w:rPr>
        <w:t>arging structure whereby Ergon Energy</w:t>
      </w:r>
      <w:r w:rsidR="00F1170B">
        <w:rPr>
          <w:rStyle w:val="AERbody"/>
        </w:rPr>
        <w:t xml:space="preserve"> would be required to 'write–off' unrecovered costs it has incurred upfront, whenever a customer churns. Such an arrangement, however, is not consistent with the regulatory framework established under the National Electricity Law (NEL) and we have not considered such an approach. In particular the NE</w:t>
      </w:r>
      <w:r w:rsidR="00294250">
        <w:rPr>
          <w:rStyle w:val="AERbody"/>
        </w:rPr>
        <w:t>L requires us to provide Ergon Energy</w:t>
      </w:r>
      <w:r w:rsidR="00F1170B">
        <w:rPr>
          <w:rStyle w:val="AERbody"/>
        </w:rPr>
        <w:t xml:space="preserve"> with a reasonable opportunity to recover at least its efficient costs.</w:t>
      </w:r>
      <w:r w:rsidR="00F1170B">
        <w:rPr>
          <w:rStyle w:val="FootnoteReference"/>
        </w:rPr>
        <w:footnoteReference w:id="82"/>
      </w:r>
      <w:r w:rsidR="00F1170B">
        <w:rPr>
          <w:rStyle w:val="AERbody"/>
        </w:rPr>
        <w:t xml:space="preserve"> This is inclusive of the </w:t>
      </w:r>
      <w:r w:rsidR="00294250">
        <w:rPr>
          <w:rStyle w:val="AERbody"/>
        </w:rPr>
        <w:t>capital costs Ergon Energy</w:t>
      </w:r>
      <w:r w:rsidR="00F1170B">
        <w:rPr>
          <w:rStyle w:val="AERbody"/>
        </w:rPr>
        <w:t xml:space="preserve"> has incurred for metering services upfront and which it is yet to fully recover.</w:t>
      </w:r>
    </w:p>
    <w:p w:rsidR="00F1170B" w:rsidRDefault="00F1170B" w:rsidP="00F1170B">
      <w:pPr>
        <w:rPr>
          <w:rStyle w:val="AERbody"/>
        </w:rPr>
      </w:pPr>
      <w:r>
        <w:rPr>
          <w:rStyle w:val="AERbody"/>
        </w:rPr>
        <w:t>Additionally, Origin Energy stated</w:t>
      </w:r>
      <w:r w:rsidR="00130FC6">
        <w:rPr>
          <w:rStyle w:val="AERbody"/>
        </w:rPr>
        <w:t>, as did the ERAA,</w:t>
      </w:r>
      <w:r>
        <w:rPr>
          <w:rStyle w:val="AERbody"/>
        </w:rPr>
        <w:t xml:space="preserve"> that </w:t>
      </w:r>
      <w:r w:rsidR="00307CCD">
        <w:rPr>
          <w:rStyle w:val="AERbody"/>
        </w:rPr>
        <w:t>we</w:t>
      </w:r>
      <w:r>
        <w:rPr>
          <w:rStyle w:val="AERbody"/>
        </w:rPr>
        <w:t xml:space="preserve"> should give more consideration to the long term implications of the structure of metering charges we accept.</w:t>
      </w:r>
      <w:r>
        <w:rPr>
          <w:rStyle w:val="FootnoteReference"/>
        </w:rPr>
        <w:footnoteReference w:id="83"/>
      </w:r>
      <w:r>
        <w:rPr>
          <w:rStyle w:val="AERbody"/>
        </w:rPr>
        <w:t xml:space="preserve"> Our view is that we gave such consideration in our preliminary decision. This is seen with respect to the levying of upfront charges for new and upfront meters and the establishment of a 'two part' tariff for annual metering services.</w:t>
      </w:r>
    </w:p>
    <w:p w:rsidR="0018092C" w:rsidRDefault="0018092C" w:rsidP="0018092C">
      <w:r>
        <w:rPr>
          <w:rStyle w:val="AERbody"/>
        </w:rPr>
        <w:t xml:space="preserve">Broadly, we consider the upfront charge for all new and upgraded meter is </w:t>
      </w:r>
      <w:r w:rsidRPr="005E5386">
        <w:t>appropriate in the context of expanding competition in metering</w:t>
      </w:r>
      <w:r>
        <w:t xml:space="preserve">. This is because it should </w:t>
      </w:r>
      <w:r w:rsidRPr="008739F4">
        <w:t>help level the competitiv</w:t>
      </w:r>
      <w:r>
        <w:t xml:space="preserve">e playing field for new meters by providing </w:t>
      </w:r>
      <w:r w:rsidRPr="006C15B5">
        <w:t>transparen</w:t>
      </w:r>
      <w:r>
        <w:t xml:space="preserve">t standalone </w:t>
      </w:r>
      <w:r>
        <w:lastRenderedPageBreak/>
        <w:t xml:space="preserve">prices for all new or </w:t>
      </w:r>
      <w:r w:rsidRPr="006C15B5">
        <w:t>upgraded meter connections</w:t>
      </w:r>
      <w:r>
        <w:t>. It will</w:t>
      </w:r>
      <w:r w:rsidRPr="008739F4">
        <w:t xml:space="preserve"> </w:t>
      </w:r>
      <w:r>
        <w:t>also</w:t>
      </w:r>
      <w:r w:rsidRPr="008739F4">
        <w:t xml:space="preserve"> shift how </w:t>
      </w:r>
      <w:r>
        <w:t>Ergon Energy's capital costs are recovered. This is f</w:t>
      </w:r>
      <w:r w:rsidRPr="008739F4">
        <w:t xml:space="preserve">rom the annual metering services charge, where costs are </w:t>
      </w:r>
      <w:r w:rsidR="00A25573">
        <w:t xml:space="preserve">spread </w:t>
      </w:r>
      <w:r w:rsidRPr="008739F4">
        <w:t xml:space="preserve">across all customers, to an upfront payment which new entrants to the market are able to compete with in terms of price.  </w:t>
      </w:r>
      <w:r w:rsidRPr="005E5386">
        <w:t xml:space="preserve"> </w:t>
      </w:r>
    </w:p>
    <w:p w:rsidR="0018092C" w:rsidRDefault="0018092C" w:rsidP="0018092C">
      <w:r>
        <w:t xml:space="preserve">With regard to the annual metering charge, we maintain our preliminary decision accepting a two–part tariff comprising of capital and non–capital components. This structure of metering charges is more fully explained in </w:t>
      </w:r>
      <w:r w:rsidR="000D00AB">
        <w:t>a</w:t>
      </w:r>
      <w:r>
        <w:t>ppendix</w:t>
      </w:r>
      <w:r w:rsidR="0048717E">
        <w:t xml:space="preserve"> </w:t>
      </w:r>
      <w:r w:rsidR="00294250">
        <w:t>B</w:t>
      </w:r>
      <w:r>
        <w:t>. In summary, our reason for accepting a two–part tariff is to keep Ergon Energy financially "whole" through the transition to expanded metering contestability.</w:t>
      </w:r>
    </w:p>
    <w:p w:rsidR="00130FC6" w:rsidRDefault="000D00AB" w:rsidP="00130FC6">
      <w:r>
        <w:t xml:space="preserve">The Queensland Council of Social Services (QCOSS) </w:t>
      </w:r>
      <w:r w:rsidR="00130FC6">
        <w:t>stated that the AER's preliminary decision did not take into account any capital or operating savings arising from the installation of smart meters.</w:t>
      </w:r>
      <w:r w:rsidR="00130FC6">
        <w:rPr>
          <w:rStyle w:val="FootnoteReference"/>
        </w:rPr>
        <w:footnoteReference w:id="84"/>
      </w:r>
      <w:r w:rsidR="00130FC6">
        <w:t xml:space="preserve"> It submitted that this may lead to customers failing to 'receive any benefit, at least for the next regulatory control period, from the savings arising to distributors from the installation of smart meters'.</w:t>
      </w:r>
      <w:r w:rsidR="00130FC6">
        <w:rPr>
          <w:rStyle w:val="FootnoteReference"/>
        </w:rPr>
        <w:footnoteReference w:id="85"/>
      </w:r>
      <w:r w:rsidR="00130FC6">
        <w:t xml:space="preserve"> With respect to this submission, we note that there are mechanisms in the NER to deal with distribution network businesses forecast and actual costs being materially different—such as, the "pass through" provisions</w:t>
      </w:r>
      <w:r w:rsidR="007F275F">
        <w:t>.</w:t>
      </w:r>
    </w:p>
    <w:p w:rsidR="00130FC6" w:rsidRDefault="00130FC6" w:rsidP="0018092C">
      <w:r>
        <w:t>In general, we are satisfied that our decision balances the interests of different stakeholders and gives effect to a regulatory regime robust enough to transition to metering contestability.</w:t>
      </w:r>
    </w:p>
    <w:p w:rsidR="00A021CA" w:rsidRDefault="0018092C" w:rsidP="0018092C">
      <w:r>
        <w:t>We have nonetheless determined that the recovery of Ergon Energy's tax liability should change. In our preliminary decision, we included the recovery of tax in the non–capital component of the annual metering charge. We are now of the view that tax should be recovered via the capital component. At the same time as making this final decision for Ergon Energy, we are making a similar determination for SA Power Networks</w:t>
      </w:r>
      <w:r w:rsidR="006F4C51">
        <w:t xml:space="preserve"> (and Energex)</w:t>
      </w:r>
      <w:r>
        <w:t>. In SA Power Networks' revised proposal, it stated that 'tax liability is interminably linked to the return on capital and relevant depreciation'</w:t>
      </w:r>
      <w:r>
        <w:rPr>
          <w:rStyle w:val="FootnoteReference"/>
        </w:rPr>
        <w:footnoteReference w:id="86"/>
      </w:r>
      <w:r>
        <w:t xml:space="preserve"> and so should be allocated to the capital component of the annual metering charge. </w:t>
      </w:r>
    </w:p>
    <w:p w:rsidR="000315FB" w:rsidRDefault="00A021CA" w:rsidP="0018092C">
      <w:r>
        <w:t xml:space="preserve">We </w:t>
      </w:r>
      <w:r w:rsidR="00F47F33">
        <w:t>agree with</w:t>
      </w:r>
      <w:r>
        <w:t xml:space="preserve"> SA Power Networks</w:t>
      </w:r>
      <w:r w:rsidR="005B4792">
        <w:t>' observation</w:t>
      </w:r>
      <w:r>
        <w:t>.</w:t>
      </w:r>
      <w:r w:rsidR="005B4792">
        <w:t xml:space="preserve"> Our final decision calculates the tax liability for metering</w:t>
      </w:r>
      <w:r w:rsidR="000315FB">
        <w:t xml:space="preserve"> services</w:t>
      </w:r>
      <w:r w:rsidR="005B4792">
        <w:t xml:space="preserve"> by using </w:t>
      </w:r>
      <w:r w:rsidR="00F94840">
        <w:t xml:space="preserve">our </w:t>
      </w:r>
      <w:r w:rsidR="005B4792">
        <w:t xml:space="preserve">post-tax revenue model (PTRM). </w:t>
      </w:r>
      <w:r w:rsidR="00941C53">
        <w:t>This model in turn</w:t>
      </w:r>
      <w:r w:rsidR="005B4792">
        <w:t xml:space="preserve"> calculates </w:t>
      </w:r>
      <w:r w:rsidR="002A03EF">
        <w:t>a</w:t>
      </w:r>
      <w:r w:rsidR="00F94840">
        <w:t xml:space="preserve"> business'</w:t>
      </w:r>
      <w:r w:rsidR="005B4792">
        <w:t xml:space="preserve"> tax </w:t>
      </w:r>
      <w:r w:rsidR="002A03EF">
        <w:t>allowance</w:t>
      </w:r>
      <w:r w:rsidR="00F94840">
        <w:t xml:space="preserve"> by</w:t>
      </w:r>
      <w:r w:rsidR="005B4792">
        <w:t xml:space="preserve"> using </w:t>
      </w:r>
      <w:r w:rsidR="009045DD">
        <w:t xml:space="preserve">the </w:t>
      </w:r>
      <w:r w:rsidR="005B4792">
        <w:t>return on capital and depreciation</w:t>
      </w:r>
      <w:r w:rsidR="00F94840">
        <w:t xml:space="preserve"> building blocks</w:t>
      </w:r>
      <w:r w:rsidR="00941C53">
        <w:t xml:space="preserve"> as inputs</w:t>
      </w:r>
      <w:r w:rsidR="005B4792">
        <w:t>.</w:t>
      </w:r>
      <w:r w:rsidR="00206645">
        <w:t xml:space="preserve"> </w:t>
      </w:r>
    </w:p>
    <w:p w:rsidR="0018092C" w:rsidRPr="0018092C" w:rsidRDefault="00941C53" w:rsidP="0018092C">
      <w:r>
        <w:t>Given this, we accept that</w:t>
      </w:r>
      <w:r w:rsidR="000315FB">
        <w:t xml:space="preserve"> </w:t>
      </w:r>
      <w:r>
        <w:t xml:space="preserve">there </w:t>
      </w:r>
      <w:r w:rsidR="00C764C9">
        <w:t>is a strong relationship between a business' tax allowance and its capital costs. Our final decision</w:t>
      </w:r>
      <w:r w:rsidR="000315FB">
        <w:t xml:space="preserve"> for </w:t>
      </w:r>
      <w:r w:rsidR="00C764C9">
        <w:t>SA Power Networks</w:t>
      </w:r>
      <w:r w:rsidR="000315FB">
        <w:t xml:space="preserve"> therefore accepted </w:t>
      </w:r>
      <w:r w:rsidR="00B5775F">
        <w:t>the</w:t>
      </w:r>
      <w:r w:rsidR="00C764C9">
        <w:t xml:space="preserve"> proposal that its tax liability </w:t>
      </w:r>
      <w:r w:rsidR="000315FB">
        <w:t>be</w:t>
      </w:r>
      <w:r w:rsidR="00C764C9">
        <w:t xml:space="preserve"> reallocated to the capital component of </w:t>
      </w:r>
      <w:r w:rsidR="000315FB">
        <w:t>its</w:t>
      </w:r>
      <w:r w:rsidR="00C764C9">
        <w:t xml:space="preserve"> annual metering charge. </w:t>
      </w:r>
      <w:r w:rsidR="00A021CA">
        <w:t xml:space="preserve">It follows that we should </w:t>
      </w:r>
      <w:r w:rsidR="00F94840">
        <w:t xml:space="preserve">do the same for </w:t>
      </w:r>
      <w:r w:rsidR="00A021CA">
        <w:t>Ergon Energy</w:t>
      </w:r>
      <w:r w:rsidR="00474AC0">
        <w:t xml:space="preserve"> (and </w:t>
      </w:r>
      <w:r w:rsidR="00474AC0">
        <w:lastRenderedPageBreak/>
        <w:t>Energex).</w:t>
      </w:r>
      <w:r w:rsidR="00F94840">
        <w:t xml:space="preserve"> </w:t>
      </w:r>
      <w:r w:rsidR="00474AC0">
        <w:t>When approach</w:t>
      </w:r>
      <w:r w:rsidR="00C764C9">
        <w:t>ed</w:t>
      </w:r>
      <w:r w:rsidR="00474AC0">
        <w:t>,</w:t>
      </w:r>
      <w:r w:rsidR="00F94840">
        <w:t xml:space="preserve"> </w:t>
      </w:r>
      <w:r w:rsidR="00474AC0">
        <w:t>Ergon Energy</w:t>
      </w:r>
      <w:r w:rsidR="00F94840">
        <w:t xml:space="preserve"> </w:t>
      </w:r>
      <w:r w:rsidR="00853AA0">
        <w:t>agree</w:t>
      </w:r>
      <w:r w:rsidR="00474AC0">
        <w:t>d</w:t>
      </w:r>
      <w:r w:rsidR="00C764C9">
        <w:t xml:space="preserve"> that this was a better outcome</w:t>
      </w:r>
      <w:r w:rsidR="000315FB">
        <w:t>,</w:t>
      </w:r>
      <w:r w:rsidR="00AE375C">
        <w:t xml:space="preserve"> </w:t>
      </w:r>
      <w:r w:rsidR="000742A1">
        <w:t>compared to the</w:t>
      </w:r>
      <w:r w:rsidR="000315FB">
        <w:t xml:space="preserve"> cost</w:t>
      </w:r>
      <w:r w:rsidR="00AE375C">
        <w:t xml:space="preserve"> allocation in our preliminary decision</w:t>
      </w:r>
      <w:r w:rsidR="00A021CA">
        <w:t>.</w:t>
      </w:r>
      <w:r w:rsidR="00A021CA">
        <w:rPr>
          <w:rStyle w:val="FootnoteReference"/>
        </w:rPr>
        <w:footnoteReference w:id="87"/>
      </w:r>
      <w:r w:rsidR="00A021CA">
        <w:t xml:space="preserve"> </w:t>
      </w:r>
    </w:p>
    <w:p w:rsidR="00FB6BC2" w:rsidRDefault="0018092C" w:rsidP="0018092C">
      <w:pPr>
        <w:pStyle w:val="Heading4"/>
      </w:pPr>
      <w:r>
        <w:t>Annual metering services</w:t>
      </w:r>
    </w:p>
    <w:p w:rsidR="00D81579" w:rsidRDefault="00D81579" w:rsidP="00D81579">
      <w:r w:rsidRPr="00010623">
        <w:t xml:space="preserve">Our </w:t>
      </w:r>
      <w:r>
        <w:t xml:space="preserve">final </w:t>
      </w:r>
      <w:r w:rsidRPr="00010623">
        <w:t xml:space="preserve">decision is to not accept </w:t>
      </w:r>
      <w:r>
        <w:t>Ergon Energy's</w:t>
      </w:r>
      <w:r w:rsidRPr="00010623">
        <w:t xml:space="preserve"> total proposed building block requirement for annual metering services. </w:t>
      </w:r>
    </w:p>
    <w:p w:rsidR="00D81579" w:rsidRDefault="00D81579" w:rsidP="00D81579">
      <w:r>
        <w:t>W</w:t>
      </w:r>
      <w:r w:rsidRPr="00010623">
        <w:t>e accept a building block approach to setting charges</w:t>
      </w:r>
      <w:r w:rsidR="000F45FB">
        <w:t xml:space="preserve">. However, we do not accept Ergon Energy's proposed MAB, approach to depreciation, </w:t>
      </w:r>
      <w:r>
        <w:t>forecast capex</w:t>
      </w:r>
      <w:r w:rsidR="000F45FB">
        <w:t>, and forecast opex</w:t>
      </w:r>
      <w:r>
        <w:t xml:space="preserve">. </w:t>
      </w:r>
    </w:p>
    <w:p w:rsidR="000F45FB" w:rsidRPr="00307CCD" w:rsidRDefault="000F45FB" w:rsidP="00307CCD">
      <w:pPr>
        <w:pStyle w:val="HeadingBoldItalic"/>
      </w:pPr>
      <w:r w:rsidRPr="00307CCD">
        <w:t>Opening metering asset base</w:t>
      </w:r>
    </w:p>
    <w:p w:rsidR="000F45FB" w:rsidRPr="000B1D07" w:rsidRDefault="000F45FB" w:rsidP="000F45FB">
      <w:r w:rsidRPr="004526EE">
        <w:t xml:space="preserve">Our </w:t>
      </w:r>
      <w:r>
        <w:t>final</w:t>
      </w:r>
      <w:r w:rsidRPr="004526EE">
        <w:t xml:space="preserve"> decision is to approve an opening </w:t>
      </w:r>
      <w:r w:rsidRPr="000B1D07">
        <w:t xml:space="preserve">MAB value as at 1 July 2015 of $60.7 million compared to </w:t>
      </w:r>
      <w:r>
        <w:t>Ergon Energy</w:t>
      </w:r>
      <w:r w:rsidRPr="000B1D07">
        <w:t xml:space="preserve">'s proposed $61.6 million ($nominal). </w:t>
      </w:r>
    </w:p>
    <w:p w:rsidR="000F45FB" w:rsidRDefault="000F45FB" w:rsidP="00D81579">
      <w:r w:rsidRPr="004526EE">
        <w:t xml:space="preserve">To calculate the opening MAB, we reclassified metering assets from standard to alternative control services. This is consistent with our F&amp;A service </w:t>
      </w:r>
      <w:r w:rsidRPr="000B1D07">
        <w:t>classification.</w:t>
      </w:r>
      <w:r w:rsidRPr="000B1D07">
        <w:rPr>
          <w:rStyle w:val="FootnoteReference"/>
        </w:rPr>
        <w:footnoteReference w:id="88"/>
      </w:r>
      <w:r w:rsidRPr="000B1D07">
        <w:t xml:space="preserve"> Ergon Energy's proposal also moved meters from its standard control services RAB. However, to correct an error in the remaining asset lives, we have made a small change to the amount moved over to the opening MAB value. For more</w:t>
      </w:r>
      <w:r>
        <w:t xml:space="preserve"> information, see attachment 2.</w:t>
      </w:r>
    </w:p>
    <w:p w:rsidR="00D81579" w:rsidRPr="00307CCD" w:rsidRDefault="00D81579" w:rsidP="00307CCD">
      <w:pPr>
        <w:pStyle w:val="HeadingBoldItalic"/>
      </w:pPr>
      <w:r w:rsidRPr="00307CCD">
        <w:t>Depreciation</w:t>
      </w:r>
    </w:p>
    <w:p w:rsidR="00407CAA" w:rsidRDefault="00D71D64" w:rsidP="00537937">
      <w:pPr>
        <w:pStyle w:val="AERbulletlistfirststyle"/>
        <w:numPr>
          <w:ilvl w:val="0"/>
          <w:numId w:val="0"/>
        </w:numPr>
      </w:pPr>
      <w:r>
        <w:t xml:space="preserve">With regard to the depreciation of </w:t>
      </w:r>
      <w:r w:rsidR="009B390E">
        <w:t>Ergon Energy's</w:t>
      </w:r>
      <w:r>
        <w:t xml:space="preserve"> MAB, we maintain our preliminary decision giving effect to standard asset lives of 15 years. </w:t>
      </w:r>
      <w:r w:rsidRPr="000B1D07">
        <w:t>This is instead of Ergon Energy's proposal to apply</w:t>
      </w:r>
      <w:r w:rsidR="00CC37E7">
        <w:t xml:space="preserve"> </w:t>
      </w:r>
      <w:r w:rsidR="00407CAA">
        <w:t>an accelerated depreciation rate of five years to</w:t>
      </w:r>
      <w:r w:rsidR="000D2104">
        <w:t xml:space="preserve"> existing</w:t>
      </w:r>
      <w:r w:rsidR="00407CAA">
        <w:t xml:space="preserve"> "sunk" default metering asset</w:t>
      </w:r>
      <w:r w:rsidR="00CC37E7">
        <w:t>s</w:t>
      </w:r>
      <w:r w:rsidR="00407CAA">
        <w:rPr>
          <w:rStyle w:val="FootnoteReference"/>
        </w:rPr>
        <w:footnoteReference w:id="89"/>
      </w:r>
      <w:r w:rsidR="00CC37E7">
        <w:t xml:space="preserve"> and three years to newly installed meters.</w:t>
      </w:r>
      <w:r w:rsidR="00407CAA">
        <w:rPr>
          <w:rStyle w:val="FootnoteReference"/>
        </w:rPr>
        <w:footnoteReference w:id="90"/>
      </w:r>
    </w:p>
    <w:p w:rsidR="007607FA" w:rsidRDefault="009B390E" w:rsidP="00DC32D9">
      <w:r>
        <w:t xml:space="preserve">We accept that there are merits to an accelerated depreciation approach. </w:t>
      </w:r>
      <w:r w:rsidR="000F45FB">
        <w:t xml:space="preserve">Among other things, </w:t>
      </w:r>
      <w:r>
        <w:t>Ergon Energy stated that it would promote efficiency because shorter asset lives would better align the cost recovery of its metering assets and the value that those assets provide to customers.</w:t>
      </w:r>
      <w:r w:rsidR="000F45FB">
        <w:rPr>
          <w:rStyle w:val="FootnoteReference"/>
        </w:rPr>
        <w:footnoteReference w:id="91"/>
      </w:r>
      <w:r>
        <w:t xml:space="preserve"> There may also be benefits to depreciating the value of Ergon Energy's metering asset base quickly so that the value </w:t>
      </w:r>
      <w:r w:rsidR="007607FA">
        <w:t xml:space="preserve">of its existing </w:t>
      </w:r>
      <w:r w:rsidR="00765399">
        <w:t>meters can be removed from the</w:t>
      </w:r>
      <w:r>
        <w:t xml:space="preserve"> MAB.</w:t>
      </w:r>
      <w:r w:rsidR="00C8063D">
        <w:rPr>
          <w:rStyle w:val="FootnoteReference"/>
        </w:rPr>
        <w:footnoteReference w:id="92"/>
      </w:r>
      <w:r>
        <w:t xml:space="preserve"> </w:t>
      </w:r>
      <w:r w:rsidR="007607FA">
        <w:t>With the opening up of competition, this may minimise the value of residual capital costs in the MAB due to customers churning to alternative metering providers</w:t>
      </w:r>
      <w:r w:rsidR="000D2104">
        <w:t xml:space="preserve">. </w:t>
      </w:r>
    </w:p>
    <w:p w:rsidR="000D2104" w:rsidRDefault="00334453" w:rsidP="00FE47E1">
      <w:r>
        <w:lastRenderedPageBreak/>
        <w:t>Despite</w:t>
      </w:r>
      <w:r w:rsidR="007607FA">
        <w:t xml:space="preserve"> the potential merits to accelerated depreciation, we have </w:t>
      </w:r>
      <w:r>
        <w:t xml:space="preserve">not accepted this proposal. This decision is consistent with our general approach that we should apply the current version of the NER. That is, because the AEMC has yet to make its final rule regarding competition in metering, it would be premature to apply accelerated depreciation. </w:t>
      </w:r>
      <w:r w:rsidR="000D2104">
        <w:t>We also note, as QCOSS did at the preliminary decision stage, that the development of competition in metering is more likely to emerge in Southeast Queensland (Energex's distribution area) at a faster rate than in regional Queensland (Ergon Energy's distribution area).</w:t>
      </w:r>
      <w:r w:rsidR="000D2104">
        <w:rPr>
          <w:rStyle w:val="FootnoteReference"/>
        </w:rPr>
        <w:footnoteReference w:id="93"/>
      </w:r>
      <w:r w:rsidR="000D2104">
        <w:t xml:space="preserve"> </w:t>
      </w:r>
    </w:p>
    <w:p w:rsidR="00FE47E1" w:rsidRDefault="00334453" w:rsidP="00FE47E1">
      <w:r>
        <w:t>We</w:t>
      </w:r>
      <w:r w:rsidR="000D2104">
        <w:t xml:space="preserve"> conclude that we will not apply accelerate</w:t>
      </w:r>
      <w:r w:rsidR="003D1037">
        <w:t>d</w:t>
      </w:r>
      <w:r w:rsidR="000D2104">
        <w:t xml:space="preserve"> depreciation. The AER</w:t>
      </w:r>
      <w:r>
        <w:t xml:space="preserve"> will</w:t>
      </w:r>
      <w:r w:rsidR="000D2104">
        <w:t xml:space="preserve">, however, </w:t>
      </w:r>
      <w:r>
        <w:t xml:space="preserve">revisit </w:t>
      </w:r>
      <w:r w:rsidR="000D2104">
        <w:t>this issue</w:t>
      </w:r>
      <w:r>
        <w:t xml:space="preserve"> at the next distribution determination we make for Ergon Energy.</w:t>
      </w:r>
    </w:p>
    <w:p w:rsidR="00A64E6A" w:rsidRPr="00307CCD" w:rsidRDefault="00A64E6A" w:rsidP="00307CCD">
      <w:pPr>
        <w:pStyle w:val="HeadingBoldItalic"/>
      </w:pPr>
      <w:r w:rsidRPr="00307CCD">
        <w:t>Forecast capex</w:t>
      </w:r>
    </w:p>
    <w:p w:rsidR="00A64E6A" w:rsidRDefault="00A64E6A" w:rsidP="00A64E6A">
      <w:r>
        <w:t>Our final decision is to accept</w:t>
      </w:r>
      <w:r w:rsidR="00DF5DAF">
        <w:t xml:space="preserve"> </w:t>
      </w:r>
      <w:r w:rsidR="00C8063D">
        <w:t>$71.1</w:t>
      </w:r>
      <w:r>
        <w:t xml:space="preserve"> million</w:t>
      </w:r>
      <w:r w:rsidR="00C8063D">
        <w:t xml:space="preserve"> in capex for annual metering services and substitute that amount for Ergon Energy's proposed $71.8 million</w:t>
      </w:r>
      <w:r>
        <w:t xml:space="preserve"> ($2014–15). </w:t>
      </w:r>
      <w:r w:rsidR="00C8063D">
        <w:t>This is</w:t>
      </w:r>
      <w:r w:rsidR="002F2A07">
        <w:t xml:space="preserve"> an increase on the $51.3</w:t>
      </w:r>
      <w:r>
        <w:t xml:space="preserve"> million we accepted at the preliminary decision stage</w:t>
      </w:r>
      <w:r>
        <w:rPr>
          <w:rStyle w:val="FootnoteReference"/>
        </w:rPr>
        <w:footnoteReference w:id="94"/>
      </w:r>
      <w:r w:rsidR="002B4E5B">
        <w:t xml:space="preserve"> and about 55 percent of what Ergon Energy initially proposed.</w:t>
      </w:r>
      <w:r>
        <w:t xml:space="preserve"> </w:t>
      </w:r>
    </w:p>
    <w:p w:rsidR="00A64E6A" w:rsidRDefault="00A64E6A" w:rsidP="00A64E6A">
      <w:r>
        <w:fldChar w:fldCharType="begin"/>
      </w:r>
      <w:r>
        <w:instrText xml:space="preserve"> REF _Ref424735632 \h </w:instrText>
      </w:r>
      <w:r>
        <w:fldChar w:fldCharType="separate"/>
      </w:r>
      <w:r w:rsidR="00E01BE0">
        <w:t xml:space="preserve">Table </w:t>
      </w:r>
      <w:r w:rsidR="00E01BE0">
        <w:rPr>
          <w:noProof/>
        </w:rPr>
        <w:t>16</w:t>
      </w:r>
      <w:r w:rsidR="00E01BE0">
        <w:t>.</w:t>
      </w:r>
      <w:r w:rsidR="00E01BE0">
        <w:rPr>
          <w:noProof/>
        </w:rPr>
        <w:t>14</w:t>
      </w:r>
      <w:r>
        <w:fldChar w:fldCharType="end"/>
      </w:r>
      <w:r>
        <w:t xml:space="preserve"> sets out </w:t>
      </w:r>
      <w:r w:rsidR="002F2A07">
        <w:t>Ergon Energy's</w:t>
      </w:r>
      <w:r>
        <w:t xml:space="preserve"> initial and revised capex forecast along with our preliminary and final decisions. </w:t>
      </w:r>
      <w:r w:rsidR="00266F84">
        <w:t>A</w:t>
      </w:r>
      <w:r>
        <w:t xml:space="preserve"> key difference between </w:t>
      </w:r>
      <w:r w:rsidR="002F2A07">
        <w:t>Ergon Energy's</w:t>
      </w:r>
      <w:r>
        <w:t xml:space="preserve"> initial and revised proposals is the latter's acceptance of our preliminary decision that the cost of new </w:t>
      </w:r>
      <w:r w:rsidR="00DF5DAF">
        <w:t>and upgraded meter</w:t>
      </w:r>
      <w:r w:rsidR="00477845">
        <w:t xml:space="preserve"> connections</w:t>
      </w:r>
      <w:r w:rsidR="00DF5DAF">
        <w:t xml:space="preserve"> </w:t>
      </w:r>
      <w:r>
        <w:t xml:space="preserve">would not be recovered through the annual metering charge. </w:t>
      </w:r>
      <w:r w:rsidR="00266F84">
        <w:t>This is shown by a significant reduction in Ergon Energy's</w:t>
      </w:r>
      <w:r w:rsidR="004B35CF">
        <w:t xml:space="preserve"> proposal for</w:t>
      </w:r>
      <w:r w:rsidR="00266F84">
        <w:t xml:space="preserve"> c</w:t>
      </w:r>
      <w:r w:rsidR="00DF5DAF">
        <w:t xml:space="preserve">ustomer initiated capital works. At the initial proposal stage, Ergon Energy forecast </w:t>
      </w:r>
      <w:r w:rsidR="00266F84">
        <w:t>$43.6 million</w:t>
      </w:r>
      <w:r w:rsidR="00DF5DAF">
        <w:t xml:space="preserve"> for customer initiated capital works, which it revised to</w:t>
      </w:r>
      <w:r w:rsidR="00266F84">
        <w:t xml:space="preserve"> $10.5 million</w:t>
      </w:r>
      <w:r w:rsidR="00DF5DAF">
        <w:rPr>
          <w:rStyle w:val="FootnoteReference"/>
        </w:rPr>
        <w:footnoteReference w:id="95"/>
      </w:r>
      <w:r w:rsidR="00DF5DAF">
        <w:t xml:space="preserve"> following the removal of costs associated with new or upgraded meter connections</w:t>
      </w:r>
      <w:r w:rsidR="00266F84">
        <w:t xml:space="preserve"> ($2014–15).</w:t>
      </w:r>
      <w:r w:rsidR="00477845">
        <w:rPr>
          <w:rStyle w:val="FootnoteReference"/>
        </w:rPr>
        <w:footnoteReference w:id="96"/>
      </w:r>
      <w:r w:rsidR="00266F84">
        <w:t xml:space="preserve"> </w:t>
      </w:r>
    </w:p>
    <w:p w:rsidR="00307CCD" w:rsidRDefault="00307CCD" w:rsidP="00A64E6A"/>
    <w:p w:rsidR="00307CCD" w:rsidRDefault="00307CCD" w:rsidP="00A64E6A"/>
    <w:p w:rsidR="00307CCD" w:rsidRDefault="00307CCD" w:rsidP="00A64E6A"/>
    <w:p w:rsidR="00307CCD" w:rsidRDefault="00307CCD" w:rsidP="00A64E6A"/>
    <w:p w:rsidR="00307CCD" w:rsidRDefault="00307CCD" w:rsidP="00A64E6A"/>
    <w:p w:rsidR="00307CCD" w:rsidRDefault="00307CCD" w:rsidP="00A64E6A"/>
    <w:p w:rsidR="00A64E6A" w:rsidRDefault="00A64E6A" w:rsidP="00A64E6A">
      <w:pPr>
        <w:pStyle w:val="Caption"/>
      </w:pPr>
      <w:bookmarkStart w:id="66" w:name="_Ref424735632"/>
      <w:proofErr w:type="gramStart"/>
      <w:r>
        <w:lastRenderedPageBreak/>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14</w:t>
      </w:r>
      <w:r w:rsidR="00674D47">
        <w:fldChar w:fldCharType="end"/>
      </w:r>
      <w:bookmarkEnd w:id="66"/>
      <w:r w:rsidR="00E71EA3">
        <w:t xml:space="preserve"> </w:t>
      </w:r>
      <w:r w:rsidR="00307CCD">
        <w:tab/>
      </w:r>
      <w:r w:rsidR="005335F5">
        <w:t>Ergon Energy's</w:t>
      </w:r>
      <w:r>
        <w:t xml:space="preserve"> capex proposals and AER decisions ($m, 2014–15)</w:t>
      </w:r>
    </w:p>
    <w:tbl>
      <w:tblPr>
        <w:tblStyle w:val="AERtable-numbers"/>
        <w:tblW w:w="8692" w:type="dxa"/>
        <w:tblLook w:val="04A0" w:firstRow="1" w:lastRow="0" w:firstColumn="1" w:lastColumn="0" w:noHBand="0" w:noVBand="1"/>
      </w:tblPr>
      <w:tblGrid>
        <w:gridCol w:w="1808"/>
        <w:gridCol w:w="1718"/>
        <w:gridCol w:w="1722"/>
        <w:gridCol w:w="1722"/>
        <w:gridCol w:w="1722"/>
      </w:tblGrid>
      <w:tr w:rsidR="00A64E6A" w:rsidRPr="0013051A" w:rsidTr="005C5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A64E6A" w:rsidRDefault="00A64E6A" w:rsidP="00A64E6A"/>
        </w:tc>
        <w:tc>
          <w:tcPr>
            <w:tcW w:w="1718" w:type="dxa"/>
          </w:tcPr>
          <w:p w:rsidR="00A64E6A" w:rsidRPr="00A64E6A" w:rsidRDefault="00A64E6A" w:rsidP="00A64E6A">
            <w:pPr>
              <w:cnfStyle w:val="100000000000" w:firstRow="1" w:lastRow="0" w:firstColumn="0" w:lastColumn="0" w:oddVBand="0" w:evenVBand="0" w:oddHBand="0" w:evenHBand="0" w:firstRowFirstColumn="0" w:firstRowLastColumn="0" w:lastRowFirstColumn="0" w:lastRowLastColumn="0"/>
            </w:pPr>
            <w:r>
              <w:t>Initial proposal</w:t>
            </w:r>
          </w:p>
        </w:tc>
        <w:tc>
          <w:tcPr>
            <w:tcW w:w="1722" w:type="dxa"/>
          </w:tcPr>
          <w:p w:rsidR="00A64E6A" w:rsidRPr="00A64E6A" w:rsidRDefault="00A64E6A" w:rsidP="00A64E6A">
            <w:pPr>
              <w:cnfStyle w:val="100000000000" w:firstRow="1" w:lastRow="0" w:firstColumn="0" w:lastColumn="0" w:oddVBand="0" w:evenVBand="0" w:oddHBand="0" w:evenHBand="0" w:firstRowFirstColumn="0" w:firstRowLastColumn="0" w:lastRowFirstColumn="0" w:lastRowLastColumn="0"/>
            </w:pPr>
            <w:r>
              <w:t xml:space="preserve">Preliminary </w:t>
            </w:r>
            <w:r w:rsidRPr="00A64E6A">
              <w:t>decision</w:t>
            </w:r>
          </w:p>
        </w:tc>
        <w:tc>
          <w:tcPr>
            <w:tcW w:w="1722" w:type="dxa"/>
          </w:tcPr>
          <w:p w:rsidR="00A64E6A" w:rsidRPr="00A64E6A" w:rsidRDefault="00A64E6A" w:rsidP="00A64E6A">
            <w:pPr>
              <w:cnfStyle w:val="100000000000" w:firstRow="1" w:lastRow="0" w:firstColumn="0" w:lastColumn="0" w:oddVBand="0" w:evenVBand="0" w:oddHBand="0" w:evenHBand="0" w:firstRowFirstColumn="0" w:firstRowLastColumn="0" w:lastRowFirstColumn="0" w:lastRowLastColumn="0"/>
            </w:pPr>
            <w:r>
              <w:t xml:space="preserve">Revised </w:t>
            </w:r>
            <w:r w:rsidRPr="00A64E6A">
              <w:t>proposal</w:t>
            </w:r>
          </w:p>
        </w:tc>
        <w:tc>
          <w:tcPr>
            <w:tcW w:w="1722" w:type="dxa"/>
          </w:tcPr>
          <w:p w:rsidR="00A64E6A" w:rsidRPr="00A64E6A" w:rsidRDefault="00A64E6A" w:rsidP="00A64E6A">
            <w:pPr>
              <w:cnfStyle w:val="100000000000" w:firstRow="1" w:lastRow="0" w:firstColumn="0" w:lastColumn="0" w:oddVBand="0" w:evenVBand="0" w:oddHBand="0" w:evenHBand="0" w:firstRowFirstColumn="0" w:firstRowLastColumn="0" w:lastRowFirstColumn="0" w:lastRowLastColumn="0"/>
            </w:pPr>
            <w:r>
              <w:t>Final decision</w:t>
            </w:r>
          </w:p>
        </w:tc>
      </w:tr>
      <w:tr w:rsidR="002B4E5B" w:rsidRPr="0013051A" w:rsidTr="005C5965">
        <w:tc>
          <w:tcPr>
            <w:cnfStyle w:val="001000000000" w:firstRow="0" w:lastRow="0" w:firstColumn="1" w:lastColumn="0" w:oddVBand="0" w:evenVBand="0" w:oddHBand="0" w:evenHBand="0" w:firstRowFirstColumn="0" w:firstRowLastColumn="0" w:lastRowFirstColumn="0" w:lastRowLastColumn="0"/>
            <w:tcW w:w="1808" w:type="dxa"/>
          </w:tcPr>
          <w:p w:rsidR="002B4E5B" w:rsidRPr="002B4E5B" w:rsidRDefault="002B4E5B" w:rsidP="002B4E5B">
            <w:r>
              <w:t>R</w:t>
            </w:r>
            <w:r w:rsidRPr="002B4E5B">
              <w:t>eplacements</w:t>
            </w:r>
          </w:p>
        </w:tc>
        <w:tc>
          <w:tcPr>
            <w:tcW w:w="1718"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36.3</w:t>
            </w:r>
          </w:p>
        </w:tc>
        <w:tc>
          <w:tcPr>
            <w:tcW w:w="1722"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22.1</w:t>
            </w:r>
          </w:p>
        </w:tc>
        <w:tc>
          <w:tcPr>
            <w:tcW w:w="1722"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34.9</w:t>
            </w:r>
          </w:p>
        </w:tc>
        <w:tc>
          <w:tcPr>
            <w:tcW w:w="1722" w:type="dxa"/>
          </w:tcPr>
          <w:p w:rsidR="002B4E5B" w:rsidRPr="002B4E5B" w:rsidRDefault="00ED5CA4" w:rsidP="002B4E5B">
            <w:pPr>
              <w:cnfStyle w:val="000000000000" w:firstRow="0" w:lastRow="0" w:firstColumn="0" w:lastColumn="0" w:oddVBand="0" w:evenVBand="0" w:oddHBand="0" w:evenHBand="0" w:firstRowFirstColumn="0" w:firstRowLastColumn="0" w:lastRowFirstColumn="0" w:lastRowLastColumn="0"/>
            </w:pPr>
            <w:r>
              <w:t>3</w:t>
            </w:r>
            <w:r w:rsidR="00E27915">
              <w:t>4.1</w:t>
            </w:r>
          </w:p>
        </w:tc>
      </w:tr>
      <w:tr w:rsidR="002B4E5B" w:rsidRPr="0013051A" w:rsidTr="005C59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2B4E5B" w:rsidRPr="002B4E5B" w:rsidRDefault="002B4E5B" w:rsidP="002B4E5B">
            <w:r>
              <w:t>Customer initiated capital works</w:t>
            </w:r>
          </w:p>
        </w:tc>
        <w:tc>
          <w:tcPr>
            <w:tcW w:w="1718" w:type="dxa"/>
          </w:tcPr>
          <w:p w:rsidR="002B4E5B" w:rsidRPr="002B4E5B" w:rsidRDefault="002B4E5B" w:rsidP="002B4E5B">
            <w:pPr>
              <w:cnfStyle w:val="000000010000" w:firstRow="0" w:lastRow="0" w:firstColumn="0" w:lastColumn="0" w:oddVBand="0" w:evenVBand="0" w:oddHBand="0" w:evenHBand="1" w:firstRowFirstColumn="0" w:firstRowLastColumn="0" w:lastRowFirstColumn="0" w:lastRowLastColumn="0"/>
            </w:pPr>
            <w:r>
              <w:t>43.6</w:t>
            </w:r>
          </w:p>
        </w:tc>
        <w:tc>
          <w:tcPr>
            <w:tcW w:w="1722" w:type="dxa"/>
          </w:tcPr>
          <w:p w:rsidR="002B4E5B" w:rsidRPr="002B4E5B" w:rsidRDefault="002B4E5B" w:rsidP="002B4E5B">
            <w:pPr>
              <w:cnfStyle w:val="000000010000" w:firstRow="0" w:lastRow="0" w:firstColumn="0" w:lastColumn="0" w:oddVBand="0" w:evenVBand="0" w:oddHBand="0" w:evenHBand="1" w:firstRowFirstColumn="0" w:firstRowLastColumn="0" w:lastRowFirstColumn="0" w:lastRowLastColumn="0"/>
            </w:pPr>
            <w:r>
              <w:t>7.8</w:t>
            </w:r>
          </w:p>
        </w:tc>
        <w:tc>
          <w:tcPr>
            <w:tcW w:w="1722" w:type="dxa"/>
          </w:tcPr>
          <w:p w:rsidR="002B4E5B" w:rsidRPr="002B4E5B" w:rsidRDefault="002B4E5B" w:rsidP="002B4E5B">
            <w:pPr>
              <w:cnfStyle w:val="000000010000" w:firstRow="0" w:lastRow="0" w:firstColumn="0" w:lastColumn="0" w:oddVBand="0" w:evenVBand="0" w:oddHBand="0" w:evenHBand="1" w:firstRowFirstColumn="0" w:firstRowLastColumn="0" w:lastRowFirstColumn="0" w:lastRowLastColumn="0"/>
            </w:pPr>
            <w:r>
              <w:t>10.5</w:t>
            </w:r>
          </w:p>
        </w:tc>
        <w:tc>
          <w:tcPr>
            <w:tcW w:w="1722" w:type="dxa"/>
          </w:tcPr>
          <w:p w:rsidR="002B4E5B" w:rsidRPr="002B4E5B" w:rsidRDefault="002B4E5B" w:rsidP="002B4E5B">
            <w:pPr>
              <w:cnfStyle w:val="000000010000" w:firstRow="0" w:lastRow="0" w:firstColumn="0" w:lastColumn="0" w:oddVBand="0" w:evenVBand="0" w:oddHBand="0" w:evenHBand="1" w:firstRowFirstColumn="0" w:firstRowLastColumn="0" w:lastRowFirstColumn="0" w:lastRowLastColumn="0"/>
            </w:pPr>
            <w:r>
              <w:t>10.5</w:t>
            </w:r>
          </w:p>
        </w:tc>
      </w:tr>
      <w:tr w:rsidR="002B4E5B" w:rsidRPr="0013051A" w:rsidTr="005C5965">
        <w:tc>
          <w:tcPr>
            <w:cnfStyle w:val="001000000000" w:firstRow="0" w:lastRow="0" w:firstColumn="1" w:lastColumn="0" w:oddVBand="0" w:evenVBand="0" w:oddHBand="0" w:evenHBand="0" w:firstRowFirstColumn="0" w:firstRowLastColumn="0" w:lastRowFirstColumn="0" w:lastRowLastColumn="0"/>
            <w:tcW w:w="1808" w:type="dxa"/>
          </w:tcPr>
          <w:p w:rsidR="002B4E5B" w:rsidRPr="002B4E5B" w:rsidRDefault="002B4E5B" w:rsidP="002B4E5B">
            <w:r>
              <w:t>Other System capex</w:t>
            </w:r>
          </w:p>
        </w:tc>
        <w:tc>
          <w:tcPr>
            <w:tcW w:w="1718"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2.7</w:t>
            </w:r>
          </w:p>
        </w:tc>
        <w:tc>
          <w:tcPr>
            <w:tcW w:w="1722"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2.7</w:t>
            </w:r>
          </w:p>
        </w:tc>
        <w:tc>
          <w:tcPr>
            <w:tcW w:w="1722"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2.6</w:t>
            </w:r>
          </w:p>
        </w:tc>
        <w:tc>
          <w:tcPr>
            <w:tcW w:w="1722"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2.6</w:t>
            </w:r>
          </w:p>
        </w:tc>
      </w:tr>
      <w:tr w:rsidR="002B4E5B" w:rsidRPr="0013051A" w:rsidTr="005C59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2B4E5B" w:rsidRPr="002B4E5B" w:rsidRDefault="002B4E5B" w:rsidP="002B4E5B">
            <w:r>
              <w:t>Overheads</w:t>
            </w:r>
          </w:p>
        </w:tc>
        <w:tc>
          <w:tcPr>
            <w:tcW w:w="1718" w:type="dxa"/>
          </w:tcPr>
          <w:p w:rsidR="002B4E5B" w:rsidRPr="002B4E5B" w:rsidRDefault="002B4E5B" w:rsidP="002B4E5B">
            <w:pPr>
              <w:cnfStyle w:val="000000010000" w:firstRow="0" w:lastRow="0" w:firstColumn="0" w:lastColumn="0" w:oddVBand="0" w:evenVBand="0" w:oddHBand="0" w:evenHBand="1" w:firstRowFirstColumn="0" w:firstRowLastColumn="0" w:lastRowFirstColumn="0" w:lastRowLastColumn="0"/>
            </w:pPr>
            <w:r>
              <w:t>46.4</w:t>
            </w:r>
          </w:p>
        </w:tc>
        <w:tc>
          <w:tcPr>
            <w:tcW w:w="1722" w:type="dxa"/>
          </w:tcPr>
          <w:p w:rsidR="002B4E5B" w:rsidRPr="002B4E5B" w:rsidRDefault="002B4E5B" w:rsidP="002B4E5B">
            <w:pPr>
              <w:cnfStyle w:val="000000010000" w:firstRow="0" w:lastRow="0" w:firstColumn="0" w:lastColumn="0" w:oddVBand="0" w:evenVBand="0" w:oddHBand="0" w:evenHBand="1" w:firstRowFirstColumn="0" w:firstRowLastColumn="0" w:lastRowFirstColumn="0" w:lastRowLastColumn="0"/>
            </w:pPr>
            <w:r>
              <w:t>18.3</w:t>
            </w:r>
          </w:p>
        </w:tc>
        <w:tc>
          <w:tcPr>
            <w:tcW w:w="1722" w:type="dxa"/>
          </w:tcPr>
          <w:p w:rsidR="002B4E5B" w:rsidRPr="002B4E5B" w:rsidRDefault="002B4E5B" w:rsidP="002B4E5B">
            <w:pPr>
              <w:cnfStyle w:val="000000010000" w:firstRow="0" w:lastRow="0" w:firstColumn="0" w:lastColumn="0" w:oddVBand="0" w:evenVBand="0" w:oddHBand="0" w:evenHBand="1" w:firstRowFirstColumn="0" w:firstRowLastColumn="0" w:lastRowFirstColumn="0" w:lastRowLastColumn="0"/>
            </w:pPr>
            <w:r>
              <w:t>23.8</w:t>
            </w:r>
          </w:p>
        </w:tc>
        <w:tc>
          <w:tcPr>
            <w:tcW w:w="1722" w:type="dxa"/>
          </w:tcPr>
          <w:p w:rsidR="002B4E5B" w:rsidRPr="002B4E5B" w:rsidRDefault="002B4E5B" w:rsidP="002B4E5B">
            <w:pPr>
              <w:cnfStyle w:val="000000010000" w:firstRow="0" w:lastRow="0" w:firstColumn="0" w:lastColumn="0" w:oddVBand="0" w:evenVBand="0" w:oddHBand="0" w:evenHBand="1" w:firstRowFirstColumn="0" w:firstRowLastColumn="0" w:lastRowFirstColumn="0" w:lastRowLastColumn="0"/>
            </w:pPr>
            <w:r>
              <w:t>23.8</w:t>
            </w:r>
          </w:p>
        </w:tc>
      </w:tr>
      <w:tr w:rsidR="002B4E5B" w:rsidRPr="0013051A" w:rsidTr="005C5965">
        <w:tc>
          <w:tcPr>
            <w:cnfStyle w:val="001000000000" w:firstRow="0" w:lastRow="0" w:firstColumn="1" w:lastColumn="0" w:oddVBand="0" w:evenVBand="0" w:oddHBand="0" w:evenHBand="0" w:firstRowFirstColumn="0" w:firstRowLastColumn="0" w:lastRowFirstColumn="0" w:lastRowLastColumn="0"/>
            <w:tcW w:w="1808" w:type="dxa"/>
          </w:tcPr>
          <w:p w:rsidR="002B4E5B" w:rsidRPr="002B4E5B" w:rsidRDefault="002B4E5B" w:rsidP="002B4E5B">
            <w:r>
              <w:t>Total</w:t>
            </w:r>
          </w:p>
        </w:tc>
        <w:tc>
          <w:tcPr>
            <w:tcW w:w="1718"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128.9</w:t>
            </w:r>
          </w:p>
        </w:tc>
        <w:tc>
          <w:tcPr>
            <w:tcW w:w="1722"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51.3</w:t>
            </w:r>
          </w:p>
        </w:tc>
        <w:tc>
          <w:tcPr>
            <w:tcW w:w="1722" w:type="dxa"/>
          </w:tcPr>
          <w:p w:rsidR="002B4E5B" w:rsidRPr="002B4E5B" w:rsidRDefault="002B4E5B" w:rsidP="002B4E5B">
            <w:pPr>
              <w:cnfStyle w:val="000000000000" w:firstRow="0" w:lastRow="0" w:firstColumn="0" w:lastColumn="0" w:oddVBand="0" w:evenVBand="0" w:oddHBand="0" w:evenHBand="0" w:firstRowFirstColumn="0" w:firstRowLastColumn="0" w:lastRowFirstColumn="0" w:lastRowLastColumn="0"/>
            </w:pPr>
            <w:r>
              <w:t>71.8</w:t>
            </w:r>
          </w:p>
        </w:tc>
        <w:tc>
          <w:tcPr>
            <w:tcW w:w="1722" w:type="dxa"/>
          </w:tcPr>
          <w:p w:rsidR="002B4E5B" w:rsidRPr="002B4E5B" w:rsidRDefault="00E27915" w:rsidP="002B4E5B">
            <w:pPr>
              <w:cnfStyle w:val="000000000000" w:firstRow="0" w:lastRow="0" w:firstColumn="0" w:lastColumn="0" w:oddVBand="0" w:evenVBand="0" w:oddHBand="0" w:evenHBand="0" w:firstRowFirstColumn="0" w:firstRowLastColumn="0" w:lastRowFirstColumn="0" w:lastRowLastColumn="0"/>
            </w:pPr>
            <w:r>
              <w:t>71.1</w:t>
            </w:r>
          </w:p>
        </w:tc>
      </w:tr>
    </w:tbl>
    <w:p w:rsidR="00A64E6A" w:rsidRDefault="00A64E6A" w:rsidP="004B35CF">
      <w:pPr>
        <w:pStyle w:val="AERtablesource"/>
      </w:pPr>
      <w:r w:rsidRPr="00266F84">
        <w:t>Source:</w:t>
      </w:r>
      <w:r w:rsidRPr="00266F84">
        <w:tab/>
      </w:r>
      <w:r w:rsidR="00266F84" w:rsidRPr="00266F84">
        <w:t xml:space="preserve">Ergon Energy, </w:t>
      </w:r>
      <w:r w:rsidR="00266F84" w:rsidRPr="00266F84">
        <w:rPr>
          <w:rStyle w:val="AERtextitalic"/>
        </w:rPr>
        <w:t>Revised regulatory proposal: Attachment 05.03.01 Default metering services summary (type 5 &amp; 6 meters)</w:t>
      </w:r>
      <w:r w:rsidR="00266F84">
        <w:t>, July 2015, p. 19</w:t>
      </w:r>
      <w:r w:rsidR="00266F84" w:rsidRPr="00266F84">
        <w:t xml:space="preserve">; Ergon Energy, </w:t>
      </w:r>
      <w:r w:rsidR="00266F84">
        <w:rPr>
          <w:rStyle w:val="AERtextitalic"/>
        </w:rPr>
        <w:t>Initial</w:t>
      </w:r>
      <w:r w:rsidR="00266F84" w:rsidRPr="00266F84">
        <w:rPr>
          <w:rStyle w:val="AERtextitalic"/>
        </w:rPr>
        <w:t xml:space="preserve"> regulatory proposal: Attachment 05.03.01 Default metering services summary (type 5 &amp; 6 meters)</w:t>
      </w:r>
      <w:r w:rsidR="00266F84">
        <w:t xml:space="preserve">, December 2014, p. 16; AER, </w:t>
      </w:r>
      <w:r w:rsidR="00266F84" w:rsidRPr="00A96088">
        <w:rPr>
          <w:rStyle w:val="AERtextitalic"/>
        </w:rPr>
        <w:t xml:space="preserve">Preliminary decision: </w:t>
      </w:r>
      <w:r w:rsidR="00266F84">
        <w:rPr>
          <w:rStyle w:val="AERtextitalic"/>
        </w:rPr>
        <w:t>Ergon Energy</w:t>
      </w:r>
      <w:r w:rsidR="00266F84" w:rsidRPr="00A96088">
        <w:rPr>
          <w:rStyle w:val="AERtextitalic"/>
        </w:rPr>
        <w:t xml:space="preserve"> determination 2015–16 to 2019–20</w:t>
      </w:r>
      <w:r w:rsidR="00266F84">
        <w:t xml:space="preserve">, April 2015, p. 16–38; </w:t>
      </w:r>
      <w:r w:rsidRPr="00266F84">
        <w:t>AER analysis.</w:t>
      </w:r>
    </w:p>
    <w:p w:rsidR="004B35CF" w:rsidRPr="00307CCD" w:rsidRDefault="003F0FD4" w:rsidP="00307CCD">
      <w:pPr>
        <w:pStyle w:val="HeadingItalic"/>
      </w:pPr>
      <w:r w:rsidRPr="00307CCD">
        <w:t>Replacements</w:t>
      </w:r>
    </w:p>
    <w:p w:rsidR="00BF4140" w:rsidRDefault="007D67F4" w:rsidP="00BF4140">
      <w:r>
        <w:t>With respect to Ergon Energy's forecast replacement capex, we considered two factors. These</w:t>
      </w:r>
      <w:r w:rsidR="00BF4140">
        <w:t xml:space="preserve"> </w:t>
      </w:r>
      <w:r>
        <w:t>are the</w:t>
      </w:r>
      <w:r w:rsidR="00BF4140">
        <w:t xml:space="preserve"> proposed unit costs and forecast volumes of replacements. This is the same assessment approach we applied in our preliminary decision.</w:t>
      </w:r>
      <w:r w:rsidR="00BF4140">
        <w:rPr>
          <w:rStyle w:val="FootnoteReference"/>
        </w:rPr>
        <w:footnoteReference w:id="97"/>
      </w:r>
    </w:p>
    <w:p w:rsidR="007D67F4" w:rsidRPr="00307CCD" w:rsidRDefault="007D67F4" w:rsidP="00307CCD">
      <w:pPr>
        <w:pStyle w:val="HeadingOrange"/>
      </w:pPr>
      <w:r w:rsidRPr="00307CCD">
        <w:t>Unit costs</w:t>
      </w:r>
    </w:p>
    <w:p w:rsidR="00BF4140" w:rsidRDefault="00BF4140" w:rsidP="00BF4140">
      <w:r>
        <w:t xml:space="preserve">We maintain our preliminary decision accepting </w:t>
      </w:r>
      <w:r w:rsidR="007D67F4">
        <w:t>Ergon Energy's</w:t>
      </w:r>
      <w:r>
        <w:t xml:space="preserve"> non–material and material unit costs. The term "non–material" refers to the labour costs associated with installing a replaced meter. "Material" refers to the actual metering hardware. </w:t>
      </w:r>
    </w:p>
    <w:p w:rsidR="00BF4140" w:rsidRDefault="00BF4140" w:rsidP="00BF4140">
      <w:r>
        <w:t xml:space="preserve">In our preliminary decision, we found that </w:t>
      </w:r>
      <w:r w:rsidR="007D67F4">
        <w:t>Ergon Energy's</w:t>
      </w:r>
      <w:r>
        <w:t xml:space="preserve"> non–material and material unit costs fit within our acceptable range and hence they were accepted.</w:t>
      </w:r>
      <w:r>
        <w:rPr>
          <w:rStyle w:val="FootnoteReference"/>
        </w:rPr>
        <w:footnoteReference w:id="98"/>
      </w:r>
      <w:r>
        <w:t xml:space="preserve"> </w:t>
      </w:r>
      <w:r w:rsidR="007D67F4">
        <w:t>For the material unit costs, we received advice from our consultant Marsden Jacob Associates. In our preliminary decision, we observed that all of Ergon Energy's material unit costs were within the market ranges in a report Marsden Jacobs provided us.</w:t>
      </w:r>
      <w:r w:rsidR="009D4D80">
        <w:rPr>
          <w:rStyle w:val="FootnoteReference"/>
        </w:rPr>
        <w:footnoteReference w:id="99"/>
      </w:r>
      <w:r w:rsidR="007D67F4">
        <w:t xml:space="preserve"> Ergon Energy's</w:t>
      </w:r>
      <w:r>
        <w:t xml:space="preserve"> revised proposal included the same unit costs. We have therefore decided to accept them in this final decision.</w:t>
      </w:r>
    </w:p>
    <w:p w:rsidR="00307CCD" w:rsidRDefault="00307CCD" w:rsidP="00BF4140"/>
    <w:p w:rsidR="00307CCD" w:rsidRDefault="00307CCD" w:rsidP="00BF4140"/>
    <w:p w:rsidR="00307CCD" w:rsidRDefault="00307CCD" w:rsidP="00BF4140"/>
    <w:p w:rsidR="007D67F4" w:rsidRPr="00307CCD" w:rsidRDefault="007D67F4" w:rsidP="00307CCD">
      <w:pPr>
        <w:pStyle w:val="HeadingOrange"/>
        <w:rPr>
          <w:rStyle w:val="AERtextitalic"/>
          <w:i w:val="0"/>
        </w:rPr>
      </w:pPr>
      <w:r w:rsidRPr="00307CCD">
        <w:rPr>
          <w:rStyle w:val="AERtextitalic"/>
          <w:i w:val="0"/>
        </w:rPr>
        <w:lastRenderedPageBreak/>
        <w:t>Volumes</w:t>
      </w:r>
    </w:p>
    <w:p w:rsidR="00EB5B2A" w:rsidRDefault="000D4C65" w:rsidP="007E3E6B">
      <w:r>
        <w:t>Our final decision accepts a replacement forecast of 108 450 meters. We substitute that volume of replacements for Ergon Energy's proposed 124 720</w:t>
      </w:r>
      <w:r w:rsidR="00916002">
        <w:t xml:space="preserve">. </w:t>
      </w:r>
      <w:r w:rsidR="00E27915">
        <w:t>This has a $0.8 million impact on the proposed cap</w:t>
      </w:r>
      <w:r w:rsidR="00307CCD">
        <w:t>ex for metering ($2014</w:t>
      </w:r>
      <w:r w:rsidR="00307CCD">
        <w:rPr>
          <w:rFonts w:cs="Arial"/>
        </w:rPr>
        <w:t>─</w:t>
      </w:r>
      <w:r w:rsidR="00E27915">
        <w:t>15).</w:t>
      </w:r>
    </w:p>
    <w:p w:rsidR="00E12106" w:rsidRDefault="000D4C65" w:rsidP="007E3E6B">
      <w:r>
        <w:t xml:space="preserve">We have decided to accept a higher number of meter replacements than in our preliminary decision. </w:t>
      </w:r>
      <w:r w:rsidR="00EB5B2A">
        <w:fldChar w:fldCharType="begin"/>
      </w:r>
      <w:r w:rsidR="00EB5B2A">
        <w:instrText xml:space="preserve"> REF _Ref415477938 \h </w:instrText>
      </w:r>
      <w:r w:rsidR="00EB5B2A">
        <w:fldChar w:fldCharType="separate"/>
      </w:r>
      <w:r w:rsidR="00E01BE0" w:rsidRPr="004526EE">
        <w:t xml:space="preserve">Table </w:t>
      </w:r>
      <w:r w:rsidR="00E01BE0">
        <w:rPr>
          <w:noProof/>
        </w:rPr>
        <w:t>16</w:t>
      </w:r>
      <w:r w:rsidR="00E01BE0">
        <w:t>.</w:t>
      </w:r>
      <w:r w:rsidR="00E01BE0">
        <w:rPr>
          <w:noProof/>
        </w:rPr>
        <w:t>15</w:t>
      </w:r>
      <w:r w:rsidR="00EB5B2A">
        <w:fldChar w:fldCharType="end"/>
      </w:r>
      <w:r w:rsidR="00EB5B2A">
        <w:t xml:space="preserve"> shows our preliminary decision accepted about </w:t>
      </w:r>
      <w:r>
        <w:t>half</w:t>
      </w:r>
      <w:r w:rsidR="00EB5B2A">
        <w:t xml:space="preserve"> of Ergon Energy's replacement forecast</w:t>
      </w:r>
      <w:r w:rsidR="00233E6B">
        <w:t>.</w:t>
      </w:r>
      <w:r w:rsidR="00EB5B2A">
        <w:t xml:space="preserve"> </w:t>
      </w:r>
      <w:r>
        <w:t>Our</w:t>
      </w:r>
      <w:r w:rsidR="00EB5B2A">
        <w:t xml:space="preserve"> final decision, however, accepts </w:t>
      </w:r>
      <w:r>
        <w:t xml:space="preserve">about 87 percent. </w:t>
      </w:r>
    </w:p>
    <w:p w:rsidR="00E12106" w:rsidRPr="004526EE" w:rsidRDefault="00E12106" w:rsidP="00E12106">
      <w:pPr>
        <w:pStyle w:val="Caption"/>
      </w:pPr>
      <w:bookmarkStart w:id="67" w:name="_Ref415477938"/>
      <w:proofErr w:type="gramStart"/>
      <w:r w:rsidRPr="004526EE">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15</w:t>
      </w:r>
      <w:r w:rsidR="00674D47">
        <w:fldChar w:fldCharType="end"/>
      </w:r>
      <w:bookmarkStart w:id="68" w:name="_Ref426117185"/>
      <w:bookmarkEnd w:id="67"/>
      <w:r w:rsidR="00307CCD">
        <w:t xml:space="preserve"> </w:t>
      </w:r>
      <w:r w:rsidR="00307CCD">
        <w:tab/>
      </w:r>
      <w:r w:rsidRPr="004526EE">
        <w:t>Proposed and approved replacement volumes</w:t>
      </w:r>
      <w:bookmarkEnd w:id="68"/>
      <w:r w:rsidR="00E26945">
        <w:t xml:space="preserve"> (regulatory requirements)</w:t>
      </w:r>
    </w:p>
    <w:tbl>
      <w:tblPr>
        <w:tblStyle w:val="AERtable-text1"/>
        <w:tblW w:w="0" w:type="auto"/>
        <w:tblInd w:w="0" w:type="dxa"/>
        <w:tblLook w:val="04A0" w:firstRow="1" w:lastRow="0" w:firstColumn="1" w:lastColumn="0" w:noHBand="0" w:noVBand="1"/>
      </w:tblPr>
      <w:tblGrid>
        <w:gridCol w:w="1970"/>
        <w:gridCol w:w="1936"/>
        <w:gridCol w:w="1657"/>
        <w:gridCol w:w="1682"/>
        <w:gridCol w:w="1448"/>
      </w:tblGrid>
      <w:tr w:rsidR="00E12106" w:rsidTr="00E12106">
        <w:trPr>
          <w:cnfStyle w:val="100000000000" w:firstRow="1" w:lastRow="0" w:firstColumn="0" w:lastColumn="0" w:oddVBand="0" w:evenVBand="0" w:oddHBand="0" w:evenHBand="0" w:firstRowFirstColumn="0" w:firstRowLastColumn="0" w:lastRowFirstColumn="0" w:lastRowLastColumn="0"/>
        </w:trPr>
        <w:tc>
          <w:tcPr>
            <w:tcW w:w="1970" w:type="dxa"/>
          </w:tcPr>
          <w:p w:rsidR="00E12106" w:rsidRPr="00E12106" w:rsidRDefault="00E12106" w:rsidP="00E12106">
            <w:r w:rsidRPr="004526EE">
              <w:t>Description</w:t>
            </w:r>
          </w:p>
        </w:tc>
        <w:tc>
          <w:tcPr>
            <w:tcW w:w="1936" w:type="dxa"/>
          </w:tcPr>
          <w:p w:rsidR="00E12106" w:rsidRPr="00E12106" w:rsidRDefault="00E12106" w:rsidP="00E12106">
            <w:r w:rsidRPr="004526EE">
              <w:t>Reason for replacement</w:t>
            </w:r>
          </w:p>
        </w:tc>
        <w:tc>
          <w:tcPr>
            <w:tcW w:w="1657" w:type="dxa"/>
          </w:tcPr>
          <w:p w:rsidR="00CF74D9" w:rsidRDefault="00E12106" w:rsidP="00CF74D9">
            <w:r w:rsidRPr="004526EE">
              <w:t>Forecast</w:t>
            </w:r>
          </w:p>
          <w:p w:rsidR="00E12106" w:rsidRPr="00E12106" w:rsidRDefault="00CF74D9" w:rsidP="00CF74D9">
            <w:r>
              <w:t>Initial and revised proposal</w:t>
            </w:r>
          </w:p>
        </w:tc>
        <w:tc>
          <w:tcPr>
            <w:tcW w:w="1682" w:type="dxa"/>
          </w:tcPr>
          <w:p w:rsidR="00E12106" w:rsidRPr="00E12106" w:rsidRDefault="00E12106" w:rsidP="00F82190">
            <w:r>
              <w:t>Preliminary decision</w:t>
            </w:r>
            <w:r w:rsidRPr="004526EE">
              <w:t xml:space="preserve"> </w:t>
            </w:r>
          </w:p>
        </w:tc>
        <w:tc>
          <w:tcPr>
            <w:tcW w:w="1448" w:type="dxa"/>
          </w:tcPr>
          <w:p w:rsidR="00E12106" w:rsidRPr="004526EE" w:rsidRDefault="00E12106" w:rsidP="00E12106">
            <w:r>
              <w:t>Final decision</w:t>
            </w:r>
          </w:p>
        </w:tc>
      </w:tr>
      <w:tr w:rsidR="00233E6B" w:rsidTr="00E12106">
        <w:tc>
          <w:tcPr>
            <w:tcW w:w="1970" w:type="dxa"/>
          </w:tcPr>
          <w:p w:rsidR="00233E6B" w:rsidRPr="00233E6B" w:rsidRDefault="00233E6B" w:rsidP="00E12106">
            <w:pPr>
              <w:rPr>
                <w:rStyle w:val="AERtextboldunderline"/>
              </w:rPr>
            </w:pPr>
            <w:r w:rsidRPr="00233E6B">
              <w:rPr>
                <w:rStyle w:val="AERtextboldunderline"/>
              </w:rPr>
              <w:t>Regulatory obligation</w:t>
            </w:r>
          </w:p>
        </w:tc>
        <w:tc>
          <w:tcPr>
            <w:tcW w:w="1936" w:type="dxa"/>
          </w:tcPr>
          <w:p w:rsidR="00233E6B" w:rsidRPr="004526EE" w:rsidRDefault="00233E6B" w:rsidP="00E12106"/>
        </w:tc>
        <w:tc>
          <w:tcPr>
            <w:tcW w:w="1657" w:type="dxa"/>
          </w:tcPr>
          <w:p w:rsidR="00233E6B" w:rsidRPr="004526EE" w:rsidRDefault="00233E6B" w:rsidP="00E12106"/>
        </w:tc>
        <w:tc>
          <w:tcPr>
            <w:tcW w:w="1682" w:type="dxa"/>
          </w:tcPr>
          <w:p w:rsidR="00233E6B" w:rsidRPr="004526EE" w:rsidRDefault="00233E6B" w:rsidP="00E12106"/>
        </w:tc>
        <w:tc>
          <w:tcPr>
            <w:tcW w:w="1448" w:type="dxa"/>
          </w:tcPr>
          <w:p w:rsidR="00233E6B" w:rsidRPr="004526EE" w:rsidRDefault="00233E6B" w:rsidP="00E12106"/>
        </w:tc>
      </w:tr>
      <w:tr w:rsidR="00E12106" w:rsidTr="00E12106">
        <w:trPr>
          <w:cnfStyle w:val="000000010000" w:firstRow="0" w:lastRow="0" w:firstColumn="0" w:lastColumn="0" w:oddVBand="0" w:evenVBand="0" w:oddHBand="0" w:evenHBand="1" w:firstRowFirstColumn="0" w:firstRowLastColumn="0" w:lastRowFirstColumn="0" w:lastRowLastColumn="0"/>
        </w:trPr>
        <w:tc>
          <w:tcPr>
            <w:tcW w:w="1970" w:type="dxa"/>
          </w:tcPr>
          <w:p w:rsidR="00E12106" w:rsidRPr="00E12106" w:rsidRDefault="00E12106" w:rsidP="00E12106">
            <w:r w:rsidRPr="004526EE">
              <w:t>EMMCO type BAZ meters</w:t>
            </w:r>
          </w:p>
        </w:tc>
        <w:tc>
          <w:tcPr>
            <w:tcW w:w="1936" w:type="dxa"/>
          </w:tcPr>
          <w:p w:rsidR="00E12106" w:rsidRPr="00E12106" w:rsidRDefault="00E12106" w:rsidP="00E12106">
            <w:r w:rsidRPr="004526EE">
              <w:t>Non–compliant</w:t>
            </w:r>
          </w:p>
        </w:tc>
        <w:tc>
          <w:tcPr>
            <w:tcW w:w="1657" w:type="dxa"/>
          </w:tcPr>
          <w:p w:rsidR="00E12106" w:rsidRPr="00E12106" w:rsidRDefault="00E12106" w:rsidP="00E12106">
            <w:r w:rsidRPr="004526EE">
              <w:t>61 219</w:t>
            </w:r>
          </w:p>
        </w:tc>
        <w:tc>
          <w:tcPr>
            <w:tcW w:w="1682" w:type="dxa"/>
          </w:tcPr>
          <w:p w:rsidR="00E12106" w:rsidRPr="00E12106" w:rsidRDefault="00E12106" w:rsidP="00E12106">
            <w:r w:rsidRPr="004526EE">
              <w:t>61 219</w:t>
            </w:r>
          </w:p>
        </w:tc>
        <w:tc>
          <w:tcPr>
            <w:tcW w:w="1448" w:type="dxa"/>
          </w:tcPr>
          <w:p w:rsidR="00E12106" w:rsidRPr="00E12106" w:rsidRDefault="00E12106" w:rsidP="00E12106">
            <w:r w:rsidRPr="004526EE">
              <w:t>61 219</w:t>
            </w:r>
          </w:p>
        </w:tc>
      </w:tr>
      <w:tr w:rsidR="00E12106" w:rsidTr="00E12106">
        <w:tc>
          <w:tcPr>
            <w:tcW w:w="1970" w:type="dxa"/>
          </w:tcPr>
          <w:p w:rsidR="00E12106" w:rsidRPr="00E12106" w:rsidRDefault="00314343" w:rsidP="00E12106">
            <w:r>
              <w:t>Warburton Franki T</w:t>
            </w:r>
            <w:r w:rsidR="00E12106" w:rsidRPr="004526EE">
              <w:t>ype WF2</w:t>
            </w:r>
          </w:p>
        </w:tc>
        <w:tc>
          <w:tcPr>
            <w:tcW w:w="1936" w:type="dxa"/>
          </w:tcPr>
          <w:p w:rsidR="00E12106" w:rsidRPr="00E12106" w:rsidRDefault="00E12106" w:rsidP="00E12106">
            <w:r w:rsidRPr="004526EE">
              <w:t>End</w:t>
            </w:r>
            <w:r w:rsidRPr="00E12106">
              <w:t xml:space="preserve"> of life</w:t>
            </w:r>
          </w:p>
        </w:tc>
        <w:tc>
          <w:tcPr>
            <w:tcW w:w="1657" w:type="dxa"/>
          </w:tcPr>
          <w:p w:rsidR="00E12106" w:rsidRPr="00E12106" w:rsidRDefault="00E12106" w:rsidP="00E12106">
            <w:r w:rsidRPr="004526EE">
              <w:t>42 781</w:t>
            </w:r>
          </w:p>
        </w:tc>
        <w:tc>
          <w:tcPr>
            <w:tcW w:w="1682" w:type="dxa"/>
          </w:tcPr>
          <w:p w:rsidR="00E12106" w:rsidRPr="00E12106" w:rsidRDefault="00E12106" w:rsidP="00E12106">
            <w:r w:rsidRPr="004526EE">
              <w:t>0</w:t>
            </w:r>
          </w:p>
        </w:tc>
        <w:tc>
          <w:tcPr>
            <w:tcW w:w="1448" w:type="dxa"/>
          </w:tcPr>
          <w:p w:rsidR="00E12106" w:rsidRPr="00E12106" w:rsidRDefault="00E12106" w:rsidP="00E12106">
            <w:r w:rsidRPr="004526EE">
              <w:t>42 781</w:t>
            </w:r>
          </w:p>
        </w:tc>
      </w:tr>
      <w:tr w:rsidR="00E12106" w:rsidTr="00E12106">
        <w:trPr>
          <w:cnfStyle w:val="000000010000" w:firstRow="0" w:lastRow="0" w:firstColumn="0" w:lastColumn="0" w:oddVBand="0" w:evenVBand="0" w:oddHBand="0" w:evenHBand="1" w:firstRowFirstColumn="0" w:firstRowLastColumn="0" w:lastRowFirstColumn="0" w:lastRowLastColumn="0"/>
        </w:trPr>
        <w:tc>
          <w:tcPr>
            <w:tcW w:w="1970" w:type="dxa"/>
          </w:tcPr>
          <w:p w:rsidR="00E12106" w:rsidRPr="00E12106" w:rsidRDefault="00E12106" w:rsidP="00E12106">
            <w:r w:rsidRPr="004526EE">
              <w:t>Ferranti Type TM2c</w:t>
            </w:r>
          </w:p>
        </w:tc>
        <w:tc>
          <w:tcPr>
            <w:tcW w:w="1936" w:type="dxa"/>
          </w:tcPr>
          <w:p w:rsidR="00E12106" w:rsidRPr="00E12106" w:rsidRDefault="00E12106" w:rsidP="00E12106">
            <w:r w:rsidRPr="004526EE">
              <w:t>End of life</w:t>
            </w:r>
          </w:p>
        </w:tc>
        <w:tc>
          <w:tcPr>
            <w:tcW w:w="1657" w:type="dxa"/>
          </w:tcPr>
          <w:p w:rsidR="00E12106" w:rsidRPr="00E12106" w:rsidRDefault="00E12106" w:rsidP="00E12106">
            <w:r w:rsidRPr="004526EE">
              <w:t>1 000</w:t>
            </w:r>
          </w:p>
        </w:tc>
        <w:tc>
          <w:tcPr>
            <w:tcW w:w="1682" w:type="dxa"/>
          </w:tcPr>
          <w:p w:rsidR="00E12106" w:rsidRPr="00E12106" w:rsidRDefault="00E12106" w:rsidP="00E12106">
            <w:r w:rsidRPr="004526EE">
              <w:t>0</w:t>
            </w:r>
          </w:p>
        </w:tc>
        <w:tc>
          <w:tcPr>
            <w:tcW w:w="1448" w:type="dxa"/>
          </w:tcPr>
          <w:p w:rsidR="00E12106" w:rsidRPr="00E12106" w:rsidRDefault="00E12106" w:rsidP="00E12106">
            <w:r w:rsidRPr="004526EE">
              <w:t>1 000</w:t>
            </w:r>
          </w:p>
        </w:tc>
      </w:tr>
      <w:tr w:rsidR="00E12106" w:rsidTr="00E12106">
        <w:tc>
          <w:tcPr>
            <w:tcW w:w="1970" w:type="dxa"/>
          </w:tcPr>
          <w:p w:rsidR="00E12106" w:rsidRPr="00E12106" w:rsidRDefault="00E12106" w:rsidP="00E12106">
            <w:r w:rsidRPr="004526EE">
              <w:t>EMMCO type MC, AS and HMT</w:t>
            </w:r>
          </w:p>
        </w:tc>
        <w:tc>
          <w:tcPr>
            <w:tcW w:w="1936" w:type="dxa"/>
          </w:tcPr>
          <w:p w:rsidR="00E12106" w:rsidRPr="00E12106" w:rsidRDefault="00E12106" w:rsidP="00E12106">
            <w:r w:rsidRPr="004526EE">
              <w:t>Unidentified non–compliant meters</w:t>
            </w:r>
          </w:p>
        </w:tc>
        <w:tc>
          <w:tcPr>
            <w:tcW w:w="1657" w:type="dxa"/>
          </w:tcPr>
          <w:p w:rsidR="00E12106" w:rsidRPr="00E12106" w:rsidRDefault="00E12106" w:rsidP="00E12106">
            <w:r w:rsidRPr="004526EE">
              <w:t>150</w:t>
            </w:r>
          </w:p>
        </w:tc>
        <w:tc>
          <w:tcPr>
            <w:tcW w:w="1682" w:type="dxa"/>
          </w:tcPr>
          <w:p w:rsidR="00E12106" w:rsidRPr="00E12106" w:rsidRDefault="00E12106" w:rsidP="00E12106">
            <w:r w:rsidRPr="004526EE">
              <w:t>150</w:t>
            </w:r>
          </w:p>
        </w:tc>
        <w:tc>
          <w:tcPr>
            <w:tcW w:w="1448" w:type="dxa"/>
          </w:tcPr>
          <w:p w:rsidR="00E12106" w:rsidRPr="00E12106" w:rsidRDefault="00E12106" w:rsidP="00E12106">
            <w:r w:rsidRPr="004526EE">
              <w:t>150</w:t>
            </w:r>
          </w:p>
        </w:tc>
      </w:tr>
      <w:tr w:rsidR="00E12106" w:rsidTr="00E12106">
        <w:trPr>
          <w:cnfStyle w:val="000000010000" w:firstRow="0" w:lastRow="0" w:firstColumn="0" w:lastColumn="0" w:oddVBand="0" w:evenVBand="0" w:oddHBand="0" w:evenHBand="1" w:firstRowFirstColumn="0" w:firstRowLastColumn="0" w:lastRowFirstColumn="0" w:lastRowLastColumn="0"/>
        </w:trPr>
        <w:tc>
          <w:tcPr>
            <w:tcW w:w="1970" w:type="dxa"/>
          </w:tcPr>
          <w:p w:rsidR="00E12106" w:rsidRPr="00E12106" w:rsidRDefault="00E12106" w:rsidP="00E12106">
            <w:r w:rsidRPr="004526EE">
              <w:t>Enermet K410/Tk410</w:t>
            </w:r>
          </w:p>
        </w:tc>
        <w:tc>
          <w:tcPr>
            <w:tcW w:w="1936" w:type="dxa"/>
          </w:tcPr>
          <w:p w:rsidR="00E12106" w:rsidRPr="00E12106" w:rsidRDefault="00E12106" w:rsidP="00E12106">
            <w:r w:rsidRPr="004526EE">
              <w:t>Failing component</w:t>
            </w:r>
          </w:p>
        </w:tc>
        <w:tc>
          <w:tcPr>
            <w:tcW w:w="1657" w:type="dxa"/>
          </w:tcPr>
          <w:p w:rsidR="00E12106" w:rsidRPr="00E12106" w:rsidRDefault="00E12106" w:rsidP="00E12106">
            <w:r w:rsidRPr="004526EE">
              <w:t>2 000</w:t>
            </w:r>
          </w:p>
        </w:tc>
        <w:tc>
          <w:tcPr>
            <w:tcW w:w="1682" w:type="dxa"/>
          </w:tcPr>
          <w:p w:rsidR="00E12106" w:rsidRPr="00E12106" w:rsidRDefault="00E12106" w:rsidP="00E12106">
            <w:r w:rsidRPr="004526EE">
              <w:t>2 000</w:t>
            </w:r>
          </w:p>
        </w:tc>
        <w:tc>
          <w:tcPr>
            <w:tcW w:w="1448" w:type="dxa"/>
          </w:tcPr>
          <w:p w:rsidR="00E12106" w:rsidRPr="00E12106" w:rsidRDefault="00E12106" w:rsidP="00E12106">
            <w:r w:rsidRPr="004526EE">
              <w:t>2 000</w:t>
            </w:r>
          </w:p>
        </w:tc>
      </w:tr>
      <w:tr w:rsidR="00E12106" w:rsidTr="00E12106">
        <w:tc>
          <w:tcPr>
            <w:tcW w:w="1970" w:type="dxa"/>
          </w:tcPr>
          <w:p w:rsidR="00E12106" w:rsidRPr="00E12106" w:rsidRDefault="00E12106" w:rsidP="00E12106">
            <w:r w:rsidRPr="004526EE">
              <w:t>Nilsen EMS 2100</w:t>
            </w:r>
          </w:p>
        </w:tc>
        <w:tc>
          <w:tcPr>
            <w:tcW w:w="1936" w:type="dxa"/>
          </w:tcPr>
          <w:p w:rsidR="00E12106" w:rsidRPr="00E12106" w:rsidRDefault="00E12106" w:rsidP="00E12106">
            <w:r w:rsidRPr="004526EE">
              <w:t>Failing displace</w:t>
            </w:r>
          </w:p>
        </w:tc>
        <w:tc>
          <w:tcPr>
            <w:tcW w:w="1657" w:type="dxa"/>
          </w:tcPr>
          <w:p w:rsidR="00E12106" w:rsidRPr="00E12106" w:rsidRDefault="00E12106" w:rsidP="00E12106">
            <w:r w:rsidRPr="004526EE">
              <w:t>1 300</w:t>
            </w:r>
          </w:p>
        </w:tc>
        <w:tc>
          <w:tcPr>
            <w:tcW w:w="1682" w:type="dxa"/>
          </w:tcPr>
          <w:p w:rsidR="00E12106" w:rsidRPr="00E12106" w:rsidRDefault="00E12106" w:rsidP="00E12106">
            <w:r w:rsidRPr="004526EE">
              <w:t>1 300</w:t>
            </w:r>
          </w:p>
        </w:tc>
        <w:tc>
          <w:tcPr>
            <w:tcW w:w="1448" w:type="dxa"/>
          </w:tcPr>
          <w:p w:rsidR="00E12106" w:rsidRPr="00E12106" w:rsidRDefault="00E12106" w:rsidP="00E12106">
            <w:r w:rsidRPr="004526EE">
              <w:t>1 300</w:t>
            </w:r>
          </w:p>
        </w:tc>
      </w:tr>
      <w:tr w:rsidR="00233E6B" w:rsidTr="00E12106">
        <w:trPr>
          <w:cnfStyle w:val="000000010000" w:firstRow="0" w:lastRow="0" w:firstColumn="0" w:lastColumn="0" w:oddVBand="0" w:evenVBand="0" w:oddHBand="0" w:evenHBand="1" w:firstRowFirstColumn="0" w:firstRowLastColumn="0" w:lastRowFirstColumn="0" w:lastRowLastColumn="0"/>
        </w:trPr>
        <w:tc>
          <w:tcPr>
            <w:tcW w:w="1970" w:type="dxa"/>
          </w:tcPr>
          <w:p w:rsidR="00233E6B" w:rsidRPr="00233E6B" w:rsidRDefault="00233E6B" w:rsidP="00233E6B">
            <w:r>
              <w:t>Sub–total</w:t>
            </w:r>
          </w:p>
        </w:tc>
        <w:tc>
          <w:tcPr>
            <w:tcW w:w="1936" w:type="dxa"/>
          </w:tcPr>
          <w:p w:rsidR="00233E6B" w:rsidRPr="004526EE" w:rsidRDefault="00233E6B" w:rsidP="00233E6B"/>
        </w:tc>
        <w:tc>
          <w:tcPr>
            <w:tcW w:w="1657" w:type="dxa"/>
          </w:tcPr>
          <w:p w:rsidR="00233E6B" w:rsidRPr="00233E6B" w:rsidRDefault="00233E6B" w:rsidP="00233E6B">
            <w:r w:rsidRPr="004526EE">
              <w:t>108 450</w:t>
            </w:r>
          </w:p>
        </w:tc>
        <w:tc>
          <w:tcPr>
            <w:tcW w:w="1682" w:type="dxa"/>
          </w:tcPr>
          <w:p w:rsidR="00233E6B" w:rsidRPr="00233E6B" w:rsidRDefault="00233E6B" w:rsidP="00233E6B">
            <w:r w:rsidRPr="004526EE">
              <w:t>64 519</w:t>
            </w:r>
          </w:p>
        </w:tc>
        <w:tc>
          <w:tcPr>
            <w:tcW w:w="1448" w:type="dxa"/>
          </w:tcPr>
          <w:p w:rsidR="00233E6B" w:rsidRPr="00233E6B" w:rsidRDefault="00233E6B" w:rsidP="00233E6B">
            <w:r w:rsidRPr="004526EE">
              <w:t>108 450</w:t>
            </w:r>
          </w:p>
        </w:tc>
      </w:tr>
      <w:tr w:rsidR="00233E6B" w:rsidTr="00E12106">
        <w:tc>
          <w:tcPr>
            <w:tcW w:w="1970" w:type="dxa"/>
          </w:tcPr>
          <w:p w:rsidR="00233E6B" w:rsidRPr="00233E6B" w:rsidRDefault="00233E6B" w:rsidP="00233E6B">
            <w:pPr>
              <w:rPr>
                <w:rStyle w:val="AERtextboldunderline"/>
              </w:rPr>
            </w:pPr>
            <w:r>
              <w:rPr>
                <w:rStyle w:val="AERtextboldunderline"/>
              </w:rPr>
              <w:t>Obsolete meters</w:t>
            </w:r>
          </w:p>
        </w:tc>
        <w:tc>
          <w:tcPr>
            <w:tcW w:w="1936" w:type="dxa"/>
          </w:tcPr>
          <w:p w:rsidR="00233E6B" w:rsidRDefault="00233E6B" w:rsidP="00233E6B"/>
        </w:tc>
        <w:tc>
          <w:tcPr>
            <w:tcW w:w="1657" w:type="dxa"/>
          </w:tcPr>
          <w:p w:rsidR="00233E6B" w:rsidRPr="004526EE" w:rsidRDefault="00233E6B" w:rsidP="00233E6B"/>
        </w:tc>
        <w:tc>
          <w:tcPr>
            <w:tcW w:w="1682" w:type="dxa"/>
          </w:tcPr>
          <w:p w:rsidR="00233E6B" w:rsidRPr="004526EE" w:rsidRDefault="00233E6B" w:rsidP="00233E6B"/>
        </w:tc>
        <w:tc>
          <w:tcPr>
            <w:tcW w:w="1448" w:type="dxa"/>
          </w:tcPr>
          <w:p w:rsidR="00233E6B" w:rsidRPr="004526EE" w:rsidRDefault="00233E6B" w:rsidP="00233E6B"/>
        </w:tc>
      </w:tr>
      <w:tr w:rsidR="00233E6B" w:rsidTr="00E12106">
        <w:trPr>
          <w:cnfStyle w:val="000000010000" w:firstRow="0" w:lastRow="0" w:firstColumn="0" w:lastColumn="0" w:oddVBand="0" w:evenVBand="0" w:oddHBand="0" w:evenHBand="1" w:firstRowFirstColumn="0" w:firstRowLastColumn="0" w:lastRowFirstColumn="0" w:lastRowLastColumn="0"/>
        </w:trPr>
        <w:tc>
          <w:tcPr>
            <w:tcW w:w="1970" w:type="dxa"/>
          </w:tcPr>
          <w:p w:rsidR="00233E6B" w:rsidRPr="00233E6B" w:rsidRDefault="00233E6B" w:rsidP="00233E6B">
            <w:r>
              <w:t>Obsolete</w:t>
            </w:r>
            <w:r w:rsidRPr="00233E6B">
              <w:t xml:space="preserve"> metering equipment </w:t>
            </w:r>
          </w:p>
        </w:tc>
        <w:tc>
          <w:tcPr>
            <w:tcW w:w="1936" w:type="dxa"/>
          </w:tcPr>
          <w:p w:rsidR="00233E6B" w:rsidRPr="00233E6B" w:rsidRDefault="00233E6B" w:rsidP="00233E6B">
            <w:r>
              <w:t xml:space="preserve">15 percent </w:t>
            </w:r>
            <w:r w:rsidRPr="00233E6B">
              <w:t>of meters replaced to comply with regulatory obligations</w:t>
            </w:r>
          </w:p>
        </w:tc>
        <w:tc>
          <w:tcPr>
            <w:tcW w:w="1657" w:type="dxa"/>
          </w:tcPr>
          <w:p w:rsidR="00233E6B" w:rsidRPr="004526EE" w:rsidRDefault="00233E6B" w:rsidP="00233E6B">
            <w:r>
              <w:t>16 270</w:t>
            </w:r>
          </w:p>
        </w:tc>
        <w:tc>
          <w:tcPr>
            <w:tcW w:w="1682" w:type="dxa"/>
          </w:tcPr>
          <w:p w:rsidR="00233E6B" w:rsidRPr="004526EE" w:rsidRDefault="00233E6B" w:rsidP="00233E6B">
            <w:r>
              <w:t>0</w:t>
            </w:r>
          </w:p>
        </w:tc>
        <w:tc>
          <w:tcPr>
            <w:tcW w:w="1448" w:type="dxa"/>
          </w:tcPr>
          <w:p w:rsidR="00233E6B" w:rsidRPr="004526EE" w:rsidRDefault="000D4C65" w:rsidP="00233E6B">
            <w:r>
              <w:t>0</w:t>
            </w:r>
          </w:p>
        </w:tc>
      </w:tr>
      <w:tr w:rsidR="00233E6B" w:rsidTr="00E12106">
        <w:tc>
          <w:tcPr>
            <w:tcW w:w="1970" w:type="dxa"/>
          </w:tcPr>
          <w:p w:rsidR="00233E6B" w:rsidRPr="00233E6B" w:rsidRDefault="00233E6B" w:rsidP="00233E6B">
            <w:r w:rsidRPr="004526EE">
              <w:t>Total</w:t>
            </w:r>
          </w:p>
        </w:tc>
        <w:tc>
          <w:tcPr>
            <w:tcW w:w="1936" w:type="dxa"/>
          </w:tcPr>
          <w:p w:rsidR="00233E6B" w:rsidRPr="004526EE" w:rsidRDefault="00233E6B" w:rsidP="00233E6B"/>
        </w:tc>
        <w:tc>
          <w:tcPr>
            <w:tcW w:w="1657" w:type="dxa"/>
          </w:tcPr>
          <w:p w:rsidR="00233E6B" w:rsidRPr="00E12106" w:rsidRDefault="00233E6B" w:rsidP="00233E6B">
            <w:r>
              <w:t>124 720</w:t>
            </w:r>
          </w:p>
        </w:tc>
        <w:tc>
          <w:tcPr>
            <w:tcW w:w="1682" w:type="dxa"/>
          </w:tcPr>
          <w:p w:rsidR="00233E6B" w:rsidRPr="00E12106" w:rsidRDefault="00233E6B" w:rsidP="00233E6B">
            <w:r>
              <w:t>64 519</w:t>
            </w:r>
          </w:p>
        </w:tc>
        <w:tc>
          <w:tcPr>
            <w:tcW w:w="1448" w:type="dxa"/>
          </w:tcPr>
          <w:p w:rsidR="00233E6B" w:rsidRPr="00E12106" w:rsidRDefault="000D4C65" w:rsidP="00233E6B">
            <w:r w:rsidRPr="004526EE">
              <w:t>108 450</w:t>
            </w:r>
          </w:p>
        </w:tc>
      </w:tr>
    </w:tbl>
    <w:p w:rsidR="00066CEC" w:rsidRDefault="00E12106" w:rsidP="00066CEC">
      <w:pPr>
        <w:pStyle w:val="Source"/>
      </w:pPr>
      <w:r w:rsidRPr="004526EE">
        <w:t xml:space="preserve">Source: </w:t>
      </w:r>
      <w:r w:rsidRPr="004526EE">
        <w:tab/>
        <w:t xml:space="preserve">AER, </w:t>
      </w:r>
      <w:r w:rsidRPr="004526EE">
        <w:rPr>
          <w:rStyle w:val="AERtextitalic"/>
        </w:rPr>
        <w:t>Response to AER Ergon 043 (2</w:t>
      </w:r>
      <w:proofErr w:type="gramStart"/>
      <w:r w:rsidRPr="004526EE">
        <w:rPr>
          <w:rStyle w:val="AERtextitalic"/>
        </w:rPr>
        <w:t>)(</w:t>
      </w:r>
      <w:proofErr w:type="gramEnd"/>
      <w:r w:rsidRPr="004526EE">
        <w:rPr>
          <w:rStyle w:val="AERtextitalic"/>
        </w:rPr>
        <w:t>3)</w:t>
      </w:r>
      <w:r w:rsidRPr="004526EE">
        <w:t>, 11 February 2015, p. 1–2.</w:t>
      </w:r>
    </w:p>
    <w:p w:rsidR="00EF6822" w:rsidRDefault="000D4C65" w:rsidP="00916002">
      <w:r>
        <w:t xml:space="preserve">Our preliminary and final decisions differ in relation to two categories of meter replacements. </w:t>
      </w:r>
      <w:r>
        <w:fldChar w:fldCharType="begin"/>
      </w:r>
      <w:r>
        <w:instrText xml:space="preserve"> REF _Ref415477938 \h </w:instrText>
      </w:r>
      <w:r>
        <w:fldChar w:fldCharType="separate"/>
      </w:r>
      <w:r w:rsidR="00E01BE0" w:rsidRPr="004526EE">
        <w:t xml:space="preserve">Table </w:t>
      </w:r>
      <w:r w:rsidR="00E01BE0">
        <w:rPr>
          <w:noProof/>
        </w:rPr>
        <w:t>16</w:t>
      </w:r>
      <w:r w:rsidR="00E01BE0">
        <w:t>.</w:t>
      </w:r>
      <w:r w:rsidR="00E01BE0">
        <w:rPr>
          <w:noProof/>
        </w:rPr>
        <w:t>15</w:t>
      </w:r>
      <w:r>
        <w:fldChar w:fldCharType="end"/>
      </w:r>
      <w:r>
        <w:t xml:space="preserve"> above shows </w:t>
      </w:r>
      <w:r w:rsidR="00ED316E">
        <w:t>these are</w:t>
      </w:r>
      <w:r>
        <w:t xml:space="preserve"> </w:t>
      </w:r>
      <w:r w:rsidR="00066CEC">
        <w:t>"Warburton Franki Type WF2"</w:t>
      </w:r>
      <w:r>
        <w:t xml:space="preserve"> and</w:t>
      </w:r>
      <w:r w:rsidR="008974B5">
        <w:t xml:space="preserve"> </w:t>
      </w:r>
      <w:r w:rsidR="00066CEC">
        <w:t>"Ferranti Type TM2c"</w:t>
      </w:r>
      <w:r>
        <w:t xml:space="preserve">. </w:t>
      </w:r>
      <w:r w:rsidR="009A15A4">
        <w:t>For both meter categories, our</w:t>
      </w:r>
      <w:r w:rsidR="00EF6822">
        <w:t xml:space="preserve"> preliminary decision was to </w:t>
      </w:r>
      <w:r w:rsidR="00ED316E">
        <w:t>not approve their replacement.</w:t>
      </w:r>
      <w:r w:rsidR="00EF6822">
        <w:t xml:space="preserve"> </w:t>
      </w:r>
      <w:r w:rsidR="00ED316E">
        <w:t>However, b</w:t>
      </w:r>
      <w:r w:rsidR="009A15A4">
        <w:t>ecause</w:t>
      </w:r>
      <w:r w:rsidR="00EF6822">
        <w:t xml:space="preserve"> Ergon Energ</w:t>
      </w:r>
      <w:r w:rsidR="009A15A4">
        <w:t>y</w:t>
      </w:r>
      <w:r w:rsidR="00ED316E">
        <w:t xml:space="preserve"> has</w:t>
      </w:r>
      <w:r w:rsidR="009A15A4">
        <w:t xml:space="preserve"> provided further information</w:t>
      </w:r>
      <w:r w:rsidR="00ED316E">
        <w:t xml:space="preserve"> with its revised proposal</w:t>
      </w:r>
      <w:r w:rsidR="009A15A4">
        <w:t>,</w:t>
      </w:r>
      <w:r w:rsidR="00EF6822">
        <w:t xml:space="preserve"> our final decision</w:t>
      </w:r>
      <w:r w:rsidR="00ED316E">
        <w:t xml:space="preserve"> departs from that outcome and accepts that the meters in both categories should be replaced.</w:t>
      </w:r>
      <w:r w:rsidR="0095072F">
        <w:t xml:space="preserve"> </w:t>
      </w:r>
    </w:p>
    <w:p w:rsidR="0095072F" w:rsidRDefault="000064CD" w:rsidP="000064CD">
      <w:r>
        <w:t>With regard to the Warburton Franki category, we have decided to accept the proposed replacements (42 781</w:t>
      </w:r>
      <w:r w:rsidR="0095072F">
        <w:t xml:space="preserve"> meters</w:t>
      </w:r>
      <w:r>
        <w:t xml:space="preserve">) </w:t>
      </w:r>
      <w:r w:rsidR="0095072F">
        <w:t xml:space="preserve">because </w:t>
      </w:r>
      <w:r w:rsidR="00ED316E">
        <w:t xml:space="preserve">Ergon Energy provided </w:t>
      </w:r>
      <w:r w:rsidR="0095072F">
        <w:t xml:space="preserve">additional information about </w:t>
      </w:r>
      <w:r w:rsidR="00ED316E">
        <w:t xml:space="preserve">its </w:t>
      </w:r>
      <w:r w:rsidR="0095072F">
        <w:t>regulatory obligations</w:t>
      </w:r>
      <w:r>
        <w:t xml:space="preserve">. </w:t>
      </w:r>
      <w:r w:rsidR="0095072F">
        <w:t xml:space="preserve">In particular, </w:t>
      </w:r>
      <w:r w:rsidR="002929A2">
        <w:t>Ergon Energy</w:t>
      </w:r>
      <w:r w:rsidR="00970F54">
        <w:t xml:space="preserve"> </w:t>
      </w:r>
      <w:r w:rsidR="0095072F">
        <w:t xml:space="preserve">provided us </w:t>
      </w:r>
      <w:r w:rsidR="0095072F">
        <w:lastRenderedPageBreak/>
        <w:t>with i</w:t>
      </w:r>
      <w:r w:rsidR="00970F54">
        <w:t xml:space="preserve">nformation showing that </w:t>
      </w:r>
      <w:r w:rsidR="002929A2">
        <w:t>its</w:t>
      </w:r>
      <w:r w:rsidR="00970F54">
        <w:t xml:space="preserve"> initial proposal </w:t>
      </w:r>
      <w:r w:rsidR="0095072F">
        <w:t>misrepre</w:t>
      </w:r>
      <w:r w:rsidR="00970F54">
        <w:t>sented its obligations under Australian Standard 1284.13</w:t>
      </w:r>
      <w:r>
        <w:t>.</w:t>
      </w:r>
      <w:r w:rsidR="005B0F5F">
        <w:rPr>
          <w:rStyle w:val="FootnoteReference"/>
        </w:rPr>
        <w:footnoteReference w:id="100"/>
      </w:r>
      <w:r>
        <w:t xml:space="preserve"> </w:t>
      </w:r>
      <w:r w:rsidR="002C6A6B">
        <w:t xml:space="preserve">We agree that when </w:t>
      </w:r>
      <w:r w:rsidR="003D1037">
        <w:t xml:space="preserve">this </w:t>
      </w:r>
      <w:r w:rsidR="00E71EA3">
        <w:t>was corrected</w:t>
      </w:r>
      <w:r>
        <w:t xml:space="preserve">, </w:t>
      </w:r>
      <w:r w:rsidR="00970F54">
        <w:t xml:space="preserve">it </w:t>
      </w:r>
      <w:r w:rsidR="003D1037">
        <w:t>was clear</w:t>
      </w:r>
      <w:r w:rsidR="00970F54">
        <w:t xml:space="preserve"> that Ergon Energy is under a regulatory obligation to replace the</w:t>
      </w:r>
      <w:r w:rsidR="0095072F">
        <w:t xml:space="preserve"> Warburton Franki </w:t>
      </w:r>
      <w:r w:rsidR="00970F54">
        <w:t>meters</w:t>
      </w:r>
      <w:r w:rsidR="0095072F">
        <w:t>.</w:t>
      </w:r>
    </w:p>
    <w:p w:rsidR="006A1337" w:rsidRDefault="00C3669C" w:rsidP="000064CD">
      <w:r>
        <w:t>Broadly, the</w:t>
      </w:r>
      <w:r w:rsidR="00970F54">
        <w:t xml:space="preserve"> </w:t>
      </w:r>
      <w:r w:rsidR="00275B25">
        <w:t xml:space="preserve">error </w:t>
      </w:r>
      <w:r w:rsidR="00970F54">
        <w:t>in Ergon Energy's initial proposal overstated</w:t>
      </w:r>
      <w:r w:rsidR="009A15A4">
        <w:t xml:space="preserve"> the </w:t>
      </w:r>
      <w:r w:rsidR="006A1337">
        <w:t xml:space="preserve">electricity distributor's </w:t>
      </w:r>
      <w:r w:rsidR="002C6A6B">
        <w:t>regulatory requirements</w:t>
      </w:r>
      <w:r w:rsidR="006A1337">
        <w:t xml:space="preserve"> in Australian Standard 1284.13</w:t>
      </w:r>
      <w:r w:rsidR="00970F54">
        <w:t>. In its initial proposal,</w:t>
      </w:r>
      <w:r w:rsidR="002C6A6B">
        <w:t xml:space="preserve"> for a meter population to be replaced</w:t>
      </w:r>
      <w:r w:rsidR="00970F54">
        <w:t xml:space="preserve"> Ergon Energy stated that </w:t>
      </w:r>
      <w:r w:rsidR="002C6A6B">
        <w:t>a sample</w:t>
      </w:r>
      <w:r w:rsidR="00970F54">
        <w:t xml:space="preserve"> </w:t>
      </w:r>
      <w:r w:rsidR="009A15A4">
        <w:t xml:space="preserve">of that population </w:t>
      </w:r>
      <w:r w:rsidR="002929A2">
        <w:t>must</w:t>
      </w:r>
      <w:r w:rsidR="00970F54">
        <w:t xml:space="preserve"> fail accuracy limits</w:t>
      </w:r>
      <w:r w:rsidR="002C6A6B">
        <w:t xml:space="preserve"> </w:t>
      </w:r>
      <w:r w:rsidR="00970F54">
        <w:t xml:space="preserve">at both a light </w:t>
      </w:r>
      <w:r w:rsidR="00970F54" w:rsidRPr="00970F54">
        <w:rPr>
          <w:rStyle w:val="AERtextboldunderline"/>
        </w:rPr>
        <w:t>and</w:t>
      </w:r>
      <w:r w:rsidR="00970F54">
        <w:t xml:space="preserve"> full load</w:t>
      </w:r>
      <w:r w:rsidR="002C6A6B">
        <w:t>.</w:t>
      </w:r>
      <w:r w:rsidR="00C97BC0">
        <w:rPr>
          <w:rStyle w:val="FootnoteReference"/>
        </w:rPr>
        <w:footnoteReference w:id="101"/>
      </w:r>
      <w:r w:rsidR="002C6A6B">
        <w:t xml:space="preserve"> </w:t>
      </w:r>
      <w:r w:rsidR="006A1337">
        <w:t>T</w:t>
      </w:r>
      <w:r w:rsidR="002C6A6B">
        <w:t>he Warburton Franki meter</w:t>
      </w:r>
      <w:r>
        <w:t>s</w:t>
      </w:r>
      <w:r w:rsidR="002C6A6B">
        <w:t xml:space="preserve"> </w:t>
      </w:r>
      <w:r w:rsidR="006A1337">
        <w:t>h</w:t>
      </w:r>
      <w:r>
        <w:t>ave</w:t>
      </w:r>
      <w:r w:rsidR="006A1337">
        <w:t xml:space="preserve"> failed</w:t>
      </w:r>
      <w:r w:rsidR="002C6A6B">
        <w:t xml:space="preserve"> </w:t>
      </w:r>
      <w:r w:rsidR="006A1337">
        <w:t>accuracy limits at a light load only</w:t>
      </w:r>
      <w:r w:rsidR="00ED316E">
        <w:t>. On that basis,</w:t>
      </w:r>
      <w:r w:rsidR="006A1337">
        <w:t xml:space="preserve"> our</w:t>
      </w:r>
      <w:r w:rsidR="002C6A6B">
        <w:t xml:space="preserve"> preliminary decision did not accept </w:t>
      </w:r>
      <w:r w:rsidR="006A1337">
        <w:t>the</w:t>
      </w:r>
      <w:r w:rsidR="002C6A6B">
        <w:t xml:space="preserve"> replacement </w:t>
      </w:r>
      <w:r>
        <w:t>of them</w:t>
      </w:r>
      <w:r w:rsidR="006A1337">
        <w:t>.</w:t>
      </w:r>
      <w:r w:rsidR="00C97BC0">
        <w:rPr>
          <w:rStyle w:val="FootnoteReference"/>
        </w:rPr>
        <w:footnoteReference w:id="102"/>
      </w:r>
    </w:p>
    <w:p w:rsidR="002C6A6B" w:rsidRDefault="00C3669C" w:rsidP="000064CD">
      <w:r>
        <w:t xml:space="preserve">In its revised proposal, </w:t>
      </w:r>
      <w:r w:rsidR="006A1337">
        <w:t xml:space="preserve">Ergon Energy </w:t>
      </w:r>
      <w:r w:rsidR="00911DF5">
        <w:t>clarified</w:t>
      </w:r>
      <w:r w:rsidR="006A1337">
        <w:t xml:space="preserve"> that Australian Standard 1284.13 requires the replacement of a meter </w:t>
      </w:r>
      <w:r>
        <w:t>population</w:t>
      </w:r>
      <w:r w:rsidR="006A1337">
        <w:t xml:space="preserve"> where a sample</w:t>
      </w:r>
      <w:r>
        <w:t xml:space="preserve"> fails</w:t>
      </w:r>
      <w:r w:rsidR="006A1337">
        <w:t xml:space="preserve"> accuracy limits </w:t>
      </w:r>
      <w:r w:rsidR="002929A2">
        <w:t xml:space="preserve">at either a light </w:t>
      </w:r>
      <w:r w:rsidR="002929A2" w:rsidRPr="002929A2">
        <w:rPr>
          <w:rStyle w:val="AERtextboldunderline"/>
        </w:rPr>
        <w:t>or</w:t>
      </w:r>
      <w:r w:rsidR="002929A2">
        <w:t xml:space="preserve"> full load.</w:t>
      </w:r>
      <w:r w:rsidR="00C97BC0">
        <w:rPr>
          <w:rStyle w:val="FootnoteReference"/>
        </w:rPr>
        <w:footnoteReference w:id="103"/>
      </w:r>
      <w:r w:rsidR="002929A2">
        <w:t xml:space="preserve"> </w:t>
      </w:r>
      <w:r w:rsidR="006A1337">
        <w:t>We agree that this is the correct reading.</w:t>
      </w:r>
      <w:r w:rsidR="00C97BC0">
        <w:rPr>
          <w:rStyle w:val="FootnoteReference"/>
        </w:rPr>
        <w:footnoteReference w:id="104"/>
      </w:r>
      <w:r w:rsidR="006A1337">
        <w:t xml:space="preserve"> </w:t>
      </w:r>
      <w:r>
        <w:t>W</w:t>
      </w:r>
      <w:r w:rsidR="002929A2">
        <w:t xml:space="preserve">hen </w:t>
      </w:r>
      <w:r w:rsidR="006A1337">
        <w:t>it</w:t>
      </w:r>
      <w:r w:rsidR="002929A2">
        <w:t xml:space="preserve"> is adopted, we</w:t>
      </w:r>
      <w:r>
        <w:t xml:space="preserve"> </w:t>
      </w:r>
      <w:r w:rsidR="002929A2">
        <w:t>accept that</w:t>
      </w:r>
      <w:r w:rsidR="006A1337">
        <w:t xml:space="preserve"> the</w:t>
      </w:r>
      <w:r w:rsidR="002929A2">
        <w:t xml:space="preserve"> Warburton Franki</w:t>
      </w:r>
      <w:r w:rsidR="006E75ED">
        <w:t xml:space="preserve"> category of</w:t>
      </w:r>
      <w:r w:rsidR="002929A2">
        <w:t xml:space="preserve"> meters must be replaced</w:t>
      </w:r>
      <w:r w:rsidR="006A1337">
        <w:t xml:space="preserve">. </w:t>
      </w:r>
      <w:r w:rsidR="003D1037">
        <w:t xml:space="preserve">This category </w:t>
      </w:r>
      <w:r>
        <w:t>fails</w:t>
      </w:r>
      <w:r w:rsidR="006E75ED">
        <w:t xml:space="preserve"> the accuracy</w:t>
      </w:r>
      <w:r>
        <w:t xml:space="preserve"> </w:t>
      </w:r>
      <w:r w:rsidR="006E75ED">
        <w:t>limits set for a light load and hence must be replaced in accordance with Australia Standard 1284.13.</w:t>
      </w:r>
    </w:p>
    <w:p w:rsidR="004E229D" w:rsidRDefault="00474654" w:rsidP="000064CD">
      <w:r>
        <w:t xml:space="preserve">As for the Ferranti TM2 category, </w:t>
      </w:r>
      <w:r w:rsidR="009A395B">
        <w:t>Ergon Energy provided</w:t>
      </w:r>
      <w:r w:rsidR="00911DF5">
        <w:t xml:space="preserve"> further information</w:t>
      </w:r>
      <w:r w:rsidR="009A395B">
        <w:t xml:space="preserve"> in its revised pro</w:t>
      </w:r>
      <w:r w:rsidR="0001188E">
        <w:t>posal regarding why it considered</w:t>
      </w:r>
      <w:r w:rsidR="009A395B">
        <w:t xml:space="preserve"> these meters should be replaced</w:t>
      </w:r>
      <w:r>
        <w:t xml:space="preserve">. </w:t>
      </w:r>
      <w:r w:rsidR="001B6C5A">
        <w:t>It</w:t>
      </w:r>
      <w:r>
        <w:t xml:space="preserve"> noted that the population size of </w:t>
      </w:r>
      <w:r w:rsidR="0030504F">
        <w:t>these meters</w:t>
      </w:r>
      <w:r w:rsidR="0098180C">
        <w:t xml:space="preserve"> is small</w:t>
      </w:r>
      <w:r>
        <w:t xml:space="preserve">. </w:t>
      </w:r>
      <w:r w:rsidR="001B6C5A">
        <w:t xml:space="preserve">Ergon Energy </w:t>
      </w:r>
      <w:r>
        <w:t>stated that because of this small size, it is more efficient to replace the whole populati</w:t>
      </w:r>
      <w:r w:rsidR="00725B40">
        <w:t>on than to conduct the testing required to determi</w:t>
      </w:r>
      <w:r w:rsidR="001B6C5A">
        <w:t>ne if replacement should occur.</w:t>
      </w:r>
      <w:r w:rsidR="00C97BC0">
        <w:rPr>
          <w:rStyle w:val="FootnoteReference"/>
        </w:rPr>
        <w:footnoteReference w:id="105"/>
      </w:r>
      <w:r w:rsidR="001B6C5A">
        <w:t xml:space="preserve"> In this particular instance, we agree that this may be the case.</w:t>
      </w:r>
    </w:p>
    <w:p w:rsidR="0098180C" w:rsidRDefault="0098180C" w:rsidP="000064CD">
      <w:r>
        <w:t xml:space="preserve">The Ferranti TM2 category is made up of 1000 meters. Under Australia Standard 1284.13, </w:t>
      </w:r>
      <w:r w:rsidR="00D350BE">
        <w:t>to determine if a population of this size should be replaced, a sample of</w:t>
      </w:r>
      <w:r>
        <w:t xml:space="preserve"> </w:t>
      </w:r>
      <w:r w:rsidR="00D350BE">
        <w:t xml:space="preserve">at least </w:t>
      </w:r>
      <w:r>
        <w:t xml:space="preserve">80 meters </w:t>
      </w:r>
      <w:r w:rsidR="00D350BE">
        <w:t>must be</w:t>
      </w:r>
      <w:r>
        <w:t xml:space="preserve"> tested.</w:t>
      </w:r>
      <w:r w:rsidR="00C97BC0">
        <w:rPr>
          <w:rStyle w:val="FootnoteReference"/>
        </w:rPr>
        <w:footnoteReference w:id="106"/>
      </w:r>
      <w:r>
        <w:t xml:space="preserve"> Given that this relatively small </w:t>
      </w:r>
      <w:r w:rsidR="00D350BE">
        <w:t>number</w:t>
      </w:r>
      <w:r>
        <w:t xml:space="preserve"> of meters may be spread out across Ergon Energy's network, identifying the</w:t>
      </w:r>
      <w:r w:rsidR="00D350BE">
        <w:t>ir</w:t>
      </w:r>
      <w:r>
        <w:t xml:space="preserve"> location </w:t>
      </w:r>
      <w:r w:rsidR="00D350BE">
        <w:t>and visiting each site may be impractical and costly</w:t>
      </w:r>
      <w:r>
        <w:t>. We also note that a</w:t>
      </w:r>
      <w:r w:rsidR="00662BC4">
        <w:t>t over 50 years of age, t</w:t>
      </w:r>
      <w:r w:rsidR="009A395B">
        <w:t xml:space="preserve">he </w:t>
      </w:r>
      <w:r w:rsidR="001B6C5A">
        <w:t xml:space="preserve">Ferranti TM2 meters </w:t>
      </w:r>
      <w:r w:rsidR="00D350BE">
        <w:t>are</w:t>
      </w:r>
      <w:r w:rsidR="00662BC4">
        <w:t xml:space="preserve"> aging. </w:t>
      </w:r>
      <w:r>
        <w:t>In these circumstances there is a reasonable probability that</w:t>
      </w:r>
      <w:r w:rsidR="00662BC4">
        <w:t xml:space="preserve"> testing will reveal that</w:t>
      </w:r>
      <w:r>
        <w:t xml:space="preserve"> they are</w:t>
      </w:r>
      <w:r w:rsidR="00662BC4">
        <w:t xml:space="preserve"> no longer recording electricity usage within the accuracy limits established in Australia Standard 1284.13.</w:t>
      </w:r>
      <w:r>
        <w:t xml:space="preserve"> </w:t>
      </w:r>
      <w:r w:rsidR="00D350BE">
        <w:t>We con</w:t>
      </w:r>
      <w:r w:rsidR="006F4C51">
        <w:t>sider</w:t>
      </w:r>
      <w:r w:rsidR="00D350BE">
        <w:t xml:space="preserve"> that the proposed replacement of the Ferranti TM2 category is reasonable, given their</w:t>
      </w:r>
      <w:r w:rsidR="00CF6791">
        <w:t xml:space="preserve"> age and</w:t>
      </w:r>
      <w:r w:rsidR="00D350BE">
        <w:t xml:space="preserve"> </w:t>
      </w:r>
      <w:r w:rsidR="00CF6791">
        <w:t xml:space="preserve">relatively small </w:t>
      </w:r>
      <w:r w:rsidR="00C8063D">
        <w:t>population</w:t>
      </w:r>
      <w:r w:rsidR="00D350BE">
        <w:t xml:space="preserve">. </w:t>
      </w:r>
    </w:p>
    <w:p w:rsidR="0069114A" w:rsidRDefault="00313A82" w:rsidP="0069114A">
      <w:r>
        <w:t>We have not accepted a category of replacements i</w:t>
      </w:r>
      <w:r w:rsidR="004E229D">
        <w:t>n this final decision</w:t>
      </w:r>
      <w:r>
        <w:t xml:space="preserve"> called "</w:t>
      </w:r>
      <w:r w:rsidR="00C62182">
        <w:t>Obsolete Metering E</w:t>
      </w:r>
      <w:r>
        <w:t xml:space="preserve">quipment". The </w:t>
      </w:r>
      <w:r w:rsidR="004E229D">
        <w:t>forecast number of</w:t>
      </w:r>
      <w:r w:rsidR="00D350BE">
        <w:t xml:space="preserve"> replacements in this category </w:t>
      </w:r>
      <w:r w:rsidR="00D350BE">
        <w:lastRenderedPageBreak/>
        <w:t>is 16 270 meters</w:t>
      </w:r>
      <w:r>
        <w:t xml:space="preserve">. </w:t>
      </w:r>
      <w:r w:rsidR="00D350BE">
        <w:t xml:space="preserve">It was </w:t>
      </w:r>
      <w:r w:rsidR="0069114A">
        <w:t xml:space="preserve">calculated by adding a </w:t>
      </w:r>
      <w:r w:rsidR="00C8063D">
        <w:t>percentage</w:t>
      </w:r>
      <w:r w:rsidR="0069114A">
        <w:t xml:space="preserve"> allowance on top of the number of meters </w:t>
      </w:r>
      <w:r w:rsidR="00D350BE">
        <w:t>Ergon Energy</w:t>
      </w:r>
      <w:r w:rsidR="0069114A">
        <w:t xml:space="preserve"> forecasts to replace</w:t>
      </w:r>
      <w:r w:rsidR="00D350BE">
        <w:t xml:space="preserve"> in the 2015–20 regulatory control period</w:t>
      </w:r>
      <w:r w:rsidR="0069114A">
        <w:t>. This is to provide '</w:t>
      </w:r>
      <w:r w:rsidR="0069114A" w:rsidRPr="00C62182">
        <w:t>a financial allowance to perform unexpected</w:t>
      </w:r>
      <w:r w:rsidR="0069114A">
        <w:t xml:space="preserve"> </w:t>
      </w:r>
      <w:r w:rsidR="0069114A" w:rsidRPr="00C62182">
        <w:t>additional work while on site to change a targeted meter under the Non-Compliant and End of Life</w:t>
      </w:r>
      <w:r w:rsidR="0069114A">
        <w:t xml:space="preserve"> Programs'.</w:t>
      </w:r>
      <w:r w:rsidR="005124D4">
        <w:rPr>
          <w:rStyle w:val="FootnoteReference"/>
        </w:rPr>
        <w:footnoteReference w:id="107"/>
      </w:r>
      <w:r w:rsidR="0069114A">
        <w:t xml:space="preserve"> </w:t>
      </w:r>
    </w:p>
    <w:p w:rsidR="00623738" w:rsidRDefault="00D350BE" w:rsidP="0069114A">
      <w:r>
        <w:t xml:space="preserve">We do not consider Ergon Energy requires a financial allowance to perform unexpected additional work. </w:t>
      </w:r>
      <w:r w:rsidR="00F61F8B">
        <w:t>We maintain our preliminary decision accepting</w:t>
      </w:r>
      <w:r w:rsidR="00003D76">
        <w:t xml:space="preserve"> Ergon Energy's proposed corrective maintenance capex allowance. This provides an allowance to cover the corrective maintenance of 49 250 meters in the 2015–20 regulatory control </w:t>
      </w:r>
      <w:proofErr w:type="gramStart"/>
      <w:r w:rsidR="00003D76">
        <w:t>period</w:t>
      </w:r>
      <w:proofErr w:type="gramEnd"/>
      <w:r w:rsidR="00003D76">
        <w:t xml:space="preserve">. We therefore consider the proposal for an additional allowance to perform similar work would provide Ergon Energy with revenue in excess of the amount required to cover its efficient costs. </w:t>
      </w:r>
      <w:r w:rsidR="00F61F8B">
        <w:t>On that basis, the Obsolete Metering Equipment replacement forecast is not accepted.</w:t>
      </w:r>
      <w:r>
        <w:t xml:space="preserve"> </w:t>
      </w:r>
    </w:p>
    <w:p w:rsidR="00D350BE" w:rsidRPr="00307CCD" w:rsidRDefault="00623738" w:rsidP="00307CCD">
      <w:pPr>
        <w:pStyle w:val="HeadingOrange"/>
        <w:rPr>
          <w:rStyle w:val="AERtextitalic"/>
          <w:i w:val="0"/>
        </w:rPr>
      </w:pPr>
      <w:r w:rsidRPr="00307CCD">
        <w:rPr>
          <w:rStyle w:val="AERtextitalic"/>
          <w:i w:val="0"/>
        </w:rPr>
        <w:t>Overheads</w:t>
      </w:r>
      <w:r w:rsidR="00D350BE" w:rsidRPr="00307CCD">
        <w:rPr>
          <w:rStyle w:val="AERtextitalic"/>
          <w:i w:val="0"/>
        </w:rPr>
        <w:t xml:space="preserve"> </w:t>
      </w:r>
    </w:p>
    <w:p w:rsidR="00623738" w:rsidRDefault="00623738" w:rsidP="00623738">
      <w:r>
        <w:t>We accept Ergon Energy's proposed overhead allowance of $23.8 million ($2014–15).</w:t>
      </w:r>
    </w:p>
    <w:p w:rsidR="00623738" w:rsidRPr="007D1FD1" w:rsidRDefault="00644987" w:rsidP="00623738">
      <w:r>
        <w:t>Our final decision found that the</w:t>
      </w:r>
      <w:r w:rsidR="00BD222D">
        <w:t xml:space="preserve"> proposed overhead allowance was calculated in accordance with Ergon Energy's approved cost allocation methodology</w:t>
      </w:r>
      <w:r w:rsidR="00107055">
        <w:t xml:space="preserve"> (CAM)</w:t>
      </w:r>
      <w:r w:rsidR="00BD222D">
        <w:t>.</w:t>
      </w:r>
      <w:r w:rsidR="00BD222D">
        <w:rPr>
          <w:rStyle w:val="FootnoteReference"/>
        </w:rPr>
        <w:footnoteReference w:id="108"/>
      </w:r>
      <w:r w:rsidR="00107055">
        <w:t xml:space="preserve"> This involved, first, calculating a "shared cost percentage" rate.</w:t>
      </w:r>
      <w:r w:rsidR="00107055">
        <w:rPr>
          <w:rStyle w:val="FootnoteReference"/>
        </w:rPr>
        <w:footnoteReference w:id="109"/>
      </w:r>
      <w:r w:rsidR="00107055">
        <w:t xml:space="preserve"> </w:t>
      </w:r>
      <w:r>
        <w:t>In accordance with its approved CAM, the</w:t>
      </w:r>
      <w:r w:rsidR="00107055">
        <w:t xml:space="preserve"> next step Ergon Energy took was</w:t>
      </w:r>
      <w:r>
        <w:t xml:space="preserve"> to multiply that </w:t>
      </w:r>
      <w:r w:rsidR="00107055">
        <w:t>rate by its regu</w:t>
      </w:r>
      <w:r>
        <w:t>lated capex overhead allowance.</w:t>
      </w:r>
      <w:r>
        <w:rPr>
          <w:rStyle w:val="FootnoteReference"/>
        </w:rPr>
        <w:footnoteReference w:id="110"/>
      </w:r>
      <w:r>
        <w:t xml:space="preserve"> The result of this calculation is the proposed capex allowance of $23.8 million (2014–15); which we have approved in this final decision.</w:t>
      </w:r>
      <w:r w:rsidR="00107055">
        <w:t xml:space="preserve"> </w:t>
      </w:r>
    </w:p>
    <w:p w:rsidR="00FE47E1" w:rsidRPr="00C81995" w:rsidRDefault="00F61F8B" w:rsidP="00C81995">
      <w:pPr>
        <w:pStyle w:val="HeadingBoldItalic"/>
      </w:pPr>
      <w:r w:rsidRPr="00C81995">
        <w:t>Forecast opex</w:t>
      </w:r>
    </w:p>
    <w:p w:rsidR="008D493F" w:rsidRPr="008D493F" w:rsidRDefault="008D493F" w:rsidP="00FE47E1">
      <w:pPr>
        <w:rPr>
          <w:rStyle w:val="AERbody"/>
        </w:rPr>
      </w:pPr>
      <w:r>
        <w:rPr>
          <w:rStyle w:val="AERbody"/>
        </w:rPr>
        <w:t>Our final decision</w:t>
      </w:r>
      <w:r w:rsidR="00307CCD">
        <w:rPr>
          <w:rStyle w:val="AERbody"/>
        </w:rPr>
        <w:t xml:space="preserve"> approves $166.2 million ($2014</w:t>
      </w:r>
      <w:r w:rsidR="00307CCD">
        <w:rPr>
          <w:rStyle w:val="AERbody"/>
          <w:rFonts w:cs="Arial"/>
        </w:rPr>
        <w:t>─</w:t>
      </w:r>
      <w:r>
        <w:rPr>
          <w:rStyle w:val="AERbody"/>
        </w:rPr>
        <w:t>15) in forecast metering opex for the 2015</w:t>
      </w:r>
      <w:r>
        <w:rPr>
          <w:rStyle w:val="AERbody"/>
        </w:rPr>
        <w:softHyphen/>
      </w:r>
      <w:r>
        <w:rPr>
          <w:rStyle w:val="AERbody"/>
        </w:rPr>
        <w:softHyphen/>
        <w:t xml:space="preserve">–20 regulatory control period. </w:t>
      </w:r>
    </w:p>
    <w:p w:rsidR="008D493F" w:rsidRDefault="008D493F" w:rsidP="008D493F">
      <w:pPr>
        <w:pStyle w:val="Caption"/>
      </w:pPr>
      <w:proofErr w:type="gramStart"/>
      <w:r>
        <w:lastRenderedPageBreak/>
        <w:t xml:space="preserve">Figure </w:t>
      </w:r>
      <w:proofErr w:type="gramEnd"/>
      <w:r w:rsidR="00952838">
        <w:fldChar w:fldCharType="begin"/>
      </w:r>
      <w:r w:rsidR="00952838">
        <w:instrText xml:space="preserve"> STYLEREF 1 \s </w:instrText>
      </w:r>
      <w:r w:rsidR="00952838">
        <w:fldChar w:fldCharType="separate"/>
      </w:r>
      <w:r w:rsidR="00F91916">
        <w:rPr>
          <w:noProof/>
        </w:rPr>
        <w:t>16</w:t>
      </w:r>
      <w:r w:rsidR="00952838">
        <w:rPr>
          <w:noProof/>
        </w:rPr>
        <w:fldChar w:fldCharType="end"/>
      </w:r>
      <w:proofErr w:type="gramStart"/>
      <w:r w:rsidR="00F91916">
        <w:t>.</w:t>
      </w:r>
      <w:proofErr w:type="gramEnd"/>
      <w:r w:rsidR="00F91916">
        <w:fldChar w:fldCharType="begin"/>
      </w:r>
      <w:r w:rsidR="00F91916">
        <w:instrText xml:space="preserve"> SEQ Figure \* ARABIC \s 1 </w:instrText>
      </w:r>
      <w:r w:rsidR="00F91916">
        <w:fldChar w:fldCharType="separate"/>
      </w:r>
      <w:r w:rsidR="00F91916">
        <w:rPr>
          <w:noProof/>
        </w:rPr>
        <w:t>4</w:t>
      </w:r>
      <w:r w:rsidR="00F91916">
        <w:fldChar w:fldCharType="end"/>
      </w:r>
      <w:r w:rsidR="00307CCD">
        <w:tab/>
      </w:r>
      <w:r w:rsidR="00307CCD">
        <w:tab/>
      </w:r>
      <w:r>
        <w:t>Proposed and approved forecast metering opex</w:t>
      </w:r>
    </w:p>
    <w:p w:rsidR="008D493F" w:rsidRDefault="008D493F" w:rsidP="001A504E">
      <w:pPr>
        <w:rPr>
          <w:rStyle w:val="AERtextitalic"/>
        </w:rPr>
      </w:pPr>
      <w:r>
        <w:rPr>
          <w:i/>
          <w:noProof/>
          <w:lang w:eastAsia="en-AU"/>
        </w:rPr>
        <w:drawing>
          <wp:inline distT="0" distB="0" distL="0" distR="0" wp14:anchorId="1B991A45" wp14:editId="5B91853C">
            <wp:extent cx="4572635"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782336" w:rsidRPr="00307CCD" w:rsidRDefault="00C50379" w:rsidP="00307CCD">
      <w:pPr>
        <w:pStyle w:val="HeadingItalic"/>
        <w:rPr>
          <w:rStyle w:val="AERtextitalic"/>
          <w:i/>
        </w:rPr>
      </w:pPr>
      <w:r w:rsidRPr="00307CCD">
        <w:rPr>
          <w:rStyle w:val="AERtextitalic"/>
          <w:i/>
        </w:rPr>
        <w:t>Base</w:t>
      </w:r>
    </w:p>
    <w:p w:rsidR="00C50379" w:rsidRDefault="004B1823" w:rsidP="001A504E">
      <w:pPr>
        <w:rPr>
          <w:rStyle w:val="AERbody"/>
        </w:rPr>
      </w:pPr>
      <w:r>
        <w:rPr>
          <w:rStyle w:val="AERbody"/>
        </w:rPr>
        <w:t>As opex is largely recurrent, we use</w:t>
      </w:r>
      <w:r w:rsidR="00C50379">
        <w:rPr>
          <w:rStyle w:val="AERbody"/>
        </w:rPr>
        <w:t xml:space="preserve"> historical opex as the starting point</w:t>
      </w:r>
      <w:r>
        <w:rPr>
          <w:rStyle w:val="AERbody"/>
        </w:rPr>
        <w:t xml:space="preserve"> for establishing an efficient base level of opex. As such, t</w:t>
      </w:r>
      <w:r w:rsidR="00C50379">
        <w:rPr>
          <w:rStyle w:val="AERbody"/>
        </w:rPr>
        <w:t xml:space="preserve">he main issue was resolving Ergon Energy's actual historical metering opex. </w:t>
      </w:r>
    </w:p>
    <w:p w:rsidR="00C50379" w:rsidRDefault="00C50379" w:rsidP="001A504E">
      <w:pPr>
        <w:rPr>
          <w:rStyle w:val="AERbody"/>
        </w:rPr>
      </w:pPr>
      <w:r>
        <w:rPr>
          <w:rStyle w:val="AERbody"/>
        </w:rPr>
        <w:t xml:space="preserve">For the preliminary decision, we relied upon Ergon Energy's economic benchmarking RIN data rather than </w:t>
      </w:r>
      <w:r w:rsidR="00E55F7A">
        <w:rPr>
          <w:rStyle w:val="AERbody"/>
        </w:rPr>
        <w:t xml:space="preserve">the </w:t>
      </w:r>
      <w:r>
        <w:rPr>
          <w:rStyle w:val="AERbody"/>
        </w:rPr>
        <w:t>revised</w:t>
      </w:r>
      <w:r w:rsidR="00E55F7A">
        <w:rPr>
          <w:rStyle w:val="AERbody"/>
        </w:rPr>
        <w:t xml:space="preserve"> calculation of</w:t>
      </w:r>
      <w:r>
        <w:rPr>
          <w:rStyle w:val="AERbody"/>
        </w:rPr>
        <w:t xml:space="preserve"> historical metering opex included in its initial regulatory proposal.</w:t>
      </w:r>
      <w:r w:rsidR="00FD4781">
        <w:rPr>
          <w:rStyle w:val="FootnoteReference"/>
        </w:rPr>
        <w:footnoteReference w:id="111"/>
      </w:r>
    </w:p>
    <w:p w:rsidR="00226411" w:rsidRDefault="00D153BC" w:rsidP="001A504E">
      <w:pPr>
        <w:rPr>
          <w:rStyle w:val="AERbody"/>
        </w:rPr>
      </w:pPr>
      <w:r>
        <w:rPr>
          <w:rStyle w:val="AERbody"/>
        </w:rPr>
        <w:t xml:space="preserve">Ergon Energy </w:t>
      </w:r>
      <w:r w:rsidR="00226411">
        <w:rPr>
          <w:rStyle w:val="AERbody"/>
        </w:rPr>
        <w:t xml:space="preserve">maintained in its revised proposal that relying on economic benchmarking RIN data understates its alternative control services metering opex requirements. Ergon Energy explained that this is because </w:t>
      </w:r>
      <w:r>
        <w:rPr>
          <w:rStyle w:val="AERbody"/>
        </w:rPr>
        <w:t xml:space="preserve">it omitted certain metering opex relating to meter queries, maintaining meter equipment, alterations and additions of meters and final meter reads. </w:t>
      </w:r>
      <w:r w:rsidR="00226411">
        <w:rPr>
          <w:rStyle w:val="AERbody"/>
        </w:rPr>
        <w:t>These amounts had instead been attributed to opex for (standard control) network services.</w:t>
      </w:r>
      <w:r w:rsidR="00E55F7A">
        <w:rPr>
          <w:rStyle w:val="FootnoteReference"/>
        </w:rPr>
        <w:footnoteReference w:id="112"/>
      </w:r>
      <w:r w:rsidR="00226411">
        <w:rPr>
          <w:rStyle w:val="AERbody"/>
        </w:rPr>
        <w:t xml:space="preserve"> </w:t>
      </w:r>
    </w:p>
    <w:p w:rsidR="00D153BC" w:rsidRDefault="00D153BC" w:rsidP="001A504E">
      <w:pPr>
        <w:rPr>
          <w:rStyle w:val="AERbody"/>
        </w:rPr>
      </w:pPr>
      <w:r>
        <w:rPr>
          <w:rStyle w:val="AERbody"/>
        </w:rPr>
        <w:t xml:space="preserve">It has </w:t>
      </w:r>
      <w:r w:rsidR="00226411">
        <w:rPr>
          <w:rStyle w:val="AERbody"/>
        </w:rPr>
        <w:t xml:space="preserve">subsequently </w:t>
      </w:r>
      <w:r>
        <w:rPr>
          <w:rStyle w:val="AERbody"/>
        </w:rPr>
        <w:t>resubmitted its economic benchmarking RIN data to fix this omission.</w:t>
      </w:r>
      <w:r w:rsidR="00226411">
        <w:rPr>
          <w:rStyle w:val="FootnoteReference"/>
        </w:rPr>
        <w:footnoteReference w:id="113"/>
      </w:r>
      <w:r w:rsidR="004B1823">
        <w:rPr>
          <w:rStyle w:val="AERbody"/>
        </w:rPr>
        <w:t xml:space="preserve"> In making our final decision, w</w:t>
      </w:r>
      <w:r>
        <w:rPr>
          <w:rStyle w:val="AERbody"/>
        </w:rPr>
        <w:t xml:space="preserve">e have </w:t>
      </w:r>
      <w:r w:rsidR="00226411">
        <w:rPr>
          <w:rStyle w:val="AERbody"/>
        </w:rPr>
        <w:t xml:space="preserve">sourced historical metering opex figures from Ergon Energy's </w:t>
      </w:r>
      <w:r>
        <w:rPr>
          <w:rStyle w:val="AERbody"/>
        </w:rPr>
        <w:t>updated ec</w:t>
      </w:r>
      <w:r w:rsidR="00226411">
        <w:rPr>
          <w:rStyle w:val="AERbody"/>
        </w:rPr>
        <w:t xml:space="preserve">onomic benchmarking RIN data.  </w:t>
      </w:r>
    </w:p>
    <w:p w:rsidR="00ED0E60" w:rsidRDefault="00E55F7A" w:rsidP="001A504E">
      <w:pPr>
        <w:rPr>
          <w:rStyle w:val="AERbody"/>
        </w:rPr>
      </w:pPr>
      <w:r>
        <w:rPr>
          <w:rStyle w:val="AERbody"/>
        </w:rPr>
        <w:t xml:space="preserve">Once we were satisfied with the source data for historical metering opex, we then considered the base period. </w:t>
      </w:r>
    </w:p>
    <w:p w:rsidR="00365DAB" w:rsidRDefault="00365DAB" w:rsidP="00365DAB">
      <w:pPr>
        <w:rPr>
          <w:rStyle w:val="AERbody"/>
        </w:rPr>
      </w:pPr>
      <w:r>
        <w:rPr>
          <w:rStyle w:val="AERbody"/>
        </w:rPr>
        <w:lastRenderedPageBreak/>
        <w:t>In our preliminary decision, we chose to use a five year average instead of a single base year for the following reason:</w:t>
      </w:r>
      <w:r>
        <w:rPr>
          <w:rStyle w:val="FootnoteReference"/>
        </w:rPr>
        <w:footnoteReference w:id="114"/>
      </w:r>
      <w:r>
        <w:rPr>
          <w:rStyle w:val="AERbody"/>
        </w:rPr>
        <w:t xml:space="preserve">  </w:t>
      </w:r>
    </w:p>
    <w:p w:rsidR="00365DAB" w:rsidRDefault="00365DAB" w:rsidP="00365DAB">
      <w:pPr>
        <w:pStyle w:val="AERquote"/>
        <w:rPr>
          <w:rStyle w:val="AERbody"/>
        </w:rPr>
      </w:pPr>
      <w:r>
        <w:t xml:space="preserve">Given that we do not apply an efficiency benefit sharing scheme (EBSS) to alternative control </w:t>
      </w:r>
      <w:r w:rsidRPr="001F5C50">
        <w:t>services</w:t>
      </w:r>
      <w:r>
        <w:t>, we consider an average of multiple years to be a better measure of a business’ efficient base; it avoids any incentive to ‘load’ a single base year with expenditure going forward.</w:t>
      </w:r>
    </w:p>
    <w:p w:rsidR="001F5C50" w:rsidRDefault="00ED0E60" w:rsidP="001A504E">
      <w:pPr>
        <w:rPr>
          <w:rStyle w:val="AERbody"/>
        </w:rPr>
      </w:pPr>
      <w:r>
        <w:rPr>
          <w:rStyle w:val="AERbody"/>
        </w:rPr>
        <w:t xml:space="preserve">In its revised proposed, </w:t>
      </w:r>
      <w:r w:rsidR="001F5C50">
        <w:rPr>
          <w:rStyle w:val="AERbody"/>
        </w:rPr>
        <w:t xml:space="preserve">Ergon Energy </w:t>
      </w:r>
      <w:r>
        <w:rPr>
          <w:rStyle w:val="AERbody"/>
        </w:rPr>
        <w:t>proposed to use the 2013–14 as its base year as it is the most recent financial year for which audited regulatory accounts were available.</w:t>
      </w:r>
      <w:r>
        <w:rPr>
          <w:rStyle w:val="FootnoteReference"/>
        </w:rPr>
        <w:footnoteReference w:id="115"/>
      </w:r>
      <w:r>
        <w:rPr>
          <w:rStyle w:val="AERbody"/>
        </w:rPr>
        <w:t xml:space="preserve"> </w:t>
      </w:r>
      <w:r w:rsidR="00365DAB">
        <w:rPr>
          <w:rStyle w:val="AERbody"/>
        </w:rPr>
        <w:t>It did not address our concern about incentives going forward.</w:t>
      </w:r>
    </w:p>
    <w:p w:rsidR="00365DAB" w:rsidRDefault="00365DAB" w:rsidP="00ED0E60">
      <w:pPr>
        <w:rPr>
          <w:rStyle w:val="AERbody"/>
        </w:rPr>
      </w:pPr>
      <w:r>
        <w:rPr>
          <w:rStyle w:val="AERbody"/>
        </w:rPr>
        <w:t xml:space="preserve">We </w:t>
      </w:r>
      <w:r w:rsidR="00ED0E60">
        <w:rPr>
          <w:rStyle w:val="AERbody"/>
        </w:rPr>
        <w:t>examined the impact if we were to accept a single 2013–14 base. It results in $0.5 million difference in forecast metering opex over the</w:t>
      </w:r>
      <w:r>
        <w:rPr>
          <w:rStyle w:val="AERbody"/>
        </w:rPr>
        <w:t xml:space="preserve"> 2015–20</w:t>
      </w:r>
      <w:r w:rsidR="00ED0E60">
        <w:rPr>
          <w:rStyle w:val="AERbody"/>
        </w:rPr>
        <w:t xml:space="preserve"> regulatory </w:t>
      </w:r>
      <w:proofErr w:type="gramStart"/>
      <w:r w:rsidR="00ED0E60">
        <w:rPr>
          <w:rStyle w:val="AERbody"/>
        </w:rPr>
        <w:t>period</w:t>
      </w:r>
      <w:proofErr w:type="gramEnd"/>
      <w:r w:rsidR="00ED0E60">
        <w:rPr>
          <w:rStyle w:val="AERbody"/>
        </w:rPr>
        <w:t>.</w:t>
      </w:r>
      <w:r>
        <w:rPr>
          <w:rStyle w:val="FootnoteReference"/>
        </w:rPr>
        <w:footnoteReference w:id="116"/>
      </w:r>
      <w:r w:rsidR="00ED0E60">
        <w:rPr>
          <w:rStyle w:val="AERbody"/>
        </w:rPr>
        <w:t xml:space="preserve"> This </w:t>
      </w:r>
      <w:r>
        <w:rPr>
          <w:rStyle w:val="AERbody"/>
        </w:rPr>
        <w:t xml:space="preserve">difference is not material enough for us to depart from the five year average approach which we prefer for the reasons mentioned above. </w:t>
      </w:r>
    </w:p>
    <w:p w:rsidR="001F5C50" w:rsidRDefault="004B1823" w:rsidP="001A504E">
      <w:pPr>
        <w:rPr>
          <w:rStyle w:val="AERbody"/>
        </w:rPr>
      </w:pPr>
      <w:r>
        <w:rPr>
          <w:rStyle w:val="AERbody"/>
        </w:rPr>
        <w:t>W</w:t>
      </w:r>
      <w:r w:rsidR="00365DAB">
        <w:rPr>
          <w:rStyle w:val="AERbody"/>
        </w:rPr>
        <w:t xml:space="preserve">e </w:t>
      </w:r>
      <w:r w:rsidR="00ED0E60">
        <w:rPr>
          <w:rStyle w:val="AERbody"/>
        </w:rPr>
        <w:t xml:space="preserve">agree with Ergon Energy that the most recent data should be included. Therefore, instead of the 2008–09 to 2012–13 </w:t>
      </w:r>
      <w:proofErr w:type="gramStart"/>
      <w:r w:rsidR="00ED0E60">
        <w:rPr>
          <w:rStyle w:val="AERbody"/>
        </w:rPr>
        <w:t>period</w:t>
      </w:r>
      <w:proofErr w:type="gramEnd"/>
      <w:r w:rsidR="00ED0E60">
        <w:rPr>
          <w:rStyle w:val="AERbody"/>
        </w:rPr>
        <w:t xml:space="preserve"> we used for our analysis in the preliminary decision, we have updated our base period to 2009–10 to 2013–14</w:t>
      </w:r>
      <w:r w:rsidR="001F5C50">
        <w:rPr>
          <w:rStyle w:val="AERbody"/>
        </w:rPr>
        <w:t>.</w:t>
      </w:r>
    </w:p>
    <w:p w:rsidR="00CF2252" w:rsidRDefault="00CF2252" w:rsidP="00CF2252">
      <w:pPr>
        <w:rPr>
          <w:rStyle w:val="AERbody"/>
        </w:rPr>
      </w:pPr>
      <w:r>
        <w:t>As we did in our preliminary decision, we used a partial performance indicator as our benchmarking method which</w:t>
      </w:r>
      <w:r w:rsidRPr="00C10FBE">
        <w:t xml:space="preserve"> compared </w:t>
      </w:r>
      <w:r>
        <w:t xml:space="preserve">Ergon Energy's </w:t>
      </w:r>
      <w:r w:rsidRPr="00C10FBE">
        <w:t xml:space="preserve">proposed </w:t>
      </w:r>
      <w:r>
        <w:t>metering opex</w:t>
      </w:r>
      <w:r w:rsidRPr="00C10FBE">
        <w:t xml:space="preserve"> per customer against other </w:t>
      </w:r>
      <w:r>
        <w:t xml:space="preserve">non-Victorian </w:t>
      </w:r>
      <w:r w:rsidRPr="00C10FBE">
        <w:t>distribution businesses in the national electricity market.</w:t>
      </w:r>
      <w:r>
        <w:t xml:space="preserve"> The only difference is that we </w:t>
      </w:r>
      <w:r>
        <w:rPr>
          <w:rStyle w:val="AERbody"/>
        </w:rPr>
        <w:t>updated our benchmarking analysis to incorporate the 2013–14 data</w:t>
      </w:r>
      <w:r w:rsidR="00AE149E">
        <w:rPr>
          <w:rStyle w:val="AERbody"/>
        </w:rPr>
        <w:t xml:space="preserve"> and using Ergon Energy's revised historic metering opex data</w:t>
      </w:r>
      <w:r>
        <w:rPr>
          <w:rStyle w:val="AERbody"/>
        </w:rPr>
        <w:t xml:space="preserve">. </w:t>
      </w:r>
    </w:p>
    <w:p w:rsidR="00CF2252" w:rsidRDefault="00CF2252" w:rsidP="00CF2252">
      <w:r>
        <w:t xml:space="preserve">When comparing </w:t>
      </w:r>
      <w:r w:rsidR="00AE149E">
        <w:t>Ergon Energy</w:t>
      </w:r>
      <w:r>
        <w:t>’s proposed opex to its peers, we normalised our results by accounting</w:t>
      </w:r>
      <w:r w:rsidRPr="00C10FBE">
        <w:t xml:space="preserve"> for customer density. We calculated this as the number of customers a distribution business has per kilometre of line length. We took customer density into account because, all things equal, businesses with a low customer density are likely to require higher </w:t>
      </w:r>
      <w:r>
        <w:t>opex</w:t>
      </w:r>
      <w:r w:rsidRPr="00C10FBE">
        <w:t>. For example, this could be because of longer travel times to service customers</w:t>
      </w:r>
      <w:r>
        <w:t xml:space="preserve">. </w:t>
      </w:r>
      <w:r w:rsidR="00AE149E">
        <w:fldChar w:fldCharType="begin"/>
      </w:r>
      <w:r w:rsidR="00AE149E">
        <w:instrText xml:space="preserve"> REF _Ref433031551 \h </w:instrText>
      </w:r>
      <w:r w:rsidR="00AE149E">
        <w:fldChar w:fldCharType="separate"/>
      </w:r>
      <w:r w:rsidR="00E01BE0">
        <w:t xml:space="preserve">Figure </w:t>
      </w:r>
      <w:r w:rsidR="00307CCD">
        <w:t>16.</w:t>
      </w:r>
      <w:r w:rsidR="00E01BE0">
        <w:rPr>
          <w:noProof/>
        </w:rPr>
        <w:t>5</w:t>
      </w:r>
      <w:r w:rsidR="00AE149E">
        <w:fldChar w:fldCharType="end"/>
      </w:r>
      <w:r w:rsidR="00AE149E">
        <w:t xml:space="preserve"> </w:t>
      </w:r>
      <w:r>
        <w:t>shows the results of our benchmarking.</w:t>
      </w:r>
    </w:p>
    <w:p w:rsidR="00C50ABA" w:rsidRDefault="00F91916" w:rsidP="00F91916">
      <w:pPr>
        <w:pStyle w:val="Caption"/>
      </w:pPr>
      <w:proofErr w:type="gramStart"/>
      <w:r>
        <w:lastRenderedPageBreak/>
        <w:t xml:space="preserve">Figure </w:t>
      </w:r>
      <w:proofErr w:type="gramEnd"/>
      <w:r w:rsidR="00952838">
        <w:fldChar w:fldCharType="begin"/>
      </w:r>
      <w:r w:rsidR="00952838">
        <w:instrText xml:space="preserve"> STYLEREF 1 \s </w:instrText>
      </w:r>
      <w:r w:rsidR="00952838">
        <w:fldChar w:fldCharType="separate"/>
      </w:r>
      <w:r>
        <w:rPr>
          <w:noProof/>
        </w:rPr>
        <w:t>16</w:t>
      </w:r>
      <w:r w:rsidR="00952838">
        <w:rPr>
          <w:noProof/>
        </w:rPr>
        <w:fldChar w:fldCharType="end"/>
      </w:r>
      <w:proofErr w:type="gramStart"/>
      <w:r>
        <w:t>.</w:t>
      </w:r>
      <w:proofErr w:type="gramEnd"/>
      <w:r>
        <w:fldChar w:fldCharType="begin"/>
      </w:r>
      <w:r>
        <w:instrText xml:space="preserve"> SEQ Figure \* ARABIC \s 1 </w:instrText>
      </w:r>
      <w:r>
        <w:fldChar w:fldCharType="separate"/>
      </w:r>
      <w:r>
        <w:rPr>
          <w:noProof/>
        </w:rPr>
        <w:t>5</w:t>
      </w:r>
      <w:r>
        <w:fldChar w:fldCharType="end"/>
      </w:r>
      <w:r w:rsidR="00307CCD">
        <w:tab/>
      </w:r>
      <w:r w:rsidR="00307CCD">
        <w:tab/>
      </w:r>
      <w:r w:rsidR="009C712B">
        <w:t>Base</w:t>
      </w:r>
      <w:r w:rsidR="00C50ABA">
        <w:t xml:space="preserve"> me</w:t>
      </w:r>
      <w:r w:rsidR="00307CCD">
        <w:t>tering opex per customer ($2014</w:t>
      </w:r>
      <w:r w:rsidR="00307CCD">
        <w:rPr>
          <w:rFonts w:cs="Arial"/>
        </w:rPr>
        <w:t>─</w:t>
      </w:r>
      <w:r w:rsidR="00C50ABA">
        <w:t>15)</w:t>
      </w:r>
    </w:p>
    <w:p w:rsidR="00E35F33" w:rsidRDefault="009C712B" w:rsidP="001A504E">
      <w:pPr>
        <w:rPr>
          <w:rStyle w:val="AERbody"/>
        </w:rPr>
      </w:pPr>
      <w:r>
        <w:rPr>
          <w:noProof/>
          <w:lang w:eastAsia="en-AU"/>
        </w:rPr>
        <w:drawing>
          <wp:inline distT="0" distB="0" distL="0" distR="0" wp14:anchorId="78B1232A" wp14:editId="3E9EF054">
            <wp:extent cx="4925695" cy="3548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5695" cy="3548380"/>
                    </a:xfrm>
                    <a:prstGeom prst="rect">
                      <a:avLst/>
                    </a:prstGeom>
                    <a:noFill/>
                  </pic:spPr>
                </pic:pic>
              </a:graphicData>
            </a:graphic>
          </wp:inline>
        </w:drawing>
      </w:r>
    </w:p>
    <w:p w:rsidR="00AE149E" w:rsidRPr="00AE149E" w:rsidRDefault="00AE149E" w:rsidP="00AE149E">
      <w:pPr>
        <w:rPr>
          <w:rStyle w:val="AERbody"/>
        </w:rPr>
      </w:pPr>
      <w:r w:rsidRPr="00AE149E">
        <w:rPr>
          <w:rStyle w:val="AERbody"/>
        </w:rPr>
        <w:t xml:space="preserve">We observe a strong correlation between customer density and costs, and so we can reasonably expect </w:t>
      </w:r>
      <w:r>
        <w:rPr>
          <w:rStyle w:val="AERbody"/>
        </w:rPr>
        <w:t xml:space="preserve">Ergon </w:t>
      </w:r>
      <w:r w:rsidRPr="00AE149E">
        <w:rPr>
          <w:rStyle w:val="AERbody"/>
        </w:rPr>
        <w:t xml:space="preserve">Energy to require no more opex per customer than a distribution business with a similarly dense network. Taking this approach, we consider </w:t>
      </w:r>
      <w:r>
        <w:rPr>
          <w:rStyle w:val="AERbody"/>
        </w:rPr>
        <w:t>Essential</w:t>
      </w:r>
      <w:r w:rsidRPr="00AE149E">
        <w:rPr>
          <w:rStyle w:val="AERbody"/>
        </w:rPr>
        <w:t xml:space="preserve"> Energy to be a relevant comparator for E</w:t>
      </w:r>
      <w:r>
        <w:rPr>
          <w:rStyle w:val="AERbody"/>
        </w:rPr>
        <w:t>rgon</w:t>
      </w:r>
      <w:r w:rsidRPr="00AE149E">
        <w:rPr>
          <w:rStyle w:val="AERbody"/>
        </w:rPr>
        <w:t xml:space="preserve"> Energy. This is because the </w:t>
      </w:r>
      <w:r>
        <w:rPr>
          <w:rStyle w:val="AERbody"/>
        </w:rPr>
        <w:t>two</w:t>
      </w:r>
      <w:r w:rsidRPr="00AE149E">
        <w:rPr>
          <w:rStyle w:val="AERbody"/>
        </w:rPr>
        <w:t xml:space="preserve"> business</w:t>
      </w:r>
      <w:r>
        <w:rPr>
          <w:rStyle w:val="AERbody"/>
        </w:rPr>
        <w:t>es have</w:t>
      </w:r>
      <w:r w:rsidRPr="00AE149E">
        <w:rPr>
          <w:rStyle w:val="AERbody"/>
        </w:rPr>
        <w:t xml:space="preserve"> a similar customer density. </w:t>
      </w:r>
    </w:p>
    <w:p w:rsidR="00AE149E" w:rsidRDefault="00AE149E" w:rsidP="00AE149E">
      <w:pPr>
        <w:rPr>
          <w:rStyle w:val="AERbody"/>
        </w:rPr>
      </w:pPr>
      <w:r>
        <w:rPr>
          <w:rStyle w:val="AERbody"/>
        </w:rPr>
        <w:t xml:space="preserve">In our preliminary decision, based on the data available at the time, it appeared that Ergon Energy was relatively more efficient than Essential Energy and so we did not make an efficiency adjustment. </w:t>
      </w:r>
    </w:p>
    <w:p w:rsidR="00AE149E" w:rsidRPr="00AE149E" w:rsidRDefault="00AE149E" w:rsidP="00AE149E">
      <w:pPr>
        <w:rPr>
          <w:rStyle w:val="AERbody"/>
        </w:rPr>
      </w:pPr>
      <w:r>
        <w:rPr>
          <w:rStyle w:val="AERbody"/>
        </w:rPr>
        <w:t xml:space="preserve">However, updating the analysis for Ergon Energy's resubmitted historical metering opex data shows that Ergon Energy is relatively less efficient than </w:t>
      </w:r>
      <w:r w:rsidR="00C12A47">
        <w:rPr>
          <w:rStyle w:val="AERbody"/>
        </w:rPr>
        <w:t>Essential</w:t>
      </w:r>
      <w:r>
        <w:rPr>
          <w:rStyle w:val="AERbody"/>
        </w:rPr>
        <w:t xml:space="preserve"> Energy. W</w:t>
      </w:r>
      <w:r w:rsidRPr="00AE149E">
        <w:rPr>
          <w:rStyle w:val="AERbody"/>
        </w:rPr>
        <w:t xml:space="preserve">e therefore made a relative efficiency adjustment to </w:t>
      </w:r>
      <w:r>
        <w:rPr>
          <w:rStyle w:val="AERbody"/>
        </w:rPr>
        <w:t>Ergon</w:t>
      </w:r>
      <w:r w:rsidRPr="00AE149E">
        <w:rPr>
          <w:rStyle w:val="AERbody"/>
        </w:rPr>
        <w:t xml:space="preserve"> Energy's base opex to lower the forecast metering opex per customer to be in line with </w:t>
      </w:r>
      <w:r>
        <w:rPr>
          <w:rStyle w:val="AERbody"/>
        </w:rPr>
        <w:t>Essential</w:t>
      </w:r>
      <w:r w:rsidRPr="00AE149E">
        <w:rPr>
          <w:rStyle w:val="AERbody"/>
        </w:rPr>
        <w:t xml:space="preserve"> Energy. </w:t>
      </w:r>
    </w:p>
    <w:p w:rsidR="00C50379" w:rsidRPr="00307CCD" w:rsidRDefault="00C50379" w:rsidP="00307CCD">
      <w:pPr>
        <w:pStyle w:val="HeadingItalic"/>
        <w:rPr>
          <w:rStyle w:val="AERtextitalic"/>
          <w:i/>
        </w:rPr>
      </w:pPr>
      <w:r w:rsidRPr="00307CCD">
        <w:rPr>
          <w:rStyle w:val="AERtextitalic"/>
          <w:i/>
        </w:rPr>
        <w:t>Step</w:t>
      </w:r>
    </w:p>
    <w:p w:rsidR="005A7C49" w:rsidRDefault="00FD4781" w:rsidP="001A504E">
      <w:pPr>
        <w:rPr>
          <w:rStyle w:val="AERbody"/>
        </w:rPr>
      </w:pPr>
      <w:r>
        <w:rPr>
          <w:rStyle w:val="AERbody"/>
        </w:rPr>
        <w:t>Ergon Energy included two adj</w:t>
      </w:r>
      <w:r w:rsidR="005A7C49">
        <w:rPr>
          <w:rStyle w:val="AERbody"/>
        </w:rPr>
        <w:t>ustments to its base year opex:</w:t>
      </w:r>
      <w:r w:rsidR="005A7C49">
        <w:rPr>
          <w:rStyle w:val="FootnoteReference"/>
        </w:rPr>
        <w:footnoteReference w:id="117"/>
      </w:r>
    </w:p>
    <w:p w:rsidR="005A7C49" w:rsidRDefault="005A7C49" w:rsidP="00CC4F91">
      <w:pPr>
        <w:pStyle w:val="AERbulletlistfirststyle"/>
        <w:rPr>
          <w:rStyle w:val="AERbody"/>
        </w:rPr>
      </w:pPr>
      <w:r>
        <w:rPr>
          <w:rStyle w:val="AERbody"/>
        </w:rPr>
        <w:t>a change to an annual in-situ testing program</w:t>
      </w:r>
    </w:p>
    <w:p w:rsidR="005A7C49" w:rsidRDefault="005A7C49" w:rsidP="00CC4F91">
      <w:pPr>
        <w:pStyle w:val="AERbulletlistfirststyle"/>
        <w:rPr>
          <w:rStyle w:val="AERbody"/>
        </w:rPr>
      </w:pPr>
      <w:proofErr w:type="gramStart"/>
      <w:r>
        <w:rPr>
          <w:rStyle w:val="AERbody"/>
        </w:rPr>
        <w:lastRenderedPageBreak/>
        <w:t>a</w:t>
      </w:r>
      <w:proofErr w:type="gramEnd"/>
      <w:r>
        <w:rPr>
          <w:rStyle w:val="AERbody"/>
        </w:rPr>
        <w:t xml:space="preserve"> requirement to test voltage and current transformers at wholesale metering points which is performed every ten years</w:t>
      </w:r>
      <w:r w:rsidR="00900343">
        <w:rPr>
          <w:rStyle w:val="AERbody"/>
        </w:rPr>
        <w:t>.</w:t>
      </w:r>
    </w:p>
    <w:p w:rsidR="005A7C49" w:rsidRDefault="005A7C49" w:rsidP="001A504E">
      <w:pPr>
        <w:rPr>
          <w:rStyle w:val="AERbody"/>
        </w:rPr>
      </w:pPr>
      <w:r>
        <w:rPr>
          <w:rStyle w:val="AERbody"/>
        </w:rPr>
        <w:t xml:space="preserve">In both cases, the proposed adjustments relate to existing regulatory obligations but where costs involved in meeting those obligations were not incurred (and therefore not included) in Ergon Energy's base year model. </w:t>
      </w:r>
    </w:p>
    <w:p w:rsidR="005A7C49" w:rsidRDefault="005A7C49" w:rsidP="005A7C49">
      <w:pPr>
        <w:rPr>
          <w:rStyle w:val="AERbody"/>
        </w:rPr>
      </w:pPr>
      <w:r w:rsidRPr="008B5B21">
        <w:rPr>
          <w:rStyle w:val="AERbody"/>
        </w:rPr>
        <w:t>Base opex already reflects the cost of meeting existing regulatory obligations</w:t>
      </w:r>
      <w:r w:rsidR="00A40D80">
        <w:rPr>
          <w:rStyle w:val="AERbody"/>
        </w:rPr>
        <w:t xml:space="preserve"> overall</w:t>
      </w:r>
      <w:r>
        <w:rPr>
          <w:rStyle w:val="AERbody"/>
        </w:rPr>
        <w:t>.</w:t>
      </w:r>
      <w:r w:rsidRPr="0031571A">
        <w:rPr>
          <w:rStyle w:val="AERbody"/>
        </w:rPr>
        <w:t xml:space="preserve"> </w:t>
      </w:r>
      <w:r>
        <w:t>We acknowledge that some types of projects and programs of expenditure a service provider undertakes will differ between years and between regulatory control periods. However, we do not consider variation in the expenditure on projects and programs is a reason to increase the revenue it can recover from metering customers.</w:t>
      </w:r>
      <w:r w:rsidRPr="008B5B21">
        <w:rPr>
          <w:rStyle w:val="AERbody"/>
        </w:rPr>
        <w:t xml:space="preserve">  </w:t>
      </w:r>
    </w:p>
    <w:p w:rsidR="005A7C49" w:rsidRPr="00754936" w:rsidRDefault="005A7C49" w:rsidP="005A7C49">
      <w:pPr>
        <w:rPr>
          <w:rStyle w:val="AERbody"/>
        </w:rPr>
      </w:pPr>
      <w:r>
        <w:t>W</w:t>
      </w:r>
      <w:r w:rsidR="003F0015">
        <w:t>e make our assessment on</w:t>
      </w:r>
      <w:r w:rsidRPr="00A964D8">
        <w:t xml:space="preserve"> the total forecast</w:t>
      </w:r>
      <w:r>
        <w:t xml:space="preserve"> metering</w:t>
      </w:r>
      <w:r w:rsidR="003F0015">
        <w:t xml:space="preserve"> opex and not</w:t>
      </w:r>
      <w:r w:rsidRPr="00A964D8">
        <w:t xml:space="preserve"> particular categories or </w:t>
      </w:r>
      <w:r>
        <w:t>projects in the metering opex forecast.</w:t>
      </w:r>
      <w:r w:rsidRPr="00754936">
        <w:rPr>
          <w:rStyle w:val="AERbody"/>
        </w:rPr>
        <w:t xml:space="preserve"> Within total </w:t>
      </w:r>
      <w:r>
        <w:rPr>
          <w:rStyle w:val="AERbody"/>
        </w:rPr>
        <w:t xml:space="preserve">metering </w:t>
      </w:r>
      <w:r w:rsidRPr="00754936">
        <w:rPr>
          <w:rStyle w:val="AERbody"/>
        </w:rPr>
        <w:t>opex we would expect to see some variation in the composition of expenditure from year to year. That is, expenditure for some categories will be higher than usual in a</w:t>
      </w:r>
      <w:r>
        <w:rPr>
          <w:rStyle w:val="AERbody"/>
        </w:rPr>
        <w:t>ny</w:t>
      </w:r>
      <w:r w:rsidRPr="00754936">
        <w:rPr>
          <w:rStyle w:val="AERbody"/>
        </w:rPr>
        <w:t xml:space="preserve"> given year while other categories will be lower than usual. </w:t>
      </w:r>
      <w:r>
        <w:rPr>
          <w:rStyle w:val="AERbody"/>
        </w:rPr>
        <w:t>However, these variations tend to offset each other so that total opex is relatively stable.</w:t>
      </w:r>
    </w:p>
    <w:p w:rsidR="005A7C49" w:rsidRDefault="005A7C49" w:rsidP="005A7C49">
      <w:pPr>
        <w:rPr>
          <w:rStyle w:val="AERbody"/>
        </w:rPr>
      </w:pPr>
      <w:r>
        <w:rPr>
          <w:rStyle w:val="AERbody"/>
        </w:rPr>
        <w:t>U</w:t>
      </w:r>
      <w:r w:rsidRPr="00754936">
        <w:rPr>
          <w:rStyle w:val="AERbody"/>
        </w:rPr>
        <w:t>sing a category specific forecasting method for some opex categories may produce better forecasts of expenditure for those categories but this may not produce a better forecast of to</w:t>
      </w:r>
      <w:r>
        <w:rPr>
          <w:rStyle w:val="AERbody"/>
        </w:rPr>
        <w:t xml:space="preserve">tal opex. </w:t>
      </w:r>
      <w:r w:rsidRPr="00754936">
        <w:rPr>
          <w:rStyle w:val="AERbody"/>
        </w:rPr>
        <w:t xml:space="preserve">If we apply a revealed expenditure forecasting method at the category level, forecast opex for those categories where expenditure is high in the base year will be higher than the efficient level of expenditure. Conversely, forecast opex will be lower than the efficient level for those categories where expenditure is low in the base year. </w:t>
      </w:r>
      <w:r>
        <w:rPr>
          <w:rStyle w:val="AERbody"/>
        </w:rPr>
        <w:t>Unless we identify every category of expenditure that is higher or lower than the efficient level, applying a base-step-trend forecasting approach to total revealed costs produces a better total opex forecast.</w:t>
      </w:r>
    </w:p>
    <w:p w:rsidR="00A40D80" w:rsidRDefault="005A7C49" w:rsidP="005A7C49">
      <w:pPr>
        <w:rPr>
          <w:rStyle w:val="AERbody"/>
        </w:rPr>
      </w:pPr>
      <w:r>
        <w:rPr>
          <w:rStyle w:val="AERbody"/>
        </w:rPr>
        <w:t>Ergon Energy's proposed adjustments are</w:t>
      </w:r>
      <w:r w:rsidRPr="00D57C6F">
        <w:rPr>
          <w:rStyle w:val="AERbody"/>
        </w:rPr>
        <w:t xml:space="preserve"> not a response</w:t>
      </w:r>
      <w:r>
        <w:rPr>
          <w:rStyle w:val="AERbody"/>
        </w:rPr>
        <w:t xml:space="preserve"> to a new regulatory obligation</w:t>
      </w:r>
      <w:r w:rsidRPr="00D57C6F">
        <w:rPr>
          <w:rStyle w:val="AERbody"/>
        </w:rPr>
        <w:t xml:space="preserve"> </w:t>
      </w:r>
      <w:r>
        <w:rPr>
          <w:rStyle w:val="AERbody"/>
        </w:rPr>
        <w:t xml:space="preserve">but </w:t>
      </w:r>
      <w:r w:rsidRPr="00D57C6F">
        <w:rPr>
          <w:rStyle w:val="AERbody"/>
        </w:rPr>
        <w:t xml:space="preserve">to </w:t>
      </w:r>
      <w:r>
        <w:rPr>
          <w:rStyle w:val="AERbody"/>
        </w:rPr>
        <w:t>existing regulatory obligations</w:t>
      </w:r>
      <w:r w:rsidRPr="00D57C6F">
        <w:rPr>
          <w:rStyle w:val="AERbody"/>
        </w:rPr>
        <w:t xml:space="preserve">. As outlined above, we recognise that a service provider will alter its expenditure over time on specific programs and projects. </w:t>
      </w:r>
      <w:r w:rsidR="00A40D80">
        <w:rPr>
          <w:rStyle w:val="AERbody"/>
        </w:rPr>
        <w:t xml:space="preserve">Moving to an annual testing regime or undertaking testing of voltage and current transformers at wholesale metering points </w:t>
      </w:r>
      <w:r w:rsidRPr="00D57C6F">
        <w:rPr>
          <w:rStyle w:val="AERbody"/>
        </w:rPr>
        <w:t>may be area</w:t>
      </w:r>
      <w:r>
        <w:rPr>
          <w:rStyle w:val="AERbody"/>
        </w:rPr>
        <w:t>s</w:t>
      </w:r>
      <w:r w:rsidRPr="00D57C6F">
        <w:rPr>
          <w:rStyle w:val="AERbody"/>
        </w:rPr>
        <w:t xml:space="preserve"> where </w:t>
      </w:r>
      <w:r w:rsidR="00A40D80">
        <w:rPr>
          <w:rStyle w:val="AERbody"/>
        </w:rPr>
        <w:t xml:space="preserve">Ergon Energy </w:t>
      </w:r>
      <w:r w:rsidRPr="00D57C6F">
        <w:rPr>
          <w:rStyle w:val="AERbody"/>
        </w:rPr>
        <w:t xml:space="preserve">needs to devote </w:t>
      </w:r>
      <w:r>
        <w:rPr>
          <w:rStyle w:val="AERbody"/>
        </w:rPr>
        <w:t>additional resources in the 201</w:t>
      </w:r>
      <w:r w:rsidR="00A40D80">
        <w:rPr>
          <w:rStyle w:val="AERbody"/>
        </w:rPr>
        <w:t>5</w:t>
      </w:r>
      <w:r w:rsidRPr="00D57C6F">
        <w:rPr>
          <w:rStyle w:val="AERbody"/>
        </w:rPr>
        <w:t>–20 regulatory control period. It is a prudent service provider's responsibility to reallocate its opex budget to meet these changing priorities. It generally should not need an increase in its budget to meet existing regulatory obligations.</w:t>
      </w:r>
    </w:p>
    <w:p w:rsidR="005A7C49" w:rsidRDefault="00A40D80" w:rsidP="005A7C49">
      <w:pPr>
        <w:rPr>
          <w:rStyle w:val="AERbody"/>
        </w:rPr>
      </w:pPr>
      <w:r>
        <w:rPr>
          <w:rStyle w:val="AERbody"/>
        </w:rPr>
        <w:t xml:space="preserve">We therefore do not accept Ergon Energy's proposed adjustments. </w:t>
      </w:r>
      <w:r w:rsidR="005A7C49">
        <w:rPr>
          <w:rStyle w:val="AERbody"/>
        </w:rPr>
        <w:t xml:space="preserve"> </w:t>
      </w:r>
    </w:p>
    <w:p w:rsidR="00307CCD" w:rsidRDefault="00307CCD" w:rsidP="005A7C49">
      <w:pPr>
        <w:rPr>
          <w:rStyle w:val="AERbody"/>
        </w:rPr>
      </w:pPr>
    </w:p>
    <w:p w:rsidR="00307CCD" w:rsidRDefault="00307CCD" w:rsidP="005A7C49">
      <w:pPr>
        <w:rPr>
          <w:rStyle w:val="AERbody"/>
        </w:rPr>
      </w:pPr>
    </w:p>
    <w:p w:rsidR="00C50379" w:rsidRPr="00307CCD" w:rsidRDefault="00C50379" w:rsidP="00307CCD">
      <w:pPr>
        <w:pStyle w:val="HeadingItalic"/>
        <w:rPr>
          <w:rStyle w:val="AERtextitalic"/>
          <w:i/>
        </w:rPr>
      </w:pPr>
      <w:r w:rsidRPr="00307CCD">
        <w:rPr>
          <w:rStyle w:val="AERtextitalic"/>
          <w:i/>
        </w:rPr>
        <w:lastRenderedPageBreak/>
        <w:t>Trend</w:t>
      </w:r>
    </w:p>
    <w:p w:rsidR="00C50379" w:rsidRDefault="00A40D80" w:rsidP="001A504E">
      <w:r>
        <w:t>In our preliminary decision, we trended the base forward for forecast metering customer growth and applied zero forecast real price and productivity growth.</w:t>
      </w:r>
      <w:r w:rsidR="006F3EAE">
        <w:rPr>
          <w:rStyle w:val="FootnoteReference"/>
        </w:rPr>
        <w:footnoteReference w:id="118"/>
      </w:r>
    </w:p>
    <w:p w:rsidR="003B1DE0" w:rsidRDefault="006F3EAE" w:rsidP="001A504E">
      <w:r>
        <w:t>As there were no issues raised by Ergon Energy in its revised proposal or by stakeholders in submissions, we maintained this approach in our final decision.</w:t>
      </w:r>
    </w:p>
    <w:p w:rsidR="005C653E" w:rsidRDefault="005C653E" w:rsidP="001A504E">
      <w:r>
        <w:t>Our alternative forecast for metering opex which</w:t>
      </w:r>
      <w:r w:rsidR="003F0015">
        <w:t xml:space="preserve"> arrives at $166.2 million</w:t>
      </w:r>
      <w:r>
        <w:t xml:space="preserve"> is significantly higher than our preliminary decision of $118.6 million. This is largely due to our decision to accept Ergon Energy's revised historical metering opex numbers.</w:t>
      </w:r>
    </w:p>
    <w:p w:rsidR="00683D97" w:rsidRPr="00307CCD" w:rsidRDefault="00683D97" w:rsidP="00307CCD">
      <w:pPr>
        <w:pStyle w:val="HeadingBoldItalic"/>
        <w:rPr>
          <w:rStyle w:val="Strong"/>
          <w:b/>
          <w:bCs/>
        </w:rPr>
      </w:pPr>
      <w:r w:rsidRPr="00307CCD">
        <w:rPr>
          <w:rStyle w:val="Strong"/>
          <w:b/>
          <w:bCs/>
        </w:rPr>
        <w:t>X factors</w:t>
      </w:r>
    </w:p>
    <w:p w:rsidR="00683D97" w:rsidRDefault="00683D97" w:rsidP="00683D97">
      <w:r>
        <w:t>We have applied an aspect of Energex's revised regulatory proposal for the 2015–20 regulatory control to Ergon Energy. This relate</w:t>
      </w:r>
      <w:r w:rsidR="00900343">
        <w:t>s</w:t>
      </w:r>
      <w:r>
        <w:t xml:space="preserve"> to Energex's submission that there should be separate X factors for its capital and non–capital components of the annual metering charge.</w:t>
      </w:r>
      <w:r>
        <w:rPr>
          <w:rStyle w:val="FootnoteReference"/>
        </w:rPr>
        <w:footnoteReference w:id="119"/>
      </w:r>
      <w:r>
        <w:t xml:space="preserve"> </w:t>
      </w:r>
    </w:p>
    <w:p w:rsidR="00683D97" w:rsidRDefault="00683D97" w:rsidP="00683D97">
      <w:r>
        <w:t>In support of its proposal, Energex noted that the number of customers paying the capital and non–capital component of its</w:t>
      </w:r>
      <w:r w:rsidR="00294644">
        <w:t xml:space="preserve"> annual metering</w:t>
      </w:r>
      <w:r>
        <w:t xml:space="preserve"> charge will vary during the 2015–20 regulatory control period. In particular, it stated that the introduction of the upfront capital charges (see section </w:t>
      </w:r>
      <w:r>
        <w:fldChar w:fldCharType="begin"/>
      </w:r>
      <w:r>
        <w:instrText xml:space="preserve"> REF _Ref433050367 \n \h </w:instrText>
      </w:r>
      <w:r>
        <w:fldChar w:fldCharType="separate"/>
      </w:r>
      <w:r w:rsidR="00E01BE0">
        <w:t>16.2.4.3</w:t>
      </w:r>
      <w:r>
        <w:fldChar w:fldCharType="end"/>
      </w:r>
      <w:r>
        <w:t>) mean</w:t>
      </w:r>
      <w:r w:rsidR="00294644">
        <w:t>s</w:t>
      </w:r>
      <w:r>
        <w:t xml:space="preserve"> that there will be no new type 6 metering capital customers for Energex (or Ergon Energy) after 30 June 2015. By contrast, Energex consider</w:t>
      </w:r>
      <w:r w:rsidR="00C81995">
        <w:t>ed</w:t>
      </w:r>
      <w:r>
        <w:t xml:space="preserve"> customers </w:t>
      </w:r>
      <w:r w:rsidR="00294644">
        <w:t xml:space="preserve">paying the non–capital component </w:t>
      </w:r>
      <w:r>
        <w:t>will continue to increase, thus creating a discrepancy.</w:t>
      </w:r>
    </w:p>
    <w:p w:rsidR="00683D97" w:rsidRDefault="00683D97" w:rsidP="001A504E">
      <w:r>
        <w:t xml:space="preserve">We accept Energex's observations regarding the effect of the upfront capital charge on the number of customers which will pay the capital component of the annual metering charge. We have therefore given effect to this outcome for </w:t>
      </w:r>
      <w:r w:rsidR="00294644">
        <w:t>Energex</w:t>
      </w:r>
      <w:r>
        <w:t xml:space="preserve"> by specifying separate X factors for the capital and non–capital components. Since Ergon Energy is in the same circumstances with respect to its charging structure, we have applied the same </w:t>
      </w:r>
      <w:r w:rsidR="00294644">
        <w:t xml:space="preserve">approach to it. </w:t>
      </w:r>
      <w:r>
        <w:t xml:space="preserve">Refer to section </w:t>
      </w:r>
      <w:r w:rsidR="00294644">
        <w:fldChar w:fldCharType="begin"/>
      </w:r>
      <w:r w:rsidR="00294644">
        <w:instrText xml:space="preserve"> REF _Ref430774450 \n \h </w:instrText>
      </w:r>
      <w:r w:rsidR="00294644">
        <w:fldChar w:fldCharType="separate"/>
      </w:r>
      <w:r w:rsidR="00E01BE0">
        <w:t>16.3.1.3</w:t>
      </w:r>
      <w:r w:rsidR="00294644">
        <w:fldChar w:fldCharType="end"/>
      </w:r>
      <w:r>
        <w:t xml:space="preserve"> above where we set out </w:t>
      </w:r>
      <w:r w:rsidR="00294644">
        <w:t>the approved</w:t>
      </w:r>
      <w:r>
        <w:t xml:space="preserve"> </w:t>
      </w:r>
      <w:r w:rsidR="00294644">
        <w:t>X </w:t>
      </w:r>
      <w:r>
        <w:t>factors.</w:t>
      </w:r>
    </w:p>
    <w:p w:rsidR="003B1DE0" w:rsidRDefault="003B1DE0" w:rsidP="003B1DE0">
      <w:pPr>
        <w:pStyle w:val="Heading4"/>
      </w:pPr>
      <w:bookmarkStart w:id="69" w:name="_Ref433212597"/>
      <w:r>
        <w:t>Control mechanism</w:t>
      </w:r>
      <w:bookmarkEnd w:id="69"/>
    </w:p>
    <w:p w:rsidR="003B1DE0" w:rsidRDefault="003B1DE0" w:rsidP="003B1DE0">
      <w:r>
        <w:t>Ergon Energy accepted the control mechanism specified in our preliminary decision.</w:t>
      </w:r>
      <w:r>
        <w:rPr>
          <w:rStyle w:val="FootnoteReference"/>
        </w:rPr>
        <w:footnoteReference w:id="120"/>
      </w:r>
      <w:r>
        <w:t xml:space="preserve"> Using this control mechanism, Ergon Energy submitted that we should apply a true–up to account for differences in 2015–16 prices approved in our preliminary decision and those approved in this final decision.</w:t>
      </w:r>
    </w:p>
    <w:p w:rsidR="00AE179D" w:rsidRPr="00AE179D" w:rsidRDefault="00AE179D" w:rsidP="00AE179D">
      <w:pPr>
        <w:rPr>
          <w:b/>
          <w:bCs/>
        </w:rPr>
      </w:pPr>
      <w:r>
        <w:t xml:space="preserve">We confirm that a true–up will apply to both annual metering services and the upfront capital charge. This true–up will operate through the X factor and requires no </w:t>
      </w:r>
      <w:r>
        <w:lastRenderedPageBreak/>
        <w:t xml:space="preserve">amendment to the control mechanism formula specified in our preliminary decision, and approved in this final decision (see section </w:t>
      </w:r>
      <w:r>
        <w:fldChar w:fldCharType="begin"/>
      </w:r>
      <w:r>
        <w:instrText xml:space="preserve"> REF _Ref430774450 \n \h </w:instrText>
      </w:r>
      <w:r>
        <w:fldChar w:fldCharType="separate"/>
      </w:r>
      <w:r>
        <w:fldChar w:fldCharType="begin"/>
      </w:r>
      <w:r>
        <w:instrText xml:space="preserve"> REF _Ref430774450 \n \h </w:instrText>
      </w:r>
      <w:r>
        <w:fldChar w:fldCharType="separate"/>
      </w:r>
      <w:r>
        <w:t>16.3.1.3</w:t>
      </w:r>
      <w:r>
        <w:fldChar w:fldCharType="end"/>
      </w:r>
      <w:r>
        <w:fldChar w:fldCharType="end"/>
      </w:r>
      <w:r>
        <w:t xml:space="preserve">). More specifically, to give effect to the difference between our preliminary and final decisions we have: </w:t>
      </w:r>
    </w:p>
    <w:p w:rsidR="00AE179D" w:rsidRPr="00AE179D" w:rsidRDefault="00AE179D" w:rsidP="00AE179D">
      <w:pPr>
        <w:pStyle w:val="AERbulletlistfirststyle"/>
      </w:pPr>
      <w:r>
        <w:t xml:space="preserve">adjusted </w:t>
      </w:r>
      <w:r w:rsidRPr="00AE179D">
        <w:t xml:space="preserve">the X factor in 2016–17 </w:t>
      </w:r>
    </w:p>
    <w:p w:rsidR="00AE179D" w:rsidRPr="00AE179D" w:rsidRDefault="00AE179D" w:rsidP="00AE179D">
      <w:pPr>
        <w:pStyle w:val="AERbulletlistfirststyle"/>
      </w:pPr>
      <w:proofErr w:type="gramStart"/>
      <w:r w:rsidRPr="00AE179D">
        <w:t>used</w:t>
      </w:r>
      <w:proofErr w:type="gramEnd"/>
      <w:r w:rsidRPr="00AE179D">
        <w:t xml:space="preserve"> the remaining three years of the regulatory control period, to smooth the adjustment. </w:t>
      </w:r>
    </w:p>
    <w:p w:rsidR="00AE179D" w:rsidRPr="00AE179D" w:rsidRDefault="00AE179D" w:rsidP="00AE179D">
      <w:pPr>
        <w:pStyle w:val="AERbulletlistfirststyle"/>
        <w:numPr>
          <w:ilvl w:val="0"/>
          <w:numId w:val="0"/>
        </w:numPr>
      </w:pPr>
      <w:r>
        <w:t xml:space="preserve">By doing this, </w:t>
      </w:r>
      <w:r w:rsidRPr="00AE179D">
        <w:t>Ergon Energy will be given an opportunity to recover its efficient alternative control metering costs</w:t>
      </w:r>
      <w:r>
        <w:t>.</w:t>
      </w:r>
    </w:p>
    <w:p w:rsidR="0051318C" w:rsidRDefault="00795FC3" w:rsidP="00795FC3">
      <w:pPr>
        <w:pStyle w:val="Heading7"/>
      </w:pPr>
      <w:bookmarkStart w:id="70" w:name="_Ref426711077"/>
      <w:bookmarkStart w:id="71" w:name="_Ref432080012"/>
      <w:bookmarkStart w:id="72" w:name="_Ref432080309"/>
      <w:bookmarkStart w:id="73" w:name="_Ref432084839"/>
      <w:bookmarkStart w:id="74" w:name="_Ref433214372"/>
      <w:bookmarkStart w:id="75" w:name="_Toc433366002"/>
      <w:r>
        <w:lastRenderedPageBreak/>
        <w:t>App</w:t>
      </w:r>
      <w:r w:rsidR="00B5694C">
        <w:t xml:space="preserve">roved </w:t>
      </w:r>
      <w:bookmarkEnd w:id="70"/>
      <w:r w:rsidR="002C56AE">
        <w:t>prices</w:t>
      </w:r>
      <w:bookmarkEnd w:id="71"/>
      <w:bookmarkEnd w:id="72"/>
      <w:bookmarkEnd w:id="73"/>
      <w:r w:rsidR="00AA726D">
        <w:t xml:space="preserve"> for ancillary network services</w:t>
      </w:r>
      <w:bookmarkEnd w:id="74"/>
      <w:bookmarkEnd w:id="75"/>
    </w:p>
    <w:p w:rsidR="006F49C3" w:rsidRDefault="006F49C3" w:rsidP="006F49C3">
      <w:pPr>
        <w:pStyle w:val="Heading8"/>
      </w:pPr>
      <w:bookmarkStart w:id="76" w:name="_Ref429739351"/>
      <w:r>
        <w:t>Ancillary network services</w:t>
      </w:r>
      <w:bookmarkEnd w:id="76"/>
    </w:p>
    <w:p w:rsidR="006F49C3" w:rsidRDefault="006F49C3" w:rsidP="006F49C3">
      <w:pPr>
        <w:pStyle w:val="Caption"/>
      </w:pPr>
      <w:bookmarkStart w:id="77" w:name="_Ref429746087"/>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16</w:t>
      </w:r>
      <w:r w:rsidR="00674D47">
        <w:fldChar w:fldCharType="end"/>
      </w:r>
      <w:bookmarkEnd w:id="77"/>
      <w:r>
        <w:t xml:space="preserve"> </w:t>
      </w:r>
      <w:r w:rsidR="00C81995">
        <w:tab/>
        <w:t>Final decision f</w:t>
      </w:r>
      <w:r>
        <w:t>ee based services</w:t>
      </w:r>
      <w:r w:rsidR="004D709A">
        <w:t xml:space="preserve"> ($2015–16)</w:t>
      </w:r>
    </w:p>
    <w:tbl>
      <w:tblPr>
        <w:tblStyle w:val="AERtable-numbers"/>
        <w:tblW w:w="0" w:type="auto"/>
        <w:tblLayout w:type="fixed"/>
        <w:tblLook w:val="04A0" w:firstRow="1" w:lastRow="0" w:firstColumn="1" w:lastColumn="0" w:noHBand="0" w:noVBand="1"/>
      </w:tblPr>
      <w:tblGrid>
        <w:gridCol w:w="960"/>
        <w:gridCol w:w="960"/>
        <w:gridCol w:w="960"/>
        <w:gridCol w:w="2898"/>
        <w:gridCol w:w="1347"/>
        <w:gridCol w:w="1347"/>
      </w:tblGrid>
      <w:tr w:rsidR="004D709A" w:rsidRPr="004D709A" w:rsidTr="00C8199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778" w:type="dxa"/>
            <w:gridSpan w:val="4"/>
            <w:noWrap/>
            <w:hideMark/>
          </w:tcPr>
          <w:p w:rsidR="004D709A" w:rsidRPr="004D709A" w:rsidRDefault="004D709A" w:rsidP="004D709A">
            <w:r w:rsidRPr="004D709A">
              <w:t>Service</w:t>
            </w:r>
          </w:p>
        </w:tc>
        <w:tc>
          <w:tcPr>
            <w:tcW w:w="2694" w:type="dxa"/>
            <w:gridSpan w:val="2"/>
            <w:hideMark/>
          </w:tcPr>
          <w:p w:rsidR="004D709A" w:rsidRPr="004D709A" w:rsidRDefault="004D709A" w:rsidP="004D709A">
            <w:pPr>
              <w:cnfStyle w:val="100000000000" w:firstRow="1" w:lastRow="0" w:firstColumn="0" w:lastColumn="0" w:oddVBand="0" w:evenVBand="0" w:oddHBand="0" w:evenHBand="0" w:firstRowFirstColumn="0" w:firstRowLastColumn="0" w:lastRowFirstColumn="0" w:lastRowLastColumn="0"/>
            </w:pPr>
            <w:r w:rsidRPr="004D709A">
              <w:t>AER final decision</w:t>
            </w:r>
          </w:p>
        </w:tc>
      </w:tr>
      <w:tr w:rsidR="001E095A" w:rsidRPr="00B92BF9" w:rsidTr="004D709A">
        <w:trPr>
          <w:trHeight w:val="551"/>
        </w:trPr>
        <w:tc>
          <w:tcPr>
            <w:cnfStyle w:val="001000000000" w:firstRow="0" w:lastRow="0" w:firstColumn="1" w:lastColumn="0" w:oddVBand="0" w:evenVBand="0" w:oddHBand="0" w:evenHBand="0" w:firstRowFirstColumn="0" w:firstRowLastColumn="0" w:lastRowFirstColumn="0" w:lastRowLastColumn="0"/>
            <w:tcW w:w="960" w:type="dxa"/>
            <w:noWrap/>
            <w:hideMark/>
          </w:tcPr>
          <w:p w:rsidR="001E095A" w:rsidRPr="00B92BF9" w:rsidRDefault="001E095A" w:rsidP="004D709A">
            <w:pPr>
              <w:rPr>
                <w:rStyle w:val="Strong"/>
              </w:rPr>
            </w:pPr>
          </w:p>
        </w:tc>
        <w:tc>
          <w:tcPr>
            <w:tcW w:w="960" w:type="dxa"/>
            <w:noWrap/>
            <w:hideMark/>
          </w:tcPr>
          <w:p w:rsidR="001E095A" w:rsidRPr="00B92BF9" w:rsidRDefault="001E095A" w:rsidP="004D709A">
            <w:pPr>
              <w:cnfStyle w:val="000000000000" w:firstRow="0" w:lastRow="0" w:firstColumn="0" w:lastColumn="0" w:oddVBand="0" w:evenVBand="0" w:oddHBand="0" w:evenHBand="0" w:firstRowFirstColumn="0" w:firstRowLastColumn="0" w:lastRowFirstColumn="0" w:lastRowLastColumn="0"/>
              <w:rPr>
                <w:rStyle w:val="Strong"/>
              </w:rPr>
            </w:pPr>
          </w:p>
        </w:tc>
        <w:tc>
          <w:tcPr>
            <w:tcW w:w="960" w:type="dxa"/>
            <w:noWrap/>
            <w:hideMark/>
          </w:tcPr>
          <w:p w:rsidR="001E095A" w:rsidRPr="00B92BF9" w:rsidRDefault="001E095A" w:rsidP="004D709A">
            <w:pPr>
              <w:cnfStyle w:val="000000000000" w:firstRow="0" w:lastRow="0" w:firstColumn="0" w:lastColumn="0" w:oddVBand="0" w:evenVBand="0" w:oddHBand="0" w:evenHBand="0" w:firstRowFirstColumn="0" w:firstRowLastColumn="0" w:lastRowFirstColumn="0" w:lastRowLastColumn="0"/>
              <w:rPr>
                <w:rStyle w:val="Strong"/>
              </w:rPr>
            </w:pPr>
          </w:p>
        </w:tc>
        <w:tc>
          <w:tcPr>
            <w:tcW w:w="2898" w:type="dxa"/>
            <w:noWrap/>
            <w:hideMark/>
          </w:tcPr>
          <w:p w:rsidR="001E095A" w:rsidRPr="00B92BF9" w:rsidRDefault="001E095A" w:rsidP="004D709A">
            <w:pPr>
              <w:cnfStyle w:val="000000000000" w:firstRow="0" w:lastRow="0" w:firstColumn="0" w:lastColumn="0" w:oddVBand="0" w:evenVBand="0" w:oddHBand="0" w:evenHBand="0" w:firstRowFirstColumn="0" w:firstRowLastColumn="0" w:lastRowFirstColumn="0" w:lastRowLastColumn="0"/>
              <w:rPr>
                <w:rStyle w:val="Strong"/>
              </w:rPr>
            </w:pPr>
          </w:p>
        </w:tc>
        <w:tc>
          <w:tcPr>
            <w:tcW w:w="1347" w:type="dxa"/>
            <w:hideMark/>
          </w:tcPr>
          <w:p w:rsidR="004D709A" w:rsidRPr="00B92BF9" w:rsidRDefault="004D709A" w:rsidP="004D709A">
            <w:pPr>
              <w:cnfStyle w:val="000000000000" w:firstRow="0" w:lastRow="0" w:firstColumn="0" w:lastColumn="0" w:oddVBand="0" w:evenVBand="0" w:oddHBand="0" w:evenHBand="0" w:firstRowFirstColumn="0" w:firstRowLastColumn="0" w:lastRowFirstColumn="0" w:lastRowLastColumn="0"/>
              <w:rPr>
                <w:rStyle w:val="Strong"/>
              </w:rPr>
            </w:pPr>
            <w:r w:rsidRPr="00B92BF9">
              <w:rPr>
                <w:rStyle w:val="Strong"/>
              </w:rPr>
              <w:t>S</w:t>
            </w:r>
            <w:r w:rsidR="001E095A" w:rsidRPr="00B92BF9">
              <w:rPr>
                <w:rStyle w:val="Strong"/>
              </w:rPr>
              <w:t>ervice undertaken</w:t>
            </w:r>
          </w:p>
        </w:tc>
        <w:tc>
          <w:tcPr>
            <w:tcW w:w="1347" w:type="dxa"/>
            <w:hideMark/>
          </w:tcPr>
          <w:p w:rsidR="001E095A" w:rsidRPr="00B92BF9" w:rsidRDefault="004D709A" w:rsidP="004D709A">
            <w:pPr>
              <w:cnfStyle w:val="000000000000" w:firstRow="0" w:lastRow="0" w:firstColumn="0" w:lastColumn="0" w:oddVBand="0" w:evenVBand="0" w:oddHBand="0" w:evenHBand="0" w:firstRowFirstColumn="0" w:firstRowLastColumn="0" w:lastRowFirstColumn="0" w:lastRowLastColumn="0"/>
              <w:rPr>
                <w:rStyle w:val="Strong"/>
              </w:rPr>
            </w:pPr>
            <w:r w:rsidRPr="00B92BF9">
              <w:rPr>
                <w:rStyle w:val="Strong"/>
              </w:rPr>
              <w:t>N</w:t>
            </w:r>
            <w:r w:rsidR="001E095A" w:rsidRPr="00B92BF9">
              <w:rPr>
                <w:rStyle w:val="Strong"/>
              </w:rPr>
              <w:t>o service undertaken</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Application fee - Basic or standard connection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852.23</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0</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Application fee - Basic or standard connection - Micro-embedded generators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46.63</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0</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Application fee - Basic or standard connection - Micro-embedded generators - Technical assessment required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211.71</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0</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Application fee - Real estate development connection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892.3</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0</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Protection and Power Quality assessment prior to connection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1320.64</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0</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Temporary connection, not in permanent position - single phase metered - urban/short rural feeders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561.13</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112.23</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Temporary connection, not in permanent position - single phase metered - long rural/isolated feeders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897.8</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448.9</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Temporary connection, not in permanent position - multi phase metered - urban/short rural feeders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561.13</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112.23</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Temporary connection, not in permanent position - multi phase metered - long rural/isolated feeders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897.8</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448.9</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Supply abolishment during business - urban/short rural feeders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336.68</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112.23</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Supply abolishment during business hours - long rural/isolated feeders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673.35</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448.9</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De-energisation during business hours - urban/short rural feeders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94.03</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37.39</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De-energisation during business hours - long rural/isolated feeders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561.13</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448.9</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Re-energisation during business hours - urban/short rural feeders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74.77</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37.39</w:t>
            </w:r>
          </w:p>
        </w:tc>
      </w:tr>
      <w:tr w:rsidR="00F6208E"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tcPr>
          <w:p w:rsidR="00F6208E" w:rsidRPr="004D709A" w:rsidRDefault="00F6208E" w:rsidP="004D709A">
            <w:r>
              <w:t>Re-energisation during business hours - long rural/isolated feeders</w:t>
            </w:r>
          </w:p>
        </w:tc>
        <w:tc>
          <w:tcPr>
            <w:tcW w:w="1347" w:type="dxa"/>
            <w:noWrap/>
          </w:tcPr>
          <w:p w:rsidR="00F6208E" w:rsidRPr="004D709A" w:rsidRDefault="00F6208E" w:rsidP="004D709A">
            <w:pPr>
              <w:cnfStyle w:val="000000010000" w:firstRow="0" w:lastRow="0" w:firstColumn="0" w:lastColumn="0" w:oddVBand="0" w:evenVBand="0" w:oddHBand="0" w:evenHBand="1" w:firstRowFirstColumn="0" w:firstRowLastColumn="0" w:lastRowFirstColumn="0" w:lastRowLastColumn="0"/>
            </w:pPr>
            <w:r>
              <w:t>522.97</w:t>
            </w:r>
          </w:p>
        </w:tc>
        <w:tc>
          <w:tcPr>
            <w:tcW w:w="1347" w:type="dxa"/>
            <w:noWrap/>
          </w:tcPr>
          <w:p w:rsidR="00F6208E" w:rsidRPr="004D709A" w:rsidRDefault="00F6208E" w:rsidP="004D709A">
            <w:pPr>
              <w:cnfStyle w:val="000000010000" w:firstRow="0" w:lastRow="0" w:firstColumn="0" w:lastColumn="0" w:oddVBand="0" w:evenVBand="0" w:oddHBand="0" w:evenHBand="1" w:firstRowFirstColumn="0" w:firstRowLastColumn="0" w:lastRowFirstColumn="0" w:lastRowLastColumn="0"/>
            </w:pPr>
            <w:r>
              <w:t>448.90</w:t>
            </w:r>
          </w:p>
        </w:tc>
      </w:tr>
      <w:tr w:rsidR="00F6208E"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tcPr>
          <w:p w:rsidR="00F6208E" w:rsidRPr="004D709A" w:rsidRDefault="00F6208E" w:rsidP="00F6208E">
            <w:r>
              <w:t>Re-energisation during business hours - after de-energisation for debt - urban/short rural feeders</w:t>
            </w:r>
          </w:p>
        </w:tc>
        <w:tc>
          <w:tcPr>
            <w:tcW w:w="1347" w:type="dxa"/>
            <w:noWrap/>
          </w:tcPr>
          <w:p w:rsidR="00F6208E" w:rsidRPr="004D709A" w:rsidRDefault="00F6208E" w:rsidP="004D709A">
            <w:pPr>
              <w:cnfStyle w:val="000000000000" w:firstRow="0" w:lastRow="0" w:firstColumn="0" w:lastColumn="0" w:oddVBand="0" w:evenVBand="0" w:oddHBand="0" w:evenHBand="0" w:firstRowFirstColumn="0" w:firstRowLastColumn="0" w:lastRowFirstColumn="0" w:lastRowLastColumn="0"/>
            </w:pPr>
            <w:r>
              <w:t>74.77</w:t>
            </w:r>
          </w:p>
        </w:tc>
        <w:tc>
          <w:tcPr>
            <w:tcW w:w="1347" w:type="dxa"/>
            <w:noWrap/>
          </w:tcPr>
          <w:p w:rsidR="00F6208E" w:rsidRPr="004D709A" w:rsidRDefault="00F6208E" w:rsidP="004D709A">
            <w:pPr>
              <w:cnfStyle w:val="000000000000" w:firstRow="0" w:lastRow="0" w:firstColumn="0" w:lastColumn="0" w:oddVBand="0" w:evenVBand="0" w:oddHBand="0" w:evenHBand="0" w:firstRowFirstColumn="0" w:firstRowLastColumn="0" w:lastRowFirstColumn="0" w:lastRowLastColumn="0"/>
            </w:pPr>
            <w:r>
              <w:t>37.39</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Re-energisation during business hours - after de-energisation for debt - long rural/isolated feeders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522.97</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448.9</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Accreditation of alternative service providers - real estate developments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866.67</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0</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Prevented access - one person crew - urban/short rural feeders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52.43</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n/a</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Prevented access - one person crew - long rural/isolated feeders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209.74</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n/a</w:t>
            </w:r>
          </w:p>
        </w:tc>
      </w:tr>
      <w:tr w:rsidR="001E095A" w:rsidRPr="004D709A" w:rsidTr="004D70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t xml:space="preserve">Prevented access - two person crew - urban/short rural feeders </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108.01</w:t>
            </w:r>
          </w:p>
        </w:tc>
        <w:tc>
          <w:tcPr>
            <w:tcW w:w="1347" w:type="dxa"/>
            <w:noWrap/>
            <w:hideMark/>
          </w:tcPr>
          <w:p w:rsidR="001E095A" w:rsidRPr="004D709A" w:rsidRDefault="001E095A" w:rsidP="004D709A">
            <w:pPr>
              <w:cnfStyle w:val="000000010000" w:firstRow="0" w:lastRow="0" w:firstColumn="0" w:lastColumn="0" w:oddVBand="0" w:evenVBand="0" w:oddHBand="0" w:evenHBand="1" w:firstRowFirstColumn="0" w:firstRowLastColumn="0" w:lastRowFirstColumn="0" w:lastRowLastColumn="0"/>
            </w:pPr>
            <w:r w:rsidRPr="004D709A">
              <w:t>n/a</w:t>
            </w:r>
          </w:p>
        </w:tc>
      </w:tr>
      <w:tr w:rsidR="001E095A" w:rsidRPr="004D709A" w:rsidTr="004D709A">
        <w:trPr>
          <w:trHeight w:val="300"/>
        </w:trPr>
        <w:tc>
          <w:tcPr>
            <w:cnfStyle w:val="001000000000" w:firstRow="0" w:lastRow="0" w:firstColumn="1" w:lastColumn="0" w:oddVBand="0" w:evenVBand="0" w:oddHBand="0" w:evenHBand="0" w:firstRowFirstColumn="0" w:firstRowLastColumn="0" w:lastRowFirstColumn="0" w:lastRowLastColumn="0"/>
            <w:tcW w:w="5778" w:type="dxa"/>
            <w:gridSpan w:val="4"/>
            <w:hideMark/>
          </w:tcPr>
          <w:p w:rsidR="001E095A" w:rsidRPr="004D709A" w:rsidRDefault="001E095A" w:rsidP="004D709A">
            <w:r w:rsidRPr="004D709A">
              <w:lastRenderedPageBreak/>
              <w:t xml:space="preserve">Prevented access - two person crew - long rural/isolated feeders </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432.06</w:t>
            </w:r>
          </w:p>
        </w:tc>
        <w:tc>
          <w:tcPr>
            <w:tcW w:w="1347" w:type="dxa"/>
            <w:noWrap/>
            <w:hideMark/>
          </w:tcPr>
          <w:p w:rsidR="001E095A" w:rsidRPr="004D709A" w:rsidRDefault="001E095A" w:rsidP="004D709A">
            <w:pPr>
              <w:cnfStyle w:val="000000000000" w:firstRow="0" w:lastRow="0" w:firstColumn="0" w:lastColumn="0" w:oddVBand="0" w:evenVBand="0" w:oddHBand="0" w:evenHBand="0" w:firstRowFirstColumn="0" w:firstRowLastColumn="0" w:lastRowFirstColumn="0" w:lastRowLastColumn="0"/>
            </w:pPr>
            <w:r w:rsidRPr="004D709A">
              <w:t>n/a</w:t>
            </w:r>
          </w:p>
        </w:tc>
      </w:tr>
    </w:tbl>
    <w:p w:rsidR="00964ACC" w:rsidRDefault="00964ACC" w:rsidP="00964ACC">
      <w:pPr>
        <w:pStyle w:val="AERtablesource"/>
      </w:pPr>
      <w:r>
        <w:t xml:space="preserve">Source: </w:t>
      </w:r>
      <w:r w:rsidR="00E01BE0">
        <w:tab/>
      </w:r>
      <w:r>
        <w:t>AER analysis</w:t>
      </w:r>
      <w:r w:rsidR="00C81995">
        <w:t>.</w:t>
      </w:r>
      <w:r>
        <w:tab/>
      </w:r>
    </w:p>
    <w:p w:rsidR="004D709A" w:rsidRDefault="004D709A" w:rsidP="004D709A">
      <w:pPr>
        <w:pStyle w:val="AERtablesource"/>
      </w:pPr>
      <w:r>
        <w:t>Note:</w:t>
      </w:r>
      <w:r>
        <w:tab/>
        <w:t xml:space="preserve">Prices for no service undertaken are call out fees where the service is </w:t>
      </w:r>
      <w:r w:rsidR="00A47714">
        <w:t>not</w:t>
      </w:r>
      <w:r>
        <w:t xml:space="preserve"> undertaken due to customer fault.</w:t>
      </w:r>
    </w:p>
    <w:p w:rsidR="00707976" w:rsidRPr="00707976" w:rsidRDefault="00707976" w:rsidP="00707976">
      <w:pPr>
        <w:pStyle w:val="Caption"/>
      </w:pPr>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t>.</w:t>
      </w:r>
      <w:proofErr w:type="gramEnd"/>
      <w:r>
        <w:fldChar w:fldCharType="begin"/>
      </w:r>
      <w:r>
        <w:instrText xml:space="preserve"> SEQ Table \* ARABIC \s 1 </w:instrText>
      </w:r>
      <w:r>
        <w:fldChar w:fldCharType="separate"/>
      </w:r>
      <w:r w:rsidR="00E01BE0">
        <w:rPr>
          <w:noProof/>
        </w:rPr>
        <w:t>17</w:t>
      </w:r>
      <w:r>
        <w:fldChar w:fldCharType="end"/>
      </w:r>
      <w:r>
        <w:t xml:space="preserve">  </w:t>
      </w:r>
      <w:r w:rsidR="00C81995">
        <w:tab/>
        <w:t>Final decision f</w:t>
      </w:r>
      <w:r>
        <w:t xml:space="preserve">ee based services — </w:t>
      </w:r>
      <w:proofErr w:type="gramStart"/>
      <w:r>
        <w:t>Upfront</w:t>
      </w:r>
      <w:proofErr w:type="gramEnd"/>
      <w:r>
        <w:t xml:space="preserve"> capital charge ($2015–16)</w:t>
      </w:r>
    </w:p>
    <w:tbl>
      <w:tblPr>
        <w:tblStyle w:val="AERtable-numbers"/>
        <w:tblW w:w="0" w:type="auto"/>
        <w:tblLook w:val="04A0" w:firstRow="1" w:lastRow="0" w:firstColumn="1" w:lastColumn="0" w:noHBand="0" w:noVBand="1"/>
      </w:tblPr>
      <w:tblGrid>
        <w:gridCol w:w="4346"/>
        <w:gridCol w:w="4347"/>
      </w:tblGrid>
      <w:tr w:rsidR="00707976" w:rsidTr="00707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07976" w:rsidRPr="004D709A" w:rsidRDefault="00707976" w:rsidP="00707976">
            <w:r w:rsidRPr="004D709A">
              <w:t>Service</w:t>
            </w:r>
          </w:p>
        </w:tc>
        <w:tc>
          <w:tcPr>
            <w:tcW w:w="4347" w:type="dxa"/>
          </w:tcPr>
          <w:p w:rsidR="00707976" w:rsidRPr="004D709A" w:rsidRDefault="00707976" w:rsidP="00707976">
            <w:pPr>
              <w:cnfStyle w:val="100000000000" w:firstRow="1" w:lastRow="0" w:firstColumn="0" w:lastColumn="0" w:oddVBand="0" w:evenVBand="0" w:oddHBand="0" w:evenHBand="0" w:firstRowFirstColumn="0" w:firstRowLastColumn="0" w:lastRowFirstColumn="0" w:lastRowLastColumn="0"/>
            </w:pPr>
            <w:r w:rsidRPr="004D709A">
              <w:t>AER final decision</w:t>
            </w:r>
          </w:p>
        </w:tc>
      </w:tr>
      <w:tr w:rsidR="00707976" w:rsidTr="00707976">
        <w:tc>
          <w:tcPr>
            <w:cnfStyle w:val="001000000000" w:firstRow="0" w:lastRow="0" w:firstColumn="1" w:lastColumn="0" w:oddVBand="0" w:evenVBand="0" w:oddHBand="0" w:evenHBand="0" w:firstRowFirstColumn="0" w:firstRowLastColumn="0" w:lastRowFirstColumn="0" w:lastRowLastColumn="0"/>
            <w:tcW w:w="4346" w:type="dxa"/>
          </w:tcPr>
          <w:p w:rsidR="00707976" w:rsidRPr="00707976" w:rsidRDefault="00707976" w:rsidP="00707976">
            <w:r>
              <w:t xml:space="preserve">Install new or replacement meter (type 5 &amp; 6)—single phase—urban/short rural feeder </w:t>
            </w:r>
          </w:p>
        </w:tc>
        <w:tc>
          <w:tcPr>
            <w:tcW w:w="4347" w:type="dxa"/>
          </w:tcPr>
          <w:p w:rsidR="00707976" w:rsidRPr="00707976" w:rsidRDefault="00707976" w:rsidP="00707976">
            <w:pPr>
              <w:cnfStyle w:val="000000000000" w:firstRow="0" w:lastRow="0" w:firstColumn="0" w:lastColumn="0" w:oddVBand="0" w:evenVBand="0" w:oddHBand="0" w:evenHBand="0" w:firstRowFirstColumn="0" w:firstRowLastColumn="0" w:lastRowFirstColumn="0" w:lastRowLastColumn="0"/>
            </w:pPr>
            <w:r>
              <w:t>331.70</w:t>
            </w:r>
          </w:p>
        </w:tc>
      </w:tr>
      <w:tr w:rsidR="00707976" w:rsidTr="007079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07976" w:rsidRPr="00707976" w:rsidRDefault="00707976" w:rsidP="00707976">
            <w:r>
              <w:t>Install new or replacement meter (</w:t>
            </w:r>
            <w:r w:rsidRPr="00707976">
              <w:t xml:space="preserve">type 5 &amp; 6)—single phase—long rural/isolated feeder </w:t>
            </w:r>
          </w:p>
        </w:tc>
        <w:tc>
          <w:tcPr>
            <w:tcW w:w="4347" w:type="dxa"/>
          </w:tcPr>
          <w:p w:rsidR="00707976" w:rsidRPr="00707976" w:rsidRDefault="00707976" w:rsidP="00707976">
            <w:pPr>
              <w:cnfStyle w:val="000000010000" w:firstRow="0" w:lastRow="0" w:firstColumn="0" w:lastColumn="0" w:oddVBand="0" w:evenVBand="0" w:oddHBand="0" w:evenHBand="1" w:firstRowFirstColumn="0" w:firstRowLastColumn="0" w:lastRowFirstColumn="0" w:lastRowLastColumn="0"/>
            </w:pPr>
            <w:r>
              <w:t>514.25</w:t>
            </w:r>
          </w:p>
        </w:tc>
      </w:tr>
      <w:tr w:rsidR="00707976" w:rsidTr="00707976">
        <w:tc>
          <w:tcPr>
            <w:cnfStyle w:val="001000000000" w:firstRow="0" w:lastRow="0" w:firstColumn="1" w:lastColumn="0" w:oddVBand="0" w:evenVBand="0" w:oddHBand="0" w:evenHBand="0" w:firstRowFirstColumn="0" w:firstRowLastColumn="0" w:lastRowFirstColumn="0" w:lastRowLastColumn="0"/>
            <w:tcW w:w="4346" w:type="dxa"/>
          </w:tcPr>
          <w:p w:rsidR="00707976" w:rsidRDefault="00707976" w:rsidP="00707976">
            <w:r>
              <w:t>Install new or replacement meter (type 5 &amp; 6)—dual element—urban/short rural feeder</w:t>
            </w:r>
          </w:p>
        </w:tc>
        <w:tc>
          <w:tcPr>
            <w:tcW w:w="4347" w:type="dxa"/>
          </w:tcPr>
          <w:p w:rsidR="00707976" w:rsidRDefault="00707976" w:rsidP="00707976">
            <w:pPr>
              <w:cnfStyle w:val="000000000000" w:firstRow="0" w:lastRow="0" w:firstColumn="0" w:lastColumn="0" w:oddVBand="0" w:evenVBand="0" w:oddHBand="0" w:evenHBand="0" w:firstRowFirstColumn="0" w:firstRowLastColumn="0" w:lastRowFirstColumn="0" w:lastRowLastColumn="0"/>
            </w:pPr>
            <w:r>
              <w:t>406.27</w:t>
            </w:r>
          </w:p>
        </w:tc>
      </w:tr>
      <w:tr w:rsidR="00707976" w:rsidTr="007079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07976" w:rsidRPr="00707976" w:rsidRDefault="00707976" w:rsidP="00707976">
            <w:r>
              <w:t>Install new or replacement meter (</w:t>
            </w:r>
            <w:r w:rsidRPr="00707976">
              <w:t>type 5 &amp; 6)—dual element—long rural/isolated feeder</w:t>
            </w:r>
          </w:p>
        </w:tc>
        <w:tc>
          <w:tcPr>
            <w:tcW w:w="4347" w:type="dxa"/>
          </w:tcPr>
          <w:p w:rsidR="00707976" w:rsidRPr="00707976" w:rsidRDefault="00707976" w:rsidP="00707976">
            <w:pPr>
              <w:cnfStyle w:val="000000010000" w:firstRow="0" w:lastRow="0" w:firstColumn="0" w:lastColumn="0" w:oddVBand="0" w:evenVBand="0" w:oddHBand="0" w:evenHBand="1" w:firstRowFirstColumn="0" w:firstRowLastColumn="0" w:lastRowFirstColumn="0" w:lastRowLastColumn="0"/>
            </w:pPr>
            <w:r>
              <w:t>588.82</w:t>
            </w:r>
          </w:p>
        </w:tc>
      </w:tr>
      <w:tr w:rsidR="00707976" w:rsidTr="00707976">
        <w:tc>
          <w:tcPr>
            <w:cnfStyle w:val="001000000000" w:firstRow="0" w:lastRow="0" w:firstColumn="1" w:lastColumn="0" w:oddVBand="0" w:evenVBand="0" w:oddHBand="0" w:evenHBand="0" w:firstRowFirstColumn="0" w:firstRowLastColumn="0" w:lastRowFirstColumn="0" w:lastRowLastColumn="0"/>
            <w:tcW w:w="4346" w:type="dxa"/>
          </w:tcPr>
          <w:p w:rsidR="00707976" w:rsidRPr="00707976" w:rsidRDefault="00707976" w:rsidP="00707976">
            <w:r>
              <w:t>Install new or replacement meter (</w:t>
            </w:r>
            <w:r w:rsidRPr="00707976">
              <w:t>type 5 &amp; 6)—three phase—urban/short rural feeder</w:t>
            </w:r>
          </w:p>
        </w:tc>
        <w:tc>
          <w:tcPr>
            <w:tcW w:w="4347" w:type="dxa"/>
          </w:tcPr>
          <w:p w:rsidR="00707976" w:rsidRPr="00707976" w:rsidRDefault="00707976" w:rsidP="00707976">
            <w:pPr>
              <w:cnfStyle w:val="000000000000" w:firstRow="0" w:lastRow="0" w:firstColumn="0" w:lastColumn="0" w:oddVBand="0" w:evenVBand="0" w:oddHBand="0" w:evenHBand="0" w:firstRowFirstColumn="0" w:firstRowLastColumn="0" w:lastRowFirstColumn="0" w:lastRowLastColumn="0"/>
            </w:pPr>
            <w:r>
              <w:t>510.66</w:t>
            </w:r>
          </w:p>
        </w:tc>
      </w:tr>
      <w:tr w:rsidR="00707976" w:rsidTr="007079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707976" w:rsidRPr="00707976" w:rsidRDefault="00707976" w:rsidP="00707976">
            <w:r>
              <w:t>Install new or replacement meter (</w:t>
            </w:r>
            <w:r w:rsidRPr="00707976">
              <w:t>type 5 &amp; 6)—three phase—long rural/isolated feeder</w:t>
            </w:r>
          </w:p>
        </w:tc>
        <w:tc>
          <w:tcPr>
            <w:tcW w:w="4347" w:type="dxa"/>
          </w:tcPr>
          <w:p w:rsidR="00707976" w:rsidRPr="00707976" w:rsidRDefault="00707976" w:rsidP="00707976">
            <w:pPr>
              <w:cnfStyle w:val="000000010000" w:firstRow="0" w:lastRow="0" w:firstColumn="0" w:lastColumn="0" w:oddVBand="0" w:evenVBand="0" w:oddHBand="0" w:evenHBand="1" w:firstRowFirstColumn="0" w:firstRowLastColumn="0" w:lastRowFirstColumn="0" w:lastRowLastColumn="0"/>
            </w:pPr>
            <w:r>
              <w:t>693.21</w:t>
            </w:r>
          </w:p>
        </w:tc>
      </w:tr>
      <w:tr w:rsidR="00707976" w:rsidTr="00707976">
        <w:tc>
          <w:tcPr>
            <w:cnfStyle w:val="001000000000" w:firstRow="0" w:lastRow="0" w:firstColumn="1" w:lastColumn="0" w:oddVBand="0" w:evenVBand="0" w:oddHBand="0" w:evenHBand="0" w:firstRowFirstColumn="0" w:firstRowLastColumn="0" w:lastRowFirstColumn="0" w:lastRowLastColumn="0"/>
            <w:tcW w:w="4346" w:type="dxa"/>
          </w:tcPr>
          <w:p w:rsidR="00707976" w:rsidRPr="00707976" w:rsidRDefault="00707976" w:rsidP="00707976">
            <w:r>
              <w:t>Install new or replacement meter (CT</w:t>
            </w:r>
            <w:r w:rsidRPr="00707976">
              <w:t>)— urban/short rural feeder</w:t>
            </w:r>
          </w:p>
        </w:tc>
        <w:tc>
          <w:tcPr>
            <w:tcW w:w="4347" w:type="dxa"/>
          </w:tcPr>
          <w:p w:rsidR="00707976" w:rsidRPr="00707976" w:rsidRDefault="00707976" w:rsidP="00707976">
            <w:pPr>
              <w:cnfStyle w:val="000000000000" w:firstRow="0" w:lastRow="0" w:firstColumn="0" w:lastColumn="0" w:oddVBand="0" w:evenVBand="0" w:oddHBand="0" w:evenHBand="0" w:firstRowFirstColumn="0" w:firstRowLastColumn="0" w:lastRowFirstColumn="0" w:lastRowLastColumn="0"/>
            </w:pPr>
            <w:r>
              <w:t>2,426.06</w:t>
            </w:r>
          </w:p>
        </w:tc>
      </w:tr>
    </w:tbl>
    <w:p w:rsidR="00707976" w:rsidRPr="00707976" w:rsidRDefault="00707976" w:rsidP="00707976">
      <w:pPr>
        <w:pStyle w:val="Source"/>
      </w:pPr>
      <w:r>
        <w:t>Source:</w:t>
      </w:r>
      <w:r>
        <w:tab/>
        <w:t>AER analysis.</w:t>
      </w:r>
    </w:p>
    <w:p w:rsidR="00F638F6" w:rsidRDefault="006F49C3" w:rsidP="006F49C3">
      <w:pPr>
        <w:pStyle w:val="Caption"/>
      </w:pPr>
      <w:bookmarkStart w:id="78" w:name="_Ref429746132"/>
      <w:proofErr w:type="gramStart"/>
      <w:r>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18</w:t>
      </w:r>
      <w:r w:rsidR="00674D47">
        <w:fldChar w:fldCharType="end"/>
      </w:r>
      <w:bookmarkEnd w:id="78"/>
      <w:r>
        <w:t xml:space="preserve"> </w:t>
      </w:r>
      <w:r w:rsidR="00C81995">
        <w:tab/>
        <w:t>Final decision q</w:t>
      </w:r>
      <w:r>
        <w:t>uoted services</w:t>
      </w:r>
    </w:p>
    <w:tbl>
      <w:tblPr>
        <w:tblStyle w:val="AERtable-text0"/>
        <w:tblW w:w="0" w:type="auto"/>
        <w:tblLook w:val="04A0" w:firstRow="1" w:lastRow="0" w:firstColumn="1" w:lastColumn="0" w:noHBand="0" w:noVBand="1"/>
      </w:tblPr>
      <w:tblGrid>
        <w:gridCol w:w="5110"/>
        <w:gridCol w:w="3362"/>
      </w:tblGrid>
      <w:tr w:rsidR="001E095A" w:rsidRPr="001E095A" w:rsidTr="00C81995">
        <w:trPr>
          <w:cnfStyle w:val="100000000000" w:firstRow="1" w:lastRow="0" w:firstColumn="0" w:lastColumn="0" w:oddVBand="0" w:evenVBand="0" w:oddHBand="0" w:evenHBand="0" w:firstRowFirstColumn="0" w:firstRowLastColumn="0" w:lastRowFirstColumn="0" w:lastRowLastColumn="0"/>
          <w:trHeight w:val="300"/>
          <w:tblHeader/>
        </w:trPr>
        <w:tc>
          <w:tcPr>
            <w:tcW w:w="5110" w:type="dxa"/>
            <w:noWrap/>
            <w:hideMark/>
          </w:tcPr>
          <w:p w:rsidR="001E095A" w:rsidRPr="001E095A" w:rsidRDefault="001E095A">
            <w:r w:rsidRPr="001E095A">
              <w:t>Quoted services</w:t>
            </w:r>
          </w:p>
        </w:tc>
        <w:tc>
          <w:tcPr>
            <w:tcW w:w="3362" w:type="dxa"/>
            <w:noWrap/>
            <w:hideMark/>
          </w:tcPr>
          <w:p w:rsidR="001E095A" w:rsidRPr="001E095A" w:rsidRDefault="001E095A">
            <w:r w:rsidRPr="001E095A">
              <w:t xml:space="preserve"> </w:t>
            </w:r>
          </w:p>
        </w:tc>
      </w:tr>
      <w:tr w:rsidR="001E095A" w:rsidRPr="001E095A" w:rsidTr="004D709A">
        <w:trPr>
          <w:trHeight w:val="300"/>
        </w:trPr>
        <w:tc>
          <w:tcPr>
            <w:tcW w:w="8472" w:type="dxa"/>
            <w:gridSpan w:val="2"/>
            <w:noWrap/>
            <w:hideMark/>
          </w:tcPr>
          <w:p w:rsidR="001E095A" w:rsidRPr="001E095A" w:rsidRDefault="001E095A">
            <w:r w:rsidRPr="001E095A">
              <w:t>Application fee – negotiated connection</w:t>
            </w:r>
          </w:p>
        </w:tc>
      </w:tr>
      <w:tr w:rsidR="001E095A"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1E095A" w:rsidRPr="001E095A" w:rsidRDefault="001E095A">
            <w:r w:rsidRPr="001E095A">
              <w:t>Application fee – negotiated connection – micro-embedded generators</w:t>
            </w:r>
          </w:p>
        </w:tc>
      </w:tr>
      <w:tr w:rsidR="001E095A" w:rsidRPr="001E095A" w:rsidTr="004D709A">
        <w:trPr>
          <w:trHeight w:val="300"/>
        </w:trPr>
        <w:tc>
          <w:tcPr>
            <w:tcW w:w="8472" w:type="dxa"/>
            <w:gridSpan w:val="2"/>
            <w:noWrap/>
            <w:hideMark/>
          </w:tcPr>
          <w:p w:rsidR="001E095A" w:rsidRPr="001E095A" w:rsidRDefault="001E095A">
            <w:r w:rsidRPr="001E095A">
              <w:t>Application fee – negotiated – major customer connection</w:t>
            </w:r>
          </w:p>
        </w:tc>
      </w:tr>
      <w:tr w:rsidR="001E095A"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1E095A" w:rsidRPr="001E095A" w:rsidRDefault="001E095A">
            <w:r w:rsidRPr="001E095A">
              <w:t xml:space="preserve">Carrying out planning studies and analysis relating to connection applications </w:t>
            </w:r>
          </w:p>
        </w:tc>
      </w:tr>
      <w:tr w:rsidR="001E095A" w:rsidRPr="001E095A" w:rsidTr="004D709A">
        <w:trPr>
          <w:trHeight w:val="300"/>
        </w:trPr>
        <w:tc>
          <w:tcPr>
            <w:tcW w:w="8472" w:type="dxa"/>
            <w:gridSpan w:val="2"/>
            <w:hideMark/>
          </w:tcPr>
          <w:p w:rsidR="001E095A" w:rsidRPr="001E095A" w:rsidRDefault="001E095A">
            <w:r w:rsidRPr="001E095A">
              <w:t xml:space="preserve">Feasibility and concept scoping, including planning and design, for major customer connections </w:t>
            </w:r>
          </w:p>
        </w:tc>
      </w:tr>
      <w:tr w:rsidR="001E095A"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1E095A" w:rsidRPr="001E095A" w:rsidRDefault="001E095A">
            <w:r w:rsidRPr="001E095A">
              <w:t xml:space="preserve">Tender process </w:t>
            </w:r>
          </w:p>
        </w:tc>
      </w:tr>
      <w:tr w:rsidR="001E095A" w:rsidRPr="001E095A" w:rsidTr="004D709A">
        <w:trPr>
          <w:trHeight w:val="300"/>
        </w:trPr>
        <w:tc>
          <w:tcPr>
            <w:tcW w:w="8472" w:type="dxa"/>
            <w:gridSpan w:val="2"/>
            <w:hideMark/>
          </w:tcPr>
          <w:p w:rsidR="001E095A" w:rsidRPr="001E095A" w:rsidRDefault="001E095A">
            <w:r w:rsidRPr="001E095A">
              <w:t xml:space="preserve">Pre-connection site inspection </w:t>
            </w:r>
          </w:p>
        </w:tc>
      </w:tr>
      <w:tr w:rsidR="001E095A"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1E095A" w:rsidRPr="001E095A" w:rsidRDefault="001E095A">
            <w:r w:rsidRPr="001E095A">
              <w:t xml:space="preserve">Provision of site-specific connection information and advice for small or major customer connections </w:t>
            </w:r>
          </w:p>
        </w:tc>
      </w:tr>
      <w:tr w:rsidR="001E095A" w:rsidRPr="001E095A" w:rsidTr="004D709A">
        <w:trPr>
          <w:trHeight w:val="300"/>
        </w:trPr>
        <w:tc>
          <w:tcPr>
            <w:tcW w:w="8472" w:type="dxa"/>
            <w:gridSpan w:val="2"/>
            <w:hideMark/>
          </w:tcPr>
          <w:p w:rsidR="001E095A" w:rsidRPr="001E095A" w:rsidRDefault="001E095A">
            <w:r w:rsidRPr="001E095A">
              <w:t xml:space="preserve">Preparation of preliminary designs and planning reports for major customer connections, including project scopes and estimates </w:t>
            </w:r>
          </w:p>
        </w:tc>
      </w:tr>
      <w:tr w:rsidR="001E095A"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1E095A" w:rsidRPr="001E095A" w:rsidRDefault="001E095A">
            <w:r w:rsidRPr="001E095A">
              <w:t xml:space="preserve">Customer build, own and operate consultation services </w:t>
            </w:r>
          </w:p>
        </w:tc>
      </w:tr>
      <w:tr w:rsidR="001E095A" w:rsidRPr="001E095A" w:rsidTr="004D709A">
        <w:trPr>
          <w:trHeight w:val="300"/>
        </w:trPr>
        <w:tc>
          <w:tcPr>
            <w:tcW w:w="8472" w:type="dxa"/>
            <w:gridSpan w:val="2"/>
            <w:hideMark/>
          </w:tcPr>
          <w:p w:rsidR="001E095A" w:rsidRPr="001E095A" w:rsidRDefault="001E095A">
            <w:r w:rsidRPr="001E095A">
              <w:t xml:space="preserve">Detailed enquiry response fee - EGs 5MW &amp; above </w:t>
            </w:r>
          </w:p>
        </w:tc>
      </w:tr>
      <w:tr w:rsidR="001E095A"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1E095A" w:rsidRPr="001E095A" w:rsidRDefault="001E095A">
            <w:r w:rsidRPr="001E095A">
              <w:lastRenderedPageBreak/>
              <w:t xml:space="preserve">Design and construction of connection assets for major customers </w:t>
            </w:r>
          </w:p>
        </w:tc>
      </w:tr>
      <w:tr w:rsidR="009470CB" w:rsidRPr="001E095A" w:rsidTr="004D709A">
        <w:trPr>
          <w:trHeight w:val="300"/>
        </w:trPr>
        <w:tc>
          <w:tcPr>
            <w:tcW w:w="8472" w:type="dxa"/>
            <w:gridSpan w:val="2"/>
          </w:tcPr>
          <w:p w:rsidR="009470CB" w:rsidRPr="009470CB" w:rsidRDefault="009470CB" w:rsidP="009470CB">
            <w:r w:rsidRPr="009470CB">
              <w:t>Commissioning and energisation of major customer connections</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Design and construction for real estate developments </w:t>
            </w:r>
          </w:p>
        </w:tc>
      </w:tr>
      <w:tr w:rsidR="009470CB" w:rsidRPr="001E095A" w:rsidTr="004D709A">
        <w:trPr>
          <w:trHeight w:val="300"/>
        </w:trPr>
        <w:tc>
          <w:tcPr>
            <w:tcW w:w="8472" w:type="dxa"/>
            <w:gridSpan w:val="2"/>
            <w:hideMark/>
          </w:tcPr>
          <w:p w:rsidR="009470CB" w:rsidRPr="009470CB" w:rsidRDefault="009470CB" w:rsidP="009470CB">
            <w:r w:rsidRPr="009470CB">
              <w:t xml:space="preserve">Commissioning and energisation of real estate development connections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Removal of network constraint for embedded generator </w:t>
            </w:r>
          </w:p>
        </w:tc>
      </w:tr>
      <w:tr w:rsidR="009470CB" w:rsidRPr="001E095A" w:rsidTr="004D709A">
        <w:trPr>
          <w:trHeight w:val="300"/>
        </w:trPr>
        <w:tc>
          <w:tcPr>
            <w:tcW w:w="8472" w:type="dxa"/>
            <w:gridSpan w:val="2"/>
            <w:hideMark/>
          </w:tcPr>
          <w:p w:rsidR="009470CB" w:rsidRPr="009470CB" w:rsidRDefault="009470CB" w:rsidP="009470CB">
            <w:r w:rsidRPr="009470CB">
              <w:t xml:space="preserve">Move point of attachment - single/multi phase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Re-arrange connection assets at customer's request </w:t>
            </w:r>
          </w:p>
        </w:tc>
      </w:tr>
      <w:tr w:rsidR="009470CB" w:rsidRPr="001E095A" w:rsidTr="004D709A">
        <w:trPr>
          <w:trHeight w:val="300"/>
        </w:trPr>
        <w:tc>
          <w:tcPr>
            <w:tcW w:w="8472" w:type="dxa"/>
            <w:gridSpan w:val="2"/>
            <w:hideMark/>
          </w:tcPr>
          <w:p w:rsidR="009470CB" w:rsidRPr="009470CB" w:rsidRDefault="009470CB" w:rsidP="009470CB">
            <w:r w:rsidRPr="009470CB">
              <w:t xml:space="preserve">Protection and Power Quality assessment after connection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Temporary de-energisation - no dismantling </w:t>
            </w:r>
          </w:p>
        </w:tc>
      </w:tr>
      <w:tr w:rsidR="009470CB" w:rsidRPr="001E095A" w:rsidTr="004D709A">
        <w:trPr>
          <w:trHeight w:val="300"/>
        </w:trPr>
        <w:tc>
          <w:tcPr>
            <w:tcW w:w="8472" w:type="dxa"/>
            <w:gridSpan w:val="2"/>
            <w:hideMark/>
          </w:tcPr>
          <w:p w:rsidR="009470CB" w:rsidRPr="009470CB" w:rsidRDefault="009470CB" w:rsidP="009470CB">
            <w:r w:rsidRPr="009470CB">
              <w:t xml:space="preserve">LV Service line drop and replace - physical dismantling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HV Service line drop and replace </w:t>
            </w:r>
          </w:p>
        </w:tc>
      </w:tr>
      <w:tr w:rsidR="009470CB" w:rsidRPr="001E095A" w:rsidTr="004D709A">
        <w:trPr>
          <w:trHeight w:val="300"/>
        </w:trPr>
        <w:tc>
          <w:tcPr>
            <w:tcW w:w="8472" w:type="dxa"/>
            <w:gridSpan w:val="2"/>
            <w:hideMark/>
          </w:tcPr>
          <w:p w:rsidR="009470CB" w:rsidRPr="009470CB" w:rsidRDefault="009470CB" w:rsidP="009470CB">
            <w:r w:rsidRPr="009470CB">
              <w:t xml:space="preserve">Supply enhancement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Provision of connection services above minimum requirements </w:t>
            </w:r>
          </w:p>
        </w:tc>
      </w:tr>
      <w:tr w:rsidR="009470CB" w:rsidRPr="001E095A" w:rsidTr="004D709A">
        <w:trPr>
          <w:trHeight w:val="300"/>
        </w:trPr>
        <w:tc>
          <w:tcPr>
            <w:tcW w:w="8472" w:type="dxa"/>
            <w:gridSpan w:val="2"/>
            <w:hideMark/>
          </w:tcPr>
          <w:p w:rsidR="009470CB" w:rsidRPr="009470CB" w:rsidRDefault="009470CB" w:rsidP="009470CB">
            <w:r w:rsidRPr="009470CB">
              <w:t xml:space="preserve">Upgrade from overhead to underground service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Rectification of illegal connections or damage to overhead or underground service cables </w:t>
            </w:r>
          </w:p>
        </w:tc>
      </w:tr>
      <w:tr w:rsidR="009470CB" w:rsidRPr="001E095A" w:rsidTr="004D709A">
        <w:trPr>
          <w:trHeight w:val="300"/>
        </w:trPr>
        <w:tc>
          <w:tcPr>
            <w:tcW w:w="8472" w:type="dxa"/>
            <w:gridSpan w:val="2"/>
            <w:hideMark/>
          </w:tcPr>
          <w:p w:rsidR="009470CB" w:rsidRPr="009470CB" w:rsidRDefault="009470CB" w:rsidP="009470CB">
            <w:r w:rsidRPr="009470CB">
              <w:t xml:space="preserve">De-energisation after business hours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Re-energisation after business hours </w:t>
            </w:r>
          </w:p>
        </w:tc>
      </w:tr>
      <w:tr w:rsidR="009470CB" w:rsidRPr="001E095A" w:rsidTr="004D709A">
        <w:trPr>
          <w:trHeight w:val="300"/>
        </w:trPr>
        <w:tc>
          <w:tcPr>
            <w:tcW w:w="8472" w:type="dxa"/>
            <w:gridSpan w:val="2"/>
            <w:hideMark/>
          </w:tcPr>
          <w:p w:rsidR="009470CB" w:rsidRPr="009470CB" w:rsidRDefault="009470CB" w:rsidP="009470CB">
            <w:r w:rsidRPr="009470CB">
              <w:t xml:space="preserve">Accreditation of alternative service providers - major customer connections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Approval of third party design - major customer connections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Approval of third party design - real estate developments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Construction audit - major customer connections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Construction audit - real estate developments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Approval of third party materials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Special meter read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Meter test </w:t>
            </w:r>
          </w:p>
        </w:tc>
      </w:tr>
      <w:tr w:rsidR="009470CB" w:rsidRPr="001E095A" w:rsidTr="004D709A">
        <w:trPr>
          <w:trHeight w:val="300"/>
        </w:trPr>
        <w:tc>
          <w:tcPr>
            <w:tcW w:w="8472" w:type="dxa"/>
            <w:gridSpan w:val="2"/>
            <w:hideMark/>
          </w:tcPr>
          <w:p w:rsidR="009470CB" w:rsidRPr="009470CB" w:rsidRDefault="009470CB" w:rsidP="009470CB">
            <w:r w:rsidRPr="009470CB">
              <w:t xml:space="preserve">Meter inspection and investigation on request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Metering alteration </w:t>
            </w:r>
          </w:p>
        </w:tc>
      </w:tr>
      <w:tr w:rsidR="009470CB" w:rsidRPr="001E095A" w:rsidTr="004D709A">
        <w:trPr>
          <w:trHeight w:val="300"/>
        </w:trPr>
        <w:tc>
          <w:tcPr>
            <w:tcW w:w="8472" w:type="dxa"/>
            <w:gridSpan w:val="2"/>
            <w:hideMark/>
          </w:tcPr>
          <w:p w:rsidR="009470CB" w:rsidRPr="009470CB" w:rsidRDefault="009470CB" w:rsidP="009470CB">
            <w:r w:rsidRPr="009470CB">
              <w:t xml:space="preserve">Exchange meter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hideMark/>
          </w:tcPr>
          <w:p w:rsidR="009470CB" w:rsidRPr="009470CB" w:rsidRDefault="009470CB" w:rsidP="009470CB">
            <w:r w:rsidRPr="009470CB">
              <w:t xml:space="preserve">Type 5 to 7 non-standard metering services </w:t>
            </w:r>
          </w:p>
        </w:tc>
      </w:tr>
      <w:tr w:rsidR="009470CB" w:rsidRPr="001E095A" w:rsidTr="004D709A">
        <w:trPr>
          <w:trHeight w:val="300"/>
        </w:trPr>
        <w:tc>
          <w:tcPr>
            <w:tcW w:w="8472" w:type="dxa"/>
            <w:gridSpan w:val="2"/>
            <w:hideMark/>
          </w:tcPr>
          <w:p w:rsidR="009470CB" w:rsidRPr="009470CB" w:rsidRDefault="009470CB" w:rsidP="009470CB">
            <w:r w:rsidRPr="009470CB">
              <w:t xml:space="preserve">Removal of a meter (Type 5 &amp; 6)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Meter re-seal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Install additional metering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lastRenderedPageBreak/>
              <w:t xml:space="preserve">Change time switch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Change tariff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Reprogram card meters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Install metering related load control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Removal of load control device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Change load control relay channel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Services provided in relation to a Retailer of Last Resort (ROLR) event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Non-standard network data requests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Provision of services for approved unmetered supplies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Customer requested appointments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Removal/rearrangement of network assets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Aerial markers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Tiger tails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Assessment of parallel generator applications </w:t>
            </w:r>
          </w:p>
        </w:tc>
      </w:tr>
      <w:tr w:rsidR="009470CB" w:rsidRPr="001E095A" w:rsidTr="004D709A">
        <w:trPr>
          <w:cnfStyle w:val="000000010000" w:firstRow="0" w:lastRow="0" w:firstColumn="0" w:lastColumn="0" w:oddVBand="0" w:evenVBand="0" w:oddHBand="0" w:evenHBand="1" w:firstRowFirstColumn="0" w:firstRowLastColumn="0" w:lastRowFirstColumn="0" w:lastRowLastColumn="0"/>
          <w:trHeight w:val="300"/>
        </w:trPr>
        <w:tc>
          <w:tcPr>
            <w:tcW w:w="8472" w:type="dxa"/>
            <w:gridSpan w:val="2"/>
            <w:noWrap/>
            <w:hideMark/>
          </w:tcPr>
          <w:p w:rsidR="009470CB" w:rsidRPr="009470CB" w:rsidRDefault="009470CB" w:rsidP="009470CB">
            <w:r w:rsidRPr="009470CB">
              <w:t xml:space="preserve">Witness testing </w:t>
            </w:r>
          </w:p>
        </w:tc>
      </w:tr>
      <w:tr w:rsidR="009470CB" w:rsidRPr="001E095A" w:rsidTr="004D709A">
        <w:trPr>
          <w:trHeight w:val="300"/>
        </w:trPr>
        <w:tc>
          <w:tcPr>
            <w:tcW w:w="8472" w:type="dxa"/>
            <w:gridSpan w:val="2"/>
            <w:noWrap/>
            <w:hideMark/>
          </w:tcPr>
          <w:p w:rsidR="009470CB" w:rsidRPr="009470CB" w:rsidRDefault="009470CB" w:rsidP="009470CB">
            <w:r w:rsidRPr="009470CB">
              <w:t xml:space="preserve">Removal/rearrangement of public lighting assets </w:t>
            </w:r>
          </w:p>
        </w:tc>
      </w:tr>
    </w:tbl>
    <w:p w:rsidR="006F49C3" w:rsidRDefault="00A47714" w:rsidP="00A47714">
      <w:pPr>
        <w:pStyle w:val="AERtablesource"/>
      </w:pPr>
      <w:r>
        <w:t>Source:</w:t>
      </w:r>
      <w:r w:rsidR="00E01BE0">
        <w:tab/>
      </w:r>
      <w:r w:rsidR="00964ACC">
        <w:t>AER analysis</w:t>
      </w:r>
      <w:r w:rsidR="00C81995">
        <w:t>.</w:t>
      </w:r>
      <w:r>
        <w:tab/>
      </w:r>
    </w:p>
    <w:p w:rsidR="00C81995" w:rsidRDefault="00C81995" w:rsidP="00C81995"/>
    <w:p w:rsidR="00C81995" w:rsidRDefault="00C81995" w:rsidP="00C81995"/>
    <w:p w:rsidR="00C81995" w:rsidRDefault="00C81995" w:rsidP="00C81995"/>
    <w:p w:rsidR="00C81995" w:rsidRDefault="00C81995" w:rsidP="00C81995"/>
    <w:p w:rsidR="00C81995" w:rsidRDefault="00C81995" w:rsidP="00C81995"/>
    <w:p w:rsidR="00C81995" w:rsidRDefault="00C81995" w:rsidP="00C81995"/>
    <w:p w:rsidR="00C81995" w:rsidRDefault="00C81995" w:rsidP="00C81995"/>
    <w:p w:rsidR="00C81995" w:rsidRDefault="00C81995" w:rsidP="00C81995"/>
    <w:p w:rsidR="00C81995" w:rsidRDefault="00C81995" w:rsidP="00C81995"/>
    <w:p w:rsidR="00C81995" w:rsidRDefault="00C81995" w:rsidP="00C81995"/>
    <w:p w:rsidR="00C81995" w:rsidRPr="00C81995" w:rsidRDefault="00C81995" w:rsidP="00C81995"/>
    <w:p w:rsidR="004D709A" w:rsidRDefault="004D709A" w:rsidP="004D709A">
      <w:pPr>
        <w:pStyle w:val="Caption"/>
      </w:pPr>
      <w:proofErr w:type="gramStart"/>
      <w:r>
        <w:lastRenderedPageBreak/>
        <w:t xml:space="preserve">Table </w:t>
      </w:r>
      <w:proofErr w:type="gramEnd"/>
      <w:r w:rsidR="00952838">
        <w:fldChar w:fldCharType="begin"/>
      </w:r>
      <w:r w:rsidR="00952838">
        <w:instrText xml:space="preserve"> STYLEREF 1 \s </w:instrText>
      </w:r>
      <w:r w:rsidR="00952838">
        <w:fldChar w:fldCharType="separate"/>
      </w:r>
      <w:r w:rsidR="00E01BE0">
        <w:rPr>
          <w:noProof/>
        </w:rPr>
        <w:t>16</w:t>
      </w:r>
      <w:r w:rsidR="00952838">
        <w:rPr>
          <w:noProof/>
        </w:rPr>
        <w:fldChar w:fldCharType="end"/>
      </w:r>
      <w:proofErr w:type="gramStart"/>
      <w:r w:rsidR="00674D47">
        <w:t>.</w:t>
      </w:r>
      <w:proofErr w:type="gramEnd"/>
      <w:r w:rsidR="00674D47">
        <w:fldChar w:fldCharType="begin"/>
      </w:r>
      <w:r w:rsidR="00674D47">
        <w:instrText xml:space="preserve"> SEQ Table \* ARABIC \s 1 </w:instrText>
      </w:r>
      <w:r w:rsidR="00674D47">
        <w:fldChar w:fldCharType="separate"/>
      </w:r>
      <w:r w:rsidR="00E01BE0">
        <w:rPr>
          <w:noProof/>
        </w:rPr>
        <w:t>19</w:t>
      </w:r>
      <w:r w:rsidR="00674D47">
        <w:fldChar w:fldCharType="end"/>
      </w:r>
      <w:r>
        <w:t xml:space="preserve"> </w:t>
      </w:r>
      <w:r w:rsidR="00C81995">
        <w:tab/>
        <w:t>Final decision q</w:t>
      </w:r>
      <w:r>
        <w:t>uoted service ancillary network services hourly labour rates for 2015–16 ($2015–16)</w:t>
      </w:r>
    </w:p>
    <w:tbl>
      <w:tblPr>
        <w:tblStyle w:val="AERtable-numbers"/>
        <w:tblW w:w="0" w:type="auto"/>
        <w:tblLook w:val="04A0" w:firstRow="1" w:lastRow="0" w:firstColumn="1" w:lastColumn="0" w:noHBand="0" w:noVBand="1"/>
      </w:tblPr>
      <w:tblGrid>
        <w:gridCol w:w="2897"/>
        <w:gridCol w:w="2898"/>
        <w:gridCol w:w="2898"/>
      </w:tblGrid>
      <w:tr w:rsidR="00B01788" w:rsidRPr="004167A7" w:rsidTr="00CD0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Labour Category</w:t>
            </w:r>
          </w:p>
        </w:tc>
        <w:tc>
          <w:tcPr>
            <w:tcW w:w="2898" w:type="dxa"/>
          </w:tcPr>
          <w:p w:rsidR="00B01788" w:rsidRPr="004167A7" w:rsidRDefault="00B01788" w:rsidP="00B01788">
            <w:pPr>
              <w:cnfStyle w:val="100000000000" w:firstRow="1" w:lastRow="0" w:firstColumn="0" w:lastColumn="0" w:oddVBand="0" w:evenVBand="0" w:oddHBand="0" w:evenHBand="0" w:firstRowFirstColumn="0" w:firstRowLastColumn="0" w:lastRowFirstColumn="0" w:lastRowLastColumn="0"/>
            </w:pPr>
          </w:p>
        </w:tc>
        <w:tc>
          <w:tcPr>
            <w:tcW w:w="2898" w:type="dxa"/>
          </w:tcPr>
          <w:p w:rsidR="00B01788" w:rsidRPr="00B01788" w:rsidRDefault="00B01788" w:rsidP="00B01788">
            <w:pPr>
              <w:cnfStyle w:val="100000000000" w:firstRow="1" w:lastRow="0" w:firstColumn="0" w:lastColumn="0" w:oddVBand="0" w:evenVBand="0" w:oddHBand="0" w:evenHBand="0" w:firstRowFirstColumn="0" w:firstRowLastColumn="0" w:lastRowFirstColumn="0" w:lastRowLastColumn="0"/>
            </w:pPr>
            <w:r w:rsidRPr="004167A7">
              <w:t xml:space="preserve">AER </w:t>
            </w:r>
            <w:r>
              <w:t>final</w:t>
            </w:r>
            <w:r w:rsidRPr="004167A7">
              <w:t xml:space="preserve"> decision on </w:t>
            </w:r>
            <w:r w:rsidRPr="00B01788">
              <w:t>maximum labour charge rates for quoted services, ($201</w:t>
            </w:r>
            <w:r>
              <w:t>5</w:t>
            </w:r>
            <w:r w:rsidRPr="00B01788">
              <w:t>–1</w:t>
            </w:r>
            <w:r>
              <w:t>6</w:t>
            </w:r>
            <w:r w:rsidRPr="00B01788">
              <w:t>)</w:t>
            </w:r>
          </w:p>
        </w:tc>
      </w:tr>
      <w:tr w:rsidR="00B01788" w:rsidRPr="004167A7" w:rsidTr="00CD0642">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Apprentice</w:t>
            </w:r>
          </w:p>
        </w:tc>
        <w:tc>
          <w:tcPr>
            <w:tcW w:w="2898" w:type="dxa"/>
          </w:tcPr>
          <w:p w:rsidR="00B01788" w:rsidRPr="004167A7" w:rsidRDefault="00B01788" w:rsidP="00B01788">
            <w:pPr>
              <w:cnfStyle w:val="000000000000" w:firstRow="0" w:lastRow="0" w:firstColumn="0" w:lastColumn="0" w:oddVBand="0" w:evenVBand="0" w:oddHBand="0" w:evenHBand="0" w:firstRowFirstColumn="0" w:firstRowLastColumn="0" w:lastRowFirstColumn="0" w:lastRowLastColumn="0"/>
            </w:pPr>
          </w:p>
        </w:tc>
        <w:tc>
          <w:tcPr>
            <w:tcW w:w="2898" w:type="dxa"/>
          </w:tcPr>
          <w:p w:rsidR="00B01788" w:rsidRPr="00B01788" w:rsidRDefault="00B01788" w:rsidP="00B01788">
            <w:pPr>
              <w:cnfStyle w:val="000000000000" w:firstRow="0" w:lastRow="0" w:firstColumn="0" w:lastColumn="0" w:oddVBand="0" w:evenVBand="0" w:oddHBand="0" w:evenHBand="0" w:firstRowFirstColumn="0" w:firstRowLastColumn="0" w:lastRowFirstColumn="0" w:lastRowLastColumn="0"/>
            </w:pPr>
            <w:r w:rsidRPr="004167A7">
              <w:t>N/A</w:t>
            </w:r>
          </w:p>
        </w:tc>
      </w:tr>
      <w:tr w:rsidR="00B01788" w:rsidRPr="004167A7" w:rsidTr="00CD06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Trainee</w:t>
            </w:r>
          </w:p>
        </w:tc>
        <w:tc>
          <w:tcPr>
            <w:tcW w:w="2898" w:type="dxa"/>
          </w:tcPr>
          <w:p w:rsidR="00B01788" w:rsidRPr="004167A7" w:rsidRDefault="00B01788" w:rsidP="00B01788">
            <w:pPr>
              <w:cnfStyle w:val="000000010000" w:firstRow="0" w:lastRow="0" w:firstColumn="0" w:lastColumn="0" w:oddVBand="0" w:evenVBand="0" w:oddHBand="0" w:evenHBand="1" w:firstRowFirstColumn="0" w:firstRowLastColumn="0" w:lastRowFirstColumn="0" w:lastRowLastColumn="0"/>
            </w:pPr>
          </w:p>
        </w:tc>
        <w:tc>
          <w:tcPr>
            <w:tcW w:w="2898" w:type="dxa"/>
          </w:tcPr>
          <w:p w:rsidR="00B01788" w:rsidRPr="00B01788" w:rsidRDefault="00B01788" w:rsidP="00B01788">
            <w:pPr>
              <w:cnfStyle w:val="000000010000" w:firstRow="0" w:lastRow="0" w:firstColumn="0" w:lastColumn="0" w:oddVBand="0" w:evenVBand="0" w:oddHBand="0" w:evenHBand="1" w:firstRowFirstColumn="0" w:firstRowLastColumn="0" w:lastRowFirstColumn="0" w:lastRowLastColumn="0"/>
            </w:pPr>
            <w:r w:rsidRPr="004167A7">
              <w:t>N/A</w:t>
            </w:r>
          </w:p>
        </w:tc>
      </w:tr>
      <w:tr w:rsidR="00B01788" w:rsidRPr="004167A7" w:rsidTr="00CD0642">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Power Worker</w:t>
            </w:r>
          </w:p>
        </w:tc>
        <w:tc>
          <w:tcPr>
            <w:tcW w:w="2898" w:type="dxa"/>
          </w:tcPr>
          <w:p w:rsidR="00B01788" w:rsidRPr="004167A7" w:rsidRDefault="00B01788" w:rsidP="00B01788">
            <w:pPr>
              <w:cnfStyle w:val="000000000000" w:firstRow="0" w:lastRow="0" w:firstColumn="0" w:lastColumn="0" w:oddVBand="0" w:evenVBand="0" w:oddHBand="0" w:evenHBand="0" w:firstRowFirstColumn="0" w:firstRowLastColumn="0" w:lastRowFirstColumn="0" w:lastRowLastColumn="0"/>
            </w:pPr>
          </w:p>
        </w:tc>
        <w:tc>
          <w:tcPr>
            <w:tcW w:w="2898" w:type="dxa"/>
          </w:tcPr>
          <w:p w:rsidR="00B01788" w:rsidRPr="00B01788" w:rsidRDefault="00B01788" w:rsidP="00B01788">
            <w:pPr>
              <w:cnfStyle w:val="000000000000" w:firstRow="0" w:lastRow="0" w:firstColumn="0" w:lastColumn="0" w:oddVBand="0" w:evenVBand="0" w:oddHBand="0" w:evenHBand="0" w:firstRowFirstColumn="0" w:firstRowLastColumn="0" w:lastRowFirstColumn="0" w:lastRowLastColumn="0"/>
            </w:pPr>
            <w:r>
              <w:t>Confidential</w:t>
            </w:r>
          </w:p>
        </w:tc>
      </w:tr>
      <w:tr w:rsidR="00B01788" w:rsidRPr="004167A7" w:rsidTr="00CD06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Admin Employee</w:t>
            </w:r>
          </w:p>
        </w:tc>
        <w:tc>
          <w:tcPr>
            <w:tcW w:w="2898" w:type="dxa"/>
          </w:tcPr>
          <w:p w:rsidR="00B01788" w:rsidRPr="004167A7" w:rsidRDefault="00B01788" w:rsidP="00B01788">
            <w:pPr>
              <w:cnfStyle w:val="000000010000" w:firstRow="0" w:lastRow="0" w:firstColumn="0" w:lastColumn="0" w:oddVBand="0" w:evenVBand="0" w:oddHBand="0" w:evenHBand="1" w:firstRowFirstColumn="0" w:firstRowLastColumn="0" w:lastRowFirstColumn="0" w:lastRowLastColumn="0"/>
            </w:pPr>
          </w:p>
        </w:tc>
        <w:tc>
          <w:tcPr>
            <w:tcW w:w="2898" w:type="dxa"/>
          </w:tcPr>
          <w:p w:rsidR="00B01788" w:rsidRPr="00B01788" w:rsidRDefault="00B01788" w:rsidP="00B01788">
            <w:pPr>
              <w:cnfStyle w:val="000000010000" w:firstRow="0" w:lastRow="0" w:firstColumn="0" w:lastColumn="0" w:oddVBand="0" w:evenVBand="0" w:oddHBand="0" w:evenHBand="1" w:firstRowFirstColumn="0" w:firstRowLastColumn="0" w:lastRowFirstColumn="0" w:lastRowLastColumn="0"/>
            </w:pPr>
            <w:r>
              <w:t>Confidential</w:t>
            </w:r>
          </w:p>
        </w:tc>
      </w:tr>
      <w:tr w:rsidR="00B01788" w:rsidRPr="004167A7" w:rsidTr="00CD0642">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Technical Service Person</w:t>
            </w:r>
          </w:p>
        </w:tc>
        <w:tc>
          <w:tcPr>
            <w:tcW w:w="2898" w:type="dxa"/>
          </w:tcPr>
          <w:p w:rsidR="00B01788" w:rsidRPr="004167A7" w:rsidRDefault="00B01788" w:rsidP="00B01788">
            <w:pPr>
              <w:cnfStyle w:val="000000000000" w:firstRow="0" w:lastRow="0" w:firstColumn="0" w:lastColumn="0" w:oddVBand="0" w:evenVBand="0" w:oddHBand="0" w:evenHBand="0" w:firstRowFirstColumn="0" w:firstRowLastColumn="0" w:lastRowFirstColumn="0" w:lastRowLastColumn="0"/>
            </w:pPr>
          </w:p>
        </w:tc>
        <w:tc>
          <w:tcPr>
            <w:tcW w:w="2898" w:type="dxa"/>
          </w:tcPr>
          <w:p w:rsidR="00B01788" w:rsidRPr="00B01788" w:rsidRDefault="00B01788" w:rsidP="00B01788">
            <w:pPr>
              <w:cnfStyle w:val="000000000000" w:firstRow="0" w:lastRow="0" w:firstColumn="0" w:lastColumn="0" w:oddVBand="0" w:evenVBand="0" w:oddHBand="0" w:evenHBand="0" w:firstRowFirstColumn="0" w:firstRowLastColumn="0" w:lastRowFirstColumn="0" w:lastRowLastColumn="0"/>
            </w:pPr>
            <w:r>
              <w:t>Confidential</w:t>
            </w:r>
          </w:p>
        </w:tc>
      </w:tr>
      <w:tr w:rsidR="00B01788" w:rsidRPr="004167A7" w:rsidTr="00CD06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Electrical System Designer</w:t>
            </w:r>
          </w:p>
        </w:tc>
        <w:tc>
          <w:tcPr>
            <w:tcW w:w="2898" w:type="dxa"/>
          </w:tcPr>
          <w:p w:rsidR="00B01788" w:rsidRPr="004167A7" w:rsidRDefault="00B01788" w:rsidP="00B01788">
            <w:pPr>
              <w:cnfStyle w:val="000000010000" w:firstRow="0" w:lastRow="0" w:firstColumn="0" w:lastColumn="0" w:oddVBand="0" w:evenVBand="0" w:oddHBand="0" w:evenHBand="1" w:firstRowFirstColumn="0" w:firstRowLastColumn="0" w:lastRowFirstColumn="0" w:lastRowLastColumn="0"/>
            </w:pPr>
          </w:p>
        </w:tc>
        <w:tc>
          <w:tcPr>
            <w:tcW w:w="2898" w:type="dxa"/>
          </w:tcPr>
          <w:p w:rsidR="00B01788" w:rsidRPr="00B01788" w:rsidRDefault="00B01788" w:rsidP="00B01788">
            <w:pPr>
              <w:cnfStyle w:val="000000010000" w:firstRow="0" w:lastRow="0" w:firstColumn="0" w:lastColumn="0" w:oddVBand="0" w:evenVBand="0" w:oddHBand="0" w:evenHBand="1" w:firstRowFirstColumn="0" w:firstRowLastColumn="0" w:lastRowFirstColumn="0" w:lastRowLastColumn="0"/>
            </w:pPr>
            <w:r>
              <w:t>Confidential</w:t>
            </w:r>
          </w:p>
        </w:tc>
      </w:tr>
      <w:tr w:rsidR="00B01788" w:rsidRPr="004167A7" w:rsidTr="00CD0642">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Supervisor</w:t>
            </w:r>
          </w:p>
        </w:tc>
        <w:tc>
          <w:tcPr>
            <w:tcW w:w="2898" w:type="dxa"/>
          </w:tcPr>
          <w:p w:rsidR="00B01788" w:rsidRPr="004167A7" w:rsidRDefault="00B01788" w:rsidP="00B01788">
            <w:pPr>
              <w:cnfStyle w:val="000000000000" w:firstRow="0" w:lastRow="0" w:firstColumn="0" w:lastColumn="0" w:oddVBand="0" w:evenVBand="0" w:oddHBand="0" w:evenHBand="0" w:firstRowFirstColumn="0" w:firstRowLastColumn="0" w:lastRowFirstColumn="0" w:lastRowLastColumn="0"/>
            </w:pPr>
          </w:p>
        </w:tc>
        <w:tc>
          <w:tcPr>
            <w:tcW w:w="2898" w:type="dxa"/>
          </w:tcPr>
          <w:p w:rsidR="00B01788" w:rsidRPr="00B01788" w:rsidRDefault="00B01788" w:rsidP="00B01788">
            <w:pPr>
              <w:cnfStyle w:val="000000000000" w:firstRow="0" w:lastRow="0" w:firstColumn="0" w:lastColumn="0" w:oddVBand="0" w:evenVBand="0" w:oddHBand="0" w:evenHBand="0" w:firstRowFirstColumn="0" w:firstRowLastColumn="0" w:lastRowFirstColumn="0" w:lastRowLastColumn="0"/>
            </w:pPr>
            <w:r>
              <w:t>Confidential</w:t>
            </w:r>
          </w:p>
        </w:tc>
      </w:tr>
      <w:tr w:rsidR="00B01788" w:rsidRPr="004167A7" w:rsidTr="00CD06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Para-Professional</w:t>
            </w:r>
          </w:p>
        </w:tc>
        <w:tc>
          <w:tcPr>
            <w:tcW w:w="2898" w:type="dxa"/>
          </w:tcPr>
          <w:p w:rsidR="00B01788" w:rsidRPr="004167A7" w:rsidRDefault="00B01788" w:rsidP="00B01788">
            <w:pPr>
              <w:cnfStyle w:val="000000010000" w:firstRow="0" w:lastRow="0" w:firstColumn="0" w:lastColumn="0" w:oddVBand="0" w:evenVBand="0" w:oddHBand="0" w:evenHBand="1" w:firstRowFirstColumn="0" w:firstRowLastColumn="0" w:lastRowFirstColumn="0" w:lastRowLastColumn="0"/>
            </w:pPr>
          </w:p>
        </w:tc>
        <w:tc>
          <w:tcPr>
            <w:tcW w:w="2898" w:type="dxa"/>
          </w:tcPr>
          <w:p w:rsidR="00B01788" w:rsidRPr="00B01788" w:rsidRDefault="00B01788" w:rsidP="00B01788">
            <w:pPr>
              <w:cnfStyle w:val="000000010000" w:firstRow="0" w:lastRow="0" w:firstColumn="0" w:lastColumn="0" w:oddVBand="0" w:evenVBand="0" w:oddHBand="0" w:evenHBand="1" w:firstRowFirstColumn="0" w:firstRowLastColumn="0" w:lastRowFirstColumn="0" w:lastRowLastColumn="0"/>
            </w:pPr>
            <w:r>
              <w:t>Confidential</w:t>
            </w:r>
          </w:p>
        </w:tc>
      </w:tr>
      <w:tr w:rsidR="00B01788" w:rsidRPr="004167A7" w:rsidTr="00CD0642">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System Operator</w:t>
            </w:r>
          </w:p>
        </w:tc>
        <w:tc>
          <w:tcPr>
            <w:tcW w:w="2898" w:type="dxa"/>
          </w:tcPr>
          <w:p w:rsidR="00B01788" w:rsidRPr="004167A7" w:rsidRDefault="00B01788" w:rsidP="00B01788">
            <w:pPr>
              <w:cnfStyle w:val="000000000000" w:firstRow="0" w:lastRow="0" w:firstColumn="0" w:lastColumn="0" w:oddVBand="0" w:evenVBand="0" w:oddHBand="0" w:evenHBand="0" w:firstRowFirstColumn="0" w:firstRowLastColumn="0" w:lastRowFirstColumn="0" w:lastRowLastColumn="0"/>
            </w:pPr>
          </w:p>
        </w:tc>
        <w:tc>
          <w:tcPr>
            <w:tcW w:w="2898" w:type="dxa"/>
          </w:tcPr>
          <w:p w:rsidR="00B01788" w:rsidRPr="00B01788" w:rsidRDefault="00B01788" w:rsidP="00B01788">
            <w:pPr>
              <w:cnfStyle w:val="000000000000" w:firstRow="0" w:lastRow="0" w:firstColumn="0" w:lastColumn="0" w:oddVBand="0" w:evenVBand="0" w:oddHBand="0" w:evenHBand="0" w:firstRowFirstColumn="0" w:firstRowLastColumn="0" w:lastRowFirstColumn="0" w:lastRowLastColumn="0"/>
            </w:pPr>
            <w:r w:rsidRPr="004167A7">
              <w:t>N/A</w:t>
            </w:r>
          </w:p>
        </w:tc>
      </w:tr>
      <w:tr w:rsidR="00B01788" w:rsidRPr="004167A7" w:rsidTr="00CD06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Professional Managerial</w:t>
            </w:r>
          </w:p>
        </w:tc>
        <w:tc>
          <w:tcPr>
            <w:tcW w:w="2898" w:type="dxa"/>
          </w:tcPr>
          <w:p w:rsidR="00B01788" w:rsidRPr="004167A7" w:rsidRDefault="00B01788" w:rsidP="00B01788">
            <w:pPr>
              <w:cnfStyle w:val="000000010000" w:firstRow="0" w:lastRow="0" w:firstColumn="0" w:lastColumn="0" w:oddVBand="0" w:evenVBand="0" w:oddHBand="0" w:evenHBand="1" w:firstRowFirstColumn="0" w:firstRowLastColumn="0" w:lastRowFirstColumn="0" w:lastRowLastColumn="0"/>
            </w:pPr>
          </w:p>
        </w:tc>
        <w:tc>
          <w:tcPr>
            <w:tcW w:w="2898" w:type="dxa"/>
          </w:tcPr>
          <w:p w:rsidR="00B01788" w:rsidRPr="00B01788" w:rsidRDefault="00B01788" w:rsidP="00B01788">
            <w:pPr>
              <w:cnfStyle w:val="000000010000" w:firstRow="0" w:lastRow="0" w:firstColumn="0" w:lastColumn="0" w:oddVBand="0" w:evenVBand="0" w:oddHBand="0" w:evenHBand="1" w:firstRowFirstColumn="0" w:firstRowLastColumn="0" w:lastRowFirstColumn="0" w:lastRowLastColumn="0"/>
            </w:pPr>
            <w:r>
              <w:t>Confidential</w:t>
            </w:r>
          </w:p>
        </w:tc>
      </w:tr>
      <w:tr w:rsidR="00B01788" w:rsidRPr="004167A7" w:rsidTr="00CD0642">
        <w:tc>
          <w:tcPr>
            <w:cnfStyle w:val="001000000000" w:firstRow="0" w:lastRow="0" w:firstColumn="1" w:lastColumn="0" w:oddVBand="0" w:evenVBand="0" w:oddHBand="0" w:evenHBand="0" w:firstRowFirstColumn="0" w:firstRowLastColumn="0" w:lastRowFirstColumn="0" w:lastRowLastColumn="0"/>
            <w:tcW w:w="2897" w:type="dxa"/>
          </w:tcPr>
          <w:p w:rsidR="00B01788" w:rsidRPr="00B01788" w:rsidRDefault="00B01788" w:rsidP="00B01788">
            <w:r w:rsidRPr="004167A7">
              <w:t>Manager</w:t>
            </w:r>
          </w:p>
        </w:tc>
        <w:tc>
          <w:tcPr>
            <w:tcW w:w="2898" w:type="dxa"/>
          </w:tcPr>
          <w:p w:rsidR="00B01788" w:rsidRPr="004167A7" w:rsidRDefault="00B01788" w:rsidP="00B01788">
            <w:pPr>
              <w:cnfStyle w:val="000000000000" w:firstRow="0" w:lastRow="0" w:firstColumn="0" w:lastColumn="0" w:oddVBand="0" w:evenVBand="0" w:oddHBand="0" w:evenHBand="0" w:firstRowFirstColumn="0" w:firstRowLastColumn="0" w:lastRowFirstColumn="0" w:lastRowLastColumn="0"/>
            </w:pPr>
          </w:p>
        </w:tc>
        <w:tc>
          <w:tcPr>
            <w:tcW w:w="2898" w:type="dxa"/>
          </w:tcPr>
          <w:p w:rsidR="00B01788" w:rsidRPr="00B01788" w:rsidRDefault="00B01788" w:rsidP="00B01788">
            <w:pPr>
              <w:cnfStyle w:val="000000000000" w:firstRow="0" w:lastRow="0" w:firstColumn="0" w:lastColumn="0" w:oddVBand="0" w:evenVBand="0" w:oddHBand="0" w:evenHBand="0" w:firstRowFirstColumn="0" w:firstRowLastColumn="0" w:lastRowFirstColumn="0" w:lastRowLastColumn="0"/>
            </w:pPr>
            <w:r w:rsidRPr="004167A7">
              <w:t>N/A</w:t>
            </w:r>
          </w:p>
        </w:tc>
      </w:tr>
    </w:tbl>
    <w:p w:rsidR="00B01788" w:rsidRDefault="004D709A" w:rsidP="00B01788">
      <w:pPr>
        <w:pStyle w:val="AERtablesource"/>
      </w:pPr>
      <w:r>
        <w:t>Source:</w:t>
      </w:r>
      <w:r>
        <w:tab/>
      </w:r>
      <w:r w:rsidR="00B01788">
        <w:t>AER analysis.</w:t>
      </w:r>
    </w:p>
    <w:p w:rsidR="00996887" w:rsidRDefault="00996887" w:rsidP="00996887">
      <w:pPr>
        <w:pStyle w:val="Heading8"/>
      </w:pPr>
      <w:r>
        <w:t>Metering</w:t>
      </w:r>
    </w:p>
    <w:p w:rsidR="00996887" w:rsidRPr="00D51F2C" w:rsidRDefault="00996887" w:rsidP="00996887">
      <w:pPr>
        <w:pStyle w:val="Caption"/>
      </w:pPr>
      <w:bookmarkStart w:id="79" w:name="_Ref433213055"/>
      <w:proofErr w:type="gramStart"/>
      <w:r>
        <w:t xml:space="preserve">Table </w:t>
      </w:r>
      <w:proofErr w:type="gramEnd"/>
      <w:r w:rsidRPr="00996887">
        <w:fldChar w:fldCharType="begin"/>
      </w:r>
      <w:r>
        <w:instrText xml:space="preserve"> STYLEREF 1 \s </w:instrText>
      </w:r>
      <w:r w:rsidRPr="00996887">
        <w:fldChar w:fldCharType="separate"/>
      </w:r>
      <w:r w:rsidR="00E01BE0">
        <w:rPr>
          <w:noProof/>
        </w:rPr>
        <w:t>16</w:t>
      </w:r>
      <w:r w:rsidRPr="00996887">
        <w:fldChar w:fldCharType="end"/>
      </w:r>
      <w:proofErr w:type="gramStart"/>
      <w:r>
        <w:t>.</w:t>
      </w:r>
      <w:proofErr w:type="gramEnd"/>
      <w:r>
        <w:fldChar w:fldCharType="begin"/>
      </w:r>
      <w:r>
        <w:instrText xml:space="preserve"> SEQ Table \* ARABIC \s 1 </w:instrText>
      </w:r>
      <w:r>
        <w:fldChar w:fldCharType="separate"/>
      </w:r>
      <w:r w:rsidR="00E01BE0">
        <w:rPr>
          <w:noProof/>
        </w:rPr>
        <w:t>20</w:t>
      </w:r>
      <w:r>
        <w:fldChar w:fldCharType="end"/>
      </w:r>
      <w:bookmarkEnd w:id="79"/>
      <w:r>
        <w:tab/>
      </w:r>
      <w:r>
        <w:tab/>
      </w:r>
      <w:r w:rsidR="00C81995">
        <w:t>Preliminary decision a</w:t>
      </w:r>
      <w:r w:rsidRPr="00D51F2C">
        <w:t>nnual metering charge ($ nominal)</w:t>
      </w:r>
    </w:p>
    <w:tbl>
      <w:tblPr>
        <w:tblStyle w:val="AERtable-numbers"/>
        <w:tblW w:w="5000" w:type="pct"/>
        <w:tblLook w:val="04A0" w:firstRow="1" w:lastRow="0" w:firstColumn="1" w:lastColumn="0" w:noHBand="0" w:noVBand="1"/>
      </w:tblPr>
      <w:tblGrid>
        <w:gridCol w:w="1368"/>
        <w:gridCol w:w="1299"/>
        <w:gridCol w:w="1238"/>
        <w:gridCol w:w="1238"/>
        <w:gridCol w:w="1238"/>
        <w:gridCol w:w="1189"/>
        <w:gridCol w:w="1123"/>
      </w:tblGrid>
      <w:tr w:rsidR="00996887" w:rsidRPr="00B41392" w:rsidTr="000244D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87" w:type="pct"/>
          </w:tcPr>
          <w:p w:rsidR="00996887" w:rsidRPr="00996887" w:rsidRDefault="00996887" w:rsidP="00996887">
            <w:r w:rsidRPr="00D51F2C">
              <w:t>Tariff class</w:t>
            </w:r>
          </w:p>
        </w:tc>
        <w:tc>
          <w:tcPr>
            <w:tcW w:w="747" w:type="pct"/>
          </w:tcPr>
          <w:p w:rsidR="00996887" w:rsidRPr="00996887" w:rsidRDefault="00996887" w:rsidP="00996887">
            <w:pPr>
              <w:cnfStyle w:val="100000000000" w:firstRow="1" w:lastRow="0" w:firstColumn="0" w:lastColumn="0" w:oddVBand="0" w:evenVBand="0" w:oddHBand="0" w:evenHBand="0" w:firstRowFirstColumn="0" w:firstRowLastColumn="0" w:lastRowFirstColumn="0" w:lastRowLastColumn="0"/>
            </w:pPr>
            <w:r w:rsidRPr="00D51F2C">
              <w:t>Costs</w:t>
            </w:r>
          </w:p>
        </w:tc>
        <w:tc>
          <w:tcPr>
            <w:tcW w:w="712" w:type="pct"/>
          </w:tcPr>
          <w:p w:rsidR="00996887" w:rsidRPr="00996887" w:rsidRDefault="00C81995" w:rsidP="00996887">
            <w:pPr>
              <w:cnfStyle w:val="100000000000" w:firstRow="1" w:lastRow="0" w:firstColumn="0" w:lastColumn="0" w:oddVBand="0" w:evenVBand="0" w:oddHBand="0" w:evenHBand="0" w:firstRowFirstColumn="0" w:firstRowLastColumn="0" w:lastRowFirstColumn="0" w:lastRowLastColumn="0"/>
            </w:pPr>
            <w:r>
              <w:t>2015</w:t>
            </w:r>
            <w:r>
              <w:rPr>
                <w:rFonts w:cs="Arial"/>
              </w:rPr>
              <w:t>─</w:t>
            </w:r>
            <w:r w:rsidR="00996887" w:rsidRPr="00D51F2C">
              <w:t>16</w:t>
            </w:r>
          </w:p>
        </w:tc>
        <w:tc>
          <w:tcPr>
            <w:tcW w:w="712" w:type="pct"/>
          </w:tcPr>
          <w:p w:rsidR="00996887" w:rsidRPr="00996887" w:rsidRDefault="00C81995" w:rsidP="00996887">
            <w:pPr>
              <w:cnfStyle w:val="100000000000" w:firstRow="1" w:lastRow="0" w:firstColumn="0" w:lastColumn="0" w:oddVBand="0" w:evenVBand="0" w:oddHBand="0" w:evenHBand="0" w:firstRowFirstColumn="0" w:firstRowLastColumn="0" w:lastRowFirstColumn="0" w:lastRowLastColumn="0"/>
            </w:pPr>
            <w:r>
              <w:t>2016</w:t>
            </w:r>
            <w:r>
              <w:rPr>
                <w:rFonts w:cs="Arial"/>
              </w:rPr>
              <w:t>─</w:t>
            </w:r>
            <w:r w:rsidR="00996887" w:rsidRPr="00D51F2C">
              <w:t>17</w:t>
            </w:r>
          </w:p>
        </w:tc>
        <w:tc>
          <w:tcPr>
            <w:tcW w:w="712" w:type="pct"/>
          </w:tcPr>
          <w:p w:rsidR="00996887" w:rsidRPr="00996887" w:rsidRDefault="00C81995" w:rsidP="00996887">
            <w:pPr>
              <w:cnfStyle w:val="100000000000" w:firstRow="1" w:lastRow="0" w:firstColumn="0" w:lastColumn="0" w:oddVBand="0" w:evenVBand="0" w:oddHBand="0" w:evenHBand="0" w:firstRowFirstColumn="0" w:firstRowLastColumn="0" w:lastRowFirstColumn="0" w:lastRowLastColumn="0"/>
            </w:pPr>
            <w:r>
              <w:t>2017</w:t>
            </w:r>
            <w:r>
              <w:rPr>
                <w:rFonts w:cs="Arial"/>
              </w:rPr>
              <w:t>─</w:t>
            </w:r>
            <w:r w:rsidR="00996887" w:rsidRPr="00D51F2C">
              <w:t>18</w:t>
            </w:r>
          </w:p>
        </w:tc>
        <w:tc>
          <w:tcPr>
            <w:tcW w:w="684" w:type="pct"/>
          </w:tcPr>
          <w:p w:rsidR="00996887" w:rsidRPr="00996887" w:rsidRDefault="00C81995" w:rsidP="00996887">
            <w:pPr>
              <w:cnfStyle w:val="100000000000" w:firstRow="1" w:lastRow="0" w:firstColumn="0" w:lastColumn="0" w:oddVBand="0" w:evenVBand="0" w:oddHBand="0" w:evenHBand="0" w:firstRowFirstColumn="0" w:firstRowLastColumn="0" w:lastRowFirstColumn="0" w:lastRowLastColumn="0"/>
            </w:pPr>
            <w:r>
              <w:t>2018</w:t>
            </w:r>
            <w:r>
              <w:rPr>
                <w:rFonts w:cs="Arial"/>
              </w:rPr>
              <w:t>─</w:t>
            </w:r>
            <w:r w:rsidR="00996887" w:rsidRPr="00D51F2C">
              <w:t>19</w:t>
            </w:r>
          </w:p>
        </w:tc>
        <w:tc>
          <w:tcPr>
            <w:tcW w:w="646" w:type="pct"/>
          </w:tcPr>
          <w:p w:rsidR="00996887" w:rsidRPr="00D51F2C" w:rsidRDefault="00C81995" w:rsidP="00996887">
            <w:pPr>
              <w:cnfStyle w:val="100000000000" w:firstRow="1" w:lastRow="0" w:firstColumn="0" w:lastColumn="0" w:oddVBand="0" w:evenVBand="0" w:oddHBand="0" w:evenHBand="0" w:firstRowFirstColumn="0" w:firstRowLastColumn="0" w:lastRowFirstColumn="0" w:lastRowLastColumn="0"/>
            </w:pPr>
            <w:r>
              <w:t>2019</w:t>
            </w:r>
            <w:r>
              <w:rPr>
                <w:rFonts w:cs="Arial"/>
              </w:rPr>
              <w:t>─</w:t>
            </w:r>
            <w:r>
              <w:t>20</w:t>
            </w:r>
          </w:p>
        </w:tc>
      </w:tr>
      <w:tr w:rsidR="00996887" w:rsidRPr="00052B63" w:rsidTr="000244DB">
        <w:trPr>
          <w:trHeight w:val="424"/>
        </w:trPr>
        <w:tc>
          <w:tcPr>
            <w:cnfStyle w:val="001000000000" w:firstRow="0" w:lastRow="0" w:firstColumn="1" w:lastColumn="0" w:oddVBand="0" w:evenVBand="0" w:oddHBand="0" w:evenHBand="0" w:firstRowFirstColumn="0" w:firstRowLastColumn="0" w:lastRowFirstColumn="0" w:lastRowLastColumn="0"/>
            <w:tcW w:w="787" w:type="pct"/>
            <w:vMerge w:val="restart"/>
          </w:tcPr>
          <w:p w:rsidR="00996887" w:rsidRPr="00996887" w:rsidRDefault="00996887" w:rsidP="00996887">
            <w:r w:rsidRPr="00D51F2C">
              <w:t>Primary</w:t>
            </w:r>
          </w:p>
        </w:tc>
        <w:tc>
          <w:tcPr>
            <w:tcW w:w="747" w:type="pct"/>
          </w:tcPr>
          <w:p w:rsidR="00996887" w:rsidRPr="00996887" w:rsidRDefault="00996887" w:rsidP="00996887">
            <w:pPr>
              <w:cnfStyle w:val="000000000000" w:firstRow="0" w:lastRow="0" w:firstColumn="0" w:lastColumn="0" w:oddVBand="0" w:evenVBand="0" w:oddHBand="0" w:evenHBand="0" w:firstRowFirstColumn="0" w:firstRowLastColumn="0" w:lastRowFirstColumn="0" w:lastRowLastColumn="0"/>
            </w:pPr>
            <w:r w:rsidRPr="00D51F2C">
              <w:t>Non–capital</w:t>
            </w:r>
          </w:p>
        </w:tc>
        <w:tc>
          <w:tcPr>
            <w:tcW w:w="712" w:type="pct"/>
          </w:tcPr>
          <w:p w:rsidR="00996887" w:rsidRPr="00996887" w:rsidRDefault="00996887" w:rsidP="00996887">
            <w:pPr>
              <w:cnfStyle w:val="000000000000" w:firstRow="0" w:lastRow="0" w:firstColumn="0" w:lastColumn="0" w:oddVBand="0" w:evenVBand="0" w:oddHBand="0" w:evenHBand="0" w:firstRowFirstColumn="0" w:firstRowLastColumn="0" w:lastRowFirstColumn="0" w:lastRowLastColumn="0"/>
            </w:pPr>
            <w:r>
              <w:t>24.44</w:t>
            </w:r>
          </w:p>
        </w:tc>
        <w:tc>
          <w:tcPr>
            <w:tcW w:w="712"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42.36</w:t>
            </w:r>
          </w:p>
        </w:tc>
        <w:tc>
          <w:tcPr>
            <w:tcW w:w="712"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41.68</w:t>
            </w:r>
          </w:p>
        </w:tc>
        <w:tc>
          <w:tcPr>
            <w:tcW w:w="684"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41.02</w:t>
            </w:r>
          </w:p>
        </w:tc>
        <w:tc>
          <w:tcPr>
            <w:tcW w:w="646"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40.36</w:t>
            </w:r>
          </w:p>
        </w:tc>
      </w:tr>
      <w:tr w:rsidR="00996887" w:rsidRPr="00052B63" w:rsidTr="000244D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996887" w:rsidRPr="00D51F2C" w:rsidRDefault="00996887" w:rsidP="00996887"/>
        </w:tc>
        <w:tc>
          <w:tcPr>
            <w:tcW w:w="747" w:type="pct"/>
          </w:tcPr>
          <w:p w:rsidR="00996887" w:rsidRPr="00996887" w:rsidRDefault="00996887" w:rsidP="00996887">
            <w:pPr>
              <w:cnfStyle w:val="000000010000" w:firstRow="0" w:lastRow="0" w:firstColumn="0" w:lastColumn="0" w:oddVBand="0" w:evenVBand="0" w:oddHBand="0" w:evenHBand="1" w:firstRowFirstColumn="0" w:firstRowLastColumn="0" w:lastRowFirstColumn="0" w:lastRowLastColumn="0"/>
            </w:pPr>
            <w:r w:rsidRPr="00D51F2C">
              <w:t>Capital</w:t>
            </w:r>
          </w:p>
        </w:tc>
        <w:tc>
          <w:tcPr>
            <w:tcW w:w="712" w:type="pct"/>
          </w:tcPr>
          <w:p w:rsidR="00996887" w:rsidRPr="00996887" w:rsidRDefault="00996887" w:rsidP="00996887">
            <w:pPr>
              <w:cnfStyle w:val="000000010000" w:firstRow="0" w:lastRow="0" w:firstColumn="0" w:lastColumn="0" w:oddVBand="0" w:evenVBand="0" w:oddHBand="0" w:evenHBand="1" w:firstRowFirstColumn="0" w:firstRowLastColumn="0" w:lastRowFirstColumn="0" w:lastRowLastColumn="0"/>
            </w:pPr>
            <w:r>
              <w:t>6.49</w:t>
            </w:r>
          </w:p>
        </w:tc>
        <w:tc>
          <w:tcPr>
            <w:tcW w:w="712"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10.32</w:t>
            </w:r>
          </w:p>
        </w:tc>
        <w:tc>
          <w:tcPr>
            <w:tcW w:w="712"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11.63</w:t>
            </w:r>
          </w:p>
        </w:tc>
        <w:tc>
          <w:tcPr>
            <w:tcW w:w="684"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13.11</w:t>
            </w:r>
          </w:p>
        </w:tc>
        <w:tc>
          <w:tcPr>
            <w:tcW w:w="646"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14.79</w:t>
            </w:r>
          </w:p>
        </w:tc>
      </w:tr>
      <w:tr w:rsidR="00996887" w:rsidRPr="00052B63" w:rsidTr="000244DB">
        <w:trPr>
          <w:trHeight w:val="424"/>
        </w:trPr>
        <w:tc>
          <w:tcPr>
            <w:cnfStyle w:val="001000000000" w:firstRow="0" w:lastRow="0" w:firstColumn="1" w:lastColumn="0" w:oddVBand="0" w:evenVBand="0" w:oddHBand="0" w:evenHBand="0" w:firstRowFirstColumn="0" w:firstRowLastColumn="0" w:lastRowFirstColumn="0" w:lastRowLastColumn="0"/>
            <w:tcW w:w="787" w:type="pct"/>
            <w:vMerge w:val="restart"/>
          </w:tcPr>
          <w:p w:rsidR="00996887" w:rsidRPr="00996887" w:rsidRDefault="00996887" w:rsidP="00996887">
            <w:r w:rsidRPr="00D51F2C">
              <w:t>Controlled load</w:t>
            </w:r>
          </w:p>
        </w:tc>
        <w:tc>
          <w:tcPr>
            <w:tcW w:w="747" w:type="pct"/>
          </w:tcPr>
          <w:p w:rsidR="00996887" w:rsidRPr="00996887" w:rsidRDefault="00996887" w:rsidP="00996887">
            <w:pPr>
              <w:cnfStyle w:val="000000000000" w:firstRow="0" w:lastRow="0" w:firstColumn="0" w:lastColumn="0" w:oddVBand="0" w:evenVBand="0" w:oddHBand="0" w:evenHBand="0" w:firstRowFirstColumn="0" w:firstRowLastColumn="0" w:lastRowFirstColumn="0" w:lastRowLastColumn="0"/>
            </w:pPr>
            <w:r w:rsidRPr="00D51F2C">
              <w:t>Non–capital</w:t>
            </w:r>
          </w:p>
        </w:tc>
        <w:tc>
          <w:tcPr>
            <w:tcW w:w="712" w:type="pct"/>
          </w:tcPr>
          <w:p w:rsidR="00996887" w:rsidRPr="00996887" w:rsidRDefault="00996887" w:rsidP="00996887">
            <w:pPr>
              <w:cnfStyle w:val="000000000000" w:firstRow="0" w:lastRow="0" w:firstColumn="0" w:lastColumn="0" w:oddVBand="0" w:evenVBand="0" w:oddHBand="0" w:evenHBand="0" w:firstRowFirstColumn="0" w:firstRowLastColumn="0" w:lastRowFirstColumn="0" w:lastRowLastColumn="0"/>
            </w:pPr>
            <w:r>
              <w:t>8.99</w:t>
            </w:r>
          </w:p>
        </w:tc>
        <w:tc>
          <w:tcPr>
            <w:tcW w:w="712"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15.58</w:t>
            </w:r>
          </w:p>
        </w:tc>
        <w:tc>
          <w:tcPr>
            <w:tcW w:w="712"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15.33</w:t>
            </w:r>
          </w:p>
        </w:tc>
        <w:tc>
          <w:tcPr>
            <w:tcW w:w="684"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15.08</w:t>
            </w:r>
          </w:p>
        </w:tc>
        <w:tc>
          <w:tcPr>
            <w:tcW w:w="646"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14.84</w:t>
            </w:r>
          </w:p>
        </w:tc>
      </w:tr>
      <w:tr w:rsidR="00996887" w:rsidRPr="00052B63" w:rsidTr="000244D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996887" w:rsidRPr="00D51F2C" w:rsidRDefault="00996887" w:rsidP="00996887"/>
        </w:tc>
        <w:tc>
          <w:tcPr>
            <w:tcW w:w="747" w:type="pct"/>
          </w:tcPr>
          <w:p w:rsidR="00996887" w:rsidRPr="00996887" w:rsidRDefault="00996887" w:rsidP="00996887">
            <w:pPr>
              <w:cnfStyle w:val="000000010000" w:firstRow="0" w:lastRow="0" w:firstColumn="0" w:lastColumn="0" w:oddVBand="0" w:evenVBand="0" w:oddHBand="0" w:evenHBand="1" w:firstRowFirstColumn="0" w:firstRowLastColumn="0" w:lastRowFirstColumn="0" w:lastRowLastColumn="0"/>
            </w:pPr>
            <w:r w:rsidRPr="00D51F2C">
              <w:t>Capital</w:t>
            </w:r>
          </w:p>
        </w:tc>
        <w:tc>
          <w:tcPr>
            <w:tcW w:w="712" w:type="pct"/>
          </w:tcPr>
          <w:p w:rsidR="00996887" w:rsidRPr="00996887" w:rsidRDefault="00996887" w:rsidP="00996887">
            <w:pPr>
              <w:cnfStyle w:val="000000010000" w:firstRow="0" w:lastRow="0" w:firstColumn="0" w:lastColumn="0" w:oddVBand="0" w:evenVBand="0" w:oddHBand="0" w:evenHBand="1" w:firstRowFirstColumn="0" w:firstRowLastColumn="0" w:lastRowFirstColumn="0" w:lastRowLastColumn="0"/>
            </w:pPr>
            <w:r>
              <w:t>2.39</w:t>
            </w:r>
          </w:p>
        </w:tc>
        <w:tc>
          <w:tcPr>
            <w:tcW w:w="712"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3.79</w:t>
            </w:r>
          </w:p>
        </w:tc>
        <w:tc>
          <w:tcPr>
            <w:tcW w:w="712"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4.28</w:t>
            </w:r>
          </w:p>
        </w:tc>
        <w:tc>
          <w:tcPr>
            <w:tcW w:w="684"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4.82</w:t>
            </w:r>
          </w:p>
        </w:tc>
        <w:tc>
          <w:tcPr>
            <w:tcW w:w="646"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5.44</w:t>
            </w:r>
          </w:p>
        </w:tc>
      </w:tr>
      <w:tr w:rsidR="00996887" w:rsidRPr="00052B63" w:rsidTr="000244DB">
        <w:trPr>
          <w:trHeight w:val="405"/>
        </w:trPr>
        <w:tc>
          <w:tcPr>
            <w:cnfStyle w:val="001000000000" w:firstRow="0" w:lastRow="0" w:firstColumn="1" w:lastColumn="0" w:oddVBand="0" w:evenVBand="0" w:oddHBand="0" w:evenHBand="0" w:firstRowFirstColumn="0" w:firstRowLastColumn="0" w:lastRowFirstColumn="0" w:lastRowLastColumn="0"/>
            <w:tcW w:w="787" w:type="pct"/>
            <w:vMerge w:val="restart"/>
          </w:tcPr>
          <w:p w:rsidR="00996887" w:rsidRPr="00996887" w:rsidRDefault="00996887" w:rsidP="00996887">
            <w:r w:rsidRPr="00D51F2C">
              <w:t>Solar</w:t>
            </w:r>
          </w:p>
        </w:tc>
        <w:tc>
          <w:tcPr>
            <w:tcW w:w="747" w:type="pct"/>
          </w:tcPr>
          <w:p w:rsidR="00996887" w:rsidRPr="00996887" w:rsidRDefault="00996887" w:rsidP="00996887">
            <w:pPr>
              <w:cnfStyle w:val="000000000000" w:firstRow="0" w:lastRow="0" w:firstColumn="0" w:lastColumn="0" w:oddVBand="0" w:evenVBand="0" w:oddHBand="0" w:evenHBand="0" w:firstRowFirstColumn="0" w:firstRowLastColumn="0" w:lastRowFirstColumn="0" w:lastRowLastColumn="0"/>
            </w:pPr>
            <w:r w:rsidRPr="00D51F2C">
              <w:t>Non–capital</w:t>
            </w:r>
          </w:p>
        </w:tc>
        <w:tc>
          <w:tcPr>
            <w:tcW w:w="712" w:type="pct"/>
          </w:tcPr>
          <w:p w:rsidR="00996887" w:rsidRPr="00996887" w:rsidRDefault="00996887" w:rsidP="00996887">
            <w:pPr>
              <w:cnfStyle w:val="000000000000" w:firstRow="0" w:lastRow="0" w:firstColumn="0" w:lastColumn="0" w:oddVBand="0" w:evenVBand="0" w:oddHBand="0" w:evenHBand="0" w:firstRowFirstColumn="0" w:firstRowLastColumn="0" w:lastRowFirstColumn="0" w:lastRowLastColumn="0"/>
            </w:pPr>
            <w:r>
              <w:t>6.08</w:t>
            </w:r>
          </w:p>
        </w:tc>
        <w:tc>
          <w:tcPr>
            <w:tcW w:w="712"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10.53</w:t>
            </w:r>
          </w:p>
        </w:tc>
        <w:tc>
          <w:tcPr>
            <w:tcW w:w="712"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10.37</w:t>
            </w:r>
          </w:p>
        </w:tc>
        <w:tc>
          <w:tcPr>
            <w:tcW w:w="684"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10.20</w:t>
            </w:r>
          </w:p>
        </w:tc>
        <w:tc>
          <w:tcPr>
            <w:tcW w:w="646" w:type="pct"/>
          </w:tcPr>
          <w:p w:rsidR="00996887" w:rsidRPr="00996887" w:rsidRDefault="004207A5" w:rsidP="00996887">
            <w:pPr>
              <w:cnfStyle w:val="000000000000" w:firstRow="0" w:lastRow="0" w:firstColumn="0" w:lastColumn="0" w:oddVBand="0" w:evenVBand="0" w:oddHBand="0" w:evenHBand="0" w:firstRowFirstColumn="0" w:firstRowLastColumn="0" w:lastRowFirstColumn="0" w:lastRowLastColumn="0"/>
            </w:pPr>
            <w:r>
              <w:t>10.04</w:t>
            </w:r>
          </w:p>
        </w:tc>
      </w:tr>
      <w:tr w:rsidR="00996887" w:rsidRPr="00052B63" w:rsidTr="000244D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87" w:type="pct"/>
            <w:vMerge/>
          </w:tcPr>
          <w:p w:rsidR="00996887" w:rsidRPr="00D51F2C" w:rsidRDefault="00996887" w:rsidP="00996887"/>
        </w:tc>
        <w:tc>
          <w:tcPr>
            <w:tcW w:w="747" w:type="pct"/>
          </w:tcPr>
          <w:p w:rsidR="00996887" w:rsidRPr="00996887" w:rsidRDefault="00996887" w:rsidP="00996887">
            <w:pPr>
              <w:cnfStyle w:val="000000010000" w:firstRow="0" w:lastRow="0" w:firstColumn="0" w:lastColumn="0" w:oddVBand="0" w:evenVBand="0" w:oddHBand="0" w:evenHBand="1" w:firstRowFirstColumn="0" w:firstRowLastColumn="0" w:lastRowFirstColumn="0" w:lastRowLastColumn="0"/>
            </w:pPr>
            <w:r w:rsidRPr="00D51F2C">
              <w:t>Capital</w:t>
            </w:r>
          </w:p>
        </w:tc>
        <w:tc>
          <w:tcPr>
            <w:tcW w:w="712" w:type="pct"/>
          </w:tcPr>
          <w:p w:rsidR="00996887" w:rsidRPr="00996887" w:rsidRDefault="00996887" w:rsidP="00996887">
            <w:pPr>
              <w:cnfStyle w:val="000000010000" w:firstRow="0" w:lastRow="0" w:firstColumn="0" w:lastColumn="0" w:oddVBand="0" w:evenVBand="0" w:oddHBand="0" w:evenHBand="1" w:firstRowFirstColumn="0" w:firstRowLastColumn="0" w:lastRowFirstColumn="0" w:lastRowLastColumn="0"/>
            </w:pPr>
            <w:r>
              <w:t>1.61</w:t>
            </w:r>
          </w:p>
        </w:tc>
        <w:tc>
          <w:tcPr>
            <w:tcW w:w="712"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2.57</w:t>
            </w:r>
          </w:p>
        </w:tc>
        <w:tc>
          <w:tcPr>
            <w:tcW w:w="712"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2.89</w:t>
            </w:r>
          </w:p>
        </w:tc>
        <w:tc>
          <w:tcPr>
            <w:tcW w:w="684"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3.26</w:t>
            </w:r>
          </w:p>
        </w:tc>
        <w:tc>
          <w:tcPr>
            <w:tcW w:w="646" w:type="pct"/>
          </w:tcPr>
          <w:p w:rsidR="00996887" w:rsidRPr="00996887" w:rsidRDefault="004207A5" w:rsidP="00996887">
            <w:pPr>
              <w:cnfStyle w:val="000000010000" w:firstRow="0" w:lastRow="0" w:firstColumn="0" w:lastColumn="0" w:oddVBand="0" w:evenVBand="0" w:oddHBand="0" w:evenHBand="1" w:firstRowFirstColumn="0" w:firstRowLastColumn="0" w:lastRowFirstColumn="0" w:lastRowLastColumn="0"/>
            </w:pPr>
            <w:r>
              <w:t>3.68</w:t>
            </w:r>
          </w:p>
        </w:tc>
      </w:tr>
    </w:tbl>
    <w:p w:rsidR="00556533" w:rsidRDefault="00556533" w:rsidP="00556533">
      <w:pPr>
        <w:pStyle w:val="AERtablesource"/>
      </w:pPr>
      <w:r>
        <w:t>Source:</w:t>
      </w:r>
      <w:r>
        <w:tab/>
        <w:t>AER analysis</w:t>
      </w:r>
      <w:r w:rsidR="00C81995">
        <w:t>.</w:t>
      </w:r>
    </w:p>
    <w:p w:rsidR="00556533" w:rsidRDefault="00556533" w:rsidP="00556533">
      <w:pPr>
        <w:pStyle w:val="AERtablesource"/>
      </w:pPr>
      <w:r>
        <w:t>Note:</w:t>
      </w:r>
      <w:r>
        <w:tab/>
      </w:r>
      <w:r w:rsidRPr="0040137A">
        <w:t>Prices for 2016–17 to 2019–20 are indicative only and will be adjusted for actual CPI during the AER's annual pricing approval processes</w:t>
      </w:r>
      <w:r w:rsidR="00C81995">
        <w:t>.</w:t>
      </w:r>
    </w:p>
    <w:p w:rsidR="00C81995" w:rsidRPr="00C81995" w:rsidRDefault="00C81995" w:rsidP="00C81995"/>
    <w:p w:rsidR="00996887" w:rsidRPr="00D51F2C" w:rsidRDefault="00996887" w:rsidP="00996887">
      <w:pPr>
        <w:pStyle w:val="Caption"/>
      </w:pPr>
      <w:proofErr w:type="gramStart"/>
      <w:r>
        <w:lastRenderedPageBreak/>
        <w:t xml:space="preserve">Table </w:t>
      </w:r>
      <w:proofErr w:type="gramEnd"/>
      <w:r w:rsidRPr="00996887">
        <w:fldChar w:fldCharType="begin"/>
      </w:r>
      <w:r>
        <w:instrText xml:space="preserve"> STYLEREF 1 \s </w:instrText>
      </w:r>
      <w:r w:rsidRPr="00996887">
        <w:fldChar w:fldCharType="separate"/>
      </w:r>
      <w:r w:rsidR="00E01BE0">
        <w:rPr>
          <w:noProof/>
        </w:rPr>
        <w:t>16</w:t>
      </w:r>
      <w:r w:rsidRPr="00996887">
        <w:fldChar w:fldCharType="end"/>
      </w:r>
      <w:proofErr w:type="gramStart"/>
      <w:r>
        <w:t>.</w:t>
      </w:r>
      <w:proofErr w:type="gramEnd"/>
      <w:r>
        <w:fldChar w:fldCharType="begin"/>
      </w:r>
      <w:r>
        <w:instrText xml:space="preserve"> SEQ Table \* ARABIC \s 1 </w:instrText>
      </w:r>
      <w:r>
        <w:fldChar w:fldCharType="separate"/>
      </w:r>
      <w:r w:rsidR="00E01BE0">
        <w:rPr>
          <w:noProof/>
        </w:rPr>
        <w:t>21</w:t>
      </w:r>
      <w:r>
        <w:fldChar w:fldCharType="end"/>
      </w:r>
      <w:r>
        <w:tab/>
      </w:r>
      <w:r>
        <w:tab/>
      </w:r>
      <w:r w:rsidR="00C81995">
        <w:t>F</w:t>
      </w:r>
      <w:r w:rsidR="00316725">
        <w:t>inal</w:t>
      </w:r>
      <w:r>
        <w:t xml:space="preserve"> </w:t>
      </w:r>
      <w:r w:rsidRPr="00D51F2C">
        <w:t>decision X factors for ann</w:t>
      </w:r>
      <w:r>
        <w:t>ual metering charges</w:t>
      </w:r>
      <w:r w:rsidR="00707976">
        <w:t xml:space="preserve"> — non–capital component</w:t>
      </w:r>
      <w:r>
        <w:t xml:space="preserve">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996887" w:rsidRPr="005F77A2" w:rsidTr="00024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996887" w:rsidRPr="00D51F2C" w:rsidRDefault="00707976" w:rsidP="00996887">
            <w:r>
              <w:t>Non–capital</w:t>
            </w:r>
          </w:p>
        </w:tc>
        <w:tc>
          <w:tcPr>
            <w:tcW w:w="1739" w:type="dxa"/>
          </w:tcPr>
          <w:p w:rsidR="00996887" w:rsidRPr="00996887" w:rsidRDefault="00996887" w:rsidP="00996887">
            <w:pPr>
              <w:cnfStyle w:val="100000000000" w:firstRow="1" w:lastRow="0" w:firstColumn="0" w:lastColumn="0" w:oddVBand="0" w:evenVBand="0" w:oddHBand="0" w:evenHBand="0" w:firstRowFirstColumn="0" w:firstRowLastColumn="0" w:lastRowFirstColumn="0" w:lastRowLastColumn="0"/>
            </w:pPr>
            <w:r w:rsidRPr="00D51F2C">
              <w:t>2016–17</w:t>
            </w:r>
          </w:p>
        </w:tc>
        <w:tc>
          <w:tcPr>
            <w:tcW w:w="1739" w:type="dxa"/>
          </w:tcPr>
          <w:p w:rsidR="00996887" w:rsidRPr="00996887" w:rsidRDefault="00996887" w:rsidP="00996887">
            <w:pPr>
              <w:cnfStyle w:val="100000000000" w:firstRow="1" w:lastRow="0" w:firstColumn="0" w:lastColumn="0" w:oddVBand="0" w:evenVBand="0" w:oddHBand="0" w:evenHBand="0" w:firstRowFirstColumn="0" w:firstRowLastColumn="0" w:lastRowFirstColumn="0" w:lastRowLastColumn="0"/>
            </w:pPr>
            <w:r w:rsidRPr="00D51F2C">
              <w:t>2017–18</w:t>
            </w:r>
          </w:p>
        </w:tc>
        <w:tc>
          <w:tcPr>
            <w:tcW w:w="1739" w:type="dxa"/>
          </w:tcPr>
          <w:p w:rsidR="00996887" w:rsidRPr="00996887" w:rsidRDefault="00996887" w:rsidP="00996887">
            <w:pPr>
              <w:cnfStyle w:val="100000000000" w:firstRow="1" w:lastRow="0" w:firstColumn="0" w:lastColumn="0" w:oddVBand="0" w:evenVBand="0" w:oddHBand="0" w:evenHBand="0" w:firstRowFirstColumn="0" w:firstRowLastColumn="0" w:lastRowFirstColumn="0" w:lastRowLastColumn="0"/>
            </w:pPr>
            <w:r w:rsidRPr="00D51F2C">
              <w:t>2018–19</w:t>
            </w:r>
          </w:p>
        </w:tc>
        <w:tc>
          <w:tcPr>
            <w:tcW w:w="1739" w:type="dxa"/>
          </w:tcPr>
          <w:p w:rsidR="00996887" w:rsidRPr="00996887" w:rsidRDefault="00996887" w:rsidP="00996887">
            <w:pPr>
              <w:cnfStyle w:val="100000000000" w:firstRow="1" w:lastRow="0" w:firstColumn="0" w:lastColumn="0" w:oddVBand="0" w:evenVBand="0" w:oddHBand="0" w:evenHBand="0" w:firstRowFirstColumn="0" w:firstRowLastColumn="0" w:lastRowFirstColumn="0" w:lastRowLastColumn="0"/>
            </w:pPr>
            <w:r>
              <w:t>2019–20</w:t>
            </w:r>
          </w:p>
        </w:tc>
      </w:tr>
      <w:tr w:rsidR="00996887" w:rsidRPr="001B08B0" w:rsidTr="000244DB">
        <w:tc>
          <w:tcPr>
            <w:cnfStyle w:val="001000000000" w:firstRow="0" w:lastRow="0" w:firstColumn="1" w:lastColumn="0" w:oddVBand="0" w:evenVBand="0" w:oddHBand="0" w:evenHBand="0" w:firstRowFirstColumn="0" w:firstRowLastColumn="0" w:lastRowFirstColumn="0" w:lastRowLastColumn="0"/>
            <w:tcW w:w="1737" w:type="dxa"/>
          </w:tcPr>
          <w:p w:rsidR="00996887" w:rsidRPr="00996887" w:rsidRDefault="00707976" w:rsidP="00707976">
            <w:r>
              <w:t>X factor</w:t>
            </w:r>
          </w:p>
        </w:tc>
        <w:tc>
          <w:tcPr>
            <w:tcW w:w="1739" w:type="dxa"/>
            <w:vAlign w:val="bottom"/>
          </w:tcPr>
          <w:p w:rsidR="00996887" w:rsidRPr="00707976" w:rsidRDefault="00996887" w:rsidP="00707976">
            <w:pPr>
              <w:pStyle w:val="ListContinue"/>
              <w:cnfStyle w:val="000000000000" w:firstRow="0" w:lastRow="0" w:firstColumn="0" w:lastColumn="0" w:oddVBand="0" w:evenVBand="0" w:oddHBand="0" w:evenHBand="0" w:firstRowFirstColumn="0" w:firstRowLastColumn="0" w:lastRowFirstColumn="0" w:lastRowLastColumn="0"/>
            </w:pPr>
            <w:r w:rsidRPr="00707976">
              <w:t>–6</w:t>
            </w:r>
            <w:r w:rsidR="007A1A24">
              <w:t>9.11</w:t>
            </w:r>
          </w:p>
        </w:tc>
        <w:tc>
          <w:tcPr>
            <w:tcW w:w="1739" w:type="dxa"/>
            <w:vAlign w:val="bottom"/>
          </w:tcPr>
          <w:p w:rsidR="00996887" w:rsidRPr="00707976" w:rsidRDefault="007A1A24" w:rsidP="00707976">
            <w:pPr>
              <w:pStyle w:val="ListContinue"/>
              <w:cnfStyle w:val="000000000000" w:firstRow="0" w:lastRow="0" w:firstColumn="0" w:lastColumn="0" w:oddVBand="0" w:evenVBand="0" w:oddHBand="0" w:evenHBand="0" w:firstRowFirstColumn="0" w:firstRowLastColumn="0" w:lastRowFirstColumn="0" w:lastRowLastColumn="0"/>
            </w:pPr>
            <w:r>
              <w:t>4.00</w:t>
            </w:r>
          </w:p>
        </w:tc>
        <w:tc>
          <w:tcPr>
            <w:tcW w:w="1739" w:type="dxa"/>
            <w:vAlign w:val="bottom"/>
          </w:tcPr>
          <w:p w:rsidR="00996887" w:rsidRPr="00707976" w:rsidRDefault="007A1A24" w:rsidP="00707976">
            <w:pPr>
              <w:pStyle w:val="ListContinue"/>
              <w:cnfStyle w:val="000000000000" w:firstRow="0" w:lastRow="0" w:firstColumn="0" w:lastColumn="0" w:oddVBand="0" w:evenVBand="0" w:oddHBand="0" w:evenHBand="0" w:firstRowFirstColumn="0" w:firstRowLastColumn="0" w:lastRowFirstColumn="0" w:lastRowLastColumn="0"/>
            </w:pPr>
            <w:r>
              <w:t>4.00</w:t>
            </w:r>
          </w:p>
        </w:tc>
        <w:tc>
          <w:tcPr>
            <w:tcW w:w="1739" w:type="dxa"/>
          </w:tcPr>
          <w:p w:rsidR="00996887" w:rsidRPr="00707976" w:rsidRDefault="007A1A24" w:rsidP="00707976">
            <w:pPr>
              <w:pStyle w:val="ListContinue"/>
              <w:cnfStyle w:val="000000000000" w:firstRow="0" w:lastRow="0" w:firstColumn="0" w:lastColumn="0" w:oddVBand="0" w:evenVBand="0" w:oddHBand="0" w:evenHBand="0" w:firstRowFirstColumn="0" w:firstRowLastColumn="0" w:lastRowFirstColumn="0" w:lastRowLastColumn="0"/>
            </w:pPr>
            <w:r>
              <w:t>4.00</w:t>
            </w:r>
          </w:p>
        </w:tc>
      </w:tr>
    </w:tbl>
    <w:p w:rsidR="00316725" w:rsidRDefault="00996887" w:rsidP="00316725">
      <w:pPr>
        <w:pStyle w:val="AERtablesource"/>
      </w:pPr>
      <w:r w:rsidRPr="00D51F2C">
        <w:t>Source:</w:t>
      </w:r>
      <w:r w:rsidRPr="00D51F2C">
        <w:tab/>
        <w:t>AER analysis</w:t>
      </w:r>
      <w:r w:rsidR="00C81995">
        <w:t>.</w:t>
      </w:r>
    </w:p>
    <w:p w:rsidR="00996887" w:rsidRDefault="00316725" w:rsidP="00A771EF">
      <w:pPr>
        <w:pStyle w:val="AERtablesource"/>
      </w:pPr>
      <w:r>
        <w:t>Note:</w:t>
      </w:r>
      <w:r>
        <w:tab/>
      </w:r>
      <w:r w:rsidR="00A771EF" w:rsidRPr="00A771EF">
        <w:t xml:space="preserve">As outlined in section </w:t>
      </w:r>
      <w:r w:rsidR="00A771EF" w:rsidRPr="00A771EF">
        <w:fldChar w:fldCharType="begin"/>
      </w:r>
      <w:r w:rsidR="00A771EF" w:rsidRPr="00A771EF">
        <w:instrText xml:space="preserve"> REF _Ref433212597 \n \h </w:instrText>
      </w:r>
      <w:r w:rsidR="00A771EF" w:rsidRPr="00A771EF">
        <w:fldChar w:fldCharType="separate"/>
      </w:r>
      <w:r w:rsidR="00A771EF" w:rsidRPr="00A771EF">
        <w:t>16.3.5.3</w:t>
      </w:r>
      <w:r w:rsidR="00A771EF" w:rsidRPr="00A771EF">
        <w:fldChar w:fldCharType="end"/>
      </w:r>
      <w:r w:rsidR="00A771EF" w:rsidRPr="00A771EF">
        <w:t xml:space="preserve">, the X factor has been used to "true-up" the difference between our preliminary and final decisions. </w:t>
      </w:r>
      <w:r w:rsidR="00A771EF" w:rsidRPr="00A771EF">
        <w:rPr>
          <w:lang w:val="en-US"/>
        </w:rPr>
        <w:t xml:space="preserve">Our final decision approves $180.6 ($nominal) in revenue associated with the non–capital component of Ergon Energy’s </w:t>
      </w:r>
      <w:r w:rsidR="00A771EF" w:rsidRPr="00A771EF">
        <w:t xml:space="preserve">annual metering </w:t>
      </w:r>
      <w:r w:rsidR="00A771EF" w:rsidRPr="00A771EF">
        <w:rPr>
          <w:lang w:val="en-US"/>
        </w:rPr>
        <w:t>charge</w:t>
      </w:r>
      <w:r w:rsidR="00A771EF" w:rsidRPr="00A771EF">
        <w:t>s</w:t>
      </w:r>
      <w:r w:rsidR="00A771EF" w:rsidRPr="00A771EF">
        <w:rPr>
          <w:lang w:val="en-US"/>
        </w:rPr>
        <w:t>. This is more than the $129.0 million ($nominal) in revenue we accepted at the preliminary decisi</w:t>
      </w:r>
      <w:r w:rsidR="007A1A24">
        <w:rPr>
          <w:lang w:val="en-US"/>
        </w:rPr>
        <w:t>on stage.  We have accordingly</w:t>
      </w:r>
      <w:r w:rsidR="007A1A24">
        <w:t xml:space="preserve"> specified</w:t>
      </w:r>
      <w:r w:rsidR="005C3837">
        <w:t xml:space="preserve"> a non–capital X factor in 2016–17</w:t>
      </w:r>
      <w:r w:rsidR="00A771EF" w:rsidRPr="00A771EF">
        <w:t xml:space="preserve"> that give</w:t>
      </w:r>
      <w:r w:rsidR="005C3837">
        <w:t>s</w:t>
      </w:r>
      <w:r w:rsidR="00A771EF" w:rsidRPr="00A771EF">
        <w:rPr>
          <w:lang w:val="en-US"/>
        </w:rPr>
        <w:t xml:space="preserve"> effect to an increase in annual metering prices when used in conjunction with the CPI–X formula.</w:t>
      </w:r>
      <w:r w:rsidR="00A771EF" w:rsidRPr="00A771EF">
        <w:t xml:space="preserve">  Refer to </w:t>
      </w:r>
      <w:r w:rsidR="00A771EF" w:rsidRPr="00A771EF">
        <w:fldChar w:fldCharType="begin"/>
      </w:r>
      <w:r w:rsidR="00A771EF" w:rsidRPr="00A771EF">
        <w:instrText xml:space="preserve"> REF _Ref433213055 \h </w:instrText>
      </w:r>
      <w:r w:rsidR="00A771EF" w:rsidRPr="00A771EF">
        <w:fldChar w:fldCharType="separate"/>
      </w:r>
      <w:r w:rsidR="00A771EF" w:rsidRPr="00A771EF">
        <w:t>Table 16.20</w:t>
      </w:r>
      <w:r w:rsidR="00A771EF" w:rsidRPr="00A771EF">
        <w:fldChar w:fldCharType="end"/>
      </w:r>
      <w:r w:rsidR="00A771EF" w:rsidRPr="00A771EF">
        <w:t xml:space="preserve"> in Appendix </w:t>
      </w:r>
      <w:r w:rsidR="00A771EF" w:rsidRPr="00A771EF">
        <w:fldChar w:fldCharType="begin"/>
      </w:r>
      <w:r w:rsidR="00A771EF" w:rsidRPr="00A771EF">
        <w:instrText xml:space="preserve"> REF _Ref433214372 \n \h </w:instrText>
      </w:r>
      <w:r w:rsidR="00A771EF" w:rsidRPr="00A771EF">
        <w:fldChar w:fldCharType="separate"/>
      </w:r>
      <w:r w:rsidR="00A771EF" w:rsidRPr="00A771EF">
        <w:t>A</w:t>
      </w:r>
      <w:r w:rsidR="00A771EF" w:rsidRPr="00A771EF">
        <w:fldChar w:fldCharType="end"/>
      </w:r>
      <w:r w:rsidR="00A771EF" w:rsidRPr="00A771EF">
        <w:t xml:space="preserve"> for the indicative price changes as result of the above X factors. </w:t>
      </w:r>
    </w:p>
    <w:p w:rsidR="00996887" w:rsidRPr="00D51F2C" w:rsidRDefault="00996887" w:rsidP="00996887">
      <w:pPr>
        <w:pStyle w:val="Caption"/>
      </w:pPr>
      <w:proofErr w:type="gramStart"/>
      <w:r>
        <w:t xml:space="preserve">Table </w:t>
      </w:r>
      <w:proofErr w:type="gramEnd"/>
      <w:r w:rsidRPr="00996887">
        <w:fldChar w:fldCharType="begin"/>
      </w:r>
      <w:r>
        <w:instrText xml:space="preserve"> STYLEREF 1 \s </w:instrText>
      </w:r>
      <w:r w:rsidRPr="00996887">
        <w:fldChar w:fldCharType="separate"/>
      </w:r>
      <w:r w:rsidR="00E01BE0">
        <w:rPr>
          <w:noProof/>
        </w:rPr>
        <w:t>16</w:t>
      </w:r>
      <w:r w:rsidRPr="00996887">
        <w:fldChar w:fldCharType="end"/>
      </w:r>
      <w:proofErr w:type="gramStart"/>
      <w:r>
        <w:t>.</w:t>
      </w:r>
      <w:proofErr w:type="gramEnd"/>
      <w:r>
        <w:fldChar w:fldCharType="begin"/>
      </w:r>
      <w:r>
        <w:instrText xml:space="preserve"> SEQ Table \* ARABIC \s 1 </w:instrText>
      </w:r>
      <w:r>
        <w:fldChar w:fldCharType="separate"/>
      </w:r>
      <w:r w:rsidR="00E01BE0">
        <w:rPr>
          <w:noProof/>
        </w:rPr>
        <w:t>22</w:t>
      </w:r>
      <w:r>
        <w:fldChar w:fldCharType="end"/>
      </w:r>
      <w:r>
        <w:tab/>
      </w:r>
      <w:r>
        <w:tab/>
      </w:r>
      <w:r w:rsidR="00C81995">
        <w:t>Fi</w:t>
      </w:r>
      <w:r w:rsidR="00316725">
        <w:t>nal</w:t>
      </w:r>
      <w:r>
        <w:t xml:space="preserve"> </w:t>
      </w:r>
      <w:r w:rsidRPr="00D51F2C">
        <w:t>decision X factors for ann</w:t>
      </w:r>
      <w:r>
        <w:t>ual metering charges</w:t>
      </w:r>
      <w:r w:rsidR="00707976">
        <w:t xml:space="preserve"> — capital component</w:t>
      </w:r>
      <w:r>
        <w:t xml:space="preserve">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996887" w:rsidRPr="005F77A2" w:rsidTr="00024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996887" w:rsidRPr="00D51F2C" w:rsidRDefault="00707976" w:rsidP="00996887">
            <w:r>
              <w:t>C</w:t>
            </w:r>
            <w:r w:rsidRPr="00707976">
              <w:t>apital component</w:t>
            </w:r>
          </w:p>
        </w:tc>
        <w:tc>
          <w:tcPr>
            <w:tcW w:w="1739" w:type="dxa"/>
          </w:tcPr>
          <w:p w:rsidR="00996887" w:rsidRPr="00996887" w:rsidRDefault="00996887" w:rsidP="00996887">
            <w:pPr>
              <w:cnfStyle w:val="100000000000" w:firstRow="1" w:lastRow="0" w:firstColumn="0" w:lastColumn="0" w:oddVBand="0" w:evenVBand="0" w:oddHBand="0" w:evenHBand="0" w:firstRowFirstColumn="0" w:firstRowLastColumn="0" w:lastRowFirstColumn="0" w:lastRowLastColumn="0"/>
            </w:pPr>
            <w:r w:rsidRPr="00D51F2C">
              <w:t>2016–17</w:t>
            </w:r>
          </w:p>
        </w:tc>
        <w:tc>
          <w:tcPr>
            <w:tcW w:w="1739" w:type="dxa"/>
          </w:tcPr>
          <w:p w:rsidR="00996887" w:rsidRPr="00996887" w:rsidRDefault="00996887" w:rsidP="00996887">
            <w:pPr>
              <w:cnfStyle w:val="100000000000" w:firstRow="1" w:lastRow="0" w:firstColumn="0" w:lastColumn="0" w:oddVBand="0" w:evenVBand="0" w:oddHBand="0" w:evenHBand="0" w:firstRowFirstColumn="0" w:firstRowLastColumn="0" w:lastRowFirstColumn="0" w:lastRowLastColumn="0"/>
            </w:pPr>
            <w:r w:rsidRPr="00D51F2C">
              <w:t>2017–18</w:t>
            </w:r>
          </w:p>
        </w:tc>
        <w:tc>
          <w:tcPr>
            <w:tcW w:w="1739" w:type="dxa"/>
          </w:tcPr>
          <w:p w:rsidR="00996887" w:rsidRPr="00996887" w:rsidRDefault="00996887" w:rsidP="00996887">
            <w:pPr>
              <w:cnfStyle w:val="100000000000" w:firstRow="1" w:lastRow="0" w:firstColumn="0" w:lastColumn="0" w:oddVBand="0" w:evenVBand="0" w:oddHBand="0" w:evenHBand="0" w:firstRowFirstColumn="0" w:firstRowLastColumn="0" w:lastRowFirstColumn="0" w:lastRowLastColumn="0"/>
            </w:pPr>
            <w:r w:rsidRPr="00D51F2C">
              <w:t>2018–19</w:t>
            </w:r>
          </w:p>
        </w:tc>
        <w:tc>
          <w:tcPr>
            <w:tcW w:w="1739" w:type="dxa"/>
          </w:tcPr>
          <w:p w:rsidR="00996887" w:rsidRPr="00996887" w:rsidRDefault="00996887" w:rsidP="00996887">
            <w:pPr>
              <w:cnfStyle w:val="100000000000" w:firstRow="1" w:lastRow="0" w:firstColumn="0" w:lastColumn="0" w:oddVBand="0" w:evenVBand="0" w:oddHBand="0" w:evenHBand="0" w:firstRowFirstColumn="0" w:firstRowLastColumn="0" w:lastRowFirstColumn="0" w:lastRowLastColumn="0"/>
            </w:pPr>
            <w:r>
              <w:t>2019–20</w:t>
            </w:r>
          </w:p>
        </w:tc>
      </w:tr>
      <w:tr w:rsidR="00996887" w:rsidRPr="001B08B0" w:rsidTr="000244DB">
        <w:tc>
          <w:tcPr>
            <w:cnfStyle w:val="001000000000" w:firstRow="0" w:lastRow="0" w:firstColumn="1" w:lastColumn="0" w:oddVBand="0" w:evenVBand="0" w:oddHBand="0" w:evenHBand="0" w:firstRowFirstColumn="0" w:firstRowLastColumn="0" w:lastRowFirstColumn="0" w:lastRowLastColumn="0"/>
            <w:tcW w:w="1737" w:type="dxa"/>
          </w:tcPr>
          <w:p w:rsidR="00996887" w:rsidRPr="00996887" w:rsidRDefault="00707976" w:rsidP="00996887">
            <w:r>
              <w:t>X factor</w:t>
            </w:r>
          </w:p>
        </w:tc>
        <w:tc>
          <w:tcPr>
            <w:tcW w:w="1739" w:type="dxa"/>
            <w:vAlign w:val="bottom"/>
          </w:tcPr>
          <w:p w:rsidR="00996887" w:rsidRPr="00996887" w:rsidRDefault="00707976" w:rsidP="00996887">
            <w:pPr>
              <w:cnfStyle w:val="000000000000" w:firstRow="0" w:lastRow="0" w:firstColumn="0" w:lastColumn="0" w:oddVBand="0" w:evenVBand="0" w:oddHBand="0" w:evenHBand="0" w:firstRowFirstColumn="0" w:firstRowLastColumn="0" w:lastRowFirstColumn="0" w:lastRowLastColumn="0"/>
            </w:pPr>
            <w:r>
              <w:t>–</w:t>
            </w:r>
            <w:r w:rsidR="007A1A24">
              <w:t>55.11</w:t>
            </w:r>
          </w:p>
        </w:tc>
        <w:tc>
          <w:tcPr>
            <w:tcW w:w="1739" w:type="dxa"/>
            <w:vAlign w:val="bottom"/>
          </w:tcPr>
          <w:p w:rsidR="00996887" w:rsidRPr="00996887" w:rsidRDefault="007A1A24" w:rsidP="00996887">
            <w:pPr>
              <w:cnfStyle w:val="000000000000" w:firstRow="0" w:lastRow="0" w:firstColumn="0" w:lastColumn="0" w:oddVBand="0" w:evenVBand="0" w:oddHBand="0" w:evenHBand="0" w:firstRowFirstColumn="0" w:firstRowLastColumn="0" w:lastRowFirstColumn="0" w:lastRowLastColumn="0"/>
            </w:pPr>
            <w:r>
              <w:t>–10.00</w:t>
            </w:r>
          </w:p>
        </w:tc>
        <w:tc>
          <w:tcPr>
            <w:tcW w:w="1739" w:type="dxa"/>
            <w:vAlign w:val="bottom"/>
          </w:tcPr>
          <w:p w:rsidR="00996887" w:rsidRPr="00996887" w:rsidRDefault="007A1A24" w:rsidP="00996887">
            <w:pPr>
              <w:cnfStyle w:val="000000000000" w:firstRow="0" w:lastRow="0" w:firstColumn="0" w:lastColumn="0" w:oddVBand="0" w:evenVBand="0" w:oddHBand="0" w:evenHBand="0" w:firstRowFirstColumn="0" w:firstRowLastColumn="0" w:lastRowFirstColumn="0" w:lastRowLastColumn="0"/>
            </w:pPr>
            <w:r>
              <w:t>–10.00</w:t>
            </w:r>
          </w:p>
        </w:tc>
        <w:tc>
          <w:tcPr>
            <w:tcW w:w="1739" w:type="dxa"/>
          </w:tcPr>
          <w:p w:rsidR="00996887" w:rsidRPr="00996887" w:rsidRDefault="007A1A24" w:rsidP="00996887">
            <w:pPr>
              <w:cnfStyle w:val="000000000000" w:firstRow="0" w:lastRow="0" w:firstColumn="0" w:lastColumn="0" w:oddVBand="0" w:evenVBand="0" w:oddHBand="0" w:evenHBand="0" w:firstRowFirstColumn="0" w:firstRowLastColumn="0" w:lastRowFirstColumn="0" w:lastRowLastColumn="0"/>
            </w:pPr>
            <w:r>
              <w:t>–10.00</w:t>
            </w:r>
          </w:p>
        </w:tc>
      </w:tr>
    </w:tbl>
    <w:p w:rsidR="00316725" w:rsidRDefault="00996887" w:rsidP="00316725">
      <w:pPr>
        <w:pStyle w:val="AERtablesource"/>
      </w:pPr>
      <w:r w:rsidRPr="00D51F2C">
        <w:t>Source:</w:t>
      </w:r>
      <w:r w:rsidRPr="00D51F2C">
        <w:tab/>
        <w:t>AER analys</w:t>
      </w:r>
      <w:r w:rsidR="00316725">
        <w:t>is</w:t>
      </w:r>
      <w:r w:rsidR="00C81995">
        <w:t>.</w:t>
      </w:r>
    </w:p>
    <w:p w:rsidR="00316725" w:rsidRPr="00316725" w:rsidRDefault="00316725" w:rsidP="005C3837">
      <w:pPr>
        <w:pStyle w:val="AERtablesource"/>
      </w:pPr>
      <w:r>
        <w:t>Note:</w:t>
      </w:r>
      <w:r>
        <w:tab/>
      </w:r>
      <w:r w:rsidR="00A771EF" w:rsidRPr="00A771EF">
        <w:t xml:space="preserve">As outlined in section </w:t>
      </w:r>
      <w:r w:rsidR="00A771EF" w:rsidRPr="00A771EF">
        <w:fldChar w:fldCharType="begin"/>
      </w:r>
      <w:r w:rsidR="00A771EF" w:rsidRPr="00A771EF">
        <w:instrText xml:space="preserve"> REF _Ref433212597 \n \h </w:instrText>
      </w:r>
      <w:r w:rsidR="00A771EF" w:rsidRPr="00A771EF">
        <w:fldChar w:fldCharType="separate"/>
      </w:r>
      <w:r w:rsidR="00A771EF" w:rsidRPr="00A771EF">
        <w:t>16.3.5.3</w:t>
      </w:r>
      <w:r w:rsidR="00A771EF" w:rsidRPr="00A771EF">
        <w:fldChar w:fldCharType="end"/>
      </w:r>
      <w:r w:rsidR="00A771EF" w:rsidRPr="00A771EF">
        <w:t>, the X factor has been used to "true-up" the difference between our p</w:t>
      </w:r>
      <w:r w:rsidR="007A1A24">
        <w:t>reliminary and final decisions. Our</w:t>
      </w:r>
      <w:r w:rsidR="00A771EF" w:rsidRPr="00A771EF">
        <w:t xml:space="preserve"> final decision approves $51.3</w:t>
      </w:r>
      <w:r w:rsidR="00A771EF" w:rsidRPr="00A771EF">
        <w:rPr>
          <w:lang w:val="en-US"/>
        </w:rPr>
        <w:t xml:space="preserve"> ($nominal) in </w:t>
      </w:r>
      <w:r w:rsidR="00A771EF" w:rsidRPr="00A771EF">
        <w:t xml:space="preserve">revenue associated with the </w:t>
      </w:r>
      <w:r w:rsidR="00A771EF" w:rsidRPr="00A771EF">
        <w:rPr>
          <w:lang w:val="en-US"/>
        </w:rPr>
        <w:t xml:space="preserve">capital component of Ergon Energy’s </w:t>
      </w:r>
      <w:r w:rsidR="00A771EF" w:rsidRPr="00A771EF">
        <w:t xml:space="preserve">annual metering </w:t>
      </w:r>
      <w:r w:rsidR="00A771EF" w:rsidRPr="00A771EF">
        <w:rPr>
          <w:lang w:val="en-US"/>
        </w:rPr>
        <w:t>charge</w:t>
      </w:r>
      <w:r w:rsidR="00A771EF" w:rsidRPr="00A771EF">
        <w:t>s</w:t>
      </w:r>
      <w:r w:rsidR="00A771EF" w:rsidRPr="00A771EF">
        <w:rPr>
          <w:lang w:val="en-US"/>
        </w:rPr>
        <w:t xml:space="preserve">. This is </w:t>
      </w:r>
      <w:r w:rsidR="00A771EF" w:rsidRPr="00A771EF">
        <w:t>more than the $34.3</w:t>
      </w:r>
      <w:r w:rsidR="00A771EF" w:rsidRPr="00A771EF">
        <w:rPr>
          <w:lang w:val="en-US"/>
        </w:rPr>
        <w:t xml:space="preserve"> million ($nominal) in revenue we accepted at the preliminary </w:t>
      </w:r>
      <w:r w:rsidR="007A1A24">
        <w:t xml:space="preserve">decision stage.  We have accordingly specified </w:t>
      </w:r>
      <w:r w:rsidR="005C3837">
        <w:t>a capital X factor in 2016–17</w:t>
      </w:r>
      <w:r w:rsidR="00A771EF" w:rsidRPr="00A771EF">
        <w:t xml:space="preserve"> that give</w:t>
      </w:r>
      <w:r w:rsidR="005C3837">
        <w:t>s</w:t>
      </w:r>
      <w:r w:rsidR="00A771EF" w:rsidRPr="00A771EF">
        <w:rPr>
          <w:lang w:val="en-US"/>
        </w:rPr>
        <w:t xml:space="preserve"> effect to an increase in annual metering prices when used in conjunction with the CPI–X formula.</w:t>
      </w:r>
      <w:r w:rsidR="00A771EF" w:rsidRPr="00A771EF">
        <w:t xml:space="preserve">  Refer to </w:t>
      </w:r>
      <w:r w:rsidR="00A771EF" w:rsidRPr="00A771EF">
        <w:fldChar w:fldCharType="begin"/>
      </w:r>
      <w:r w:rsidR="00A771EF" w:rsidRPr="00A771EF">
        <w:instrText xml:space="preserve"> REF _Ref433213055 \h </w:instrText>
      </w:r>
      <w:r w:rsidR="00A771EF" w:rsidRPr="00A771EF">
        <w:fldChar w:fldCharType="separate"/>
      </w:r>
      <w:r w:rsidR="00C81995">
        <w:t>t</w:t>
      </w:r>
      <w:r w:rsidR="00A771EF" w:rsidRPr="00A771EF">
        <w:t>able 16.20</w:t>
      </w:r>
      <w:r w:rsidR="00A771EF" w:rsidRPr="00A771EF">
        <w:fldChar w:fldCharType="end"/>
      </w:r>
      <w:r w:rsidR="00C81995">
        <w:t xml:space="preserve"> in a</w:t>
      </w:r>
      <w:r w:rsidR="00A771EF" w:rsidRPr="00A771EF">
        <w:t xml:space="preserve">ppendix </w:t>
      </w:r>
      <w:r w:rsidR="00A771EF" w:rsidRPr="00A771EF">
        <w:fldChar w:fldCharType="begin"/>
      </w:r>
      <w:r w:rsidR="00A771EF" w:rsidRPr="00A771EF">
        <w:instrText xml:space="preserve"> REF _Ref433214372 \n \h </w:instrText>
      </w:r>
      <w:r w:rsidR="00A771EF" w:rsidRPr="00A771EF">
        <w:fldChar w:fldCharType="separate"/>
      </w:r>
      <w:r w:rsidR="00A771EF" w:rsidRPr="00A771EF">
        <w:t>A</w:t>
      </w:r>
      <w:r w:rsidR="00A771EF" w:rsidRPr="00A771EF">
        <w:fldChar w:fldCharType="end"/>
      </w:r>
      <w:r w:rsidR="00A771EF" w:rsidRPr="00A771EF">
        <w:t xml:space="preserve"> for the indicative price changes as result of the above X factors.</w:t>
      </w:r>
    </w:p>
    <w:p w:rsidR="00F638F6" w:rsidRDefault="00F638F6" w:rsidP="00F638F6">
      <w:pPr>
        <w:pStyle w:val="Heading7"/>
      </w:pPr>
      <w:bookmarkStart w:id="80" w:name="_Ref426025655"/>
      <w:bookmarkStart w:id="81" w:name="_Toc433366003"/>
      <w:r>
        <w:lastRenderedPageBreak/>
        <w:t>Annual metering charge</w:t>
      </w:r>
      <w:bookmarkEnd w:id="80"/>
      <w:bookmarkEnd w:id="81"/>
    </w:p>
    <w:p w:rsidR="00F638F6" w:rsidRDefault="00F638F6" w:rsidP="00F638F6">
      <w:r>
        <w:t xml:space="preserve">We maintain our preliminary decision approving two types of charges: </w:t>
      </w:r>
    </w:p>
    <w:p w:rsidR="00F638F6" w:rsidRPr="002767C5" w:rsidRDefault="00F638F6" w:rsidP="00CC0428">
      <w:pPr>
        <w:pStyle w:val="ListNumber"/>
        <w:numPr>
          <w:ilvl w:val="0"/>
          <w:numId w:val="51"/>
        </w:numPr>
        <w:rPr>
          <w:rStyle w:val="AERbody"/>
        </w:rPr>
      </w:pPr>
      <w:r>
        <w:rPr>
          <w:rStyle w:val="AERbody"/>
        </w:rPr>
        <w:t>upfront capital charge for all new and upgraded meters</w:t>
      </w:r>
      <w:r w:rsidRPr="002767C5">
        <w:rPr>
          <w:rStyle w:val="AERbody"/>
        </w:rPr>
        <w:t xml:space="preserve"> from 1 July 2015</w:t>
      </w:r>
    </w:p>
    <w:p w:rsidR="00F638F6" w:rsidRPr="002767C5" w:rsidRDefault="00F638F6" w:rsidP="00F638F6">
      <w:pPr>
        <w:pStyle w:val="ListNumber"/>
        <w:rPr>
          <w:rStyle w:val="AERbody"/>
        </w:rPr>
      </w:pPr>
      <w:r>
        <w:rPr>
          <w:rStyle w:val="AERbody"/>
        </w:rPr>
        <w:t>annual metering charge comprising of capital and non–capital components</w:t>
      </w:r>
    </w:p>
    <w:p w:rsidR="00F638F6" w:rsidRPr="0023662E" w:rsidRDefault="00F638F6" w:rsidP="00F638F6">
      <w:pPr>
        <w:rPr>
          <w:rStyle w:val="AERbody"/>
        </w:rPr>
      </w:pPr>
      <w:r>
        <w:rPr>
          <w:rStyle w:val="AERbody"/>
        </w:rPr>
        <w:fldChar w:fldCharType="begin"/>
      </w:r>
      <w:r>
        <w:rPr>
          <w:rStyle w:val="AERbody"/>
        </w:rPr>
        <w:instrText xml:space="preserve"> REF _Ref424631283 \h </w:instrText>
      </w:r>
      <w:r>
        <w:rPr>
          <w:rStyle w:val="AERbody"/>
        </w:rPr>
      </w:r>
      <w:r>
        <w:rPr>
          <w:rStyle w:val="AERbody"/>
        </w:rPr>
        <w:fldChar w:fldCharType="separate"/>
      </w:r>
      <w:r w:rsidR="00E01BE0">
        <w:t xml:space="preserve">Figure </w:t>
      </w:r>
      <w:r w:rsidR="00C81995">
        <w:t>16.</w:t>
      </w:r>
      <w:r w:rsidR="00E01BE0">
        <w:rPr>
          <w:noProof/>
        </w:rPr>
        <w:t>6</w:t>
      </w:r>
      <w:r>
        <w:rPr>
          <w:rStyle w:val="AERbody"/>
        </w:rPr>
        <w:fldChar w:fldCharType="end"/>
      </w:r>
      <w:r>
        <w:rPr>
          <w:rStyle w:val="AERbody"/>
        </w:rPr>
        <w:t xml:space="preserve"> </w:t>
      </w:r>
      <w:r w:rsidRPr="0023662E">
        <w:rPr>
          <w:rStyle w:val="AERbody"/>
        </w:rPr>
        <w:t xml:space="preserve">depicts how the two regulated annual charge components relate to different metering customers. </w:t>
      </w:r>
    </w:p>
    <w:p w:rsidR="00F638F6" w:rsidRPr="009A16E6" w:rsidRDefault="00F638F6" w:rsidP="00F638F6">
      <w:pPr>
        <w:pStyle w:val="Caption"/>
      </w:pPr>
      <w:bookmarkStart w:id="82" w:name="_Ref424631283"/>
      <w:proofErr w:type="gramStart"/>
      <w:r>
        <w:t xml:space="preserve">Figure </w:t>
      </w:r>
      <w:proofErr w:type="gramEnd"/>
      <w:r w:rsidR="00952838">
        <w:fldChar w:fldCharType="begin"/>
      </w:r>
      <w:r w:rsidR="00952838">
        <w:instrText xml:space="preserve"> STYLEREF 1 \s </w:instrText>
      </w:r>
      <w:r w:rsidR="00952838">
        <w:fldChar w:fldCharType="separate"/>
      </w:r>
      <w:r w:rsidR="00F91916">
        <w:rPr>
          <w:noProof/>
        </w:rPr>
        <w:t>16</w:t>
      </w:r>
      <w:r w:rsidR="00952838">
        <w:rPr>
          <w:noProof/>
        </w:rPr>
        <w:fldChar w:fldCharType="end"/>
      </w:r>
      <w:proofErr w:type="gramStart"/>
      <w:r w:rsidR="00F91916">
        <w:t>.</w:t>
      </w:r>
      <w:proofErr w:type="gramEnd"/>
      <w:r w:rsidR="00F91916">
        <w:fldChar w:fldCharType="begin"/>
      </w:r>
      <w:r w:rsidR="00F91916">
        <w:instrText xml:space="preserve"> SEQ Figure \* ARABIC \s 1 </w:instrText>
      </w:r>
      <w:r w:rsidR="00F91916">
        <w:fldChar w:fldCharType="separate"/>
      </w:r>
      <w:r w:rsidR="00F91916">
        <w:rPr>
          <w:noProof/>
        </w:rPr>
        <w:t>6</w:t>
      </w:r>
      <w:r w:rsidR="00F91916">
        <w:fldChar w:fldCharType="end"/>
      </w:r>
      <w:bookmarkEnd w:id="82"/>
      <w:r>
        <w:t xml:space="preserve"> </w:t>
      </w:r>
      <w:r w:rsidR="00C81995">
        <w:t xml:space="preserve">  Final</w:t>
      </w:r>
      <w:r w:rsidRPr="009A16E6">
        <w:t xml:space="preserve"> decision – applicable regulated annual charges</w:t>
      </w:r>
    </w:p>
    <w:p w:rsidR="00F638F6" w:rsidRPr="0023662E" w:rsidRDefault="00F638F6" w:rsidP="00F638F6">
      <w:pPr>
        <w:pStyle w:val="AERtablesource"/>
        <w:rPr>
          <w:rStyle w:val="AERbody"/>
        </w:rPr>
      </w:pPr>
      <w:r w:rsidRPr="00F638F6">
        <w:rPr>
          <w:noProof/>
          <w:lang w:eastAsia="en-AU"/>
        </w:rPr>
        <w:drawing>
          <wp:inline distT="0" distB="0" distL="0" distR="0" wp14:anchorId="05B4DC45" wp14:editId="0672F3A0">
            <wp:extent cx="5270935" cy="41769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r w:rsidRPr="001D714E">
        <w:rPr>
          <w:rStyle w:val="AERtextsize8"/>
        </w:rPr>
        <w:t>Source: AER analysis.</w:t>
      </w:r>
    </w:p>
    <w:p w:rsidR="00F638F6" w:rsidRPr="0023662E" w:rsidRDefault="00F638F6" w:rsidP="00F638F6">
      <w:pPr>
        <w:pStyle w:val="AERtablesource"/>
      </w:pPr>
      <w:r w:rsidRPr="0023662E">
        <w:tab/>
        <w:t xml:space="preserve">This diagram shows regulated annual charges only. In addition, customers who switch may incur charges for their competitive advanced metering service. Any such charges are not subject to AER oversight and are not shown in the diagram above. </w:t>
      </w:r>
    </w:p>
    <w:p w:rsidR="00F638F6" w:rsidRPr="00C81995" w:rsidRDefault="00F638F6" w:rsidP="00C81995">
      <w:pPr>
        <w:pStyle w:val="HeadingBoldBlue"/>
      </w:pPr>
      <w:bookmarkStart w:id="83" w:name="_Toc433366004"/>
      <w:r w:rsidRPr="00C81995">
        <w:t>Existing connections (before 30 June 2015)</w:t>
      </w:r>
      <w:bookmarkEnd w:id="83"/>
      <w:r w:rsidRPr="00C81995">
        <w:t xml:space="preserve"> </w:t>
      </w:r>
    </w:p>
    <w:p w:rsidR="00F638F6" w:rsidRPr="0023662E" w:rsidRDefault="00F638F6" w:rsidP="00F638F6">
      <w:pPr>
        <w:rPr>
          <w:rStyle w:val="AERbody"/>
        </w:rPr>
      </w:pPr>
      <w:r w:rsidRPr="0023662E">
        <w:rPr>
          <w:rStyle w:val="AERbody"/>
        </w:rPr>
        <w:t xml:space="preserve">For regulated meters installed before 30 June 2015, metering capital costs were amortised. That is, distributors paid upfront for the capital costs which were then added to the asset base and recovered gradually through annual charges. </w:t>
      </w:r>
    </w:p>
    <w:p w:rsidR="00F638F6" w:rsidRPr="0023662E" w:rsidRDefault="00F638F6" w:rsidP="00F638F6">
      <w:pPr>
        <w:rPr>
          <w:rStyle w:val="AERbody"/>
        </w:rPr>
      </w:pPr>
      <w:r w:rsidRPr="0023662E">
        <w:rPr>
          <w:rStyle w:val="AERbody"/>
        </w:rPr>
        <w:t>If a customer with an existing regulated metering connection on their premises receives a regulated metering service, they pay the following charges:</w:t>
      </w:r>
    </w:p>
    <w:p w:rsidR="00F638F6" w:rsidRPr="0023662E" w:rsidRDefault="00F638F6" w:rsidP="00F638F6">
      <w:pPr>
        <w:pStyle w:val="AERbulletlistfirststyle"/>
        <w:rPr>
          <w:rStyle w:val="AERbody"/>
        </w:rPr>
      </w:pPr>
      <w:r w:rsidRPr="0023662E">
        <w:rPr>
          <w:rStyle w:val="AERbody"/>
        </w:rPr>
        <w:lastRenderedPageBreak/>
        <w:t>Capital (MAB recovery</w:t>
      </w:r>
      <w:r w:rsidRPr="0023662E">
        <w:rPr>
          <w:rStyle w:val="FootnoteReference"/>
        </w:rPr>
        <w:footnoteReference w:id="121"/>
      </w:r>
      <w:r w:rsidRPr="0023662E">
        <w:rPr>
          <w:rStyle w:val="AERbody"/>
        </w:rPr>
        <w:t>)</w:t>
      </w:r>
      <w:r w:rsidR="007245B2">
        <w:rPr>
          <w:rStyle w:val="AERbody"/>
        </w:rPr>
        <w:t xml:space="preserve"> and tax</w:t>
      </w:r>
      <w:r w:rsidRPr="0023662E">
        <w:rPr>
          <w:rStyle w:val="AERbody"/>
        </w:rPr>
        <w:t xml:space="preserve"> component</w:t>
      </w:r>
      <w:r w:rsidR="007245B2">
        <w:rPr>
          <w:rStyle w:val="AERbody"/>
        </w:rPr>
        <w:t>s</w:t>
      </w:r>
      <w:r w:rsidRPr="0023662E">
        <w:rPr>
          <w:rStyle w:val="AERbody"/>
        </w:rPr>
        <w:t xml:space="preserve"> of regulated annual metering charge</w:t>
      </w:r>
    </w:p>
    <w:p w:rsidR="00F638F6" w:rsidRPr="0023662E" w:rsidRDefault="00F638F6" w:rsidP="00F638F6">
      <w:pPr>
        <w:pStyle w:val="AERbulletlistfirststyle"/>
        <w:rPr>
          <w:rStyle w:val="AERbody"/>
        </w:rPr>
      </w:pPr>
      <w:r w:rsidRPr="0023662E">
        <w:rPr>
          <w:rStyle w:val="AERbody"/>
        </w:rPr>
        <w:t>Non-capital (opex) component of the regulated annual metering charge</w:t>
      </w:r>
      <w:r>
        <w:rPr>
          <w:rStyle w:val="AERbody"/>
        </w:rPr>
        <w:t>.</w:t>
      </w:r>
    </w:p>
    <w:p w:rsidR="00F638F6" w:rsidRPr="0023662E" w:rsidRDefault="00F638F6" w:rsidP="00F638F6">
      <w:pPr>
        <w:rPr>
          <w:rStyle w:val="AERbody"/>
        </w:rPr>
      </w:pPr>
      <w:r w:rsidRPr="0023662E">
        <w:rPr>
          <w:rStyle w:val="AERbody"/>
        </w:rPr>
        <w:t>If a customer with an existing regulated metering connection on their premises chooses to switch to a competitive advanced metering service (and no longer receives a regulated metering service) they stop paying the non-capital component of the regulated annual metering charge. They will pay the following charges:</w:t>
      </w:r>
    </w:p>
    <w:p w:rsidR="00F638F6" w:rsidRPr="0023662E" w:rsidRDefault="00F638F6" w:rsidP="00F638F6">
      <w:pPr>
        <w:pStyle w:val="AERbulletlistfirststyle"/>
        <w:rPr>
          <w:rStyle w:val="AERbody"/>
        </w:rPr>
      </w:pPr>
      <w:r w:rsidRPr="0023662E">
        <w:rPr>
          <w:rStyle w:val="AERbody"/>
        </w:rPr>
        <w:t>Capital component of the regulated annual metering charge.</w:t>
      </w:r>
    </w:p>
    <w:p w:rsidR="00F638F6" w:rsidRPr="0023662E" w:rsidRDefault="00F638F6" w:rsidP="00F638F6">
      <w:pPr>
        <w:pStyle w:val="ListContinue"/>
        <w:rPr>
          <w:rStyle w:val="AERbody"/>
        </w:rPr>
      </w:pPr>
      <w:r w:rsidRPr="0023662E">
        <w:rPr>
          <w:rStyle w:val="AERbody"/>
        </w:rPr>
        <w:t xml:space="preserve">This charge recovers the MAB from all customers with existing connections (from before 30 June 2015) on their premises, whether or not they subsequently switch from their existing regulated meter to an advanced meter. As a result, the diminishing </w:t>
      </w:r>
      <w:proofErr w:type="gramStart"/>
      <w:r w:rsidRPr="0023662E">
        <w:rPr>
          <w:rStyle w:val="AERbody"/>
        </w:rPr>
        <w:t>number</w:t>
      </w:r>
      <w:proofErr w:type="gramEnd"/>
      <w:r w:rsidRPr="0023662E">
        <w:rPr>
          <w:rStyle w:val="AERbody"/>
        </w:rPr>
        <w:t xml:space="preserve">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metering asset base is relatively small because it is paid through ongoing annual charges rather than an upfront exit fee. </w:t>
      </w:r>
    </w:p>
    <w:p w:rsidR="00F638F6" w:rsidRPr="0023662E" w:rsidRDefault="00F638F6" w:rsidP="00F638F6">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_Ref424631283 \h </w:instrText>
      </w:r>
      <w:r>
        <w:rPr>
          <w:rStyle w:val="AERbody"/>
        </w:rPr>
      </w:r>
      <w:r>
        <w:rPr>
          <w:rStyle w:val="AERbody"/>
        </w:rPr>
        <w:fldChar w:fldCharType="separate"/>
      </w:r>
      <w:r w:rsidR="00C81995">
        <w:t>f</w:t>
      </w:r>
      <w:r w:rsidR="00E01BE0">
        <w:t xml:space="preserve">igure </w:t>
      </w:r>
      <w:r w:rsidR="00C81995">
        <w:t>16.</w:t>
      </w:r>
      <w:r w:rsidR="00E01BE0">
        <w:rPr>
          <w:noProof/>
        </w:rPr>
        <w:t>6</w:t>
      </w:r>
      <w:r>
        <w:rPr>
          <w:rStyle w:val="AERbody"/>
        </w:rPr>
        <w:fldChar w:fldCharType="end"/>
      </w:r>
    </w:p>
    <w:p w:rsidR="00F638F6" w:rsidRPr="0023662E" w:rsidRDefault="00F638F6" w:rsidP="00F638F6">
      <w:pPr>
        <w:rPr>
          <w:rStyle w:val="AERbody"/>
        </w:rPr>
      </w:pPr>
      <w:r w:rsidRPr="0023662E">
        <w:rPr>
          <w:rStyle w:val="AERbody"/>
        </w:rPr>
        <w:t>This structure applies even if a customer pays upfront for a meter upgrade to their existing regulated meter after 1 July 2015 (for example, wants to upgrade from a type 6 to a type 5 meter) and then switches to a competitive advanced metering provider. This is because the upfront capital charge recovers the costs of the meter upgrade, but not of the existing meter installed before 30 June 2015.</w:t>
      </w:r>
    </w:p>
    <w:p w:rsidR="00F638F6" w:rsidRPr="00C81995" w:rsidRDefault="00F638F6" w:rsidP="00C81995">
      <w:pPr>
        <w:pStyle w:val="HeadingBoldBlue"/>
      </w:pPr>
      <w:bookmarkStart w:id="84" w:name="_Toc433366005"/>
      <w:r w:rsidRPr="00C81995">
        <w:t>New connections (after 1 July 2015)</w:t>
      </w:r>
      <w:bookmarkEnd w:id="84"/>
    </w:p>
    <w:p w:rsidR="00F638F6" w:rsidRPr="0023662E" w:rsidRDefault="00F638F6" w:rsidP="00F638F6">
      <w:pPr>
        <w:rPr>
          <w:rStyle w:val="AERbody"/>
        </w:rPr>
      </w:pPr>
      <w:r w:rsidRPr="0023662E">
        <w:rPr>
          <w:rStyle w:val="AERbody"/>
        </w:rPr>
        <w:t xml:space="preserve">For regulated new meter connections installed after 1 July 2015, the capital costs will be paid upfront by the customer. As such, no capital expenditure related to new meter connections installed after this date will be added to the metering asset base. </w:t>
      </w:r>
    </w:p>
    <w:p w:rsidR="00F638F6" w:rsidRDefault="00F638F6" w:rsidP="00F638F6">
      <w:pPr>
        <w:rPr>
          <w:rStyle w:val="AERbody"/>
        </w:rPr>
      </w:pPr>
      <w:r w:rsidRPr="0023662E">
        <w:rPr>
          <w:rStyle w:val="AERbody"/>
        </w:rPr>
        <w:t>If a customer has a new regulated metering connection that was installed on their premises after 1 July 2015 and receives a regulated type 5 or 6 metering service, they pay the following charges:</w:t>
      </w:r>
    </w:p>
    <w:p w:rsidR="00F638F6" w:rsidRPr="0023662E" w:rsidRDefault="00F638F6" w:rsidP="00F638F6">
      <w:pPr>
        <w:pStyle w:val="AERbulletlistfirststyle"/>
        <w:rPr>
          <w:rStyle w:val="AERbody"/>
        </w:rPr>
      </w:pPr>
      <w:r w:rsidRPr="0023662E">
        <w:rPr>
          <w:rStyle w:val="AERbody"/>
        </w:rPr>
        <w:t>Non-capital component of the regulated annual metering charge</w:t>
      </w:r>
    </w:p>
    <w:p w:rsidR="00F638F6" w:rsidRPr="009A16E6" w:rsidRDefault="00F638F6" w:rsidP="00F638F6">
      <w:pPr>
        <w:pStyle w:val="AERbulletlistfirststyle"/>
        <w:rPr>
          <w:rStyle w:val="AERbody"/>
        </w:rPr>
      </w:pPr>
      <w:r w:rsidRPr="0023662E">
        <w:rPr>
          <w:rStyle w:val="AERbody"/>
        </w:rPr>
        <w:lastRenderedPageBreak/>
        <w:t xml:space="preserve">As they have already paid for their capital component upfront, the only costs relating to their regulated metering service left to be recovered through annual charges are the non-capital costs.  </w:t>
      </w:r>
    </w:p>
    <w:p w:rsidR="00F638F6" w:rsidRPr="0023662E" w:rsidRDefault="00F638F6" w:rsidP="00F638F6">
      <w:pPr>
        <w:rPr>
          <w:rStyle w:val="AERbody"/>
        </w:rPr>
      </w:pPr>
      <w:r w:rsidRPr="0023662E">
        <w:rPr>
          <w:rStyle w:val="AERbody"/>
        </w:rPr>
        <w:t>If a customer has a new regulated metering connection on their premises and wants to switch to a competitive advanced metering service (and no longer receives a regulated metering service), they stop paying all regulated annual metering charges. They will pay the following charges:</w:t>
      </w:r>
    </w:p>
    <w:p w:rsidR="00F638F6" w:rsidRPr="0023662E" w:rsidRDefault="00F638F6" w:rsidP="00F638F6">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_Ref424631283 \h </w:instrText>
      </w:r>
      <w:r>
        <w:rPr>
          <w:rStyle w:val="AERbody"/>
        </w:rPr>
      </w:r>
      <w:r>
        <w:rPr>
          <w:rStyle w:val="AERbody"/>
        </w:rPr>
        <w:fldChar w:fldCharType="separate"/>
      </w:r>
      <w:r w:rsidR="00C81995">
        <w:t>f</w:t>
      </w:r>
      <w:r w:rsidR="00E01BE0">
        <w:t xml:space="preserve">igure </w:t>
      </w:r>
      <w:r w:rsidR="00C81995">
        <w:t>16.</w:t>
      </w:r>
      <w:r w:rsidR="00E01BE0">
        <w:rPr>
          <w:noProof/>
        </w:rPr>
        <w:t>6</w:t>
      </w:r>
      <w:r>
        <w:rPr>
          <w:rStyle w:val="AERbody"/>
        </w:rPr>
        <w:fldChar w:fldCharType="end"/>
      </w:r>
      <w:r w:rsidRPr="0023662E">
        <w:rPr>
          <w:rStyle w:val="AERbody"/>
        </w:rPr>
        <w:t>.</w:t>
      </w:r>
    </w:p>
    <w:p w:rsidR="00F638F6" w:rsidRPr="002767C5" w:rsidRDefault="00F638F6" w:rsidP="00F638F6"/>
    <w:p w:rsidR="00F638F6" w:rsidRPr="00F638F6" w:rsidRDefault="00F638F6" w:rsidP="00F638F6"/>
    <w:sectPr w:rsidR="00F638F6" w:rsidRPr="00F638F6" w:rsidSect="00027D90">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9D" w:rsidRPr="00290C63" w:rsidRDefault="00BC709D" w:rsidP="00290C63">
      <w:r>
        <w:separator/>
      </w:r>
    </w:p>
    <w:p w:rsidR="00BC709D" w:rsidRDefault="00BC709D"/>
  </w:endnote>
  <w:endnote w:type="continuationSeparator" w:id="0">
    <w:p w:rsidR="00BC709D" w:rsidRPr="00290C63" w:rsidRDefault="00BC709D" w:rsidP="00290C63">
      <w:r>
        <w:continuationSeparator/>
      </w:r>
    </w:p>
    <w:p w:rsidR="00BC709D" w:rsidRDefault="00BC7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9D" w:rsidRPr="00290C63" w:rsidRDefault="00BC709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C709D" w:rsidRDefault="00BC709D"/>
  <w:p w:rsidR="00BC709D" w:rsidRDefault="00BC709D"/>
  <w:p w:rsidR="00BC709D" w:rsidRDefault="00BC709D"/>
  <w:p w:rsidR="00BC709D" w:rsidRDefault="00BC709D"/>
  <w:p w:rsidR="00BC709D" w:rsidRDefault="00BC709D"/>
  <w:p w:rsidR="00BC709D" w:rsidRDefault="00BC709D"/>
  <w:p w:rsidR="00BC709D" w:rsidRDefault="00BC70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00028"/>
      <w:docPartObj>
        <w:docPartGallery w:val="Page Numbers (Bottom of Page)"/>
        <w:docPartUnique/>
      </w:docPartObj>
    </w:sdtPr>
    <w:sdtEndPr>
      <w:rPr>
        <w:noProof/>
      </w:rPr>
    </w:sdtEndPr>
    <w:sdtContent>
      <w:p w:rsidR="00BC709D" w:rsidRDefault="00BC709D">
        <w:pPr>
          <w:pStyle w:val="Footer"/>
        </w:pPr>
        <w:r>
          <w:t>16-</w:t>
        </w:r>
        <w:r>
          <w:fldChar w:fldCharType="begin"/>
        </w:r>
        <w:r>
          <w:instrText xml:space="preserve"> PAGE   \* MERGEFORMAT </w:instrText>
        </w:r>
        <w:r>
          <w:fldChar w:fldCharType="separate"/>
        </w:r>
        <w:r w:rsidR="0041323E">
          <w:rPr>
            <w:noProof/>
          </w:rPr>
          <w:t>3</w:t>
        </w:r>
        <w:r>
          <w:rPr>
            <w:noProof/>
          </w:rPr>
          <w:fldChar w:fldCharType="end"/>
        </w:r>
        <w:r>
          <w:rPr>
            <w:noProof/>
          </w:rPr>
          <w:t xml:space="preserve">      </w:t>
        </w:r>
        <w:r>
          <w:t xml:space="preserve">           </w:t>
        </w:r>
        <w:r>
          <w:rPr>
            <w:noProof/>
          </w:rPr>
          <w:t xml:space="preserve">  Attachment 1</w:t>
        </w:r>
        <w:r>
          <w:t>6</w:t>
        </w:r>
        <w:r>
          <w:rPr>
            <w:noProof/>
          </w:rPr>
          <w:t xml:space="preserve"> </w:t>
        </w:r>
        <w:r>
          <w:rPr>
            <w:rFonts w:cs="Gautami"/>
            <w:noProof/>
          </w:rPr>
          <w:t xml:space="preserve">– </w:t>
        </w:r>
        <w:r>
          <w:t>Alternative control services</w:t>
        </w:r>
        <w:r>
          <w:rPr>
            <w:rFonts w:cs="Gautami"/>
            <w:noProof/>
          </w:rPr>
          <w:t xml:space="preserve"> | </w:t>
        </w:r>
        <w:r>
          <w:t>Ergon Energy</w:t>
        </w:r>
        <w:r>
          <w:rPr>
            <w:rFonts w:cs="Gautami"/>
            <w:noProof/>
          </w:rPr>
          <w:t xml:space="preserve"> determination 2015–20</w:t>
        </w:r>
      </w:p>
    </w:sdtContent>
  </w:sdt>
  <w:p w:rsidR="00BC709D" w:rsidRDefault="00BC7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9D" w:rsidRPr="00290C63" w:rsidRDefault="00BC709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C709D" w:rsidRDefault="00BC709D">
    <w:pPr>
      <w:pStyle w:val="Footer"/>
    </w:pPr>
  </w:p>
  <w:p w:rsidR="00BC709D" w:rsidRDefault="00BC709D"/>
  <w:p w:rsidR="00BC709D" w:rsidRDefault="00BC709D"/>
  <w:p w:rsidR="00BC709D" w:rsidRDefault="00BC709D"/>
  <w:p w:rsidR="00BC709D" w:rsidRDefault="00BC709D"/>
  <w:p w:rsidR="00BC709D" w:rsidRDefault="00BC709D"/>
  <w:p w:rsidR="00BC709D" w:rsidRDefault="00BC709D"/>
  <w:p w:rsidR="00BC709D" w:rsidRDefault="00BC70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9D" w:rsidRPr="00290C63" w:rsidRDefault="00BC709D" w:rsidP="00290C63">
      <w:r>
        <w:separator/>
      </w:r>
    </w:p>
    <w:p w:rsidR="00BC709D" w:rsidRDefault="00BC709D"/>
  </w:footnote>
  <w:footnote w:type="continuationSeparator" w:id="0">
    <w:p w:rsidR="00BC709D" w:rsidRPr="00290C63" w:rsidRDefault="00BC709D" w:rsidP="00290C63">
      <w:r>
        <w:continuationSeparator/>
      </w:r>
    </w:p>
    <w:p w:rsidR="00BC709D" w:rsidRDefault="00BC709D"/>
  </w:footnote>
  <w:footnote w:id="1">
    <w:p w:rsidR="00BC709D" w:rsidRDefault="00BC709D" w:rsidP="00891FDC">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2">
    <w:p w:rsidR="00BC709D" w:rsidRDefault="00BC709D">
      <w:pPr>
        <w:pStyle w:val="FootnoteText"/>
      </w:pPr>
      <w:r>
        <w:rPr>
          <w:rStyle w:val="FootnoteReference"/>
        </w:rPr>
        <w:footnoteRef/>
      </w:r>
      <w:r>
        <w:t xml:space="preserve"> </w:t>
      </w:r>
      <w:r>
        <w:tab/>
        <w:t xml:space="preserve">AER, </w:t>
      </w:r>
      <w:r>
        <w:rPr>
          <w:rStyle w:val="AERtextitalic"/>
        </w:rPr>
        <w:t>Final framework and approach for Energex and Ergon Energy: Regulatory control period commencing 1 July 2015</w:t>
      </w:r>
      <w:r>
        <w:t xml:space="preserve">, April 2014, p. 45; AER, </w:t>
      </w:r>
      <w:r>
        <w:rPr>
          <w:rStyle w:val="AERtextitalic"/>
        </w:rPr>
        <w:t>Preliminary Decision: Ergon Energy determination 2015–16 to 2019–20: Attachment 16—Alternative control services</w:t>
      </w:r>
      <w:r>
        <w:t xml:space="preserve">, April 2015, p. 16–7; AER, </w:t>
      </w:r>
      <w:r>
        <w:rPr>
          <w:rStyle w:val="AERtextitalic"/>
        </w:rPr>
        <w:t>Final Decision: Ausgrid distribution determination 2015–16 to 2019–20: Attachment 16—Alternative control services</w:t>
      </w:r>
      <w:r>
        <w:t xml:space="preserve">, April 2015, p. 16–7; AER, </w:t>
      </w:r>
      <w:r>
        <w:rPr>
          <w:rStyle w:val="AERtextitalic"/>
        </w:rPr>
        <w:t>Final Decision: ActewAGL distribution determination 2015–16 to 2019–20: Attachment 16—Alternative control services</w:t>
      </w:r>
      <w:r>
        <w:t>, April 2015, p. 16–6.</w:t>
      </w:r>
    </w:p>
  </w:footnote>
  <w:footnote w:id="3">
    <w:p w:rsidR="00BC709D" w:rsidRDefault="00BC709D" w:rsidP="00910E55">
      <w:pPr>
        <w:pStyle w:val="FootnoteText"/>
      </w:pPr>
      <w:r>
        <w:rPr>
          <w:rStyle w:val="FootnoteReference"/>
        </w:rPr>
        <w:footnoteRef/>
      </w:r>
      <w:r>
        <w:tab/>
        <w:t xml:space="preserve">AER, </w:t>
      </w:r>
      <w:r>
        <w:rPr>
          <w:rStyle w:val="AERtextitalic"/>
        </w:rPr>
        <w:t>Final framework and approach for Energex and Ergon Energy: Regulatory control period commencing 1 July 2015</w:t>
      </w:r>
      <w:r>
        <w:t xml:space="preserve">, April 2014, p. 45; AER, </w:t>
      </w:r>
      <w:r>
        <w:rPr>
          <w:rStyle w:val="AERtextitalic"/>
        </w:rPr>
        <w:t>Preliminary Decision: Ergon Energy determination 2015–16 to 2019–20: Attachment 16—Alternative control services</w:t>
      </w:r>
      <w:r>
        <w:t xml:space="preserve">, April 2015, p. 16–17.  </w:t>
      </w:r>
    </w:p>
  </w:footnote>
  <w:footnote w:id="4">
    <w:p w:rsidR="00BC709D" w:rsidRDefault="00BC709D">
      <w:pPr>
        <w:pStyle w:val="FootnoteText"/>
      </w:pPr>
      <w:r>
        <w:rPr>
          <w:rStyle w:val="FootnoteReference"/>
        </w:rPr>
        <w:footnoteRef/>
      </w:r>
      <w:r>
        <w:t xml:space="preserve"> </w:t>
      </w:r>
      <w:r>
        <w:tab/>
        <w:t xml:space="preserve">AER, </w:t>
      </w:r>
      <w:r>
        <w:rPr>
          <w:rStyle w:val="AERtextitalic"/>
        </w:rPr>
        <w:t>Final framework and approach for Energex and Ergon Energy: Regulatory control period commencing 1 July 2015</w:t>
      </w:r>
      <w:r>
        <w:t>, April 2014, p. 65.</w:t>
      </w:r>
    </w:p>
  </w:footnote>
  <w:footnote w:id="5">
    <w:p w:rsidR="00BC709D" w:rsidRDefault="00BC709D" w:rsidP="00C54397">
      <w:pPr>
        <w:pStyle w:val="FootnoteText"/>
      </w:pPr>
      <w:r>
        <w:rPr>
          <w:rStyle w:val="FootnoteReference"/>
        </w:rPr>
        <w:footnoteRef/>
      </w:r>
      <w:r>
        <w:t xml:space="preserve"> </w:t>
      </w:r>
      <w:r>
        <w:tab/>
      </w:r>
      <w:r w:rsidRPr="00EA7F11">
        <w:t xml:space="preserve">AER, </w:t>
      </w:r>
      <w:r w:rsidRPr="00C54397">
        <w:rPr>
          <w:rStyle w:val="AERtextitalic"/>
        </w:rPr>
        <w:t>Preliminary Decision: Ergon Energy determination 2015–16 to 2019–20: Attachment 16—Alternative control services</w:t>
      </w:r>
      <w:r>
        <w:t>, April 2015, p. 8</w:t>
      </w:r>
      <w:r w:rsidRPr="00C54397">
        <w:t>–</w:t>
      </w:r>
      <w:r>
        <w:t>9.</w:t>
      </w:r>
    </w:p>
  </w:footnote>
  <w:footnote w:id="6">
    <w:p w:rsidR="00BC709D" w:rsidRDefault="00BC709D">
      <w:pPr>
        <w:pStyle w:val="FootnoteText"/>
      </w:pPr>
      <w:r>
        <w:rPr>
          <w:rStyle w:val="FootnoteReference"/>
        </w:rPr>
        <w:footnoteRef/>
      </w:r>
      <w:r>
        <w:t xml:space="preserve"> </w:t>
      </w:r>
      <w:r>
        <w:tab/>
        <w:t xml:space="preserve">Ergon Energy, </w:t>
      </w:r>
      <w:r w:rsidRPr="00566F6B">
        <w:rPr>
          <w:rStyle w:val="AERtextitalic"/>
        </w:rPr>
        <w:t>Submission to the AER on its preliminary determination: Alternative control services–other,</w:t>
      </w:r>
      <w:r>
        <w:t xml:space="preserve"> 24 July 2015, pp. 8–10.</w:t>
      </w:r>
    </w:p>
  </w:footnote>
  <w:footnote w:id="7">
    <w:p w:rsidR="00BC709D" w:rsidRDefault="00BC709D" w:rsidP="0091425D">
      <w:pPr>
        <w:pStyle w:val="FootnoteText"/>
      </w:pPr>
      <w:r>
        <w:rPr>
          <w:rStyle w:val="FootnoteReference"/>
        </w:rPr>
        <w:footnoteRef/>
      </w:r>
      <w:r>
        <w:t xml:space="preserve"> </w:t>
      </w:r>
      <w:r>
        <w:tab/>
      </w:r>
      <w:r w:rsidRPr="00761FDB">
        <w:t xml:space="preserve">Ergon Energy, </w:t>
      </w:r>
      <w:r w:rsidRPr="00761FDB">
        <w:rPr>
          <w:rStyle w:val="AERtextitalic"/>
        </w:rPr>
        <w:t>Submission to the AER on its preliminary determination: Alternative control services–other,</w:t>
      </w:r>
      <w:r w:rsidRPr="00761FDB">
        <w:t xml:space="preserve"> 24 July 2015,</w:t>
      </w:r>
      <w:r>
        <w:t xml:space="preserve"> p. 14</w:t>
      </w:r>
      <w:r w:rsidRPr="00761FDB">
        <w:t>.</w:t>
      </w:r>
    </w:p>
  </w:footnote>
  <w:footnote w:id="8">
    <w:p w:rsidR="00BC709D" w:rsidRDefault="00BC709D" w:rsidP="002D3A76">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67.</w:t>
      </w:r>
    </w:p>
  </w:footnote>
  <w:footnote w:id="9">
    <w:p w:rsidR="00BC709D" w:rsidRDefault="00BC709D">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10">
    <w:p w:rsidR="00BC709D" w:rsidRDefault="00BC709D" w:rsidP="000244DB">
      <w:pPr>
        <w:pStyle w:val="FootnoteText"/>
      </w:pPr>
      <w:r>
        <w:rPr>
          <w:rStyle w:val="FootnoteReference"/>
        </w:rPr>
        <w:footnoteRef/>
      </w:r>
      <w:r>
        <w:t xml:space="preserve"> </w:t>
      </w:r>
      <w:r>
        <w:tab/>
      </w:r>
      <w:r w:rsidRPr="004F4EF0">
        <w:t xml:space="preserve">If during the 2015–20 regulatory control period </w:t>
      </w:r>
      <w:r>
        <w:t>Ergon Energy</w:t>
      </w:r>
      <w:r w:rsidRPr="004F4EF0">
        <w:t xml:space="preserve"> submits a pricing proposal which seeks an adjustment with respect to </w:t>
      </w:r>
      <w:r>
        <w:t>cl</w:t>
      </w:r>
      <w:r w:rsidR="0001188E">
        <w:t>.</w:t>
      </w:r>
      <w:r>
        <w:t xml:space="preserve"> 11.60.4 of the NER</w:t>
      </w:r>
      <w:r w:rsidRPr="004F4EF0">
        <w:t xml:space="preserve">, </w:t>
      </w:r>
      <w:r>
        <w:t>then the AER can</w:t>
      </w:r>
      <w:r w:rsidRPr="004F4EF0">
        <w:t xml:space="preserve"> give effect to that proposal </w:t>
      </w:r>
      <w:r>
        <w:t>using the X factor.</w:t>
      </w:r>
    </w:p>
  </w:footnote>
  <w:footnote w:id="11">
    <w:p w:rsidR="00BC709D" w:rsidRDefault="00BC709D" w:rsidP="002D3A76">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pp. 67–68.</w:t>
      </w:r>
    </w:p>
  </w:footnote>
  <w:footnote w:id="12">
    <w:p w:rsidR="00BC709D" w:rsidRDefault="00BC709D" w:rsidP="00A91109">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13">
    <w:p w:rsidR="00BC709D" w:rsidRDefault="00BC709D">
      <w:pPr>
        <w:pStyle w:val="FootnoteText"/>
      </w:pPr>
      <w:r>
        <w:rPr>
          <w:rStyle w:val="FootnoteReference"/>
        </w:rPr>
        <w:footnoteRef/>
      </w:r>
      <w:r>
        <w:t xml:space="preserve"> </w:t>
      </w:r>
      <w:r>
        <w:tab/>
        <w:t xml:space="preserve">Ergon </w:t>
      </w:r>
      <w:proofErr w:type="gramStart"/>
      <w:r>
        <w:t>Energy,</w:t>
      </w:r>
      <w:proofErr w:type="gramEnd"/>
      <w:r>
        <w:t xml:space="preserve"> </w:t>
      </w:r>
      <w:r w:rsidRPr="003B16A4">
        <w:rPr>
          <w:rStyle w:val="AERtextitalic"/>
        </w:rPr>
        <w:t>Revised regulatory proposal</w:t>
      </w:r>
      <w:r>
        <w:t>, July 2015, p. 67.</w:t>
      </w:r>
    </w:p>
  </w:footnote>
  <w:footnote w:id="14">
    <w:p w:rsidR="00BC709D" w:rsidRDefault="00BC709D" w:rsidP="00891F5B">
      <w:pPr>
        <w:pStyle w:val="FootnoteText"/>
      </w:pPr>
      <w:r>
        <w:rPr>
          <w:rStyle w:val="FootnoteReference"/>
        </w:rPr>
        <w:footnoteRef/>
      </w:r>
      <w:r>
        <w:t xml:space="preserve"> </w:t>
      </w:r>
      <w:r>
        <w:tab/>
      </w:r>
      <w:r w:rsidRPr="00C54397">
        <w:t xml:space="preserve">Ergon Energy, </w:t>
      </w:r>
      <w:r w:rsidRPr="00C54397">
        <w:rPr>
          <w:rStyle w:val="AERtextitalic"/>
        </w:rPr>
        <w:t>Revised regulatory proposal</w:t>
      </w:r>
      <w:r w:rsidRPr="00C54397">
        <w:t>, July 2015, p</w:t>
      </w:r>
      <w:r>
        <w:t xml:space="preserve">p. 54–55; </w:t>
      </w:r>
      <w:r w:rsidRPr="00761FDB">
        <w:t xml:space="preserve">Ergon Energy, </w:t>
      </w:r>
      <w:r w:rsidRPr="00761FDB">
        <w:rPr>
          <w:rStyle w:val="AERtextitalic"/>
        </w:rPr>
        <w:t>Submission to the AER on its preliminary determination: Alternative control services–other,</w:t>
      </w:r>
      <w:r w:rsidRPr="00761FDB">
        <w:t xml:space="preserve"> 24 July 2015,</w:t>
      </w:r>
      <w:r>
        <w:t xml:space="preserve"> pp. 10–11</w:t>
      </w:r>
      <w:r w:rsidRPr="00C54397">
        <w:t>.</w:t>
      </w:r>
    </w:p>
  </w:footnote>
  <w:footnote w:id="15">
    <w:p w:rsidR="00BC709D" w:rsidRDefault="00BC709D">
      <w:pPr>
        <w:pStyle w:val="FootnoteText"/>
      </w:pPr>
      <w:r>
        <w:rPr>
          <w:rStyle w:val="FootnoteReference"/>
        </w:rPr>
        <w:footnoteRef/>
      </w:r>
      <w:r>
        <w:t xml:space="preserve"> </w:t>
      </w:r>
      <w:r>
        <w:tab/>
      </w:r>
      <w:r w:rsidRPr="00761FDB">
        <w:t xml:space="preserve">Ergon Energy, </w:t>
      </w:r>
      <w:r w:rsidRPr="00761FDB">
        <w:rPr>
          <w:rStyle w:val="AERtextitalic"/>
        </w:rPr>
        <w:t>Submission to the AER on its preliminary determination: Alternative control services–other,</w:t>
      </w:r>
      <w:r w:rsidRPr="00761FDB">
        <w:t xml:space="preserve"> 24 July 2015,</w:t>
      </w:r>
      <w:r>
        <w:t xml:space="preserve"> p. 1</w:t>
      </w:r>
      <w:r w:rsidRPr="00761FDB">
        <w:t>.</w:t>
      </w:r>
    </w:p>
  </w:footnote>
  <w:footnote w:id="16">
    <w:p w:rsidR="00BC709D" w:rsidRDefault="00BC709D">
      <w:pPr>
        <w:pStyle w:val="FootnoteText"/>
      </w:pPr>
      <w:r>
        <w:rPr>
          <w:rStyle w:val="FootnoteReference"/>
        </w:rPr>
        <w:footnoteRef/>
      </w:r>
      <w:r>
        <w:t xml:space="preserve"> </w:t>
      </w:r>
      <w:r>
        <w:tab/>
      </w:r>
      <w:r w:rsidRPr="00761FDB">
        <w:t xml:space="preserve">Ergon Energy, </w:t>
      </w:r>
      <w:r w:rsidRPr="00761FDB">
        <w:rPr>
          <w:rStyle w:val="AERtextitalic"/>
        </w:rPr>
        <w:t>Submission to the AER on its preliminary determination: Alternative control services–other,</w:t>
      </w:r>
      <w:r w:rsidRPr="00761FDB">
        <w:t xml:space="preserve"> 24 July 2015,</w:t>
      </w:r>
      <w:r>
        <w:t xml:space="preserve"> p. 11</w:t>
      </w:r>
      <w:r w:rsidRPr="00761FDB">
        <w:t>.</w:t>
      </w:r>
    </w:p>
  </w:footnote>
  <w:footnote w:id="17">
    <w:p w:rsidR="00BC709D" w:rsidRDefault="00BC709D" w:rsidP="003103B3">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xml:space="preserve">, April 2015, section 16.2.1.1; Ergon Energy, </w:t>
      </w:r>
      <w:r w:rsidRPr="000459F9">
        <w:rPr>
          <w:rStyle w:val="AERtextitalic"/>
        </w:rPr>
        <w:t>Revised regulatory proposal</w:t>
      </w:r>
      <w:r>
        <w:t>, July 2015, p. 57.</w:t>
      </w:r>
    </w:p>
  </w:footnote>
  <w:footnote w:id="18">
    <w:p w:rsidR="00BC709D" w:rsidRDefault="00BC709D" w:rsidP="003103B3">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71.</w:t>
      </w:r>
    </w:p>
  </w:footnote>
  <w:footnote w:id="19">
    <w:p w:rsidR="00BC709D" w:rsidRDefault="00BC709D" w:rsidP="003103B3">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71.</w:t>
      </w:r>
    </w:p>
  </w:footnote>
  <w:footnote w:id="20">
    <w:p w:rsidR="00BC709D" w:rsidRDefault="00BC709D" w:rsidP="003103B3">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16–20.</w:t>
      </w:r>
    </w:p>
  </w:footnote>
  <w:footnote w:id="21">
    <w:p w:rsidR="00BC709D" w:rsidRDefault="00BC709D" w:rsidP="003103B3">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57 and 71.</w:t>
      </w:r>
    </w:p>
  </w:footnote>
  <w:footnote w:id="22">
    <w:p w:rsidR="00BC709D" w:rsidRDefault="00BC709D">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Appendix A.</w:t>
      </w:r>
    </w:p>
  </w:footnote>
  <w:footnote w:id="23">
    <w:p w:rsidR="00BC709D" w:rsidRDefault="00BC709D" w:rsidP="00573B6F">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56.</w:t>
      </w:r>
    </w:p>
  </w:footnote>
  <w:footnote w:id="24">
    <w:p w:rsidR="00BC709D" w:rsidRDefault="00BC709D" w:rsidP="00573B6F">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16–49.</w:t>
      </w:r>
    </w:p>
  </w:footnote>
  <w:footnote w:id="25">
    <w:p w:rsidR="00BC709D" w:rsidRDefault="00BC709D" w:rsidP="00573B6F">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16–49.</w:t>
      </w:r>
    </w:p>
  </w:footnote>
  <w:footnote w:id="26">
    <w:p w:rsidR="00BC709D" w:rsidRDefault="00BC709D">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16–49.</w:t>
      </w:r>
    </w:p>
  </w:footnote>
  <w:footnote w:id="27">
    <w:p w:rsidR="00BC709D" w:rsidRDefault="00BC709D" w:rsidP="00573B6F">
      <w:pPr>
        <w:pStyle w:val="FootnoteText"/>
      </w:pPr>
      <w:r>
        <w:rPr>
          <w:rStyle w:val="FootnoteReference"/>
        </w:rPr>
        <w:footnoteRef/>
      </w:r>
      <w:r>
        <w:t xml:space="preserve"> </w:t>
      </w:r>
      <w:r>
        <w:tab/>
        <w:t>Ergon Energy, Email to the AER, 15 April 2015.</w:t>
      </w:r>
    </w:p>
  </w:footnote>
  <w:footnote w:id="28">
    <w:p w:rsidR="00BC709D" w:rsidRDefault="00BC709D" w:rsidP="00573B6F">
      <w:pPr>
        <w:pStyle w:val="FootnoteText"/>
      </w:pPr>
      <w:r>
        <w:rPr>
          <w:rStyle w:val="FootnoteReference"/>
        </w:rPr>
        <w:footnoteRef/>
      </w:r>
      <w:r>
        <w:t xml:space="preserve"> </w:t>
      </w:r>
      <w:r>
        <w:tab/>
        <w:t>Ergon Energy, Email to the AER, 15 April 2015.</w:t>
      </w:r>
    </w:p>
  </w:footnote>
  <w:footnote w:id="29">
    <w:p w:rsidR="00BC709D" w:rsidRDefault="00BC709D" w:rsidP="00573B6F">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16–49.</w:t>
      </w:r>
    </w:p>
  </w:footnote>
  <w:footnote w:id="30">
    <w:p w:rsidR="00BC709D" w:rsidRDefault="00BC709D" w:rsidP="00573B6F">
      <w:pPr>
        <w:pStyle w:val="FootnoteText"/>
      </w:pPr>
      <w:r>
        <w:rPr>
          <w:rStyle w:val="FootnoteReference"/>
        </w:rPr>
        <w:footnoteRef/>
      </w:r>
      <w:r>
        <w:t xml:space="preserve"> </w:t>
      </w:r>
      <w:r>
        <w:tab/>
        <w:t>Ergon Energy, Email to the AER, 15 April 2015.</w:t>
      </w:r>
    </w:p>
  </w:footnote>
  <w:footnote w:id="31">
    <w:p w:rsidR="00BC709D" w:rsidRDefault="00BC709D" w:rsidP="00573B6F">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16–49.</w:t>
      </w:r>
    </w:p>
  </w:footnote>
  <w:footnote w:id="32">
    <w:p w:rsidR="00BC709D" w:rsidRDefault="00BC709D" w:rsidP="00004AA4">
      <w:pPr>
        <w:pStyle w:val="FootnoteText"/>
      </w:pPr>
      <w:r>
        <w:rPr>
          <w:rStyle w:val="FootnoteReference"/>
        </w:rPr>
        <w:footnoteRef/>
      </w:r>
      <w:r>
        <w:t xml:space="preserve"> </w:t>
      </w:r>
      <w:r>
        <w:tab/>
      </w:r>
      <w:r w:rsidRPr="00266F84">
        <w:t xml:space="preserve">Ergon Energy, </w:t>
      </w:r>
      <w:r w:rsidRPr="00266F84">
        <w:rPr>
          <w:rStyle w:val="AERtextitalic"/>
        </w:rPr>
        <w:t>Revised regul</w:t>
      </w:r>
      <w:r>
        <w:rPr>
          <w:rStyle w:val="AERtextitalic"/>
        </w:rPr>
        <w:t>atory proposal: Attachment 05.06.02 Fee based services mode</w:t>
      </w:r>
      <w:r>
        <w:rPr>
          <w:rStyle w:val="AERtextitalic"/>
        </w:rPr>
        <w:softHyphen/>
        <w:t>l_redacted (public)</w:t>
      </w:r>
      <w:r>
        <w:t>, July 2015, "Assumptions tab".</w:t>
      </w:r>
    </w:p>
  </w:footnote>
  <w:footnote w:id="33">
    <w:p w:rsidR="00BC709D" w:rsidRDefault="00BC709D">
      <w:pPr>
        <w:pStyle w:val="FootnoteText"/>
      </w:pPr>
      <w:r>
        <w:rPr>
          <w:rStyle w:val="FootnoteReference"/>
        </w:rPr>
        <w:footnoteRef/>
      </w:r>
      <w:r>
        <w:t xml:space="preserve"> </w:t>
      </w:r>
      <w:r>
        <w:tab/>
      </w:r>
      <w:proofErr w:type="gramStart"/>
      <w:r>
        <w:t xml:space="preserve">AER, </w:t>
      </w:r>
      <w:r w:rsidRPr="00700984">
        <w:rPr>
          <w:rStyle w:val="AERtextitalic"/>
        </w:rPr>
        <w:t>Economic benchmarking regulatory information notice</w:t>
      </w:r>
      <w:r>
        <w:t>, "SD 8.</w:t>
      </w:r>
      <w:proofErr w:type="gramEnd"/>
      <w:r>
        <w:t xml:space="preserve"> Operating environment" tab.</w:t>
      </w:r>
    </w:p>
  </w:footnote>
  <w:footnote w:id="34">
    <w:p w:rsidR="00BC709D" w:rsidRDefault="00BC709D">
      <w:pPr>
        <w:pStyle w:val="FootnoteText"/>
      </w:pPr>
      <w:r>
        <w:rPr>
          <w:rStyle w:val="FootnoteReference"/>
        </w:rPr>
        <w:footnoteRef/>
      </w:r>
      <w:r>
        <w:t xml:space="preserve"> </w:t>
      </w:r>
      <w:r>
        <w:tab/>
      </w:r>
      <w:r w:rsidRPr="00761FDB">
        <w:t xml:space="preserve">Ergon Energy, </w:t>
      </w:r>
      <w:r w:rsidRPr="00761FDB">
        <w:rPr>
          <w:rStyle w:val="AERtextitalic"/>
        </w:rPr>
        <w:t>Submission to the AER on its preliminary determination: Alternative control services–other,</w:t>
      </w:r>
      <w:r w:rsidRPr="00761FDB">
        <w:t xml:space="preserve"> 24 July 2015,</w:t>
      </w:r>
      <w:r>
        <w:t xml:space="preserve"> p. 8–10.</w:t>
      </w:r>
    </w:p>
  </w:footnote>
  <w:footnote w:id="35">
    <w:p w:rsidR="00BC709D" w:rsidRDefault="00BC709D" w:rsidP="00491863">
      <w:pPr>
        <w:pStyle w:val="FootnoteText"/>
      </w:pPr>
      <w:r>
        <w:rPr>
          <w:rStyle w:val="FootnoteReference"/>
        </w:rPr>
        <w:footnoteRef/>
      </w:r>
      <w:r>
        <w:t xml:space="preserve"> </w:t>
      </w:r>
      <w:r>
        <w:tab/>
      </w:r>
      <w:r w:rsidRPr="00761FDB">
        <w:t xml:space="preserve">Ergon Energy, </w:t>
      </w:r>
      <w:r w:rsidRPr="00761FDB">
        <w:rPr>
          <w:rStyle w:val="AERtextitalic"/>
        </w:rPr>
        <w:t>Submission to the AER on its preliminary determination: Alternative control services–other,</w:t>
      </w:r>
      <w:r w:rsidRPr="00761FDB">
        <w:t xml:space="preserve"> 24 July 2015,</w:t>
      </w:r>
      <w:r>
        <w:t xml:space="preserve"> p. 11</w:t>
      </w:r>
      <w:r w:rsidRPr="00761FDB">
        <w:t>.</w:t>
      </w:r>
    </w:p>
  </w:footnote>
  <w:footnote w:id="36">
    <w:p w:rsidR="00BC709D" w:rsidRDefault="00BC709D">
      <w:pPr>
        <w:pStyle w:val="FootnoteText"/>
      </w:pPr>
      <w:r>
        <w:rPr>
          <w:rStyle w:val="FootnoteReference"/>
        </w:rPr>
        <w:footnoteRef/>
      </w:r>
      <w:r>
        <w:t xml:space="preserve"> </w:t>
      </w:r>
      <w:r>
        <w:tab/>
        <w:t xml:space="preserve">AER, </w:t>
      </w:r>
      <w:r>
        <w:rPr>
          <w:rStyle w:val="AERtextitalic"/>
        </w:rPr>
        <w:t>Final framework and approach for Energex and Ergon Energy: Regulatory control period commencing 1 July 2015</w:t>
      </w:r>
      <w:r>
        <w:t xml:space="preserve">, April 2014, p. 45; AER, </w:t>
      </w:r>
      <w:r>
        <w:rPr>
          <w:rStyle w:val="AERtextitalic"/>
        </w:rPr>
        <w:t>Preliminary Decision: Ergon Energy determination 2015–16 to 2019–20: Attachment 16—Alternative control services</w:t>
      </w:r>
      <w:r>
        <w:t xml:space="preserve">, April 2015, p. 16–7; AER, </w:t>
      </w:r>
      <w:r>
        <w:rPr>
          <w:rStyle w:val="AERtextitalic"/>
        </w:rPr>
        <w:t>Final Decision: Ausgrid distribution determination 2015–16 to 2019–20: Attachment 16—Alternative control services</w:t>
      </w:r>
      <w:r>
        <w:t xml:space="preserve">, April 2015, p. 16–7; AER, </w:t>
      </w:r>
      <w:r>
        <w:rPr>
          <w:rStyle w:val="AERtextitalic"/>
        </w:rPr>
        <w:t>Final Decision: ActewAGL distribution determination 2015–16 to 2019–20: Attachment 16—Alternative control services</w:t>
      </w:r>
      <w:r>
        <w:t>, April 2015, p. 16–6.</w:t>
      </w:r>
    </w:p>
  </w:footnote>
  <w:footnote w:id="37">
    <w:p w:rsidR="00BC709D" w:rsidRPr="004A6963" w:rsidRDefault="00BC709D" w:rsidP="00A00F31">
      <w:pPr>
        <w:pStyle w:val="FootnoteText"/>
      </w:pPr>
      <w:r>
        <w:rPr>
          <w:rStyle w:val="FootnoteReference"/>
        </w:rPr>
        <w:footnoteRef/>
      </w:r>
      <w:r>
        <w:t xml:space="preserve"> </w:t>
      </w:r>
      <w:r>
        <w:tab/>
      </w:r>
      <w:proofErr w:type="gramStart"/>
      <w:r>
        <w:t xml:space="preserve">AER, </w:t>
      </w:r>
      <w:r>
        <w:rPr>
          <w:i/>
        </w:rPr>
        <w:t>Final framework and approach for Energex and Ergon Energy—Regulatory control period commencing 1 July 2015</w:t>
      </w:r>
      <w:r>
        <w:t>, April 2014, p. 49.</w:t>
      </w:r>
      <w:proofErr w:type="gramEnd"/>
    </w:p>
  </w:footnote>
  <w:footnote w:id="38">
    <w:p w:rsidR="00BC709D" w:rsidRPr="008051EE" w:rsidRDefault="00BC709D" w:rsidP="00A00F31">
      <w:pPr>
        <w:pStyle w:val="FootnoteText"/>
      </w:pPr>
      <w:r>
        <w:rPr>
          <w:rStyle w:val="FootnoteReference"/>
        </w:rPr>
        <w:footnoteRef/>
      </w:r>
      <w:r>
        <w:t xml:space="preserve"> </w:t>
      </w:r>
      <w:r>
        <w:tab/>
        <w:t xml:space="preserve">Ergon Energy, </w:t>
      </w:r>
      <w:r>
        <w:rPr>
          <w:i/>
        </w:rPr>
        <w:t>Submission on the Queensland revised regulatory proposals 2015–16 to 2019–20</w:t>
      </w:r>
      <w:r>
        <w:t>, 24 July 2015, p. 49.</w:t>
      </w:r>
    </w:p>
  </w:footnote>
  <w:footnote w:id="39">
    <w:p w:rsidR="00BC709D" w:rsidRDefault="00BC709D" w:rsidP="00FE47E1">
      <w:pPr>
        <w:pStyle w:val="FootnoteText"/>
      </w:pPr>
      <w:r>
        <w:rPr>
          <w:rStyle w:val="FootnoteReference"/>
        </w:rPr>
        <w:footnoteRef/>
      </w:r>
      <w:r>
        <w:t xml:space="preserve"> </w:t>
      </w:r>
      <w:r>
        <w:tab/>
      </w:r>
      <w:proofErr w:type="gramStart"/>
      <w:r w:rsidRPr="009C43CC">
        <w:t>NER clause 7.2.3(a)</w:t>
      </w:r>
      <w:r>
        <w:t>.</w:t>
      </w:r>
      <w:proofErr w:type="gramEnd"/>
      <w:r>
        <w:t xml:space="preserve"> </w:t>
      </w:r>
      <w:proofErr w:type="gramStart"/>
      <w:r>
        <w:t>Small customers refers</w:t>
      </w:r>
      <w:proofErr w:type="gramEnd"/>
      <w:r>
        <w:t xml:space="preserve"> to any customer with less than 160MWh annual consumption (effectively all residential and small business customers fall into this category).</w:t>
      </w:r>
    </w:p>
  </w:footnote>
  <w:footnote w:id="40">
    <w:p w:rsidR="00BC709D" w:rsidRDefault="00BC709D" w:rsidP="00FE47E1">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w:t>
      </w:r>
    </w:p>
  </w:footnote>
  <w:footnote w:id="41">
    <w:p w:rsidR="00BC709D" w:rsidRDefault="00BC709D" w:rsidP="00FE47E1">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42">
    <w:p w:rsidR="00BC709D" w:rsidRDefault="00BC709D" w:rsidP="00FE47E1">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43">
    <w:p w:rsidR="00BC709D" w:rsidRPr="000A00D9" w:rsidRDefault="00BC709D" w:rsidP="00FE47E1">
      <w:pPr>
        <w:pStyle w:val="FootnoteText"/>
        <w:rPr>
          <w:rStyle w:val="AERtextitalic"/>
        </w:rPr>
      </w:pPr>
      <w:r>
        <w:rPr>
          <w:rStyle w:val="FootnoteReference"/>
        </w:rPr>
        <w:footnoteRef/>
      </w:r>
      <w:r>
        <w:t xml:space="preserve"> </w:t>
      </w:r>
      <w:r>
        <w:tab/>
        <w:t xml:space="preserve">AEMC, </w:t>
      </w:r>
      <w:r>
        <w:rPr>
          <w:rStyle w:val="AERtextitalic"/>
        </w:rPr>
        <w:t>Information: Extension of time for final rule on provision of metering services</w:t>
      </w:r>
      <w:r>
        <w:t>, 2 July 2015.</w:t>
      </w:r>
    </w:p>
  </w:footnote>
  <w:footnote w:id="44">
    <w:p w:rsidR="00BC709D" w:rsidRDefault="00BC709D" w:rsidP="00FE47E1">
      <w:pPr>
        <w:pStyle w:val="FootnoteText"/>
      </w:pPr>
      <w:r>
        <w:rPr>
          <w:rStyle w:val="FootnoteReference"/>
        </w:rPr>
        <w:footnoteRef/>
      </w:r>
      <w:r>
        <w:t xml:space="preserve"> </w:t>
      </w:r>
      <w:r>
        <w:tab/>
        <w:t xml:space="preserve">AEMC, </w:t>
      </w:r>
      <w:r>
        <w:rPr>
          <w:rStyle w:val="AERtextitalic"/>
        </w:rPr>
        <w:t>Information: Extension of time for final rule on provision of metering services</w:t>
      </w:r>
      <w:r>
        <w:t>, 2 July 2015.</w:t>
      </w:r>
    </w:p>
  </w:footnote>
  <w:footnote w:id="45">
    <w:p w:rsidR="00BC709D" w:rsidRDefault="00BC709D" w:rsidP="00E13393">
      <w:pPr>
        <w:pStyle w:val="FootnoteText"/>
      </w:pPr>
      <w:r>
        <w:rPr>
          <w:rStyle w:val="FootnoteReference"/>
        </w:rPr>
        <w:footnoteRef/>
      </w:r>
      <w:r>
        <w:t xml:space="preserve"> </w:t>
      </w:r>
      <w:r>
        <w:tab/>
        <w:t xml:space="preserve">Ergon </w:t>
      </w:r>
      <w:proofErr w:type="gramStart"/>
      <w:r>
        <w:t>Energy,</w:t>
      </w:r>
      <w:proofErr w:type="gramEnd"/>
      <w:r>
        <w:t xml:space="preserve"> </w:t>
      </w:r>
      <w:r>
        <w:rPr>
          <w:rStyle w:val="AERtextitalic"/>
        </w:rPr>
        <w:t>Revised regulatory proposal: Attachment 05.03.01 Default metering services summary (type 5 &amp; 6 meters)</w:t>
      </w:r>
      <w:r>
        <w:t>, July 2015, p. 30.</w:t>
      </w:r>
    </w:p>
  </w:footnote>
  <w:footnote w:id="46">
    <w:p w:rsidR="00BC709D" w:rsidRDefault="00BC709D" w:rsidP="008E3E11">
      <w:pPr>
        <w:pStyle w:val="FootnoteText"/>
      </w:pPr>
      <w:r>
        <w:rPr>
          <w:rStyle w:val="FootnoteReference"/>
        </w:rPr>
        <w:footnoteRef/>
      </w:r>
      <w:r>
        <w:t xml:space="preserve"> </w:t>
      </w:r>
      <w:r>
        <w:tab/>
      </w:r>
      <w:r w:rsidRPr="005B0486">
        <w:t>If the ABS does not, or ceases to, publish the index, then CPI will mean an index which the AER considers is the best estimate available of the index alternative index.</w:t>
      </w:r>
    </w:p>
  </w:footnote>
  <w:footnote w:id="47">
    <w:p w:rsidR="00BC709D" w:rsidRDefault="00BC709D" w:rsidP="00145A55">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56.</w:t>
      </w:r>
    </w:p>
  </w:footnote>
  <w:footnote w:id="48">
    <w:p w:rsidR="00BC709D" w:rsidRDefault="00BC709D" w:rsidP="00FE47E1">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57.</w:t>
      </w:r>
    </w:p>
  </w:footnote>
  <w:footnote w:id="49">
    <w:p w:rsidR="00BC709D" w:rsidRDefault="00BC709D" w:rsidP="00FE47E1">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xml:space="preserve">, April 2015, p. 16–20; Ergon Energy, </w:t>
      </w:r>
      <w:r w:rsidRPr="000459F9">
        <w:rPr>
          <w:rStyle w:val="AERtextitalic"/>
        </w:rPr>
        <w:t>Revised regulatory proposal</w:t>
      </w:r>
      <w:r>
        <w:t xml:space="preserve">, July 2015, p. 57. </w:t>
      </w:r>
    </w:p>
  </w:footnote>
  <w:footnote w:id="50">
    <w:p w:rsidR="00BC709D" w:rsidRDefault="00BC709D" w:rsidP="00FE47E1">
      <w:pPr>
        <w:pStyle w:val="FootnoteText"/>
      </w:pPr>
      <w:r>
        <w:rPr>
          <w:rStyle w:val="FootnoteReference"/>
        </w:rPr>
        <w:footnoteRef/>
      </w:r>
      <w:r>
        <w:t xml:space="preserve"> </w:t>
      </w:r>
      <w:r>
        <w:tab/>
        <w:t xml:space="preserve">Ergon Energy, </w:t>
      </w:r>
      <w:r w:rsidRPr="000459F9">
        <w:rPr>
          <w:rStyle w:val="AERtextitalic"/>
        </w:rPr>
        <w:t>Revised regulatory proposal</w:t>
      </w:r>
      <w:r>
        <w:t xml:space="preserve">, July 2015, p.57; 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16–20.</w:t>
      </w:r>
    </w:p>
  </w:footnote>
  <w:footnote w:id="51">
    <w:p w:rsidR="00BC709D" w:rsidRDefault="00BC709D">
      <w:pPr>
        <w:pStyle w:val="FootnoteText"/>
      </w:pPr>
      <w:r>
        <w:rPr>
          <w:rStyle w:val="FootnoteReference"/>
        </w:rPr>
        <w:footnoteRef/>
      </w:r>
      <w:r>
        <w:t xml:space="preserve"> </w:t>
      </w:r>
      <w:r>
        <w:tab/>
        <w:t xml:space="preserve">Ergon </w:t>
      </w:r>
      <w:proofErr w:type="gramStart"/>
      <w:r>
        <w:t>Energy,</w:t>
      </w:r>
      <w:proofErr w:type="gramEnd"/>
      <w:r>
        <w:t xml:space="preserve"> </w:t>
      </w:r>
      <w:r>
        <w:rPr>
          <w:rStyle w:val="AERtextitalic"/>
        </w:rPr>
        <w:t>Revised regulatory proposal: Attachment 05.03.01 Default metering services summary (type 5 &amp; 6 meters)</w:t>
      </w:r>
      <w:r>
        <w:t>, July 2015, p. 19.</w:t>
      </w:r>
    </w:p>
  </w:footnote>
  <w:footnote w:id="52">
    <w:p w:rsidR="00BC709D" w:rsidRDefault="00BC709D" w:rsidP="00FE47E1">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16–23.</w:t>
      </w:r>
    </w:p>
  </w:footnote>
  <w:footnote w:id="53">
    <w:p w:rsidR="00BC709D" w:rsidRDefault="00BC709D">
      <w:pPr>
        <w:pStyle w:val="FootnoteText"/>
      </w:pPr>
      <w:r>
        <w:rPr>
          <w:rStyle w:val="FootnoteReference"/>
        </w:rPr>
        <w:footnoteRef/>
      </w:r>
      <w:r>
        <w:t xml:space="preserve"> </w:t>
      </w:r>
      <w:r>
        <w:tab/>
        <w:t xml:space="preserve">Ergon </w:t>
      </w:r>
      <w:proofErr w:type="gramStart"/>
      <w:r>
        <w:t>Energy,</w:t>
      </w:r>
      <w:proofErr w:type="gramEnd"/>
      <w:r>
        <w:t xml:space="preserve"> </w:t>
      </w:r>
      <w:r>
        <w:rPr>
          <w:rStyle w:val="AERtextitalic"/>
        </w:rPr>
        <w:t>Revised regulatory proposal: Attachment 05.03.01 Default metering services summary (type 5 &amp; 6 meters)</w:t>
      </w:r>
      <w:r>
        <w:t>, July 2015, p. 26.</w:t>
      </w:r>
    </w:p>
  </w:footnote>
  <w:footnote w:id="54">
    <w:p w:rsidR="00BC709D" w:rsidRDefault="00BC709D">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16–23.</w:t>
      </w:r>
    </w:p>
  </w:footnote>
  <w:footnote w:id="55">
    <w:p w:rsidR="00BC709D" w:rsidRDefault="00BC709D" w:rsidP="00FE47E1">
      <w:pPr>
        <w:pStyle w:val="FootnoteText"/>
      </w:pPr>
      <w:r>
        <w:rPr>
          <w:rStyle w:val="FootnoteReference"/>
        </w:rPr>
        <w:footnoteRef/>
      </w:r>
      <w:r>
        <w:t xml:space="preserve"> </w:t>
      </w:r>
      <w:r>
        <w:tab/>
        <w:t xml:space="preserve">Ergon Energy, </w:t>
      </w:r>
      <w:r>
        <w:rPr>
          <w:rStyle w:val="AERtextitalic"/>
        </w:rPr>
        <w:t>Initial regulatory proposal: Attachment 05.03.01 Default metering services summary (type 5 &amp; 6 meters)</w:t>
      </w:r>
      <w:r>
        <w:t>, December 2014, p. 24.</w:t>
      </w:r>
    </w:p>
  </w:footnote>
  <w:footnote w:id="56">
    <w:p w:rsidR="00BC709D" w:rsidRDefault="00BC709D" w:rsidP="00F638F6">
      <w:pPr>
        <w:pStyle w:val="FootnoteText"/>
      </w:pPr>
      <w:r>
        <w:rPr>
          <w:rStyle w:val="FootnoteReference"/>
        </w:rPr>
        <w:footnoteRef/>
      </w:r>
      <w:r>
        <w:t xml:space="preserve"> </w:t>
      </w:r>
      <w:r>
        <w:tab/>
        <w:t xml:space="preserve">Ergon Energy, </w:t>
      </w:r>
      <w:r>
        <w:rPr>
          <w:rStyle w:val="AERtextitalic"/>
        </w:rPr>
        <w:t>Revised regulatory proposal: Attachment 05.03.01 Default metering services summary (type 5 &amp; 6 meters)</w:t>
      </w:r>
      <w:r>
        <w:t xml:space="preserve">, July 2015, p. 29; Ergon Energy, </w:t>
      </w:r>
      <w:r>
        <w:rPr>
          <w:rStyle w:val="AERtextitalic"/>
        </w:rPr>
        <w:t>Initial regulatory proposal: Attachment 05.03.01 Default metering services summary (type 5 &amp; 6 meters)</w:t>
      </w:r>
      <w:r>
        <w:t>, December 2014, p. 27.</w:t>
      </w:r>
    </w:p>
  </w:footnote>
  <w:footnote w:id="57">
    <w:p w:rsidR="00BC709D" w:rsidRDefault="00BC709D" w:rsidP="00FE47E1">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16–23.</w:t>
      </w:r>
    </w:p>
  </w:footnote>
  <w:footnote w:id="58">
    <w:p w:rsidR="00BC709D" w:rsidRDefault="00BC709D">
      <w:pPr>
        <w:pStyle w:val="FootnoteText"/>
      </w:pPr>
      <w:r>
        <w:rPr>
          <w:rStyle w:val="FootnoteReference"/>
        </w:rPr>
        <w:footnoteRef/>
      </w:r>
      <w:r>
        <w:t xml:space="preserve"> </w:t>
      </w:r>
      <w:r>
        <w:tab/>
        <w:t xml:space="preserve">Ergon </w:t>
      </w:r>
      <w:proofErr w:type="gramStart"/>
      <w:r>
        <w:t>Energy,</w:t>
      </w:r>
      <w:proofErr w:type="gramEnd"/>
      <w:r>
        <w:t xml:space="preserve"> </w:t>
      </w:r>
      <w:r>
        <w:rPr>
          <w:rStyle w:val="AERtextitalic"/>
        </w:rPr>
        <w:t>Revised regulatory proposal: Attachment 05.03.01 Default metering services summary (type 5 &amp; 6 meters)</w:t>
      </w:r>
      <w:r>
        <w:t>, July 2015, p. 58.</w:t>
      </w:r>
    </w:p>
  </w:footnote>
  <w:footnote w:id="59">
    <w:p w:rsidR="00BC709D" w:rsidRDefault="00BC709D">
      <w:pPr>
        <w:pStyle w:val="FootnoteText"/>
      </w:pPr>
      <w:r>
        <w:rPr>
          <w:rStyle w:val="FootnoteReference"/>
        </w:rPr>
        <w:footnoteRef/>
      </w:r>
      <w:r>
        <w:t xml:space="preserve"> </w:t>
      </w:r>
      <w:r>
        <w:tab/>
        <w:t xml:space="preserve">Ergon </w:t>
      </w:r>
      <w:proofErr w:type="gramStart"/>
      <w:r>
        <w:t>Energy,</w:t>
      </w:r>
      <w:proofErr w:type="gramEnd"/>
      <w:r>
        <w:t xml:space="preserve"> </w:t>
      </w:r>
      <w:r>
        <w:rPr>
          <w:rStyle w:val="AERtextitalic"/>
        </w:rPr>
        <w:t>Revised regulatory proposal: Attachment 05.03.01 Default metering services summary (type 5 &amp; 6 meters)</w:t>
      </w:r>
      <w:r>
        <w:t>, July 2015, p. 58.</w:t>
      </w:r>
    </w:p>
  </w:footnote>
  <w:footnote w:id="60">
    <w:p w:rsidR="00BC709D" w:rsidRDefault="00BC709D" w:rsidP="00FE47E1">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section 16.2.1.1.</w:t>
      </w:r>
    </w:p>
  </w:footnote>
  <w:footnote w:id="61">
    <w:p w:rsidR="00BC709D" w:rsidRDefault="00BC709D">
      <w:pPr>
        <w:pStyle w:val="FootnoteText"/>
      </w:pPr>
      <w:r>
        <w:rPr>
          <w:rStyle w:val="FootnoteReference"/>
        </w:rPr>
        <w:footnoteRef/>
      </w:r>
      <w:r>
        <w:t xml:space="preserve"> </w:t>
      </w:r>
      <w:r>
        <w:tab/>
        <w:t xml:space="preserve">Ergon Energy, </w:t>
      </w:r>
      <w:r w:rsidRPr="000459F9">
        <w:rPr>
          <w:rStyle w:val="AERtextitalic"/>
        </w:rPr>
        <w:t>Revised regulatory proposal</w:t>
      </w:r>
      <w:r>
        <w:t xml:space="preserve">, July 2015, p.58; 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16–23.</w:t>
      </w:r>
    </w:p>
  </w:footnote>
  <w:footnote w:id="62">
    <w:p w:rsidR="00BC709D" w:rsidRDefault="00BC709D" w:rsidP="0071448B">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57.</w:t>
      </w:r>
    </w:p>
  </w:footnote>
  <w:footnote w:id="63">
    <w:p w:rsidR="00BC709D" w:rsidRDefault="00BC709D" w:rsidP="0071448B">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58.</w:t>
      </w:r>
    </w:p>
  </w:footnote>
  <w:footnote w:id="64">
    <w:p w:rsidR="00BC709D" w:rsidRDefault="00BC709D" w:rsidP="0071448B">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58.</w:t>
      </w:r>
    </w:p>
  </w:footnote>
  <w:footnote w:id="65">
    <w:p w:rsidR="00BC709D" w:rsidRDefault="00BC709D" w:rsidP="00DC32D9">
      <w:pPr>
        <w:pStyle w:val="FootnoteText"/>
      </w:pPr>
      <w:r>
        <w:rPr>
          <w:rStyle w:val="FootnoteReference"/>
        </w:rPr>
        <w:footnoteRef/>
      </w:r>
      <w:r>
        <w:t xml:space="preserve"> </w:t>
      </w:r>
      <w:r>
        <w:tab/>
        <w:t xml:space="preserve">Ergon Energy, </w:t>
      </w:r>
      <w:r w:rsidRPr="000459F9">
        <w:rPr>
          <w:rStyle w:val="AERtextitalic"/>
        </w:rPr>
        <w:t>Revised regulatory proposal</w:t>
      </w:r>
      <w:r>
        <w:t xml:space="preserve">, July 2015, p. 57; 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16–20.</w:t>
      </w:r>
    </w:p>
  </w:footnote>
  <w:footnote w:id="66">
    <w:p w:rsidR="00BC709D" w:rsidRDefault="00BC709D" w:rsidP="00DC32D9">
      <w:pPr>
        <w:pStyle w:val="FootnoteText"/>
      </w:pPr>
      <w:r>
        <w:rPr>
          <w:rStyle w:val="FootnoteReference"/>
        </w:rPr>
        <w:footnoteRef/>
      </w:r>
      <w:r>
        <w:t xml:space="preserve"> </w:t>
      </w:r>
      <w:r>
        <w:tab/>
      </w:r>
      <w:proofErr w:type="gramStart"/>
      <w:r>
        <w:t>NER, cl. 6.2.2(c) and cl. 6.2.5(d).</w:t>
      </w:r>
      <w:proofErr w:type="gramEnd"/>
    </w:p>
  </w:footnote>
  <w:footnote w:id="67">
    <w:p w:rsidR="00BC709D" w:rsidRDefault="00BC709D">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w:t>
      </w:r>
      <w:r>
        <w:t xml:space="preserve"> </w:t>
      </w:r>
      <w:r w:rsidRPr="00793220">
        <w:t>43</w:t>
      </w:r>
      <w:r>
        <w:t>3</w:t>
      </w:r>
      <w:r w:rsidRPr="00793220">
        <w:t>.</w:t>
      </w:r>
    </w:p>
  </w:footnote>
  <w:footnote w:id="68">
    <w:p w:rsidR="00BC709D" w:rsidRDefault="00BC709D" w:rsidP="00DC32D9">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69">
    <w:p w:rsidR="00BC709D" w:rsidRDefault="00BC709D" w:rsidP="00DC32D9">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p.43</w:t>
      </w:r>
      <w:r>
        <w:t>3</w:t>
      </w:r>
      <w:r w:rsidRPr="00793220">
        <w:t>.</w:t>
      </w:r>
    </w:p>
  </w:footnote>
  <w:footnote w:id="70">
    <w:p w:rsidR="00BC709D" w:rsidRDefault="00BC709D" w:rsidP="00DC32D9">
      <w:pPr>
        <w:pStyle w:val="FootnoteText"/>
      </w:pPr>
      <w:r>
        <w:rPr>
          <w:rStyle w:val="FootnoteReference"/>
        </w:rPr>
        <w:footnoteRef/>
      </w:r>
      <w:r>
        <w:t xml:space="preserve"> </w:t>
      </w:r>
      <w:r>
        <w:tab/>
        <w:t>In its initial proposal Ergon Energy's forecast capex included the cost of new or upgraded connections and replacements. The revised proposal submitted by Ergon Energy, however, only proposes to recover the cost of replacements through the annual metering charge. This is consistent with our preliminary decision that the cost of new or upgraded connections should be recovered upfront from customers at the time of installation.</w:t>
      </w:r>
    </w:p>
  </w:footnote>
  <w:footnote w:id="71">
    <w:p w:rsidR="00BC709D" w:rsidRDefault="00BC709D" w:rsidP="00DC32D9">
      <w:pPr>
        <w:pStyle w:val="FootnoteText"/>
      </w:pPr>
      <w:r>
        <w:rPr>
          <w:rStyle w:val="FootnoteReference"/>
        </w:rPr>
        <w:footnoteRef/>
      </w:r>
      <w:r>
        <w:t xml:space="preserve"> </w:t>
      </w:r>
      <w:r>
        <w:tab/>
      </w:r>
      <w:r w:rsidRPr="001E6A18">
        <w:t xml:space="preserve">Material costs relate to the hardware used to provide metering services. Non–material costs relate to the labour activities which </w:t>
      </w:r>
      <w:r>
        <w:t>Ergon Energy</w:t>
      </w:r>
      <w:r w:rsidRPr="001E6A18">
        <w:t xml:space="preserve"> must perform in order to replace a meter.</w:t>
      </w:r>
    </w:p>
  </w:footnote>
  <w:footnote w:id="72">
    <w:p w:rsidR="00BC709D" w:rsidRDefault="00BC709D">
      <w:pPr>
        <w:pStyle w:val="FootnoteText"/>
      </w:pPr>
      <w:r>
        <w:rPr>
          <w:rStyle w:val="FootnoteReference"/>
        </w:rPr>
        <w:footnoteRef/>
      </w:r>
      <w:r>
        <w:t xml:space="preserve"> </w:t>
      </w:r>
      <w:r>
        <w:tab/>
      </w:r>
      <w:r w:rsidRPr="00C53981">
        <w:t>AER, Economic benchmarking RIN for distribution network service providers - Instructions and Definitions - Sample, November 2013.</w:t>
      </w:r>
    </w:p>
  </w:footnote>
  <w:footnote w:id="73">
    <w:p w:rsidR="00BC709D" w:rsidRDefault="00BC709D">
      <w:pPr>
        <w:pStyle w:val="FootnoteText"/>
      </w:pPr>
      <w:r>
        <w:rPr>
          <w:rStyle w:val="FootnoteReference"/>
        </w:rPr>
        <w:footnoteRef/>
      </w:r>
      <w:r>
        <w:t xml:space="preserve"> </w:t>
      </w:r>
      <w:r>
        <w:tab/>
      </w:r>
      <w:r w:rsidRPr="003B717A">
        <w:t>Victorian distributors rolled out advanced metering technology in the last regulatory period. These costs are not comparable to other distributors which have type 5 and 6 meters.</w:t>
      </w:r>
    </w:p>
  </w:footnote>
  <w:footnote w:id="74">
    <w:p w:rsidR="00BC709D" w:rsidRDefault="00BC709D" w:rsidP="003B717A">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9.</w:t>
      </w:r>
    </w:p>
  </w:footnote>
  <w:footnote w:id="75">
    <w:p w:rsidR="00BC709D" w:rsidRDefault="00BC709D" w:rsidP="003B717A">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6">
    <w:p w:rsidR="00BC709D" w:rsidRDefault="00BC709D" w:rsidP="003B717A">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7">
    <w:p w:rsidR="00BC709D" w:rsidRDefault="00BC709D" w:rsidP="003B717A">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8">
    <w:p w:rsidR="00BC709D" w:rsidRDefault="00BC709D" w:rsidP="0018092C">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57.</w:t>
      </w:r>
    </w:p>
  </w:footnote>
  <w:footnote w:id="79">
    <w:p w:rsidR="00BC709D" w:rsidRDefault="00BC709D" w:rsidP="00F1170B">
      <w:pPr>
        <w:pStyle w:val="FootnoteText"/>
      </w:pPr>
      <w:r>
        <w:rPr>
          <w:rStyle w:val="FootnoteReference"/>
        </w:rPr>
        <w:footnoteRef/>
      </w:r>
      <w:r>
        <w:t xml:space="preserve"> </w:t>
      </w:r>
      <w:r>
        <w:tab/>
      </w:r>
      <w:proofErr w:type="gramStart"/>
      <w:r>
        <w:t xml:space="preserve">Vector, </w:t>
      </w:r>
      <w:r w:rsidRPr="00C022D6">
        <w:rPr>
          <w:rStyle w:val="AERtextitalic"/>
        </w:rPr>
        <w:t>Submission on AER preliminary decision</w:t>
      </w:r>
      <w:r>
        <w:rPr>
          <w:rStyle w:val="AERtextitalic"/>
        </w:rPr>
        <w:t>s on electricity distribution in Queensland &amp; South Australia for 2015–16 to 2019–20</w:t>
      </w:r>
      <w:r>
        <w:t>, 3 July 2015, p. 1.</w:t>
      </w:r>
      <w:proofErr w:type="gramEnd"/>
      <w:r>
        <w:t xml:space="preserve"> </w:t>
      </w:r>
    </w:p>
  </w:footnote>
  <w:footnote w:id="80">
    <w:p w:rsidR="00BC709D" w:rsidRDefault="00BC709D" w:rsidP="00F1170B">
      <w:pPr>
        <w:pStyle w:val="FootnoteText"/>
      </w:pPr>
      <w:r>
        <w:rPr>
          <w:rStyle w:val="FootnoteReference"/>
        </w:rPr>
        <w:footnoteRef/>
      </w:r>
      <w:r>
        <w:t xml:space="preserve"> </w:t>
      </w:r>
      <w:r>
        <w:tab/>
      </w:r>
      <w:proofErr w:type="gramStart"/>
      <w:r>
        <w:t>Origin Energy, Submission on AER preliminary decision for Queensland distributors, 3 July 2015, p. 3.</w:t>
      </w:r>
      <w:proofErr w:type="gramEnd"/>
    </w:p>
  </w:footnote>
  <w:footnote w:id="81">
    <w:p w:rsidR="00BC709D" w:rsidRDefault="00BC709D" w:rsidP="00F1170B">
      <w:pPr>
        <w:pStyle w:val="FootnoteText"/>
      </w:pPr>
      <w:r>
        <w:rPr>
          <w:rStyle w:val="FootnoteReference"/>
        </w:rPr>
        <w:footnoteRef/>
      </w:r>
      <w:r>
        <w:t xml:space="preserve"> </w:t>
      </w:r>
      <w:r>
        <w:tab/>
      </w:r>
      <w:proofErr w:type="gramStart"/>
      <w:r>
        <w:t>Origin Energy, Submission on AER preliminary decision for Queensland distributors, 3 July 2015, p. 3.</w:t>
      </w:r>
      <w:proofErr w:type="gramEnd"/>
    </w:p>
  </w:footnote>
  <w:footnote w:id="82">
    <w:p w:rsidR="00BC709D" w:rsidRDefault="00BC709D" w:rsidP="00F1170B">
      <w:pPr>
        <w:pStyle w:val="FootnoteText"/>
      </w:pPr>
      <w:r>
        <w:rPr>
          <w:rStyle w:val="FootnoteReference"/>
        </w:rPr>
        <w:footnoteRef/>
      </w:r>
      <w:r>
        <w:t xml:space="preserve"> </w:t>
      </w:r>
      <w:r>
        <w:tab/>
      </w:r>
      <w:proofErr w:type="gramStart"/>
      <w:r>
        <w:t>NER, s</w:t>
      </w:r>
      <w:r w:rsidR="00307CCD">
        <w:t>.</w:t>
      </w:r>
      <w:r>
        <w:t xml:space="preserve"> 7A.</w:t>
      </w:r>
      <w:proofErr w:type="gramEnd"/>
    </w:p>
  </w:footnote>
  <w:footnote w:id="83">
    <w:p w:rsidR="00BC709D" w:rsidRDefault="00BC709D" w:rsidP="00130FC6">
      <w:pPr>
        <w:pStyle w:val="FootnoteText"/>
      </w:pPr>
      <w:r>
        <w:rPr>
          <w:rStyle w:val="FootnoteReference"/>
        </w:rPr>
        <w:footnoteRef/>
      </w:r>
      <w:r>
        <w:t xml:space="preserve"> </w:t>
      </w:r>
      <w:r>
        <w:tab/>
        <w:t>Origin Energy, Submission on AER preliminary decision for Queensland distributors, 3 July 2015, p. 3; ERAA, Submission on ART preliminary d</w:t>
      </w:r>
      <w:r w:rsidRPr="003373A6">
        <w:t>ecision</w:t>
      </w:r>
      <w:r>
        <w:t xml:space="preserve"> for Ergon Energy and Energex, 3 July 2015, p. 2.</w:t>
      </w:r>
    </w:p>
  </w:footnote>
  <w:footnote w:id="84">
    <w:p w:rsidR="00BC709D" w:rsidRDefault="00BC709D" w:rsidP="00130FC6">
      <w:pPr>
        <w:pStyle w:val="FootnoteText"/>
      </w:pPr>
      <w:r>
        <w:rPr>
          <w:rStyle w:val="FootnoteReference"/>
        </w:rPr>
        <w:footnoteRef/>
      </w:r>
      <w:r>
        <w:t xml:space="preserve"> </w:t>
      </w:r>
      <w:r>
        <w:tab/>
      </w:r>
      <w:proofErr w:type="gramStart"/>
      <w:r>
        <w:t>QCOSS, Submission on AER preliminary decision for Queensland distributors, 3 July 2015, p. 28.</w:t>
      </w:r>
      <w:proofErr w:type="gramEnd"/>
    </w:p>
  </w:footnote>
  <w:footnote w:id="85">
    <w:p w:rsidR="00BC709D" w:rsidRDefault="00BC709D" w:rsidP="00130FC6">
      <w:pPr>
        <w:pStyle w:val="FootnoteText"/>
      </w:pPr>
      <w:r>
        <w:rPr>
          <w:rStyle w:val="FootnoteReference"/>
        </w:rPr>
        <w:footnoteRef/>
      </w:r>
      <w:r>
        <w:t xml:space="preserve"> </w:t>
      </w:r>
      <w:r>
        <w:tab/>
      </w:r>
      <w:proofErr w:type="gramStart"/>
      <w:r>
        <w:t>QCOSS, Submission on AER preliminary decision for Queensland distributors, 3 July 2015, p. 28.</w:t>
      </w:r>
      <w:proofErr w:type="gramEnd"/>
    </w:p>
  </w:footnote>
  <w:footnote w:id="86">
    <w:p w:rsidR="00BC709D" w:rsidRDefault="00BC709D" w:rsidP="0018092C">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w:t>
      </w:r>
      <w:r>
        <w:t xml:space="preserve"> </w:t>
      </w:r>
      <w:r w:rsidRPr="00793220">
        <w:t>43</w:t>
      </w:r>
      <w:r>
        <w:t>3</w:t>
      </w:r>
      <w:r w:rsidRPr="00793220">
        <w:t>.</w:t>
      </w:r>
      <w:r>
        <w:tab/>
      </w:r>
    </w:p>
  </w:footnote>
  <w:footnote w:id="87">
    <w:p w:rsidR="00BC709D" w:rsidRDefault="00BC709D">
      <w:pPr>
        <w:pStyle w:val="FootnoteText"/>
      </w:pPr>
      <w:r>
        <w:rPr>
          <w:rStyle w:val="FootnoteReference"/>
        </w:rPr>
        <w:footnoteRef/>
      </w:r>
      <w:r>
        <w:t xml:space="preserve"> </w:t>
      </w:r>
      <w:r>
        <w:tab/>
        <w:t xml:space="preserve">Ergon Energy, </w:t>
      </w:r>
      <w:r>
        <w:rPr>
          <w:rStyle w:val="AERtextitalic"/>
        </w:rPr>
        <w:t>Response to AER Ergon 090</w:t>
      </w:r>
      <w:r>
        <w:t>, 4 September 2015.</w:t>
      </w:r>
    </w:p>
  </w:footnote>
  <w:footnote w:id="88">
    <w:p w:rsidR="00BC709D" w:rsidRDefault="00BC709D" w:rsidP="000F45FB">
      <w:pPr>
        <w:pStyle w:val="FootnoteText"/>
      </w:pPr>
      <w:r>
        <w:rPr>
          <w:rStyle w:val="FootnoteReference"/>
        </w:rPr>
        <w:footnoteRef/>
      </w:r>
      <w:r>
        <w:t xml:space="preserve"> </w:t>
      </w:r>
      <w:r>
        <w:tab/>
      </w:r>
      <w:proofErr w:type="gramStart"/>
      <w:r>
        <w:t xml:space="preserve">AER, </w:t>
      </w:r>
      <w:r w:rsidRPr="004F62F1">
        <w:rPr>
          <w:rStyle w:val="AERtextitalic"/>
        </w:rPr>
        <w:t>Final framework and approach for Energex and Ergon Energy</w:t>
      </w:r>
      <w:r>
        <w:t>, April 2014, p. 54.</w:t>
      </w:r>
      <w:proofErr w:type="gramEnd"/>
    </w:p>
  </w:footnote>
  <w:footnote w:id="89">
    <w:p w:rsidR="00BC709D" w:rsidRDefault="00BC709D" w:rsidP="00407CAA">
      <w:pPr>
        <w:pStyle w:val="FootnoteText"/>
      </w:pPr>
      <w:r>
        <w:rPr>
          <w:rStyle w:val="FootnoteReference"/>
        </w:rPr>
        <w:footnoteRef/>
      </w:r>
      <w:r>
        <w:t xml:space="preserve"> </w:t>
      </w:r>
      <w:r>
        <w:tab/>
        <w:t xml:space="preserve">Ergon </w:t>
      </w:r>
      <w:proofErr w:type="gramStart"/>
      <w:r>
        <w:t>Energy,</w:t>
      </w:r>
      <w:proofErr w:type="gramEnd"/>
      <w:r>
        <w:t xml:space="preserve"> </w:t>
      </w:r>
      <w:r>
        <w:rPr>
          <w:rStyle w:val="AERtextitalic"/>
        </w:rPr>
        <w:t>Revised regulatory proposal: Attachment 05.03.01 Default metering services summary (type 5 &amp; 6 meters)</w:t>
      </w:r>
      <w:r>
        <w:t>, July 2015, p. 58.</w:t>
      </w:r>
    </w:p>
  </w:footnote>
  <w:footnote w:id="90">
    <w:p w:rsidR="00BC709D" w:rsidRDefault="00BC709D" w:rsidP="00407CAA">
      <w:pPr>
        <w:pStyle w:val="FootnoteText"/>
      </w:pPr>
      <w:r>
        <w:rPr>
          <w:rStyle w:val="FootnoteReference"/>
        </w:rPr>
        <w:footnoteRef/>
      </w:r>
      <w:r>
        <w:t xml:space="preserve"> </w:t>
      </w:r>
      <w:r>
        <w:tab/>
        <w:t xml:space="preserve">Ergon </w:t>
      </w:r>
      <w:proofErr w:type="gramStart"/>
      <w:r>
        <w:t>Energy,</w:t>
      </w:r>
      <w:proofErr w:type="gramEnd"/>
      <w:r>
        <w:t xml:space="preserve"> </w:t>
      </w:r>
      <w:r>
        <w:rPr>
          <w:rStyle w:val="AERtextitalic"/>
        </w:rPr>
        <w:t>Revised regulatory proposal: Attachment 05.03.01 Default metering services summary (type 5 &amp; 6 meters)</w:t>
      </w:r>
      <w:r>
        <w:t>, July 2015, p. 58.</w:t>
      </w:r>
    </w:p>
  </w:footnote>
  <w:footnote w:id="91">
    <w:p w:rsidR="00BC709D" w:rsidRDefault="00BC709D">
      <w:pPr>
        <w:pStyle w:val="FootnoteText"/>
      </w:pPr>
      <w:r>
        <w:rPr>
          <w:rStyle w:val="FootnoteReference"/>
        </w:rPr>
        <w:footnoteRef/>
      </w:r>
      <w:r>
        <w:t xml:space="preserve"> </w:t>
      </w:r>
      <w:r>
        <w:tab/>
      </w:r>
      <w:proofErr w:type="gramStart"/>
      <w:r>
        <w:t>Ergon Energy</w:t>
      </w:r>
      <w:r w:rsidRPr="005B0F5F">
        <w:rPr>
          <w:rStyle w:val="AERtextitalic"/>
        </w:rPr>
        <w:t>, Submission to the AER on its preliminary determination — Metering</w:t>
      </w:r>
      <w:r>
        <w:t>, July 2015, p. 15.</w:t>
      </w:r>
      <w:proofErr w:type="gramEnd"/>
    </w:p>
  </w:footnote>
  <w:footnote w:id="92">
    <w:p w:rsidR="00BC709D" w:rsidRDefault="00BC709D">
      <w:pPr>
        <w:pStyle w:val="FootnoteText"/>
      </w:pPr>
      <w:r>
        <w:rPr>
          <w:rStyle w:val="FootnoteReference"/>
        </w:rPr>
        <w:footnoteRef/>
      </w:r>
      <w:r>
        <w:t xml:space="preserve"> </w:t>
      </w:r>
      <w:r>
        <w:tab/>
      </w:r>
      <w:proofErr w:type="gramStart"/>
      <w:r>
        <w:t>Ergon Energy</w:t>
      </w:r>
      <w:r w:rsidRPr="005B0F5F">
        <w:rPr>
          <w:rStyle w:val="AERtextitalic"/>
        </w:rPr>
        <w:t>, Submission to the AER on its preliminary determination — Metering</w:t>
      </w:r>
      <w:r>
        <w:t>, July 2015, p. 15.</w:t>
      </w:r>
      <w:proofErr w:type="gramEnd"/>
    </w:p>
  </w:footnote>
  <w:footnote w:id="93">
    <w:p w:rsidR="00BC709D" w:rsidRDefault="00BC709D" w:rsidP="000D2104">
      <w:pPr>
        <w:pStyle w:val="FootnoteText"/>
      </w:pPr>
      <w:r>
        <w:rPr>
          <w:rStyle w:val="FootnoteReference"/>
        </w:rPr>
        <w:footnoteRef/>
      </w:r>
      <w:r>
        <w:t xml:space="preserve"> </w:t>
      </w:r>
      <w:r>
        <w:tab/>
      </w:r>
      <w:proofErr w:type="gramStart"/>
      <w:r>
        <w:t xml:space="preserve">QCOSS, </w:t>
      </w:r>
      <w:r w:rsidRPr="00637682">
        <w:rPr>
          <w:rStyle w:val="AERtextitalic"/>
        </w:rPr>
        <w:t>Submission on QLD regulatory proposals 2015–20</w:t>
      </w:r>
      <w:r>
        <w:t>, January 2015, p. 89.</w:t>
      </w:r>
      <w:proofErr w:type="gramEnd"/>
    </w:p>
  </w:footnote>
  <w:footnote w:id="94">
    <w:p w:rsidR="00BC709D" w:rsidRDefault="00BC709D" w:rsidP="00A64E6A">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w:t>
      </w:r>
      <w:r w:rsidRPr="00A96088">
        <w:rPr>
          <w:rStyle w:val="AERtextitalic"/>
        </w:rPr>
        <w:t xml:space="preserve"> determination 2015–16 to 2019–20</w:t>
      </w:r>
      <w:r>
        <w:t>, April 2015, p. 16–38.</w:t>
      </w:r>
    </w:p>
  </w:footnote>
  <w:footnote w:id="95">
    <w:p w:rsidR="00BC709D" w:rsidRDefault="00BC709D">
      <w:pPr>
        <w:pStyle w:val="FootnoteText"/>
      </w:pPr>
      <w:r>
        <w:rPr>
          <w:rStyle w:val="FootnoteReference"/>
        </w:rPr>
        <w:footnoteRef/>
      </w:r>
      <w:r>
        <w:t xml:space="preserve"> </w:t>
      </w:r>
      <w:r>
        <w:tab/>
      </w:r>
      <w:r w:rsidRPr="00266F84">
        <w:t xml:space="preserve">Ergon Energy, </w:t>
      </w:r>
      <w:r>
        <w:rPr>
          <w:rStyle w:val="AERtextitalic"/>
        </w:rPr>
        <w:t>Initial</w:t>
      </w:r>
      <w:r w:rsidRPr="00266F84">
        <w:rPr>
          <w:rStyle w:val="AERtextitalic"/>
        </w:rPr>
        <w:t xml:space="preserve"> regulatory proposal: Attachment 05.03.01 Default metering services summary (type 5 &amp; 6 meters)</w:t>
      </w:r>
      <w:r>
        <w:t>, December 2014, p. 16.</w:t>
      </w:r>
    </w:p>
  </w:footnote>
  <w:footnote w:id="96">
    <w:p w:rsidR="00BC709D" w:rsidRDefault="00BC709D">
      <w:pPr>
        <w:pStyle w:val="FootnoteText"/>
      </w:pPr>
      <w:r>
        <w:rPr>
          <w:rStyle w:val="FootnoteReference"/>
        </w:rPr>
        <w:footnoteRef/>
      </w:r>
      <w:r>
        <w:t xml:space="preserve"> </w:t>
      </w:r>
      <w:r>
        <w:tab/>
      </w:r>
      <w:r w:rsidRPr="00266F84">
        <w:t xml:space="preserve">Ergon </w:t>
      </w:r>
      <w:proofErr w:type="gramStart"/>
      <w:r w:rsidRPr="00266F84">
        <w:t>Energy,</w:t>
      </w:r>
      <w:proofErr w:type="gramEnd"/>
      <w:r w:rsidRPr="00266F84">
        <w:t xml:space="preserve"> </w:t>
      </w:r>
      <w:r w:rsidRPr="00266F84">
        <w:rPr>
          <w:rStyle w:val="AERtextitalic"/>
        </w:rPr>
        <w:t>Revised regulatory proposal: Attachment 05.03.01 Default metering services summary (type 5 &amp; 6 meters)</w:t>
      </w:r>
      <w:r>
        <w:t>, July 2015, p. 19.</w:t>
      </w:r>
    </w:p>
  </w:footnote>
  <w:footnote w:id="97">
    <w:p w:rsidR="00BC709D" w:rsidRDefault="00BC709D" w:rsidP="00BF4140">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w:t>
      </w:r>
      <w:r w:rsidRPr="00A96088">
        <w:rPr>
          <w:rStyle w:val="AERtextitalic"/>
        </w:rPr>
        <w:t xml:space="preserve"> determination 2015–16 to 2019–20</w:t>
      </w:r>
      <w:r>
        <w:t xml:space="preserve">, April 2015, p. 16–29. </w:t>
      </w:r>
    </w:p>
  </w:footnote>
  <w:footnote w:id="98">
    <w:p w:rsidR="00BC709D" w:rsidRDefault="00BC709D" w:rsidP="006D1571">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w:t>
      </w:r>
      <w:r w:rsidRPr="00A96088">
        <w:rPr>
          <w:rStyle w:val="AERtextitalic"/>
        </w:rPr>
        <w:t xml:space="preserve"> determination 2015–16 to 2019–20</w:t>
      </w:r>
      <w:r>
        <w:t>, April 2015, p. 16–39 to 16–40.</w:t>
      </w:r>
    </w:p>
  </w:footnote>
  <w:footnote w:id="99">
    <w:p w:rsidR="00BC709D" w:rsidRDefault="00BC709D" w:rsidP="006D1571">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w:t>
      </w:r>
      <w:r w:rsidRPr="00A96088">
        <w:rPr>
          <w:rStyle w:val="AERtextitalic"/>
        </w:rPr>
        <w:t xml:space="preserve"> determination 2015–16 to 2019–20</w:t>
      </w:r>
      <w:r>
        <w:t>, April 2015, p. 16–39 to 16–40.</w:t>
      </w:r>
    </w:p>
    <w:p w:rsidR="00BC709D" w:rsidRDefault="00BC709D" w:rsidP="006D1571">
      <w:pPr>
        <w:pStyle w:val="FootnoteText"/>
        <w:ind w:left="0" w:firstLine="0"/>
      </w:pPr>
    </w:p>
  </w:footnote>
  <w:footnote w:id="100">
    <w:p w:rsidR="00BC709D" w:rsidRDefault="00BC709D">
      <w:pPr>
        <w:pStyle w:val="FootnoteText"/>
      </w:pPr>
      <w:r>
        <w:rPr>
          <w:rStyle w:val="FootnoteReference"/>
        </w:rPr>
        <w:footnoteRef/>
      </w:r>
      <w:r>
        <w:t xml:space="preserve"> </w:t>
      </w:r>
      <w:r>
        <w:tab/>
      </w:r>
      <w:proofErr w:type="gramStart"/>
      <w:r>
        <w:t>Ergon Energy</w:t>
      </w:r>
      <w:r w:rsidRPr="005B0F5F">
        <w:rPr>
          <w:rStyle w:val="AERtextitalic"/>
        </w:rPr>
        <w:t>, Submission to the AER on its preliminary determination — Metering</w:t>
      </w:r>
      <w:r>
        <w:t>, July 2015, p. 12.</w:t>
      </w:r>
      <w:proofErr w:type="gramEnd"/>
    </w:p>
  </w:footnote>
  <w:footnote w:id="101">
    <w:p w:rsidR="00BC709D" w:rsidRDefault="00BC709D">
      <w:pPr>
        <w:pStyle w:val="FootnoteText"/>
      </w:pPr>
      <w:r>
        <w:rPr>
          <w:rStyle w:val="FootnoteReference"/>
        </w:rPr>
        <w:footnoteRef/>
      </w:r>
      <w:r>
        <w:t xml:space="preserve"> </w:t>
      </w:r>
      <w:r>
        <w:tab/>
        <w:t xml:space="preserve">AER, </w:t>
      </w:r>
      <w:r w:rsidRPr="00845A68">
        <w:rPr>
          <w:rStyle w:val="AERtextitalic"/>
        </w:rPr>
        <w:t>Response to AER Ergon 043 (2</w:t>
      </w:r>
      <w:proofErr w:type="gramStart"/>
      <w:r w:rsidRPr="00845A68">
        <w:rPr>
          <w:rStyle w:val="AERtextitalic"/>
        </w:rPr>
        <w:t>)(</w:t>
      </w:r>
      <w:proofErr w:type="gramEnd"/>
      <w:r w:rsidRPr="00845A68">
        <w:rPr>
          <w:rStyle w:val="AERtextitalic"/>
        </w:rPr>
        <w:t>3)</w:t>
      </w:r>
      <w:r>
        <w:t>, 11 February 2015, p. 3; Ergon Energy</w:t>
      </w:r>
      <w:r w:rsidRPr="005B0F5F">
        <w:rPr>
          <w:rStyle w:val="AERtextitalic"/>
        </w:rPr>
        <w:t>, Submission to the AER on its preliminary determination — Metering</w:t>
      </w:r>
      <w:r>
        <w:t>, July 2015, p. 12.</w:t>
      </w:r>
    </w:p>
  </w:footnote>
  <w:footnote w:id="102">
    <w:p w:rsidR="00BC709D" w:rsidRDefault="00BC709D">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Ergon Energy's</w:t>
      </w:r>
      <w:r w:rsidRPr="00A96088">
        <w:rPr>
          <w:rStyle w:val="AERtextitalic"/>
        </w:rPr>
        <w:t xml:space="preserve"> determination 2015–16 to 2019–20</w:t>
      </w:r>
      <w:r>
        <w:t>, April 2015, p. 16–43.</w:t>
      </w:r>
    </w:p>
  </w:footnote>
  <w:footnote w:id="103">
    <w:p w:rsidR="00BC709D" w:rsidRDefault="00BC709D">
      <w:pPr>
        <w:pStyle w:val="FootnoteText"/>
      </w:pPr>
      <w:r>
        <w:rPr>
          <w:rStyle w:val="FootnoteReference"/>
        </w:rPr>
        <w:footnoteRef/>
      </w:r>
      <w:r>
        <w:t xml:space="preserve"> </w:t>
      </w:r>
      <w:r>
        <w:tab/>
      </w:r>
      <w:proofErr w:type="gramStart"/>
      <w:r>
        <w:t>Ergon Energy</w:t>
      </w:r>
      <w:r w:rsidRPr="005B0F5F">
        <w:rPr>
          <w:rStyle w:val="AERtextitalic"/>
        </w:rPr>
        <w:t>, Submission to the AER on its preliminary determination — Metering</w:t>
      </w:r>
      <w:r>
        <w:t>, July 2015, p. 12.</w:t>
      </w:r>
      <w:proofErr w:type="gramEnd"/>
    </w:p>
  </w:footnote>
  <w:footnote w:id="104">
    <w:p w:rsidR="00BC709D" w:rsidRDefault="00BC709D">
      <w:pPr>
        <w:pStyle w:val="FootnoteText"/>
      </w:pPr>
      <w:r>
        <w:rPr>
          <w:rStyle w:val="FootnoteReference"/>
        </w:rPr>
        <w:footnoteRef/>
      </w:r>
      <w:r>
        <w:t xml:space="preserve"> </w:t>
      </w:r>
      <w:r>
        <w:tab/>
        <w:t>Australian Standard 1284.13, Table 1 and 6 (testing by attributes).</w:t>
      </w:r>
    </w:p>
  </w:footnote>
  <w:footnote w:id="105">
    <w:p w:rsidR="00BC709D" w:rsidRDefault="00BC709D">
      <w:pPr>
        <w:pStyle w:val="FootnoteText"/>
      </w:pPr>
      <w:r>
        <w:rPr>
          <w:rStyle w:val="FootnoteReference"/>
        </w:rPr>
        <w:footnoteRef/>
      </w:r>
      <w:r>
        <w:t xml:space="preserve"> </w:t>
      </w:r>
      <w:r>
        <w:tab/>
      </w:r>
      <w:proofErr w:type="gramStart"/>
      <w:r>
        <w:t>Ergon Energy</w:t>
      </w:r>
      <w:r w:rsidRPr="005B0F5F">
        <w:rPr>
          <w:rStyle w:val="AERtextitalic"/>
        </w:rPr>
        <w:t>, Submission to the AER on its preliminary determination — Metering</w:t>
      </w:r>
      <w:r>
        <w:t>, July 2015, p. 12.</w:t>
      </w:r>
      <w:proofErr w:type="gramEnd"/>
    </w:p>
  </w:footnote>
  <w:footnote w:id="106">
    <w:p w:rsidR="00BC709D" w:rsidRDefault="00BC709D">
      <w:pPr>
        <w:pStyle w:val="FootnoteText"/>
      </w:pPr>
      <w:r>
        <w:rPr>
          <w:rStyle w:val="FootnoteReference"/>
        </w:rPr>
        <w:footnoteRef/>
      </w:r>
      <w:r>
        <w:t xml:space="preserve"> </w:t>
      </w:r>
      <w:r>
        <w:tab/>
        <w:t>Australian Standard 1284.13, Table 1 and 6 (testing by attributes).</w:t>
      </w:r>
    </w:p>
  </w:footnote>
  <w:footnote w:id="107">
    <w:p w:rsidR="00BC709D" w:rsidRDefault="00BC709D">
      <w:pPr>
        <w:pStyle w:val="FootnoteText"/>
      </w:pPr>
      <w:r>
        <w:rPr>
          <w:rStyle w:val="FootnoteReference"/>
        </w:rPr>
        <w:footnoteRef/>
      </w:r>
      <w:r>
        <w:t xml:space="preserve"> </w:t>
      </w:r>
      <w:r>
        <w:tab/>
      </w:r>
      <w:proofErr w:type="gramStart"/>
      <w:r>
        <w:t>Ergon Energy</w:t>
      </w:r>
      <w:r w:rsidRPr="005B0F5F">
        <w:rPr>
          <w:rStyle w:val="AERtextitalic"/>
        </w:rPr>
        <w:t>, Submission to the AER on its preliminary determination — Metering</w:t>
      </w:r>
      <w:r>
        <w:t>, July 2015, p. 12.</w:t>
      </w:r>
      <w:proofErr w:type="gramEnd"/>
    </w:p>
  </w:footnote>
  <w:footnote w:id="108">
    <w:p w:rsidR="00BC709D" w:rsidRDefault="00BC709D">
      <w:pPr>
        <w:pStyle w:val="FootnoteText"/>
      </w:pPr>
      <w:r>
        <w:rPr>
          <w:rStyle w:val="FootnoteReference"/>
        </w:rPr>
        <w:footnoteRef/>
      </w:r>
      <w:r>
        <w:t xml:space="preserve"> </w:t>
      </w:r>
      <w:r>
        <w:tab/>
        <w:t>Ergon Energy, 'Cost allocation method', July 2014.</w:t>
      </w:r>
    </w:p>
  </w:footnote>
  <w:footnote w:id="109">
    <w:p w:rsidR="00BC709D" w:rsidRDefault="00BC709D">
      <w:pPr>
        <w:pStyle w:val="FootnoteText"/>
      </w:pPr>
      <w:r>
        <w:rPr>
          <w:rStyle w:val="FootnoteReference"/>
        </w:rPr>
        <w:footnoteRef/>
      </w:r>
      <w:r>
        <w:t xml:space="preserve"> </w:t>
      </w:r>
      <w:r>
        <w:tab/>
        <w:t xml:space="preserve">This rate is calculated by taking the direct capital costs associated with type 5 and 6 meters and dividing that amount by Ergon Energy's total regulated capex attracting an overhead allowance. </w:t>
      </w:r>
    </w:p>
  </w:footnote>
  <w:footnote w:id="110">
    <w:p w:rsidR="00BC709D" w:rsidRDefault="00BC709D">
      <w:pPr>
        <w:pStyle w:val="FootnoteText"/>
      </w:pPr>
      <w:r>
        <w:rPr>
          <w:rStyle w:val="FootnoteReference"/>
        </w:rPr>
        <w:footnoteRef/>
      </w:r>
      <w:r>
        <w:t xml:space="preserve"> </w:t>
      </w:r>
      <w:r>
        <w:tab/>
        <w:t>Ergon Energy, Revised regulatory proposal, Attachment 05.04.01 MTOverheads data model, tabs "Capex by total spend' and "Input data".</w:t>
      </w:r>
    </w:p>
  </w:footnote>
  <w:footnote w:id="111">
    <w:p w:rsidR="00BC709D" w:rsidRDefault="00BC709D">
      <w:pPr>
        <w:pStyle w:val="FootnoteText"/>
      </w:pPr>
      <w:r>
        <w:rPr>
          <w:rStyle w:val="FootnoteReference"/>
        </w:rPr>
        <w:footnoteRef/>
      </w:r>
      <w:r>
        <w:t xml:space="preserve"> </w:t>
      </w:r>
      <w:r>
        <w:tab/>
        <w:t>AER,</w:t>
      </w:r>
      <w:r w:rsidRPr="00FD4781">
        <w:rPr>
          <w:rStyle w:val="AERtextitalic"/>
        </w:rPr>
        <w:t xml:space="preserve"> </w:t>
      </w:r>
      <w:r w:rsidRPr="005E5386">
        <w:rPr>
          <w:rStyle w:val="AERtextitalic"/>
        </w:rPr>
        <w:t xml:space="preserve">Preliminary decision: </w:t>
      </w:r>
      <w:r>
        <w:rPr>
          <w:rStyle w:val="AERtextitalic"/>
        </w:rPr>
        <w:t>Ergon Energy</w:t>
      </w:r>
      <w:r w:rsidRPr="005E5386">
        <w:rPr>
          <w:rStyle w:val="AERtextitalic"/>
        </w:rPr>
        <w:t xml:space="preserve"> determination 2015–16 to 2019–20</w:t>
      </w:r>
      <w:r w:rsidRPr="005E5386">
        <w:t xml:space="preserve">, April 2015, </w:t>
      </w:r>
      <w:r>
        <w:t>p. 16–44.</w:t>
      </w:r>
    </w:p>
  </w:footnote>
  <w:footnote w:id="112">
    <w:p w:rsidR="00BC709D" w:rsidRDefault="00BC709D">
      <w:pPr>
        <w:pStyle w:val="FootnoteText"/>
      </w:pPr>
      <w:r>
        <w:rPr>
          <w:rStyle w:val="FootnoteReference"/>
        </w:rPr>
        <w:footnoteRef/>
      </w:r>
      <w:r>
        <w:t xml:space="preserve">    Ergon Energy</w:t>
      </w:r>
      <w:r w:rsidRPr="005B0F5F">
        <w:rPr>
          <w:rStyle w:val="AERtextitalic"/>
        </w:rPr>
        <w:t xml:space="preserve">, </w:t>
      </w:r>
      <w:r>
        <w:rPr>
          <w:rStyle w:val="AERtextitalic"/>
        </w:rPr>
        <w:t>Revised regulatory proposal, Attachment 05.03.01 (Revised) Default Metering Services Summary</w:t>
      </w:r>
      <w:r>
        <w:t>, July 2015, p. 27.</w:t>
      </w:r>
    </w:p>
  </w:footnote>
  <w:footnote w:id="113">
    <w:p w:rsidR="00BC709D" w:rsidRPr="0071448B" w:rsidRDefault="00BC709D">
      <w:pPr>
        <w:pStyle w:val="FootnoteText"/>
        <w:rPr>
          <w:rStyle w:val="AERbody"/>
        </w:rPr>
      </w:pPr>
      <w:r>
        <w:rPr>
          <w:rStyle w:val="FootnoteReference"/>
        </w:rPr>
        <w:footnoteRef/>
      </w:r>
      <w:r>
        <w:t xml:space="preserve"> </w:t>
      </w:r>
      <w:r>
        <w:tab/>
        <w:t xml:space="preserve">Ergon Energy, </w:t>
      </w:r>
      <w:r>
        <w:rPr>
          <w:rStyle w:val="AERtextitalic"/>
        </w:rPr>
        <w:t xml:space="preserve">Response to AER Ergon 077, </w:t>
      </w:r>
      <w:r>
        <w:t xml:space="preserve">24 July 2015. </w:t>
      </w:r>
    </w:p>
  </w:footnote>
  <w:footnote w:id="114">
    <w:p w:rsidR="00BC709D" w:rsidRDefault="00BC709D" w:rsidP="00365DAB">
      <w:pPr>
        <w:pStyle w:val="FootnoteText"/>
      </w:pPr>
      <w:r>
        <w:rPr>
          <w:rStyle w:val="FootnoteReference"/>
        </w:rPr>
        <w:footnoteRef/>
      </w:r>
      <w:r>
        <w:t xml:space="preserve"> </w:t>
      </w:r>
      <w:r>
        <w:tab/>
        <w:t>AER,</w:t>
      </w:r>
      <w:r w:rsidRPr="00FD4781">
        <w:rPr>
          <w:rStyle w:val="AERtextitalic"/>
        </w:rPr>
        <w:t xml:space="preserve"> </w:t>
      </w:r>
      <w:r w:rsidRPr="005E5386">
        <w:rPr>
          <w:rStyle w:val="AERtextitalic"/>
        </w:rPr>
        <w:t xml:space="preserve">Preliminary decision: </w:t>
      </w:r>
      <w:r>
        <w:rPr>
          <w:rStyle w:val="AERtextitalic"/>
        </w:rPr>
        <w:t>Ergon Energy</w:t>
      </w:r>
      <w:r w:rsidRPr="005E5386">
        <w:rPr>
          <w:rStyle w:val="AERtextitalic"/>
        </w:rPr>
        <w:t xml:space="preserve"> determination 2015–16 to 2019–20</w:t>
      </w:r>
      <w:r w:rsidRPr="005E5386">
        <w:t xml:space="preserve">, April 2015, </w:t>
      </w:r>
      <w:r>
        <w:t>p. 16–30.</w:t>
      </w:r>
    </w:p>
  </w:footnote>
  <w:footnote w:id="115">
    <w:p w:rsidR="00BC709D" w:rsidRDefault="00BC709D" w:rsidP="00ED0E60">
      <w:pPr>
        <w:pStyle w:val="FootnoteText"/>
      </w:pPr>
      <w:r>
        <w:rPr>
          <w:rStyle w:val="FootnoteReference"/>
        </w:rPr>
        <w:footnoteRef/>
      </w:r>
      <w:r>
        <w:t xml:space="preserve"> </w:t>
      </w:r>
      <w:r>
        <w:tab/>
        <w:t xml:space="preserve">Ergon Energy, </w:t>
      </w:r>
      <w:r w:rsidRPr="00266F84">
        <w:rPr>
          <w:rStyle w:val="AERtextitalic"/>
        </w:rPr>
        <w:t xml:space="preserve">Revised regulatory proposal: Attachment 05.03.01 </w:t>
      </w:r>
      <w:r>
        <w:rPr>
          <w:rStyle w:val="AERtextitalic"/>
        </w:rPr>
        <w:t xml:space="preserve">(Revised) </w:t>
      </w:r>
      <w:r w:rsidRPr="00266F84">
        <w:rPr>
          <w:rStyle w:val="AERtextitalic"/>
        </w:rPr>
        <w:t>Default metering services summary (type 5 &amp; 6 meters)</w:t>
      </w:r>
      <w:r>
        <w:t>, July 2015, p. 27.</w:t>
      </w:r>
    </w:p>
  </w:footnote>
  <w:footnote w:id="116">
    <w:p w:rsidR="00BC709D" w:rsidRDefault="00BC709D">
      <w:pPr>
        <w:pStyle w:val="FootnoteText"/>
      </w:pPr>
      <w:r>
        <w:rPr>
          <w:rStyle w:val="FootnoteReference"/>
        </w:rPr>
        <w:footnoteRef/>
      </w:r>
      <w:r>
        <w:t xml:space="preserve"> </w:t>
      </w:r>
      <w:r>
        <w:tab/>
        <w:t xml:space="preserve">AER, </w:t>
      </w:r>
      <w:r w:rsidRPr="0071448B">
        <w:rPr>
          <w:rStyle w:val="AERtextitalic"/>
        </w:rPr>
        <w:t>Ergon Energy - Final Decision 2015-</w:t>
      </w:r>
      <w:r w:rsidRPr="0071448B">
        <w:rPr>
          <w:rStyle w:val="AERtextitalic"/>
        </w:rPr>
        <w:softHyphen/>
        <w:t>20 - metering opex analysis</w:t>
      </w:r>
      <w:r>
        <w:t>, tab 'trend'.</w:t>
      </w:r>
    </w:p>
  </w:footnote>
  <w:footnote w:id="117">
    <w:p w:rsidR="00BC709D" w:rsidRDefault="00BC709D">
      <w:pPr>
        <w:pStyle w:val="FootnoteText"/>
      </w:pPr>
      <w:r>
        <w:rPr>
          <w:rStyle w:val="FootnoteReference"/>
        </w:rPr>
        <w:footnoteRef/>
      </w:r>
      <w:r>
        <w:t xml:space="preserve"> </w:t>
      </w:r>
      <w:r>
        <w:tab/>
        <w:t xml:space="preserve">Ergon Energy, </w:t>
      </w:r>
      <w:r w:rsidRPr="00266F84">
        <w:rPr>
          <w:rStyle w:val="AERtextitalic"/>
        </w:rPr>
        <w:t xml:space="preserve">Revised regulatory proposal: Attachment 05.03.01 </w:t>
      </w:r>
      <w:r>
        <w:rPr>
          <w:rStyle w:val="AERtextitalic"/>
        </w:rPr>
        <w:t xml:space="preserve">(Revised) </w:t>
      </w:r>
      <w:r w:rsidRPr="00266F84">
        <w:rPr>
          <w:rStyle w:val="AERtextitalic"/>
        </w:rPr>
        <w:t>Default metering services summary (type 5 &amp; 6 meters)</w:t>
      </w:r>
      <w:r>
        <w:t>, July 2015, p. 27.</w:t>
      </w:r>
    </w:p>
  </w:footnote>
  <w:footnote w:id="118">
    <w:p w:rsidR="00BC709D" w:rsidRDefault="00BC709D" w:rsidP="006F3EAE">
      <w:pPr>
        <w:pStyle w:val="FootnoteText"/>
      </w:pPr>
      <w:r>
        <w:rPr>
          <w:rStyle w:val="FootnoteReference"/>
        </w:rPr>
        <w:footnoteRef/>
      </w:r>
      <w:r>
        <w:t xml:space="preserve"> </w:t>
      </w:r>
      <w:r>
        <w:tab/>
      </w:r>
      <w:r w:rsidRPr="005E5386">
        <w:t xml:space="preserve">AER, </w:t>
      </w:r>
      <w:r w:rsidRPr="005E5386">
        <w:rPr>
          <w:rStyle w:val="AERtextitalic"/>
        </w:rPr>
        <w:t xml:space="preserve">Preliminary decision: </w:t>
      </w:r>
      <w:r>
        <w:rPr>
          <w:rStyle w:val="AERtextitalic"/>
        </w:rPr>
        <w:t>Ergon Energy</w:t>
      </w:r>
      <w:r w:rsidRPr="005E5386">
        <w:rPr>
          <w:rStyle w:val="AERtextitalic"/>
        </w:rPr>
        <w:t xml:space="preserve"> determination 2015–16 to 2019–20</w:t>
      </w:r>
      <w:r w:rsidRPr="005E5386">
        <w:t xml:space="preserve">, April 2015, </w:t>
      </w:r>
      <w:r>
        <w:t>p. 16–46</w:t>
      </w:r>
      <w:r w:rsidRPr="005E5386">
        <w:t>.</w:t>
      </w:r>
    </w:p>
  </w:footnote>
  <w:footnote w:id="119">
    <w:p w:rsidR="00BC709D" w:rsidRDefault="00BC709D" w:rsidP="00683D97">
      <w:pPr>
        <w:pStyle w:val="FootnoteText"/>
      </w:pPr>
      <w:r>
        <w:rPr>
          <w:rStyle w:val="FootnoteReference"/>
        </w:rPr>
        <w:footnoteRef/>
      </w:r>
      <w:r>
        <w:t xml:space="preserve"> </w:t>
      </w:r>
      <w:r>
        <w:tab/>
        <w:t xml:space="preserve">Energex, </w:t>
      </w:r>
      <w:r w:rsidRPr="000459F9">
        <w:rPr>
          <w:rStyle w:val="AERtextitalic"/>
        </w:rPr>
        <w:t>Revised regulatory proposal</w:t>
      </w:r>
      <w:r>
        <w:t>, July 2015, p. 140.</w:t>
      </w:r>
    </w:p>
  </w:footnote>
  <w:footnote w:id="120">
    <w:p w:rsidR="00BC709D" w:rsidRDefault="00BC709D" w:rsidP="003B1DE0">
      <w:pPr>
        <w:pStyle w:val="FootnoteText"/>
      </w:pPr>
      <w:r>
        <w:rPr>
          <w:rStyle w:val="FootnoteReference"/>
        </w:rPr>
        <w:footnoteRef/>
      </w:r>
      <w:r>
        <w:t xml:space="preserve"> </w:t>
      </w:r>
      <w:r>
        <w:tab/>
        <w:t xml:space="preserve">Ergon </w:t>
      </w:r>
      <w:proofErr w:type="gramStart"/>
      <w:r>
        <w:t>Energy,</w:t>
      </w:r>
      <w:proofErr w:type="gramEnd"/>
      <w:r>
        <w:t xml:space="preserve"> </w:t>
      </w:r>
      <w:r w:rsidRPr="000459F9">
        <w:rPr>
          <w:rStyle w:val="AERtextitalic"/>
        </w:rPr>
        <w:t>Revised regulatory proposal</w:t>
      </w:r>
      <w:r>
        <w:t>, July 2015, p. 55.</w:t>
      </w:r>
    </w:p>
  </w:footnote>
  <w:footnote w:id="121">
    <w:p w:rsidR="00BC709D" w:rsidRDefault="00BC709D" w:rsidP="00F638F6">
      <w:pPr>
        <w:pStyle w:val="FootnoteText"/>
      </w:pPr>
      <w:r>
        <w:rPr>
          <w:rStyle w:val="FootnoteReference"/>
        </w:rPr>
        <w:footnoteRef/>
      </w:r>
      <w:r>
        <w:t xml:space="preserve"> </w:t>
      </w:r>
      <w:r>
        <w:tab/>
        <w:t>The MAB is largely the undepreciated value of all existing meters. It will increase slightly in the 2015–20 regulatory control period to include forecast replacement capex. A meter has to be replaced if it suddenly fails or may have to be proactively replaced because the distributor must comply with AEMO's metrology procedures.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FFFFFF89"/>
    <w:multiLevelType w:val="singleLevel"/>
    <w:tmpl w:val="4896F9F2"/>
    <w:lvl w:ilvl="0">
      <w:start w:val="1"/>
      <w:numFmt w:val="bullet"/>
      <w:lvlText w:val=""/>
      <w:lvlJc w:val="left"/>
      <w:pPr>
        <w:tabs>
          <w:tab w:val="num" w:pos="360"/>
        </w:tabs>
        <w:ind w:left="360" w:hanging="360"/>
      </w:pPr>
      <w:rPr>
        <w:rFonts w:ascii="Symbol" w:hAnsi="Symbol" w:hint="default"/>
      </w:rPr>
    </w:lvl>
  </w:abstractNum>
  <w:abstractNum w:abstractNumId="10">
    <w:nsid w:val="058B6084"/>
    <w:multiLevelType w:val="multilevel"/>
    <w:tmpl w:val="950A1C52"/>
    <w:numStyleLink w:val="AERHeadings"/>
  </w:abstractNum>
  <w:abstractNum w:abstractNumId="11">
    <w:nsid w:val="05DC09DF"/>
    <w:multiLevelType w:val="multilevel"/>
    <w:tmpl w:val="950A1C52"/>
    <w:numStyleLink w:val="AERHeadings"/>
  </w:abstractNum>
  <w:abstractNum w:abstractNumId="12">
    <w:nsid w:val="05F24431"/>
    <w:multiLevelType w:val="hybridMultilevel"/>
    <w:tmpl w:val="9C025DCE"/>
    <w:lvl w:ilvl="0" w:tplc="45867860">
      <w:start w:val="1"/>
      <w:numFmt w:val="bullet"/>
      <w:lvlText w:val="•"/>
      <w:lvlJc w:val="left"/>
      <w:pPr>
        <w:tabs>
          <w:tab w:val="num" w:pos="720"/>
        </w:tabs>
        <w:ind w:left="720" w:hanging="360"/>
      </w:pPr>
      <w:rPr>
        <w:rFonts w:ascii="Arial" w:hAnsi="Arial" w:hint="default"/>
      </w:rPr>
    </w:lvl>
    <w:lvl w:ilvl="1" w:tplc="871A6294" w:tentative="1">
      <w:start w:val="1"/>
      <w:numFmt w:val="bullet"/>
      <w:lvlText w:val="•"/>
      <w:lvlJc w:val="left"/>
      <w:pPr>
        <w:tabs>
          <w:tab w:val="num" w:pos="1440"/>
        </w:tabs>
        <w:ind w:left="1440" w:hanging="360"/>
      </w:pPr>
      <w:rPr>
        <w:rFonts w:ascii="Arial" w:hAnsi="Arial" w:hint="default"/>
      </w:rPr>
    </w:lvl>
    <w:lvl w:ilvl="2" w:tplc="388E0ED0" w:tentative="1">
      <w:start w:val="1"/>
      <w:numFmt w:val="bullet"/>
      <w:lvlText w:val="•"/>
      <w:lvlJc w:val="left"/>
      <w:pPr>
        <w:tabs>
          <w:tab w:val="num" w:pos="2160"/>
        </w:tabs>
        <w:ind w:left="2160" w:hanging="360"/>
      </w:pPr>
      <w:rPr>
        <w:rFonts w:ascii="Arial" w:hAnsi="Arial" w:hint="default"/>
      </w:rPr>
    </w:lvl>
    <w:lvl w:ilvl="3" w:tplc="8CD44334" w:tentative="1">
      <w:start w:val="1"/>
      <w:numFmt w:val="bullet"/>
      <w:lvlText w:val="•"/>
      <w:lvlJc w:val="left"/>
      <w:pPr>
        <w:tabs>
          <w:tab w:val="num" w:pos="2880"/>
        </w:tabs>
        <w:ind w:left="2880" w:hanging="360"/>
      </w:pPr>
      <w:rPr>
        <w:rFonts w:ascii="Arial" w:hAnsi="Arial" w:hint="default"/>
      </w:rPr>
    </w:lvl>
    <w:lvl w:ilvl="4" w:tplc="980CAF92" w:tentative="1">
      <w:start w:val="1"/>
      <w:numFmt w:val="bullet"/>
      <w:lvlText w:val="•"/>
      <w:lvlJc w:val="left"/>
      <w:pPr>
        <w:tabs>
          <w:tab w:val="num" w:pos="3600"/>
        </w:tabs>
        <w:ind w:left="3600" w:hanging="360"/>
      </w:pPr>
      <w:rPr>
        <w:rFonts w:ascii="Arial" w:hAnsi="Arial" w:hint="default"/>
      </w:rPr>
    </w:lvl>
    <w:lvl w:ilvl="5" w:tplc="2A16DC3E" w:tentative="1">
      <w:start w:val="1"/>
      <w:numFmt w:val="bullet"/>
      <w:lvlText w:val="•"/>
      <w:lvlJc w:val="left"/>
      <w:pPr>
        <w:tabs>
          <w:tab w:val="num" w:pos="4320"/>
        </w:tabs>
        <w:ind w:left="4320" w:hanging="360"/>
      </w:pPr>
      <w:rPr>
        <w:rFonts w:ascii="Arial" w:hAnsi="Arial" w:hint="default"/>
      </w:rPr>
    </w:lvl>
    <w:lvl w:ilvl="6" w:tplc="D1D44AAC" w:tentative="1">
      <w:start w:val="1"/>
      <w:numFmt w:val="bullet"/>
      <w:lvlText w:val="•"/>
      <w:lvlJc w:val="left"/>
      <w:pPr>
        <w:tabs>
          <w:tab w:val="num" w:pos="5040"/>
        </w:tabs>
        <w:ind w:left="5040" w:hanging="360"/>
      </w:pPr>
      <w:rPr>
        <w:rFonts w:ascii="Arial" w:hAnsi="Arial" w:hint="default"/>
      </w:rPr>
    </w:lvl>
    <w:lvl w:ilvl="7" w:tplc="0338B9B6" w:tentative="1">
      <w:start w:val="1"/>
      <w:numFmt w:val="bullet"/>
      <w:lvlText w:val="•"/>
      <w:lvlJc w:val="left"/>
      <w:pPr>
        <w:tabs>
          <w:tab w:val="num" w:pos="5760"/>
        </w:tabs>
        <w:ind w:left="5760" w:hanging="360"/>
      </w:pPr>
      <w:rPr>
        <w:rFonts w:ascii="Arial" w:hAnsi="Arial" w:hint="default"/>
      </w:rPr>
    </w:lvl>
    <w:lvl w:ilvl="8" w:tplc="2CB8D6B6" w:tentative="1">
      <w:start w:val="1"/>
      <w:numFmt w:val="bullet"/>
      <w:lvlText w:val="•"/>
      <w:lvlJc w:val="left"/>
      <w:pPr>
        <w:tabs>
          <w:tab w:val="num" w:pos="6480"/>
        </w:tabs>
        <w:ind w:left="6480" w:hanging="360"/>
      </w:pPr>
      <w:rPr>
        <w:rFonts w:ascii="Arial" w:hAnsi="Arial"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BB80823"/>
    <w:multiLevelType w:val="hybridMultilevel"/>
    <w:tmpl w:val="8A4282CE"/>
    <w:lvl w:ilvl="0" w:tplc="97089E90">
      <w:start w:val="1"/>
      <w:numFmt w:val="bullet"/>
      <w:lvlText w:val="•"/>
      <w:lvlJc w:val="left"/>
      <w:pPr>
        <w:tabs>
          <w:tab w:val="num" w:pos="720"/>
        </w:tabs>
        <w:ind w:left="720" w:hanging="360"/>
      </w:pPr>
      <w:rPr>
        <w:rFonts w:ascii="Arial" w:hAnsi="Arial" w:hint="default"/>
      </w:rPr>
    </w:lvl>
    <w:lvl w:ilvl="1" w:tplc="70EEB8D2" w:tentative="1">
      <w:start w:val="1"/>
      <w:numFmt w:val="bullet"/>
      <w:lvlText w:val="•"/>
      <w:lvlJc w:val="left"/>
      <w:pPr>
        <w:tabs>
          <w:tab w:val="num" w:pos="1440"/>
        </w:tabs>
        <w:ind w:left="1440" w:hanging="360"/>
      </w:pPr>
      <w:rPr>
        <w:rFonts w:ascii="Arial" w:hAnsi="Arial" w:hint="default"/>
      </w:rPr>
    </w:lvl>
    <w:lvl w:ilvl="2" w:tplc="CE564116" w:tentative="1">
      <w:start w:val="1"/>
      <w:numFmt w:val="bullet"/>
      <w:lvlText w:val="•"/>
      <w:lvlJc w:val="left"/>
      <w:pPr>
        <w:tabs>
          <w:tab w:val="num" w:pos="2160"/>
        </w:tabs>
        <w:ind w:left="2160" w:hanging="360"/>
      </w:pPr>
      <w:rPr>
        <w:rFonts w:ascii="Arial" w:hAnsi="Arial" w:hint="default"/>
      </w:rPr>
    </w:lvl>
    <w:lvl w:ilvl="3" w:tplc="38A6AD9C" w:tentative="1">
      <w:start w:val="1"/>
      <w:numFmt w:val="bullet"/>
      <w:lvlText w:val="•"/>
      <w:lvlJc w:val="left"/>
      <w:pPr>
        <w:tabs>
          <w:tab w:val="num" w:pos="2880"/>
        </w:tabs>
        <w:ind w:left="2880" w:hanging="360"/>
      </w:pPr>
      <w:rPr>
        <w:rFonts w:ascii="Arial" w:hAnsi="Arial" w:hint="default"/>
      </w:rPr>
    </w:lvl>
    <w:lvl w:ilvl="4" w:tplc="DFCC37D0" w:tentative="1">
      <w:start w:val="1"/>
      <w:numFmt w:val="bullet"/>
      <w:lvlText w:val="•"/>
      <w:lvlJc w:val="left"/>
      <w:pPr>
        <w:tabs>
          <w:tab w:val="num" w:pos="3600"/>
        </w:tabs>
        <w:ind w:left="3600" w:hanging="360"/>
      </w:pPr>
      <w:rPr>
        <w:rFonts w:ascii="Arial" w:hAnsi="Arial" w:hint="default"/>
      </w:rPr>
    </w:lvl>
    <w:lvl w:ilvl="5" w:tplc="9FA06034" w:tentative="1">
      <w:start w:val="1"/>
      <w:numFmt w:val="bullet"/>
      <w:lvlText w:val="•"/>
      <w:lvlJc w:val="left"/>
      <w:pPr>
        <w:tabs>
          <w:tab w:val="num" w:pos="4320"/>
        </w:tabs>
        <w:ind w:left="4320" w:hanging="360"/>
      </w:pPr>
      <w:rPr>
        <w:rFonts w:ascii="Arial" w:hAnsi="Arial" w:hint="default"/>
      </w:rPr>
    </w:lvl>
    <w:lvl w:ilvl="6" w:tplc="39A27204" w:tentative="1">
      <w:start w:val="1"/>
      <w:numFmt w:val="bullet"/>
      <w:lvlText w:val="•"/>
      <w:lvlJc w:val="left"/>
      <w:pPr>
        <w:tabs>
          <w:tab w:val="num" w:pos="5040"/>
        </w:tabs>
        <w:ind w:left="5040" w:hanging="360"/>
      </w:pPr>
      <w:rPr>
        <w:rFonts w:ascii="Arial" w:hAnsi="Arial" w:hint="default"/>
      </w:rPr>
    </w:lvl>
    <w:lvl w:ilvl="7" w:tplc="9BA80802" w:tentative="1">
      <w:start w:val="1"/>
      <w:numFmt w:val="bullet"/>
      <w:lvlText w:val="•"/>
      <w:lvlJc w:val="left"/>
      <w:pPr>
        <w:tabs>
          <w:tab w:val="num" w:pos="5760"/>
        </w:tabs>
        <w:ind w:left="5760" w:hanging="360"/>
      </w:pPr>
      <w:rPr>
        <w:rFonts w:ascii="Arial" w:hAnsi="Arial" w:hint="default"/>
      </w:rPr>
    </w:lvl>
    <w:lvl w:ilvl="8" w:tplc="8646D30E" w:tentative="1">
      <w:start w:val="1"/>
      <w:numFmt w:val="bullet"/>
      <w:lvlText w:val="•"/>
      <w:lvlJc w:val="left"/>
      <w:pPr>
        <w:tabs>
          <w:tab w:val="num" w:pos="6480"/>
        </w:tabs>
        <w:ind w:left="6480" w:hanging="360"/>
      </w:pPr>
      <w:rPr>
        <w:rFonts w:ascii="Arial" w:hAnsi="Arial" w:hint="default"/>
      </w:rPr>
    </w:lvl>
  </w:abstractNum>
  <w:abstractNum w:abstractNumId="17">
    <w:nsid w:val="1CA051F1"/>
    <w:multiLevelType w:val="hybridMultilevel"/>
    <w:tmpl w:val="A7282850"/>
    <w:lvl w:ilvl="0" w:tplc="E2845E7E">
      <w:start w:val="1"/>
      <w:numFmt w:val="bullet"/>
      <w:lvlText w:val="•"/>
      <w:lvlJc w:val="left"/>
      <w:pPr>
        <w:tabs>
          <w:tab w:val="num" w:pos="720"/>
        </w:tabs>
        <w:ind w:left="720" w:hanging="360"/>
      </w:pPr>
      <w:rPr>
        <w:rFonts w:ascii="Arial" w:hAnsi="Arial" w:hint="default"/>
      </w:rPr>
    </w:lvl>
    <w:lvl w:ilvl="1" w:tplc="5F9EBF1A" w:tentative="1">
      <w:start w:val="1"/>
      <w:numFmt w:val="bullet"/>
      <w:lvlText w:val="•"/>
      <w:lvlJc w:val="left"/>
      <w:pPr>
        <w:tabs>
          <w:tab w:val="num" w:pos="1440"/>
        </w:tabs>
        <w:ind w:left="1440" w:hanging="360"/>
      </w:pPr>
      <w:rPr>
        <w:rFonts w:ascii="Arial" w:hAnsi="Arial" w:hint="default"/>
      </w:rPr>
    </w:lvl>
    <w:lvl w:ilvl="2" w:tplc="CEC84B56" w:tentative="1">
      <w:start w:val="1"/>
      <w:numFmt w:val="bullet"/>
      <w:lvlText w:val="•"/>
      <w:lvlJc w:val="left"/>
      <w:pPr>
        <w:tabs>
          <w:tab w:val="num" w:pos="2160"/>
        </w:tabs>
        <w:ind w:left="2160" w:hanging="360"/>
      </w:pPr>
      <w:rPr>
        <w:rFonts w:ascii="Arial" w:hAnsi="Arial" w:hint="default"/>
      </w:rPr>
    </w:lvl>
    <w:lvl w:ilvl="3" w:tplc="95F67E1E" w:tentative="1">
      <w:start w:val="1"/>
      <w:numFmt w:val="bullet"/>
      <w:lvlText w:val="•"/>
      <w:lvlJc w:val="left"/>
      <w:pPr>
        <w:tabs>
          <w:tab w:val="num" w:pos="2880"/>
        </w:tabs>
        <w:ind w:left="2880" w:hanging="360"/>
      </w:pPr>
      <w:rPr>
        <w:rFonts w:ascii="Arial" w:hAnsi="Arial" w:hint="default"/>
      </w:rPr>
    </w:lvl>
    <w:lvl w:ilvl="4" w:tplc="A3BCDBA6" w:tentative="1">
      <w:start w:val="1"/>
      <w:numFmt w:val="bullet"/>
      <w:lvlText w:val="•"/>
      <w:lvlJc w:val="left"/>
      <w:pPr>
        <w:tabs>
          <w:tab w:val="num" w:pos="3600"/>
        </w:tabs>
        <w:ind w:left="3600" w:hanging="360"/>
      </w:pPr>
      <w:rPr>
        <w:rFonts w:ascii="Arial" w:hAnsi="Arial" w:hint="default"/>
      </w:rPr>
    </w:lvl>
    <w:lvl w:ilvl="5" w:tplc="F4A4CEBA" w:tentative="1">
      <w:start w:val="1"/>
      <w:numFmt w:val="bullet"/>
      <w:lvlText w:val="•"/>
      <w:lvlJc w:val="left"/>
      <w:pPr>
        <w:tabs>
          <w:tab w:val="num" w:pos="4320"/>
        </w:tabs>
        <w:ind w:left="4320" w:hanging="360"/>
      </w:pPr>
      <w:rPr>
        <w:rFonts w:ascii="Arial" w:hAnsi="Arial" w:hint="default"/>
      </w:rPr>
    </w:lvl>
    <w:lvl w:ilvl="6" w:tplc="55F613CA" w:tentative="1">
      <w:start w:val="1"/>
      <w:numFmt w:val="bullet"/>
      <w:lvlText w:val="•"/>
      <w:lvlJc w:val="left"/>
      <w:pPr>
        <w:tabs>
          <w:tab w:val="num" w:pos="5040"/>
        </w:tabs>
        <w:ind w:left="5040" w:hanging="360"/>
      </w:pPr>
      <w:rPr>
        <w:rFonts w:ascii="Arial" w:hAnsi="Arial" w:hint="default"/>
      </w:rPr>
    </w:lvl>
    <w:lvl w:ilvl="7" w:tplc="9B663CCC" w:tentative="1">
      <w:start w:val="1"/>
      <w:numFmt w:val="bullet"/>
      <w:lvlText w:val="•"/>
      <w:lvlJc w:val="left"/>
      <w:pPr>
        <w:tabs>
          <w:tab w:val="num" w:pos="5760"/>
        </w:tabs>
        <w:ind w:left="5760" w:hanging="360"/>
      </w:pPr>
      <w:rPr>
        <w:rFonts w:ascii="Arial" w:hAnsi="Arial" w:hint="default"/>
      </w:rPr>
    </w:lvl>
    <w:lvl w:ilvl="8" w:tplc="E0C47940" w:tentative="1">
      <w:start w:val="1"/>
      <w:numFmt w:val="bullet"/>
      <w:lvlText w:val="•"/>
      <w:lvlJc w:val="left"/>
      <w:pPr>
        <w:tabs>
          <w:tab w:val="num" w:pos="6480"/>
        </w:tabs>
        <w:ind w:left="6480" w:hanging="360"/>
      </w:pPr>
      <w:rPr>
        <w:rFonts w:ascii="Arial" w:hAnsi="Arial" w:hint="default"/>
      </w:rPr>
    </w:lvl>
  </w:abstractNum>
  <w:abstractNum w:abstractNumId="18">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0C02506"/>
    <w:multiLevelType w:val="hybridMultilevel"/>
    <w:tmpl w:val="44504176"/>
    <w:lvl w:ilvl="0" w:tplc="9C6ED7EE">
      <w:start w:val="1"/>
      <w:numFmt w:val="bullet"/>
      <w:lvlText w:val="•"/>
      <w:lvlJc w:val="left"/>
      <w:pPr>
        <w:tabs>
          <w:tab w:val="num" w:pos="720"/>
        </w:tabs>
        <w:ind w:left="720" w:hanging="360"/>
      </w:pPr>
      <w:rPr>
        <w:rFonts w:ascii="Arial" w:hAnsi="Arial" w:hint="default"/>
      </w:rPr>
    </w:lvl>
    <w:lvl w:ilvl="1" w:tplc="7C125810" w:tentative="1">
      <w:start w:val="1"/>
      <w:numFmt w:val="bullet"/>
      <w:lvlText w:val="•"/>
      <w:lvlJc w:val="left"/>
      <w:pPr>
        <w:tabs>
          <w:tab w:val="num" w:pos="1440"/>
        </w:tabs>
        <w:ind w:left="1440" w:hanging="360"/>
      </w:pPr>
      <w:rPr>
        <w:rFonts w:ascii="Arial" w:hAnsi="Arial" w:hint="default"/>
      </w:rPr>
    </w:lvl>
    <w:lvl w:ilvl="2" w:tplc="DF10E468" w:tentative="1">
      <w:start w:val="1"/>
      <w:numFmt w:val="bullet"/>
      <w:lvlText w:val="•"/>
      <w:lvlJc w:val="left"/>
      <w:pPr>
        <w:tabs>
          <w:tab w:val="num" w:pos="2160"/>
        </w:tabs>
        <w:ind w:left="2160" w:hanging="360"/>
      </w:pPr>
      <w:rPr>
        <w:rFonts w:ascii="Arial" w:hAnsi="Arial" w:hint="default"/>
      </w:rPr>
    </w:lvl>
    <w:lvl w:ilvl="3" w:tplc="05944F7E" w:tentative="1">
      <w:start w:val="1"/>
      <w:numFmt w:val="bullet"/>
      <w:lvlText w:val="•"/>
      <w:lvlJc w:val="left"/>
      <w:pPr>
        <w:tabs>
          <w:tab w:val="num" w:pos="2880"/>
        </w:tabs>
        <w:ind w:left="2880" w:hanging="360"/>
      </w:pPr>
      <w:rPr>
        <w:rFonts w:ascii="Arial" w:hAnsi="Arial" w:hint="default"/>
      </w:rPr>
    </w:lvl>
    <w:lvl w:ilvl="4" w:tplc="164CBC14" w:tentative="1">
      <w:start w:val="1"/>
      <w:numFmt w:val="bullet"/>
      <w:lvlText w:val="•"/>
      <w:lvlJc w:val="left"/>
      <w:pPr>
        <w:tabs>
          <w:tab w:val="num" w:pos="3600"/>
        </w:tabs>
        <w:ind w:left="3600" w:hanging="360"/>
      </w:pPr>
      <w:rPr>
        <w:rFonts w:ascii="Arial" w:hAnsi="Arial" w:hint="default"/>
      </w:rPr>
    </w:lvl>
    <w:lvl w:ilvl="5" w:tplc="F47E39AC" w:tentative="1">
      <w:start w:val="1"/>
      <w:numFmt w:val="bullet"/>
      <w:lvlText w:val="•"/>
      <w:lvlJc w:val="left"/>
      <w:pPr>
        <w:tabs>
          <w:tab w:val="num" w:pos="4320"/>
        </w:tabs>
        <w:ind w:left="4320" w:hanging="360"/>
      </w:pPr>
      <w:rPr>
        <w:rFonts w:ascii="Arial" w:hAnsi="Arial" w:hint="default"/>
      </w:rPr>
    </w:lvl>
    <w:lvl w:ilvl="6" w:tplc="EC587D50" w:tentative="1">
      <w:start w:val="1"/>
      <w:numFmt w:val="bullet"/>
      <w:lvlText w:val="•"/>
      <w:lvlJc w:val="left"/>
      <w:pPr>
        <w:tabs>
          <w:tab w:val="num" w:pos="5040"/>
        </w:tabs>
        <w:ind w:left="5040" w:hanging="360"/>
      </w:pPr>
      <w:rPr>
        <w:rFonts w:ascii="Arial" w:hAnsi="Arial" w:hint="default"/>
      </w:rPr>
    </w:lvl>
    <w:lvl w:ilvl="7" w:tplc="03B0FA7E" w:tentative="1">
      <w:start w:val="1"/>
      <w:numFmt w:val="bullet"/>
      <w:lvlText w:val="•"/>
      <w:lvlJc w:val="left"/>
      <w:pPr>
        <w:tabs>
          <w:tab w:val="num" w:pos="5760"/>
        </w:tabs>
        <w:ind w:left="5760" w:hanging="360"/>
      </w:pPr>
      <w:rPr>
        <w:rFonts w:ascii="Arial" w:hAnsi="Arial" w:hint="default"/>
      </w:rPr>
    </w:lvl>
    <w:lvl w:ilvl="8" w:tplc="599C352C" w:tentative="1">
      <w:start w:val="1"/>
      <w:numFmt w:val="bullet"/>
      <w:lvlText w:val="•"/>
      <w:lvlJc w:val="left"/>
      <w:pPr>
        <w:tabs>
          <w:tab w:val="num" w:pos="6480"/>
        </w:tabs>
        <w:ind w:left="6480" w:hanging="360"/>
      </w:pPr>
      <w:rPr>
        <w:rFonts w:ascii="Arial" w:hAnsi="Arial" w:hint="default"/>
      </w:rPr>
    </w:lvl>
  </w:abstractNum>
  <w:abstractNum w:abstractNumId="21">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2ECE5842"/>
    <w:multiLevelType w:val="hybridMultilevel"/>
    <w:tmpl w:val="6472C8C8"/>
    <w:lvl w:ilvl="0" w:tplc="3C841FB4">
      <w:start w:val="1"/>
      <w:numFmt w:val="bullet"/>
      <w:lvlText w:val="•"/>
      <w:lvlJc w:val="left"/>
      <w:pPr>
        <w:tabs>
          <w:tab w:val="num" w:pos="720"/>
        </w:tabs>
        <w:ind w:left="720" w:hanging="360"/>
      </w:pPr>
      <w:rPr>
        <w:rFonts w:ascii="Arial" w:hAnsi="Arial" w:hint="default"/>
      </w:rPr>
    </w:lvl>
    <w:lvl w:ilvl="1" w:tplc="A9E2EE94" w:tentative="1">
      <w:start w:val="1"/>
      <w:numFmt w:val="bullet"/>
      <w:lvlText w:val="•"/>
      <w:lvlJc w:val="left"/>
      <w:pPr>
        <w:tabs>
          <w:tab w:val="num" w:pos="1440"/>
        </w:tabs>
        <w:ind w:left="1440" w:hanging="360"/>
      </w:pPr>
      <w:rPr>
        <w:rFonts w:ascii="Arial" w:hAnsi="Arial" w:hint="default"/>
      </w:rPr>
    </w:lvl>
    <w:lvl w:ilvl="2" w:tplc="500E8D40" w:tentative="1">
      <w:start w:val="1"/>
      <w:numFmt w:val="bullet"/>
      <w:lvlText w:val="•"/>
      <w:lvlJc w:val="left"/>
      <w:pPr>
        <w:tabs>
          <w:tab w:val="num" w:pos="2160"/>
        </w:tabs>
        <w:ind w:left="2160" w:hanging="360"/>
      </w:pPr>
      <w:rPr>
        <w:rFonts w:ascii="Arial" w:hAnsi="Arial" w:hint="default"/>
      </w:rPr>
    </w:lvl>
    <w:lvl w:ilvl="3" w:tplc="6D7EDCEC" w:tentative="1">
      <w:start w:val="1"/>
      <w:numFmt w:val="bullet"/>
      <w:lvlText w:val="•"/>
      <w:lvlJc w:val="left"/>
      <w:pPr>
        <w:tabs>
          <w:tab w:val="num" w:pos="2880"/>
        </w:tabs>
        <w:ind w:left="2880" w:hanging="360"/>
      </w:pPr>
      <w:rPr>
        <w:rFonts w:ascii="Arial" w:hAnsi="Arial" w:hint="default"/>
      </w:rPr>
    </w:lvl>
    <w:lvl w:ilvl="4" w:tplc="EBC0CFBC" w:tentative="1">
      <w:start w:val="1"/>
      <w:numFmt w:val="bullet"/>
      <w:lvlText w:val="•"/>
      <w:lvlJc w:val="left"/>
      <w:pPr>
        <w:tabs>
          <w:tab w:val="num" w:pos="3600"/>
        </w:tabs>
        <w:ind w:left="3600" w:hanging="360"/>
      </w:pPr>
      <w:rPr>
        <w:rFonts w:ascii="Arial" w:hAnsi="Arial" w:hint="default"/>
      </w:rPr>
    </w:lvl>
    <w:lvl w:ilvl="5" w:tplc="DD2214C4" w:tentative="1">
      <w:start w:val="1"/>
      <w:numFmt w:val="bullet"/>
      <w:lvlText w:val="•"/>
      <w:lvlJc w:val="left"/>
      <w:pPr>
        <w:tabs>
          <w:tab w:val="num" w:pos="4320"/>
        </w:tabs>
        <w:ind w:left="4320" w:hanging="360"/>
      </w:pPr>
      <w:rPr>
        <w:rFonts w:ascii="Arial" w:hAnsi="Arial" w:hint="default"/>
      </w:rPr>
    </w:lvl>
    <w:lvl w:ilvl="6" w:tplc="FC329F3E" w:tentative="1">
      <w:start w:val="1"/>
      <w:numFmt w:val="bullet"/>
      <w:lvlText w:val="•"/>
      <w:lvlJc w:val="left"/>
      <w:pPr>
        <w:tabs>
          <w:tab w:val="num" w:pos="5040"/>
        </w:tabs>
        <w:ind w:left="5040" w:hanging="360"/>
      </w:pPr>
      <w:rPr>
        <w:rFonts w:ascii="Arial" w:hAnsi="Arial" w:hint="default"/>
      </w:rPr>
    </w:lvl>
    <w:lvl w:ilvl="7" w:tplc="77E28016" w:tentative="1">
      <w:start w:val="1"/>
      <w:numFmt w:val="bullet"/>
      <w:lvlText w:val="•"/>
      <w:lvlJc w:val="left"/>
      <w:pPr>
        <w:tabs>
          <w:tab w:val="num" w:pos="5760"/>
        </w:tabs>
        <w:ind w:left="5760" w:hanging="360"/>
      </w:pPr>
      <w:rPr>
        <w:rFonts w:ascii="Arial" w:hAnsi="Arial" w:hint="default"/>
      </w:rPr>
    </w:lvl>
    <w:lvl w:ilvl="8" w:tplc="2EA02DD4" w:tentative="1">
      <w:start w:val="1"/>
      <w:numFmt w:val="bullet"/>
      <w:lvlText w:val="•"/>
      <w:lvlJc w:val="left"/>
      <w:pPr>
        <w:tabs>
          <w:tab w:val="num" w:pos="6480"/>
        </w:tabs>
        <w:ind w:left="6480" w:hanging="360"/>
      </w:pPr>
      <w:rPr>
        <w:rFonts w:ascii="Arial" w:hAnsi="Arial" w:hint="default"/>
      </w:rPr>
    </w:lvl>
  </w:abstractNum>
  <w:abstractNum w:abstractNumId="2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6"/>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7">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227448"/>
    <w:multiLevelType w:val="hybridMultilevel"/>
    <w:tmpl w:val="6846DF06"/>
    <w:lvl w:ilvl="0" w:tplc="8D7AF75C">
      <w:start w:val="1"/>
      <w:numFmt w:val="bullet"/>
      <w:lvlText w:val="•"/>
      <w:lvlJc w:val="left"/>
      <w:pPr>
        <w:tabs>
          <w:tab w:val="num" w:pos="720"/>
        </w:tabs>
        <w:ind w:left="720" w:hanging="360"/>
      </w:pPr>
      <w:rPr>
        <w:rFonts w:ascii="Arial" w:hAnsi="Arial" w:hint="default"/>
      </w:rPr>
    </w:lvl>
    <w:lvl w:ilvl="1" w:tplc="4B2C4B78" w:tentative="1">
      <w:start w:val="1"/>
      <w:numFmt w:val="bullet"/>
      <w:lvlText w:val="•"/>
      <w:lvlJc w:val="left"/>
      <w:pPr>
        <w:tabs>
          <w:tab w:val="num" w:pos="1440"/>
        </w:tabs>
        <w:ind w:left="1440" w:hanging="360"/>
      </w:pPr>
      <w:rPr>
        <w:rFonts w:ascii="Arial" w:hAnsi="Arial" w:hint="default"/>
      </w:rPr>
    </w:lvl>
    <w:lvl w:ilvl="2" w:tplc="BFCC9F1C" w:tentative="1">
      <w:start w:val="1"/>
      <w:numFmt w:val="bullet"/>
      <w:lvlText w:val="•"/>
      <w:lvlJc w:val="left"/>
      <w:pPr>
        <w:tabs>
          <w:tab w:val="num" w:pos="2160"/>
        </w:tabs>
        <w:ind w:left="2160" w:hanging="360"/>
      </w:pPr>
      <w:rPr>
        <w:rFonts w:ascii="Arial" w:hAnsi="Arial" w:hint="default"/>
      </w:rPr>
    </w:lvl>
    <w:lvl w:ilvl="3" w:tplc="5F4A0D86" w:tentative="1">
      <w:start w:val="1"/>
      <w:numFmt w:val="bullet"/>
      <w:lvlText w:val="•"/>
      <w:lvlJc w:val="left"/>
      <w:pPr>
        <w:tabs>
          <w:tab w:val="num" w:pos="2880"/>
        </w:tabs>
        <w:ind w:left="2880" w:hanging="360"/>
      </w:pPr>
      <w:rPr>
        <w:rFonts w:ascii="Arial" w:hAnsi="Arial" w:hint="default"/>
      </w:rPr>
    </w:lvl>
    <w:lvl w:ilvl="4" w:tplc="37B0E00E" w:tentative="1">
      <w:start w:val="1"/>
      <w:numFmt w:val="bullet"/>
      <w:lvlText w:val="•"/>
      <w:lvlJc w:val="left"/>
      <w:pPr>
        <w:tabs>
          <w:tab w:val="num" w:pos="3600"/>
        </w:tabs>
        <w:ind w:left="3600" w:hanging="360"/>
      </w:pPr>
      <w:rPr>
        <w:rFonts w:ascii="Arial" w:hAnsi="Arial" w:hint="default"/>
      </w:rPr>
    </w:lvl>
    <w:lvl w:ilvl="5" w:tplc="0B0C411E" w:tentative="1">
      <w:start w:val="1"/>
      <w:numFmt w:val="bullet"/>
      <w:lvlText w:val="•"/>
      <w:lvlJc w:val="left"/>
      <w:pPr>
        <w:tabs>
          <w:tab w:val="num" w:pos="4320"/>
        </w:tabs>
        <w:ind w:left="4320" w:hanging="360"/>
      </w:pPr>
      <w:rPr>
        <w:rFonts w:ascii="Arial" w:hAnsi="Arial" w:hint="default"/>
      </w:rPr>
    </w:lvl>
    <w:lvl w:ilvl="6" w:tplc="7C6A713C" w:tentative="1">
      <w:start w:val="1"/>
      <w:numFmt w:val="bullet"/>
      <w:lvlText w:val="•"/>
      <w:lvlJc w:val="left"/>
      <w:pPr>
        <w:tabs>
          <w:tab w:val="num" w:pos="5040"/>
        </w:tabs>
        <w:ind w:left="5040" w:hanging="360"/>
      </w:pPr>
      <w:rPr>
        <w:rFonts w:ascii="Arial" w:hAnsi="Arial" w:hint="default"/>
      </w:rPr>
    </w:lvl>
    <w:lvl w:ilvl="7" w:tplc="80FE1B72" w:tentative="1">
      <w:start w:val="1"/>
      <w:numFmt w:val="bullet"/>
      <w:lvlText w:val="•"/>
      <w:lvlJc w:val="left"/>
      <w:pPr>
        <w:tabs>
          <w:tab w:val="num" w:pos="5760"/>
        </w:tabs>
        <w:ind w:left="5760" w:hanging="360"/>
      </w:pPr>
      <w:rPr>
        <w:rFonts w:ascii="Arial" w:hAnsi="Arial" w:hint="default"/>
      </w:rPr>
    </w:lvl>
    <w:lvl w:ilvl="8" w:tplc="54B40EDA" w:tentative="1">
      <w:start w:val="1"/>
      <w:numFmt w:val="bullet"/>
      <w:lvlText w:val="•"/>
      <w:lvlJc w:val="left"/>
      <w:pPr>
        <w:tabs>
          <w:tab w:val="num" w:pos="6480"/>
        </w:tabs>
        <w:ind w:left="6480" w:hanging="360"/>
      </w:pPr>
      <w:rPr>
        <w:rFonts w:ascii="Arial" w:hAnsi="Arial" w:hint="default"/>
      </w:rPr>
    </w:lvl>
  </w:abstractNum>
  <w:abstractNum w:abstractNumId="3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ECE4384"/>
    <w:multiLevelType w:val="multilevel"/>
    <w:tmpl w:val="FD56532A"/>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1">
    <w:nsid w:val="6DE36827"/>
    <w:multiLevelType w:val="multilevel"/>
    <w:tmpl w:val="950A1C52"/>
    <w:numStyleLink w:val="AERHeadings"/>
  </w:abstractNum>
  <w:abstractNum w:abstractNumId="4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A70EE9"/>
    <w:multiLevelType w:val="hybridMultilevel"/>
    <w:tmpl w:val="8C9CB708"/>
    <w:lvl w:ilvl="0" w:tplc="64268F12">
      <w:start w:val="1"/>
      <w:numFmt w:val="bullet"/>
      <w:lvlText w:val="•"/>
      <w:lvlJc w:val="left"/>
      <w:pPr>
        <w:tabs>
          <w:tab w:val="num" w:pos="720"/>
        </w:tabs>
        <w:ind w:left="720" w:hanging="360"/>
      </w:pPr>
      <w:rPr>
        <w:rFonts w:ascii="Arial" w:hAnsi="Arial" w:hint="default"/>
      </w:rPr>
    </w:lvl>
    <w:lvl w:ilvl="1" w:tplc="4C2A6908" w:tentative="1">
      <w:start w:val="1"/>
      <w:numFmt w:val="bullet"/>
      <w:lvlText w:val="•"/>
      <w:lvlJc w:val="left"/>
      <w:pPr>
        <w:tabs>
          <w:tab w:val="num" w:pos="1440"/>
        </w:tabs>
        <w:ind w:left="1440" w:hanging="360"/>
      </w:pPr>
      <w:rPr>
        <w:rFonts w:ascii="Arial" w:hAnsi="Arial" w:hint="default"/>
      </w:rPr>
    </w:lvl>
    <w:lvl w:ilvl="2" w:tplc="BFDE4746" w:tentative="1">
      <w:start w:val="1"/>
      <w:numFmt w:val="bullet"/>
      <w:lvlText w:val="•"/>
      <w:lvlJc w:val="left"/>
      <w:pPr>
        <w:tabs>
          <w:tab w:val="num" w:pos="2160"/>
        </w:tabs>
        <w:ind w:left="2160" w:hanging="360"/>
      </w:pPr>
      <w:rPr>
        <w:rFonts w:ascii="Arial" w:hAnsi="Arial" w:hint="default"/>
      </w:rPr>
    </w:lvl>
    <w:lvl w:ilvl="3" w:tplc="C666E814" w:tentative="1">
      <w:start w:val="1"/>
      <w:numFmt w:val="bullet"/>
      <w:lvlText w:val="•"/>
      <w:lvlJc w:val="left"/>
      <w:pPr>
        <w:tabs>
          <w:tab w:val="num" w:pos="2880"/>
        </w:tabs>
        <w:ind w:left="2880" w:hanging="360"/>
      </w:pPr>
      <w:rPr>
        <w:rFonts w:ascii="Arial" w:hAnsi="Arial" w:hint="default"/>
      </w:rPr>
    </w:lvl>
    <w:lvl w:ilvl="4" w:tplc="D6DE920E" w:tentative="1">
      <w:start w:val="1"/>
      <w:numFmt w:val="bullet"/>
      <w:lvlText w:val="•"/>
      <w:lvlJc w:val="left"/>
      <w:pPr>
        <w:tabs>
          <w:tab w:val="num" w:pos="3600"/>
        </w:tabs>
        <w:ind w:left="3600" w:hanging="360"/>
      </w:pPr>
      <w:rPr>
        <w:rFonts w:ascii="Arial" w:hAnsi="Arial" w:hint="default"/>
      </w:rPr>
    </w:lvl>
    <w:lvl w:ilvl="5" w:tplc="ADB69722" w:tentative="1">
      <w:start w:val="1"/>
      <w:numFmt w:val="bullet"/>
      <w:lvlText w:val="•"/>
      <w:lvlJc w:val="left"/>
      <w:pPr>
        <w:tabs>
          <w:tab w:val="num" w:pos="4320"/>
        </w:tabs>
        <w:ind w:left="4320" w:hanging="360"/>
      </w:pPr>
      <w:rPr>
        <w:rFonts w:ascii="Arial" w:hAnsi="Arial" w:hint="default"/>
      </w:rPr>
    </w:lvl>
    <w:lvl w:ilvl="6" w:tplc="7CD2EB7A" w:tentative="1">
      <w:start w:val="1"/>
      <w:numFmt w:val="bullet"/>
      <w:lvlText w:val="•"/>
      <w:lvlJc w:val="left"/>
      <w:pPr>
        <w:tabs>
          <w:tab w:val="num" w:pos="5040"/>
        </w:tabs>
        <w:ind w:left="5040" w:hanging="360"/>
      </w:pPr>
      <w:rPr>
        <w:rFonts w:ascii="Arial" w:hAnsi="Arial" w:hint="default"/>
      </w:rPr>
    </w:lvl>
    <w:lvl w:ilvl="7" w:tplc="5CF6DAC4" w:tentative="1">
      <w:start w:val="1"/>
      <w:numFmt w:val="bullet"/>
      <w:lvlText w:val="•"/>
      <w:lvlJc w:val="left"/>
      <w:pPr>
        <w:tabs>
          <w:tab w:val="num" w:pos="5760"/>
        </w:tabs>
        <w:ind w:left="5760" w:hanging="360"/>
      </w:pPr>
      <w:rPr>
        <w:rFonts w:ascii="Arial" w:hAnsi="Arial" w:hint="default"/>
      </w:rPr>
    </w:lvl>
    <w:lvl w:ilvl="8" w:tplc="48A0B600" w:tentative="1">
      <w:start w:val="1"/>
      <w:numFmt w:val="bullet"/>
      <w:lvlText w:val="•"/>
      <w:lvlJc w:val="left"/>
      <w:pPr>
        <w:tabs>
          <w:tab w:val="num" w:pos="6480"/>
        </w:tabs>
        <w:ind w:left="6480" w:hanging="360"/>
      </w:pPr>
      <w:rPr>
        <w:rFonts w:ascii="Arial" w:hAnsi="Arial" w:hint="default"/>
      </w:rPr>
    </w:lvl>
  </w:abstractNum>
  <w:abstractNum w:abstractNumId="4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4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0"/>
  </w:num>
  <w:num w:numId="13">
    <w:abstractNumId w:val="29"/>
  </w:num>
  <w:num w:numId="14">
    <w:abstractNumId w:val="14"/>
  </w:num>
  <w:num w:numId="15">
    <w:abstractNumId w:val="18"/>
  </w:num>
  <w:num w:numId="16">
    <w:abstractNumId w:val="34"/>
  </w:num>
  <w:num w:numId="17">
    <w:abstractNumId w:val="13"/>
  </w:num>
  <w:num w:numId="18">
    <w:abstractNumId w:val="23"/>
  </w:num>
  <w:num w:numId="19">
    <w:abstractNumId w:val="35"/>
  </w:num>
  <w:num w:numId="20">
    <w:abstractNumId w:val="42"/>
  </w:num>
  <w:num w:numId="21">
    <w:abstractNumId w:val="19"/>
  </w:num>
  <w:num w:numId="22">
    <w:abstractNumId w:val="38"/>
  </w:num>
  <w:num w:numId="23">
    <w:abstractNumId w:val="36"/>
  </w:num>
  <w:num w:numId="24">
    <w:abstractNumId w:val="26"/>
  </w:num>
  <w:num w:numId="25">
    <w:abstractNumId w:val="37"/>
  </w:num>
  <w:num w:numId="26">
    <w:abstractNumId w:val="39"/>
  </w:num>
  <w:num w:numId="27">
    <w:abstractNumId w:val="28"/>
  </w:num>
  <w:num w:numId="28">
    <w:abstractNumId w:val="24"/>
  </w:num>
  <w:num w:numId="29">
    <w:abstractNumId w:val="22"/>
  </w:num>
  <w:num w:numId="30">
    <w:abstractNumId w:val="43"/>
  </w:num>
  <w:num w:numId="31">
    <w:abstractNumId w:val="21"/>
  </w:num>
  <w:num w:numId="32">
    <w:abstractNumId w:val="32"/>
  </w:num>
  <w:num w:numId="33">
    <w:abstractNumId w:val="26"/>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6"/>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6"/>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41"/>
  </w:num>
  <w:num w:numId="37">
    <w:abstractNumId w:val="11"/>
  </w:num>
  <w:num w:numId="38">
    <w:abstractNumId w:val="30"/>
  </w:num>
  <w:num w:numId="39">
    <w:abstractNumId w:val="27"/>
  </w:num>
  <w:num w:numId="40">
    <w:abstractNumId w:val="25"/>
  </w:num>
  <w:num w:numId="41">
    <w:abstractNumId w:val="44"/>
  </w:num>
  <w:num w:numId="42">
    <w:abstractNumId w:val="17"/>
  </w:num>
  <w:num w:numId="43">
    <w:abstractNumId w:val="12"/>
  </w:num>
  <w:num w:numId="44">
    <w:abstractNumId w:val="20"/>
  </w:num>
  <w:num w:numId="45">
    <w:abstractNumId w:val="31"/>
  </w:num>
  <w:num w:numId="46">
    <w:abstractNumId w:val="16"/>
  </w:num>
  <w:num w:numId="47">
    <w:abstractNumId w:val="10"/>
  </w:num>
  <w:num w:numId="48">
    <w:abstractNumId w:val="33"/>
  </w:num>
  <w:num w:numId="49">
    <w:abstractNumId w:val="29"/>
    <w:lvlOverride w:ilvl="0">
      <w:startOverride w:val="1"/>
    </w:lvlOverride>
  </w:num>
  <w:num w:numId="50">
    <w:abstractNumId w:val="9"/>
  </w:num>
  <w:num w:numId="51">
    <w:abstractNumId w:val="8"/>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Ci537ByzXoMI3hhk6+Cxks3UxC1arBH8qUrDIr6oWE=" w:saltValue="Vh0jmKxWb79cfK+Figuq7Q==" w:algorithmName="SHA-256"/>
  <w:defaultTabStop w:val="34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704\AER15 2535  Energex - Final decision - Attach 16 - Alternative control services.DOCX"/>
  </w:docVars>
  <w:rsids>
    <w:rsidRoot w:val="00961A4A"/>
    <w:rsid w:val="00003D76"/>
    <w:rsid w:val="00004AA4"/>
    <w:rsid w:val="00004F19"/>
    <w:rsid w:val="00005193"/>
    <w:rsid w:val="000064CD"/>
    <w:rsid w:val="00006A78"/>
    <w:rsid w:val="00010024"/>
    <w:rsid w:val="0001188E"/>
    <w:rsid w:val="000169CF"/>
    <w:rsid w:val="00021202"/>
    <w:rsid w:val="0002238E"/>
    <w:rsid w:val="000244DB"/>
    <w:rsid w:val="0002517F"/>
    <w:rsid w:val="00027D90"/>
    <w:rsid w:val="000315FB"/>
    <w:rsid w:val="00033D01"/>
    <w:rsid w:val="0003578C"/>
    <w:rsid w:val="00043AD8"/>
    <w:rsid w:val="00045570"/>
    <w:rsid w:val="00051509"/>
    <w:rsid w:val="0005369A"/>
    <w:rsid w:val="000606DB"/>
    <w:rsid w:val="00063247"/>
    <w:rsid w:val="00066CEC"/>
    <w:rsid w:val="00070F9F"/>
    <w:rsid w:val="0007137B"/>
    <w:rsid w:val="000742A1"/>
    <w:rsid w:val="000755F5"/>
    <w:rsid w:val="00076BF6"/>
    <w:rsid w:val="00081626"/>
    <w:rsid w:val="00085663"/>
    <w:rsid w:val="00085EBF"/>
    <w:rsid w:val="000860A2"/>
    <w:rsid w:val="00087E2D"/>
    <w:rsid w:val="0009032A"/>
    <w:rsid w:val="00090D65"/>
    <w:rsid w:val="00092C5B"/>
    <w:rsid w:val="00096747"/>
    <w:rsid w:val="000A3020"/>
    <w:rsid w:val="000A3434"/>
    <w:rsid w:val="000A6C7B"/>
    <w:rsid w:val="000B17AC"/>
    <w:rsid w:val="000B1D0E"/>
    <w:rsid w:val="000B3E0A"/>
    <w:rsid w:val="000D00AB"/>
    <w:rsid w:val="000D02A1"/>
    <w:rsid w:val="000D122C"/>
    <w:rsid w:val="000D2104"/>
    <w:rsid w:val="000D4C65"/>
    <w:rsid w:val="000E1819"/>
    <w:rsid w:val="000E3775"/>
    <w:rsid w:val="000E4821"/>
    <w:rsid w:val="000E5C5B"/>
    <w:rsid w:val="000E6C72"/>
    <w:rsid w:val="000E6E03"/>
    <w:rsid w:val="000E6E36"/>
    <w:rsid w:val="000F20B3"/>
    <w:rsid w:val="000F45FB"/>
    <w:rsid w:val="000F50A7"/>
    <w:rsid w:val="000F7CCC"/>
    <w:rsid w:val="00100661"/>
    <w:rsid w:val="00101B47"/>
    <w:rsid w:val="00106501"/>
    <w:rsid w:val="00107055"/>
    <w:rsid w:val="00116EB2"/>
    <w:rsid w:val="001201F1"/>
    <w:rsid w:val="0012037E"/>
    <w:rsid w:val="00120598"/>
    <w:rsid w:val="00122D97"/>
    <w:rsid w:val="00124609"/>
    <w:rsid w:val="00126A4C"/>
    <w:rsid w:val="001301ED"/>
    <w:rsid w:val="00130FC6"/>
    <w:rsid w:val="00136B30"/>
    <w:rsid w:val="001421F2"/>
    <w:rsid w:val="00144DE1"/>
    <w:rsid w:val="0014573B"/>
    <w:rsid w:val="00145A55"/>
    <w:rsid w:val="001573E4"/>
    <w:rsid w:val="001579D3"/>
    <w:rsid w:val="00160756"/>
    <w:rsid w:val="0016085C"/>
    <w:rsid w:val="00166CF1"/>
    <w:rsid w:val="0017232E"/>
    <w:rsid w:val="00172602"/>
    <w:rsid w:val="00174102"/>
    <w:rsid w:val="00180157"/>
    <w:rsid w:val="0018092C"/>
    <w:rsid w:val="00185CB9"/>
    <w:rsid w:val="00186AAF"/>
    <w:rsid w:val="00186F77"/>
    <w:rsid w:val="001926A4"/>
    <w:rsid w:val="00192AD5"/>
    <w:rsid w:val="001A0A8B"/>
    <w:rsid w:val="001A504E"/>
    <w:rsid w:val="001B364B"/>
    <w:rsid w:val="001B3A08"/>
    <w:rsid w:val="001B45A0"/>
    <w:rsid w:val="001B5A82"/>
    <w:rsid w:val="001B6C5A"/>
    <w:rsid w:val="001B7025"/>
    <w:rsid w:val="001C2626"/>
    <w:rsid w:val="001D055E"/>
    <w:rsid w:val="001D4B03"/>
    <w:rsid w:val="001E095A"/>
    <w:rsid w:val="001E29C6"/>
    <w:rsid w:val="001E2E78"/>
    <w:rsid w:val="001E3842"/>
    <w:rsid w:val="001F492E"/>
    <w:rsid w:val="001F5C50"/>
    <w:rsid w:val="001F6DA3"/>
    <w:rsid w:val="001F79F4"/>
    <w:rsid w:val="002010BC"/>
    <w:rsid w:val="00201458"/>
    <w:rsid w:val="00202E03"/>
    <w:rsid w:val="0020492C"/>
    <w:rsid w:val="00206645"/>
    <w:rsid w:val="002132F7"/>
    <w:rsid w:val="00220253"/>
    <w:rsid w:val="00224DB9"/>
    <w:rsid w:val="00226411"/>
    <w:rsid w:val="002325B2"/>
    <w:rsid w:val="002333B7"/>
    <w:rsid w:val="00233775"/>
    <w:rsid w:val="00233E6B"/>
    <w:rsid w:val="0023449E"/>
    <w:rsid w:val="002348F6"/>
    <w:rsid w:val="002454A1"/>
    <w:rsid w:val="00251745"/>
    <w:rsid w:val="002520E2"/>
    <w:rsid w:val="0026343A"/>
    <w:rsid w:val="00263AC0"/>
    <w:rsid w:val="00264264"/>
    <w:rsid w:val="00266F84"/>
    <w:rsid w:val="0026772D"/>
    <w:rsid w:val="00275B25"/>
    <w:rsid w:val="00276A20"/>
    <w:rsid w:val="00285E63"/>
    <w:rsid w:val="00286874"/>
    <w:rsid w:val="00290211"/>
    <w:rsid w:val="00290C63"/>
    <w:rsid w:val="002929A2"/>
    <w:rsid w:val="00294250"/>
    <w:rsid w:val="00294644"/>
    <w:rsid w:val="00295735"/>
    <w:rsid w:val="00296B65"/>
    <w:rsid w:val="002A03EF"/>
    <w:rsid w:val="002A09EC"/>
    <w:rsid w:val="002A3E72"/>
    <w:rsid w:val="002A7DEF"/>
    <w:rsid w:val="002B0550"/>
    <w:rsid w:val="002B4E5B"/>
    <w:rsid w:val="002B4F50"/>
    <w:rsid w:val="002C56AE"/>
    <w:rsid w:val="002C6A6B"/>
    <w:rsid w:val="002D3A76"/>
    <w:rsid w:val="002E4A3B"/>
    <w:rsid w:val="002E7B22"/>
    <w:rsid w:val="002F2A07"/>
    <w:rsid w:val="002F6223"/>
    <w:rsid w:val="002F7986"/>
    <w:rsid w:val="00301B40"/>
    <w:rsid w:val="00302985"/>
    <w:rsid w:val="003029EE"/>
    <w:rsid w:val="00303807"/>
    <w:rsid w:val="0030504F"/>
    <w:rsid w:val="00305CC8"/>
    <w:rsid w:val="00307CCD"/>
    <w:rsid w:val="00307F6D"/>
    <w:rsid w:val="003103B3"/>
    <w:rsid w:val="00313A82"/>
    <w:rsid w:val="00314343"/>
    <w:rsid w:val="00316725"/>
    <w:rsid w:val="003177A2"/>
    <w:rsid w:val="00323720"/>
    <w:rsid w:val="003238DC"/>
    <w:rsid w:val="003253A2"/>
    <w:rsid w:val="003271B5"/>
    <w:rsid w:val="00327A1E"/>
    <w:rsid w:val="00330FCE"/>
    <w:rsid w:val="00331264"/>
    <w:rsid w:val="00334433"/>
    <w:rsid w:val="00334453"/>
    <w:rsid w:val="00334C8D"/>
    <w:rsid w:val="00343A18"/>
    <w:rsid w:val="00343D7C"/>
    <w:rsid w:val="00346D76"/>
    <w:rsid w:val="003518B3"/>
    <w:rsid w:val="00356128"/>
    <w:rsid w:val="00360510"/>
    <w:rsid w:val="00365B01"/>
    <w:rsid w:val="00365DAB"/>
    <w:rsid w:val="003667A5"/>
    <w:rsid w:val="00366CAE"/>
    <w:rsid w:val="0037396F"/>
    <w:rsid w:val="0037438E"/>
    <w:rsid w:val="00374ADA"/>
    <w:rsid w:val="00376440"/>
    <w:rsid w:val="003846F1"/>
    <w:rsid w:val="003904F3"/>
    <w:rsid w:val="00396FA6"/>
    <w:rsid w:val="003A28EC"/>
    <w:rsid w:val="003B16A4"/>
    <w:rsid w:val="003B1DE0"/>
    <w:rsid w:val="003B484F"/>
    <w:rsid w:val="003B717A"/>
    <w:rsid w:val="003C1C2B"/>
    <w:rsid w:val="003C4EE6"/>
    <w:rsid w:val="003D1037"/>
    <w:rsid w:val="003D5DD2"/>
    <w:rsid w:val="003D661C"/>
    <w:rsid w:val="003E2316"/>
    <w:rsid w:val="003E7412"/>
    <w:rsid w:val="003F0015"/>
    <w:rsid w:val="003F0255"/>
    <w:rsid w:val="003F0FD4"/>
    <w:rsid w:val="003F174D"/>
    <w:rsid w:val="003F57E9"/>
    <w:rsid w:val="00407A99"/>
    <w:rsid w:val="00407BEC"/>
    <w:rsid w:val="00407CAA"/>
    <w:rsid w:val="0041323E"/>
    <w:rsid w:val="004138E3"/>
    <w:rsid w:val="0041713E"/>
    <w:rsid w:val="004207A5"/>
    <w:rsid w:val="00423F27"/>
    <w:rsid w:val="0043091C"/>
    <w:rsid w:val="0045777E"/>
    <w:rsid w:val="00461533"/>
    <w:rsid w:val="00461D22"/>
    <w:rsid w:val="00464B2C"/>
    <w:rsid w:val="00473142"/>
    <w:rsid w:val="00474141"/>
    <w:rsid w:val="00474654"/>
    <w:rsid w:val="00474AC0"/>
    <w:rsid w:val="00477845"/>
    <w:rsid w:val="00480B4B"/>
    <w:rsid w:val="004827F2"/>
    <w:rsid w:val="004840C0"/>
    <w:rsid w:val="00485DC4"/>
    <w:rsid w:val="0048717E"/>
    <w:rsid w:val="00491863"/>
    <w:rsid w:val="00492567"/>
    <w:rsid w:val="00493997"/>
    <w:rsid w:val="004957E6"/>
    <w:rsid w:val="00495823"/>
    <w:rsid w:val="004A43D1"/>
    <w:rsid w:val="004A5C52"/>
    <w:rsid w:val="004B1823"/>
    <w:rsid w:val="004B2A98"/>
    <w:rsid w:val="004B35CF"/>
    <w:rsid w:val="004B4412"/>
    <w:rsid w:val="004B506C"/>
    <w:rsid w:val="004C136E"/>
    <w:rsid w:val="004C348C"/>
    <w:rsid w:val="004C4A71"/>
    <w:rsid w:val="004D293F"/>
    <w:rsid w:val="004D36DE"/>
    <w:rsid w:val="004D55BA"/>
    <w:rsid w:val="004D709A"/>
    <w:rsid w:val="004E079A"/>
    <w:rsid w:val="004E1085"/>
    <w:rsid w:val="004E229D"/>
    <w:rsid w:val="004E22EC"/>
    <w:rsid w:val="004E47EE"/>
    <w:rsid w:val="004E5CE4"/>
    <w:rsid w:val="004F27B5"/>
    <w:rsid w:val="00502AE4"/>
    <w:rsid w:val="00504F23"/>
    <w:rsid w:val="005124D4"/>
    <w:rsid w:val="0051318C"/>
    <w:rsid w:val="00514183"/>
    <w:rsid w:val="005269BE"/>
    <w:rsid w:val="00530128"/>
    <w:rsid w:val="00531653"/>
    <w:rsid w:val="00532467"/>
    <w:rsid w:val="005335F5"/>
    <w:rsid w:val="00534778"/>
    <w:rsid w:val="00535DA8"/>
    <w:rsid w:val="00537937"/>
    <w:rsid w:val="00540E5E"/>
    <w:rsid w:val="00544AC8"/>
    <w:rsid w:val="0055014C"/>
    <w:rsid w:val="00551650"/>
    <w:rsid w:val="00556533"/>
    <w:rsid w:val="005578BD"/>
    <w:rsid w:val="00562A7E"/>
    <w:rsid w:val="00564A4D"/>
    <w:rsid w:val="00566F6B"/>
    <w:rsid w:val="00567BA5"/>
    <w:rsid w:val="00571B35"/>
    <w:rsid w:val="00571D57"/>
    <w:rsid w:val="00573B6F"/>
    <w:rsid w:val="00573D55"/>
    <w:rsid w:val="00576122"/>
    <w:rsid w:val="00577A09"/>
    <w:rsid w:val="005829C2"/>
    <w:rsid w:val="00584D8F"/>
    <w:rsid w:val="005947B7"/>
    <w:rsid w:val="00595C45"/>
    <w:rsid w:val="005A404D"/>
    <w:rsid w:val="005A7C49"/>
    <w:rsid w:val="005B0F5F"/>
    <w:rsid w:val="005B1E3C"/>
    <w:rsid w:val="005B4792"/>
    <w:rsid w:val="005C0086"/>
    <w:rsid w:val="005C02D0"/>
    <w:rsid w:val="005C26CC"/>
    <w:rsid w:val="005C2F2A"/>
    <w:rsid w:val="005C3837"/>
    <w:rsid w:val="005C5965"/>
    <w:rsid w:val="005C653E"/>
    <w:rsid w:val="005D4102"/>
    <w:rsid w:val="005D7BA2"/>
    <w:rsid w:val="005E314E"/>
    <w:rsid w:val="005E36C2"/>
    <w:rsid w:val="005E39CE"/>
    <w:rsid w:val="005E4E5C"/>
    <w:rsid w:val="005E73B8"/>
    <w:rsid w:val="005F22BE"/>
    <w:rsid w:val="005F2761"/>
    <w:rsid w:val="005F7777"/>
    <w:rsid w:val="00603EAF"/>
    <w:rsid w:val="00613985"/>
    <w:rsid w:val="00615A0D"/>
    <w:rsid w:val="00615C6B"/>
    <w:rsid w:val="006171FC"/>
    <w:rsid w:val="00621DCE"/>
    <w:rsid w:val="00623738"/>
    <w:rsid w:val="006238C6"/>
    <w:rsid w:val="00630C3E"/>
    <w:rsid w:val="00632D6D"/>
    <w:rsid w:val="00637AA7"/>
    <w:rsid w:val="00642C3E"/>
    <w:rsid w:val="0064347B"/>
    <w:rsid w:val="00644987"/>
    <w:rsid w:val="006515DC"/>
    <w:rsid w:val="00653ABF"/>
    <w:rsid w:val="00656236"/>
    <w:rsid w:val="006576C5"/>
    <w:rsid w:val="0066094F"/>
    <w:rsid w:val="0066104A"/>
    <w:rsid w:val="00662BC4"/>
    <w:rsid w:val="00663DAD"/>
    <w:rsid w:val="00670A1D"/>
    <w:rsid w:val="006712D5"/>
    <w:rsid w:val="00674D47"/>
    <w:rsid w:val="00675E20"/>
    <w:rsid w:val="00676679"/>
    <w:rsid w:val="00683C89"/>
    <w:rsid w:val="00683D97"/>
    <w:rsid w:val="0068492F"/>
    <w:rsid w:val="0068632B"/>
    <w:rsid w:val="0069114A"/>
    <w:rsid w:val="006914F2"/>
    <w:rsid w:val="00691C1E"/>
    <w:rsid w:val="006A1301"/>
    <w:rsid w:val="006A1337"/>
    <w:rsid w:val="006A526D"/>
    <w:rsid w:val="006B16B5"/>
    <w:rsid w:val="006B2395"/>
    <w:rsid w:val="006B4CF9"/>
    <w:rsid w:val="006B65EE"/>
    <w:rsid w:val="006B664F"/>
    <w:rsid w:val="006B7AC8"/>
    <w:rsid w:val="006D1075"/>
    <w:rsid w:val="006D1571"/>
    <w:rsid w:val="006D550F"/>
    <w:rsid w:val="006D5F88"/>
    <w:rsid w:val="006E3BD1"/>
    <w:rsid w:val="006E64B9"/>
    <w:rsid w:val="006E75ED"/>
    <w:rsid w:val="006F0235"/>
    <w:rsid w:val="006F29D1"/>
    <w:rsid w:val="006F370C"/>
    <w:rsid w:val="006F3EAE"/>
    <w:rsid w:val="006F49C3"/>
    <w:rsid w:val="006F4A60"/>
    <w:rsid w:val="006F4C51"/>
    <w:rsid w:val="00700984"/>
    <w:rsid w:val="00701BC1"/>
    <w:rsid w:val="00701CAB"/>
    <w:rsid w:val="00705979"/>
    <w:rsid w:val="00705F0B"/>
    <w:rsid w:val="00707563"/>
    <w:rsid w:val="00707976"/>
    <w:rsid w:val="0071448B"/>
    <w:rsid w:val="007155B4"/>
    <w:rsid w:val="00722647"/>
    <w:rsid w:val="0072348C"/>
    <w:rsid w:val="007245B2"/>
    <w:rsid w:val="00724A37"/>
    <w:rsid w:val="00725B40"/>
    <w:rsid w:val="007303C3"/>
    <w:rsid w:val="007347C6"/>
    <w:rsid w:val="007417CA"/>
    <w:rsid w:val="007429BE"/>
    <w:rsid w:val="00743223"/>
    <w:rsid w:val="007438E8"/>
    <w:rsid w:val="00745370"/>
    <w:rsid w:val="007465C4"/>
    <w:rsid w:val="00746E01"/>
    <w:rsid w:val="00751C6A"/>
    <w:rsid w:val="00757BDF"/>
    <w:rsid w:val="007607FA"/>
    <w:rsid w:val="00761FDB"/>
    <w:rsid w:val="00763E5D"/>
    <w:rsid w:val="00764539"/>
    <w:rsid w:val="00765399"/>
    <w:rsid w:val="00765F70"/>
    <w:rsid w:val="00767740"/>
    <w:rsid w:val="00770223"/>
    <w:rsid w:val="00771245"/>
    <w:rsid w:val="007731DA"/>
    <w:rsid w:val="007752A3"/>
    <w:rsid w:val="00777ECD"/>
    <w:rsid w:val="00777EE6"/>
    <w:rsid w:val="00782336"/>
    <w:rsid w:val="00782EEA"/>
    <w:rsid w:val="00792592"/>
    <w:rsid w:val="00795FC3"/>
    <w:rsid w:val="007A1A24"/>
    <w:rsid w:val="007B03F7"/>
    <w:rsid w:val="007B1639"/>
    <w:rsid w:val="007B2C72"/>
    <w:rsid w:val="007B54C5"/>
    <w:rsid w:val="007B7D6D"/>
    <w:rsid w:val="007C19A2"/>
    <w:rsid w:val="007C1C53"/>
    <w:rsid w:val="007C21B7"/>
    <w:rsid w:val="007C3258"/>
    <w:rsid w:val="007C414C"/>
    <w:rsid w:val="007C4681"/>
    <w:rsid w:val="007C74BB"/>
    <w:rsid w:val="007D1FD1"/>
    <w:rsid w:val="007D67F4"/>
    <w:rsid w:val="007E21BB"/>
    <w:rsid w:val="007E37AC"/>
    <w:rsid w:val="007E3E6B"/>
    <w:rsid w:val="007E4904"/>
    <w:rsid w:val="007E4CB5"/>
    <w:rsid w:val="007E6A04"/>
    <w:rsid w:val="007F066B"/>
    <w:rsid w:val="007F0E5B"/>
    <w:rsid w:val="007F147D"/>
    <w:rsid w:val="007F275F"/>
    <w:rsid w:val="007F3622"/>
    <w:rsid w:val="007F54FA"/>
    <w:rsid w:val="008033C4"/>
    <w:rsid w:val="00806C88"/>
    <w:rsid w:val="0081034E"/>
    <w:rsid w:val="0081097A"/>
    <w:rsid w:val="00812A1D"/>
    <w:rsid w:val="00823663"/>
    <w:rsid w:val="00827936"/>
    <w:rsid w:val="008344F6"/>
    <w:rsid w:val="0083510F"/>
    <w:rsid w:val="008422F4"/>
    <w:rsid w:val="00851209"/>
    <w:rsid w:val="00853AA0"/>
    <w:rsid w:val="00864D3A"/>
    <w:rsid w:val="00867657"/>
    <w:rsid w:val="0087136B"/>
    <w:rsid w:val="008837AC"/>
    <w:rsid w:val="00891F5B"/>
    <w:rsid w:val="00891FDC"/>
    <w:rsid w:val="008974B5"/>
    <w:rsid w:val="008A587D"/>
    <w:rsid w:val="008A5D0B"/>
    <w:rsid w:val="008A6FA5"/>
    <w:rsid w:val="008B2A7D"/>
    <w:rsid w:val="008B35CD"/>
    <w:rsid w:val="008B5FCC"/>
    <w:rsid w:val="008B6D3D"/>
    <w:rsid w:val="008B6E82"/>
    <w:rsid w:val="008B723F"/>
    <w:rsid w:val="008C0D0C"/>
    <w:rsid w:val="008C5486"/>
    <w:rsid w:val="008D1661"/>
    <w:rsid w:val="008D45F7"/>
    <w:rsid w:val="008D493F"/>
    <w:rsid w:val="008E00AC"/>
    <w:rsid w:val="008E04A3"/>
    <w:rsid w:val="008E0F52"/>
    <w:rsid w:val="008E2D20"/>
    <w:rsid w:val="008E3E11"/>
    <w:rsid w:val="008E5298"/>
    <w:rsid w:val="008E5A14"/>
    <w:rsid w:val="008E7031"/>
    <w:rsid w:val="008E77DE"/>
    <w:rsid w:val="008F07A3"/>
    <w:rsid w:val="008F2348"/>
    <w:rsid w:val="00900343"/>
    <w:rsid w:val="00900E1B"/>
    <w:rsid w:val="009045DD"/>
    <w:rsid w:val="00910E55"/>
    <w:rsid w:val="009118A8"/>
    <w:rsid w:val="00911DF5"/>
    <w:rsid w:val="0091425D"/>
    <w:rsid w:val="00914B6B"/>
    <w:rsid w:val="00916002"/>
    <w:rsid w:val="0092222B"/>
    <w:rsid w:val="00922321"/>
    <w:rsid w:val="009233EE"/>
    <w:rsid w:val="00926EC2"/>
    <w:rsid w:val="0093042D"/>
    <w:rsid w:val="0093723E"/>
    <w:rsid w:val="0093765A"/>
    <w:rsid w:val="00941C53"/>
    <w:rsid w:val="00941F29"/>
    <w:rsid w:val="00943404"/>
    <w:rsid w:val="009460AA"/>
    <w:rsid w:val="009470CB"/>
    <w:rsid w:val="009472E0"/>
    <w:rsid w:val="0095072F"/>
    <w:rsid w:val="00951978"/>
    <w:rsid w:val="00952838"/>
    <w:rsid w:val="00952A95"/>
    <w:rsid w:val="00953DC9"/>
    <w:rsid w:val="009542F8"/>
    <w:rsid w:val="00955971"/>
    <w:rsid w:val="00960F60"/>
    <w:rsid w:val="00961A4A"/>
    <w:rsid w:val="00964ACC"/>
    <w:rsid w:val="009661DE"/>
    <w:rsid w:val="009672BC"/>
    <w:rsid w:val="00970F54"/>
    <w:rsid w:val="00973C26"/>
    <w:rsid w:val="0097542D"/>
    <w:rsid w:val="00977C6B"/>
    <w:rsid w:val="0098180C"/>
    <w:rsid w:val="00983C25"/>
    <w:rsid w:val="009856B7"/>
    <w:rsid w:val="009858D3"/>
    <w:rsid w:val="00985C86"/>
    <w:rsid w:val="00992A68"/>
    <w:rsid w:val="00996887"/>
    <w:rsid w:val="009A15A4"/>
    <w:rsid w:val="009A395B"/>
    <w:rsid w:val="009A5FC3"/>
    <w:rsid w:val="009B036C"/>
    <w:rsid w:val="009B1D33"/>
    <w:rsid w:val="009B390E"/>
    <w:rsid w:val="009B46A3"/>
    <w:rsid w:val="009B638D"/>
    <w:rsid w:val="009B74B0"/>
    <w:rsid w:val="009C018D"/>
    <w:rsid w:val="009C1B5E"/>
    <w:rsid w:val="009C2DA2"/>
    <w:rsid w:val="009C712B"/>
    <w:rsid w:val="009D19E9"/>
    <w:rsid w:val="009D4D80"/>
    <w:rsid w:val="009D643F"/>
    <w:rsid w:val="009D6B46"/>
    <w:rsid w:val="009E47FF"/>
    <w:rsid w:val="009F0CD6"/>
    <w:rsid w:val="009F17A6"/>
    <w:rsid w:val="009F2CD1"/>
    <w:rsid w:val="009F4940"/>
    <w:rsid w:val="009F5BA1"/>
    <w:rsid w:val="009F726D"/>
    <w:rsid w:val="00A00228"/>
    <w:rsid w:val="00A00F31"/>
    <w:rsid w:val="00A021CA"/>
    <w:rsid w:val="00A02A88"/>
    <w:rsid w:val="00A0562E"/>
    <w:rsid w:val="00A0726D"/>
    <w:rsid w:val="00A11C75"/>
    <w:rsid w:val="00A1300C"/>
    <w:rsid w:val="00A1540F"/>
    <w:rsid w:val="00A15F7D"/>
    <w:rsid w:val="00A25573"/>
    <w:rsid w:val="00A301BE"/>
    <w:rsid w:val="00A304A6"/>
    <w:rsid w:val="00A32FBB"/>
    <w:rsid w:val="00A34E20"/>
    <w:rsid w:val="00A40D80"/>
    <w:rsid w:val="00A428EE"/>
    <w:rsid w:val="00A4478A"/>
    <w:rsid w:val="00A44852"/>
    <w:rsid w:val="00A44F13"/>
    <w:rsid w:val="00A4626F"/>
    <w:rsid w:val="00A47714"/>
    <w:rsid w:val="00A526DB"/>
    <w:rsid w:val="00A54CC2"/>
    <w:rsid w:val="00A57D04"/>
    <w:rsid w:val="00A60A26"/>
    <w:rsid w:val="00A61598"/>
    <w:rsid w:val="00A6208B"/>
    <w:rsid w:val="00A64E6A"/>
    <w:rsid w:val="00A74CA7"/>
    <w:rsid w:val="00A767E1"/>
    <w:rsid w:val="00A771EF"/>
    <w:rsid w:val="00A77F3B"/>
    <w:rsid w:val="00A84A99"/>
    <w:rsid w:val="00A84F46"/>
    <w:rsid w:val="00A871F4"/>
    <w:rsid w:val="00A91109"/>
    <w:rsid w:val="00A95207"/>
    <w:rsid w:val="00A9627E"/>
    <w:rsid w:val="00AA4FB8"/>
    <w:rsid w:val="00AA5421"/>
    <w:rsid w:val="00AA6584"/>
    <w:rsid w:val="00AA726D"/>
    <w:rsid w:val="00AB1F4E"/>
    <w:rsid w:val="00AC185C"/>
    <w:rsid w:val="00AC1B2C"/>
    <w:rsid w:val="00AC3264"/>
    <w:rsid w:val="00AC4402"/>
    <w:rsid w:val="00AC4F12"/>
    <w:rsid w:val="00AD0034"/>
    <w:rsid w:val="00AD433E"/>
    <w:rsid w:val="00AD60DD"/>
    <w:rsid w:val="00AE149E"/>
    <w:rsid w:val="00AE179D"/>
    <w:rsid w:val="00AE1BF1"/>
    <w:rsid w:val="00AE375C"/>
    <w:rsid w:val="00AF08A9"/>
    <w:rsid w:val="00AF0CB8"/>
    <w:rsid w:val="00AF0DD2"/>
    <w:rsid w:val="00AF52F7"/>
    <w:rsid w:val="00B01788"/>
    <w:rsid w:val="00B03626"/>
    <w:rsid w:val="00B07FA0"/>
    <w:rsid w:val="00B10281"/>
    <w:rsid w:val="00B13048"/>
    <w:rsid w:val="00B169BD"/>
    <w:rsid w:val="00B17128"/>
    <w:rsid w:val="00B1716D"/>
    <w:rsid w:val="00B17A1D"/>
    <w:rsid w:val="00B207A0"/>
    <w:rsid w:val="00B23DC3"/>
    <w:rsid w:val="00B34CEC"/>
    <w:rsid w:val="00B3588C"/>
    <w:rsid w:val="00B426DC"/>
    <w:rsid w:val="00B514DD"/>
    <w:rsid w:val="00B52AF0"/>
    <w:rsid w:val="00B54AA0"/>
    <w:rsid w:val="00B55755"/>
    <w:rsid w:val="00B561BD"/>
    <w:rsid w:val="00B5694C"/>
    <w:rsid w:val="00B56E03"/>
    <w:rsid w:val="00B5775F"/>
    <w:rsid w:val="00B671BC"/>
    <w:rsid w:val="00B701C4"/>
    <w:rsid w:val="00B744DB"/>
    <w:rsid w:val="00B8080B"/>
    <w:rsid w:val="00B823F9"/>
    <w:rsid w:val="00B84589"/>
    <w:rsid w:val="00B87987"/>
    <w:rsid w:val="00B87BA5"/>
    <w:rsid w:val="00B87C39"/>
    <w:rsid w:val="00B92BF9"/>
    <w:rsid w:val="00B930F1"/>
    <w:rsid w:val="00B94C0D"/>
    <w:rsid w:val="00BA13D3"/>
    <w:rsid w:val="00BA335E"/>
    <w:rsid w:val="00BA4665"/>
    <w:rsid w:val="00BA6380"/>
    <w:rsid w:val="00BB2FB2"/>
    <w:rsid w:val="00BB3304"/>
    <w:rsid w:val="00BB442B"/>
    <w:rsid w:val="00BC51BE"/>
    <w:rsid w:val="00BC709D"/>
    <w:rsid w:val="00BC725A"/>
    <w:rsid w:val="00BD1737"/>
    <w:rsid w:val="00BD222D"/>
    <w:rsid w:val="00BD3446"/>
    <w:rsid w:val="00BE04FB"/>
    <w:rsid w:val="00BE14BB"/>
    <w:rsid w:val="00BE1CAA"/>
    <w:rsid w:val="00BE1F1B"/>
    <w:rsid w:val="00BE47B5"/>
    <w:rsid w:val="00BE5446"/>
    <w:rsid w:val="00BF2924"/>
    <w:rsid w:val="00BF4140"/>
    <w:rsid w:val="00C038D0"/>
    <w:rsid w:val="00C03993"/>
    <w:rsid w:val="00C04372"/>
    <w:rsid w:val="00C052EC"/>
    <w:rsid w:val="00C06D25"/>
    <w:rsid w:val="00C12A47"/>
    <w:rsid w:val="00C152A6"/>
    <w:rsid w:val="00C25FA6"/>
    <w:rsid w:val="00C26889"/>
    <w:rsid w:val="00C35F8A"/>
    <w:rsid w:val="00C3669C"/>
    <w:rsid w:val="00C42B85"/>
    <w:rsid w:val="00C43E80"/>
    <w:rsid w:val="00C50379"/>
    <w:rsid w:val="00C50ABA"/>
    <w:rsid w:val="00C52CE4"/>
    <w:rsid w:val="00C538A9"/>
    <w:rsid w:val="00C53981"/>
    <w:rsid w:val="00C53B5A"/>
    <w:rsid w:val="00C541BB"/>
    <w:rsid w:val="00C54397"/>
    <w:rsid w:val="00C54F5A"/>
    <w:rsid w:val="00C569B4"/>
    <w:rsid w:val="00C60174"/>
    <w:rsid w:val="00C62182"/>
    <w:rsid w:val="00C624DA"/>
    <w:rsid w:val="00C67A92"/>
    <w:rsid w:val="00C72D8F"/>
    <w:rsid w:val="00C764C9"/>
    <w:rsid w:val="00C8063D"/>
    <w:rsid w:val="00C81995"/>
    <w:rsid w:val="00C86679"/>
    <w:rsid w:val="00C97BC0"/>
    <w:rsid w:val="00CA489E"/>
    <w:rsid w:val="00CA4BA9"/>
    <w:rsid w:val="00CA60DA"/>
    <w:rsid w:val="00CA7926"/>
    <w:rsid w:val="00CB0279"/>
    <w:rsid w:val="00CB666B"/>
    <w:rsid w:val="00CC0428"/>
    <w:rsid w:val="00CC221E"/>
    <w:rsid w:val="00CC3582"/>
    <w:rsid w:val="00CC37E7"/>
    <w:rsid w:val="00CC4F91"/>
    <w:rsid w:val="00CC7F1D"/>
    <w:rsid w:val="00CD0642"/>
    <w:rsid w:val="00CD7AF9"/>
    <w:rsid w:val="00CE20E1"/>
    <w:rsid w:val="00CE616D"/>
    <w:rsid w:val="00CF20A2"/>
    <w:rsid w:val="00CF21A7"/>
    <w:rsid w:val="00CF2252"/>
    <w:rsid w:val="00CF3FEE"/>
    <w:rsid w:val="00CF6223"/>
    <w:rsid w:val="00CF6341"/>
    <w:rsid w:val="00CF6791"/>
    <w:rsid w:val="00CF74D9"/>
    <w:rsid w:val="00D006AE"/>
    <w:rsid w:val="00D01CF0"/>
    <w:rsid w:val="00D0442A"/>
    <w:rsid w:val="00D14D61"/>
    <w:rsid w:val="00D153BC"/>
    <w:rsid w:val="00D350BE"/>
    <w:rsid w:val="00D35D6E"/>
    <w:rsid w:val="00D36141"/>
    <w:rsid w:val="00D3701C"/>
    <w:rsid w:val="00D443C4"/>
    <w:rsid w:val="00D44495"/>
    <w:rsid w:val="00D5035D"/>
    <w:rsid w:val="00D51FEA"/>
    <w:rsid w:val="00D61388"/>
    <w:rsid w:val="00D615C0"/>
    <w:rsid w:val="00D61A54"/>
    <w:rsid w:val="00D64DEA"/>
    <w:rsid w:val="00D7168E"/>
    <w:rsid w:val="00D71D64"/>
    <w:rsid w:val="00D71E57"/>
    <w:rsid w:val="00D767D1"/>
    <w:rsid w:val="00D80893"/>
    <w:rsid w:val="00D81579"/>
    <w:rsid w:val="00D84113"/>
    <w:rsid w:val="00D84854"/>
    <w:rsid w:val="00D85743"/>
    <w:rsid w:val="00D85909"/>
    <w:rsid w:val="00D86C40"/>
    <w:rsid w:val="00D92CF1"/>
    <w:rsid w:val="00D92D38"/>
    <w:rsid w:val="00D93C9D"/>
    <w:rsid w:val="00D94521"/>
    <w:rsid w:val="00D950F5"/>
    <w:rsid w:val="00DA1D13"/>
    <w:rsid w:val="00DA4752"/>
    <w:rsid w:val="00DA61F3"/>
    <w:rsid w:val="00DB0F93"/>
    <w:rsid w:val="00DB1A67"/>
    <w:rsid w:val="00DB2E14"/>
    <w:rsid w:val="00DB5074"/>
    <w:rsid w:val="00DC03F1"/>
    <w:rsid w:val="00DC074E"/>
    <w:rsid w:val="00DC1067"/>
    <w:rsid w:val="00DC2FAA"/>
    <w:rsid w:val="00DC32D9"/>
    <w:rsid w:val="00DC7981"/>
    <w:rsid w:val="00DD136B"/>
    <w:rsid w:val="00DD33EF"/>
    <w:rsid w:val="00DD59AA"/>
    <w:rsid w:val="00DE097A"/>
    <w:rsid w:val="00DE1093"/>
    <w:rsid w:val="00DE4EFA"/>
    <w:rsid w:val="00DE5520"/>
    <w:rsid w:val="00DE563D"/>
    <w:rsid w:val="00DE752C"/>
    <w:rsid w:val="00DF1E69"/>
    <w:rsid w:val="00DF5DAF"/>
    <w:rsid w:val="00E01BE0"/>
    <w:rsid w:val="00E04818"/>
    <w:rsid w:val="00E05406"/>
    <w:rsid w:val="00E06442"/>
    <w:rsid w:val="00E12106"/>
    <w:rsid w:val="00E13393"/>
    <w:rsid w:val="00E17029"/>
    <w:rsid w:val="00E22ED5"/>
    <w:rsid w:val="00E23993"/>
    <w:rsid w:val="00E25B8C"/>
    <w:rsid w:val="00E25C86"/>
    <w:rsid w:val="00E26945"/>
    <w:rsid w:val="00E27915"/>
    <w:rsid w:val="00E27F5C"/>
    <w:rsid w:val="00E359E3"/>
    <w:rsid w:val="00E35F33"/>
    <w:rsid w:val="00E36BCE"/>
    <w:rsid w:val="00E44727"/>
    <w:rsid w:val="00E4628D"/>
    <w:rsid w:val="00E503F5"/>
    <w:rsid w:val="00E55F7A"/>
    <w:rsid w:val="00E56083"/>
    <w:rsid w:val="00E65C85"/>
    <w:rsid w:val="00E66199"/>
    <w:rsid w:val="00E71EA3"/>
    <w:rsid w:val="00E755EC"/>
    <w:rsid w:val="00E7624D"/>
    <w:rsid w:val="00E81440"/>
    <w:rsid w:val="00E848CF"/>
    <w:rsid w:val="00E87315"/>
    <w:rsid w:val="00E87850"/>
    <w:rsid w:val="00E9111B"/>
    <w:rsid w:val="00E9623F"/>
    <w:rsid w:val="00EA3D42"/>
    <w:rsid w:val="00EA4279"/>
    <w:rsid w:val="00EA5A00"/>
    <w:rsid w:val="00EA6B1B"/>
    <w:rsid w:val="00EA7F11"/>
    <w:rsid w:val="00EB2B0E"/>
    <w:rsid w:val="00EB2C62"/>
    <w:rsid w:val="00EB4171"/>
    <w:rsid w:val="00EB5B2A"/>
    <w:rsid w:val="00EC1E73"/>
    <w:rsid w:val="00ED0E60"/>
    <w:rsid w:val="00ED316E"/>
    <w:rsid w:val="00ED5CA4"/>
    <w:rsid w:val="00ED7323"/>
    <w:rsid w:val="00EE0E46"/>
    <w:rsid w:val="00EE28F3"/>
    <w:rsid w:val="00EF3562"/>
    <w:rsid w:val="00EF428F"/>
    <w:rsid w:val="00EF5110"/>
    <w:rsid w:val="00EF6822"/>
    <w:rsid w:val="00F0058A"/>
    <w:rsid w:val="00F06B2D"/>
    <w:rsid w:val="00F07C4E"/>
    <w:rsid w:val="00F07DC6"/>
    <w:rsid w:val="00F10411"/>
    <w:rsid w:val="00F10F02"/>
    <w:rsid w:val="00F1151C"/>
    <w:rsid w:val="00F1170B"/>
    <w:rsid w:val="00F14F5B"/>
    <w:rsid w:val="00F1564A"/>
    <w:rsid w:val="00F15882"/>
    <w:rsid w:val="00F171E0"/>
    <w:rsid w:val="00F20BD3"/>
    <w:rsid w:val="00F21BE5"/>
    <w:rsid w:val="00F22252"/>
    <w:rsid w:val="00F24A32"/>
    <w:rsid w:val="00F25C84"/>
    <w:rsid w:val="00F26091"/>
    <w:rsid w:val="00F348C6"/>
    <w:rsid w:val="00F373A5"/>
    <w:rsid w:val="00F40280"/>
    <w:rsid w:val="00F45FE9"/>
    <w:rsid w:val="00F46C76"/>
    <w:rsid w:val="00F47559"/>
    <w:rsid w:val="00F47F33"/>
    <w:rsid w:val="00F60C36"/>
    <w:rsid w:val="00F61F8B"/>
    <w:rsid w:val="00F6208E"/>
    <w:rsid w:val="00F638F6"/>
    <w:rsid w:val="00F64C7B"/>
    <w:rsid w:val="00F650B6"/>
    <w:rsid w:val="00F65125"/>
    <w:rsid w:val="00F67142"/>
    <w:rsid w:val="00F676DD"/>
    <w:rsid w:val="00F71B2F"/>
    <w:rsid w:val="00F75A26"/>
    <w:rsid w:val="00F76706"/>
    <w:rsid w:val="00F82190"/>
    <w:rsid w:val="00F83FAD"/>
    <w:rsid w:val="00F863BB"/>
    <w:rsid w:val="00F91916"/>
    <w:rsid w:val="00F947B6"/>
    <w:rsid w:val="00F94840"/>
    <w:rsid w:val="00F952A0"/>
    <w:rsid w:val="00FA3C7F"/>
    <w:rsid w:val="00FA7642"/>
    <w:rsid w:val="00FB6BC2"/>
    <w:rsid w:val="00FB6F28"/>
    <w:rsid w:val="00FB74E2"/>
    <w:rsid w:val="00FB7B0D"/>
    <w:rsid w:val="00FC06A6"/>
    <w:rsid w:val="00FC10C4"/>
    <w:rsid w:val="00FD430D"/>
    <w:rsid w:val="00FD4781"/>
    <w:rsid w:val="00FD4F4D"/>
    <w:rsid w:val="00FD5614"/>
    <w:rsid w:val="00FD65A5"/>
    <w:rsid w:val="00FE0BE1"/>
    <w:rsid w:val="00FE1DE9"/>
    <w:rsid w:val="00FE36AF"/>
    <w:rsid w:val="00FE39C2"/>
    <w:rsid w:val="00FE3C32"/>
    <w:rsid w:val="00FE47E1"/>
    <w:rsid w:val="00FE4A73"/>
    <w:rsid w:val="00FE6133"/>
    <w:rsid w:val="00FE64AE"/>
    <w:rsid w:val="00FF0CEC"/>
    <w:rsid w:val="00FF13DC"/>
    <w:rsid w:val="00FF347A"/>
    <w:rsid w:val="00FF4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4449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E20E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4449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E20E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94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95023381">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6534535">
      <w:bodyDiv w:val="1"/>
      <w:marLeft w:val="0"/>
      <w:marRight w:val="0"/>
      <w:marTop w:val="0"/>
      <w:marBottom w:val="0"/>
      <w:divBdr>
        <w:top w:val="none" w:sz="0" w:space="0" w:color="auto"/>
        <w:left w:val="none" w:sz="0" w:space="0" w:color="auto"/>
        <w:bottom w:val="none" w:sz="0" w:space="0" w:color="auto"/>
        <w:right w:val="none" w:sz="0" w:space="0" w:color="auto"/>
      </w:divBdr>
    </w:div>
    <w:div w:id="1162814516">
      <w:bodyDiv w:val="1"/>
      <w:marLeft w:val="0"/>
      <w:marRight w:val="0"/>
      <w:marTop w:val="0"/>
      <w:marBottom w:val="0"/>
      <w:divBdr>
        <w:top w:val="none" w:sz="0" w:space="0" w:color="auto"/>
        <w:left w:val="none" w:sz="0" w:space="0" w:color="auto"/>
        <w:bottom w:val="none" w:sz="0" w:space="0" w:color="auto"/>
        <w:right w:val="none" w:sz="0" w:space="0" w:color="auto"/>
      </w:divBdr>
    </w:div>
    <w:div w:id="1325861654">
      <w:bodyDiv w:val="1"/>
      <w:marLeft w:val="0"/>
      <w:marRight w:val="0"/>
      <w:marTop w:val="0"/>
      <w:marBottom w:val="0"/>
      <w:divBdr>
        <w:top w:val="none" w:sz="0" w:space="0" w:color="auto"/>
        <w:left w:val="none" w:sz="0" w:space="0" w:color="auto"/>
        <w:bottom w:val="none" w:sz="0" w:space="0" w:color="auto"/>
        <w:right w:val="none" w:sz="0" w:space="0" w:color="auto"/>
      </w:divBdr>
    </w:div>
    <w:div w:id="1737703272">
      <w:bodyDiv w:val="1"/>
      <w:marLeft w:val="0"/>
      <w:marRight w:val="0"/>
      <w:marTop w:val="0"/>
      <w:marBottom w:val="0"/>
      <w:divBdr>
        <w:top w:val="none" w:sz="0" w:space="0" w:color="auto"/>
        <w:left w:val="none" w:sz="0" w:space="0" w:color="auto"/>
        <w:bottom w:val="none" w:sz="0" w:space="0" w:color="auto"/>
        <w:right w:val="none" w:sz="0" w:space="0" w:color="auto"/>
      </w:divBdr>
    </w:div>
    <w:div w:id="1872373474">
      <w:bodyDiv w:val="1"/>
      <w:marLeft w:val="0"/>
      <w:marRight w:val="0"/>
      <w:marTop w:val="0"/>
      <w:marBottom w:val="0"/>
      <w:divBdr>
        <w:top w:val="none" w:sz="0" w:space="0" w:color="auto"/>
        <w:left w:val="none" w:sz="0" w:space="0" w:color="auto"/>
        <w:bottom w:val="none" w:sz="0" w:space="0" w:color="auto"/>
        <w:right w:val="none" w:sz="0" w:space="0" w:color="auto"/>
      </w:divBdr>
    </w:div>
    <w:div w:id="21114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E7D09-498C-4445-A79B-9ACFA63E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151DCE81</Template>
  <TotalTime>0</TotalTime>
  <Pages>54</Pages>
  <Words>14386</Words>
  <Characters>82003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2015-10-24T07:21:00Z</dcterms:created>
  <dcterms:modified xsi:type="dcterms:W3CDTF">2015-10-24T07:21:00Z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8427787</vt:lpwstr>
  </property>
  <property fmtid="{D5CDD505-2E9C-101B-9397-08002B2CF9AE}" pid="3" name="_MarkAsFinal">
    <vt:bool>true</vt:bool>
  </property>
</Properties>
</file>