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20FE5DC1" wp14:editId="595F690A">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EA744C">
            <w:t>FINAL</w:t>
          </w:r>
          <w:r w:rsidR="00DA4752">
            <w:t xml:space="preserve"> DECISION</w:t>
          </w:r>
        </w:p>
        <w:p w:rsidR="00415F31" w:rsidRDefault="00EA744C" w:rsidP="008F07A3">
          <w:pPr>
            <w:pStyle w:val="ReportSubtitle"/>
          </w:pPr>
          <w:r>
            <w:t>E</w:t>
          </w:r>
          <w:r w:rsidR="00314063">
            <w:t>rgon Energy</w:t>
          </w:r>
          <w:r w:rsidR="0070011E">
            <w:t xml:space="preserve"> distribution</w:t>
          </w:r>
          <w:r w:rsidR="00415F31">
            <w:t xml:space="preserve"> </w:t>
          </w:r>
          <w:r w:rsidR="00DA4752">
            <w:t>determination</w:t>
          </w:r>
        </w:p>
        <w:p w:rsidR="000A6C7B" w:rsidRDefault="005C0A7F" w:rsidP="008F07A3">
          <w:pPr>
            <w:pStyle w:val="ReportSubtitle"/>
          </w:pPr>
          <w:r>
            <w:t xml:space="preserve"> 20</w:t>
          </w:r>
          <w:r w:rsidR="00EA744C">
            <w:t>15</w:t>
          </w:r>
          <w:r w:rsidR="00EA744C">
            <w:rPr>
              <w:rFonts w:cs="Arial"/>
            </w:rPr>
            <w:t>−</w:t>
          </w:r>
          <w:r w:rsidR="00DA4752">
            <w:t xml:space="preserve">16 to </w:t>
          </w:r>
          <w:r>
            <w:t>20</w:t>
          </w:r>
          <w:r w:rsidR="00EA744C">
            <w:t>19</w:t>
          </w:r>
          <w:r w:rsidR="00EA744C">
            <w:rPr>
              <w:rFonts w:cs="Arial"/>
            </w:rPr>
            <w:t>−</w:t>
          </w:r>
          <w:r w:rsidR="00EA744C">
            <w:t>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EB606C">
            <w:t>1</w:t>
          </w:r>
          <w:r w:rsidR="0085722A">
            <w:t>8</w:t>
          </w:r>
          <w:r w:rsidR="00DA4752">
            <w:t xml:space="preserve"> </w:t>
          </w:r>
          <w:r w:rsidR="00415F31">
            <w:rPr>
              <w:rFonts w:cs="Arial"/>
            </w:rPr>
            <w:t>–</w:t>
          </w:r>
          <w:r w:rsidR="00DA4752">
            <w:t xml:space="preserve"> </w:t>
          </w:r>
          <w:r w:rsidR="0085722A">
            <w:t xml:space="preserve">Connection </w:t>
          </w:r>
          <w:r w:rsidR="00D17683">
            <w:t>policy</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DE772C">
      <w:pPr>
        <w:pStyle w:val="UnnumberedHeading"/>
        <w:numPr>
          <w:ilvl w:val="0"/>
          <w:numId w:val="23"/>
        </w:numPr>
      </w:pPr>
      <w:bookmarkStart w:id="5" w:name="_Toc429475163"/>
      <w:r>
        <w:lastRenderedPageBreak/>
        <w:t>N</w:t>
      </w:r>
      <w:r w:rsidR="008F07A3">
        <w:t>ote</w:t>
      </w:r>
      <w:bookmarkEnd w:id="1"/>
      <w:bookmarkEnd w:id="2"/>
      <w:bookmarkEnd w:id="3"/>
      <w:bookmarkEnd w:id="4"/>
      <w:bookmarkEnd w:id="5"/>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EA744C">
        <w:t>final</w:t>
      </w:r>
      <w:r w:rsidR="00415F31">
        <w:t xml:space="preserve"> decision </w:t>
      </w:r>
      <w:r w:rsidR="00EA744C">
        <w:t xml:space="preserve">on </w:t>
      </w:r>
      <w:r w:rsidR="00314063">
        <w:t>Ergon Energy</w:t>
      </w:r>
      <w:r w:rsidR="00EA744C">
        <w:t>'s</w:t>
      </w:r>
      <w:r w:rsidR="00415F31">
        <w:t xml:space="preserve"> revenue proposal 201</w:t>
      </w:r>
      <w:r w:rsidR="00EA744C">
        <w:t>5</w:t>
      </w:r>
      <w:r w:rsidR="00415F31" w:rsidRPr="00D904FA">
        <w:t>–</w:t>
      </w:r>
      <w:r w:rsidR="005C0A7F">
        <w:t>20</w:t>
      </w:r>
      <w:r w:rsidR="00415F31">
        <w:t xml:space="preserve">. It should be read with </w:t>
      </w:r>
      <w:r w:rsidR="005C0A7F">
        <w:t xml:space="preserve">all </w:t>
      </w:r>
      <w:r w:rsidR="00415F31">
        <w:t xml:space="preserve">other parts of the </w:t>
      </w:r>
      <w:r w:rsidR="00EA744C">
        <w:t>final</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EA744C">
        <w:t>final</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w:t>
      </w:r>
      <w:r w:rsidR="009A5113">
        <w:t>ment 18 - Connection policy</w:t>
      </w:r>
    </w:p>
    <w:p w:rsidR="00DE5E2E" w:rsidRDefault="00DE5E2E" w:rsidP="00415F31"/>
    <w:p w:rsidR="008F07A3" w:rsidRPr="008F07A3" w:rsidRDefault="008F07A3" w:rsidP="00DE5E2E">
      <w:pPr>
        <w:sectPr w:rsidR="008F07A3" w:rsidRPr="008F07A3" w:rsidSect="001754EE">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DE563D" w:rsidRPr="00A72B34" w:rsidRDefault="00DE563D" w:rsidP="00DE772C">
      <w:pPr>
        <w:pStyle w:val="UnnumberedHeading"/>
        <w:numPr>
          <w:ilvl w:val="0"/>
          <w:numId w:val="23"/>
        </w:numPr>
      </w:pPr>
      <w:bookmarkStart w:id="6" w:name="_Toc403144133"/>
      <w:bookmarkStart w:id="7" w:name="_Toc429475164"/>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444FDC"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29475163" w:history="1">
            <w:r w:rsidR="00444FDC" w:rsidRPr="003C6514">
              <w:rPr>
                <w:rStyle w:val="Hyperlink"/>
              </w:rPr>
              <w:t>Note</w:t>
            </w:r>
            <w:r w:rsidR="00444FDC">
              <w:rPr>
                <w:webHidden/>
              </w:rPr>
              <w:tab/>
            </w:r>
            <w:r w:rsidR="00444FDC">
              <w:rPr>
                <w:webHidden/>
              </w:rPr>
              <w:fldChar w:fldCharType="begin"/>
            </w:r>
            <w:r w:rsidR="00444FDC">
              <w:rPr>
                <w:webHidden/>
              </w:rPr>
              <w:instrText xml:space="preserve"> PAGEREF _Toc429475163 \h </w:instrText>
            </w:r>
            <w:r w:rsidR="00444FDC">
              <w:rPr>
                <w:webHidden/>
              </w:rPr>
            </w:r>
            <w:r w:rsidR="00444FDC">
              <w:rPr>
                <w:webHidden/>
              </w:rPr>
              <w:fldChar w:fldCharType="separate"/>
            </w:r>
            <w:r w:rsidR="00444FDC">
              <w:rPr>
                <w:webHidden/>
              </w:rPr>
              <w:t>18-2</w:t>
            </w:r>
            <w:r w:rsidR="00444FDC">
              <w:rPr>
                <w:webHidden/>
              </w:rPr>
              <w:fldChar w:fldCharType="end"/>
            </w:r>
          </w:hyperlink>
        </w:p>
        <w:p w:rsidR="00444FDC" w:rsidRDefault="00EF26B5">
          <w:pPr>
            <w:pStyle w:val="TOC1"/>
            <w:rPr>
              <w:rFonts w:asciiTheme="minorHAnsi" w:eastAsiaTheme="minorEastAsia" w:hAnsiTheme="minorHAnsi"/>
              <w:b w:val="0"/>
              <w:color w:val="auto"/>
              <w:sz w:val="22"/>
              <w:lang w:val="en-AU" w:eastAsia="en-AU"/>
            </w:rPr>
          </w:pPr>
          <w:hyperlink w:anchor="_Toc429475164" w:history="1">
            <w:r w:rsidR="00444FDC" w:rsidRPr="003C6514">
              <w:rPr>
                <w:rStyle w:val="Hyperlink"/>
              </w:rPr>
              <w:t>Contents</w:t>
            </w:r>
            <w:r w:rsidR="00444FDC">
              <w:rPr>
                <w:webHidden/>
              </w:rPr>
              <w:tab/>
            </w:r>
            <w:r w:rsidR="00444FDC">
              <w:rPr>
                <w:webHidden/>
              </w:rPr>
              <w:fldChar w:fldCharType="begin"/>
            </w:r>
            <w:r w:rsidR="00444FDC">
              <w:rPr>
                <w:webHidden/>
              </w:rPr>
              <w:instrText xml:space="preserve"> PAGEREF _Toc429475164 \h </w:instrText>
            </w:r>
            <w:r w:rsidR="00444FDC">
              <w:rPr>
                <w:webHidden/>
              </w:rPr>
            </w:r>
            <w:r w:rsidR="00444FDC">
              <w:rPr>
                <w:webHidden/>
              </w:rPr>
              <w:fldChar w:fldCharType="separate"/>
            </w:r>
            <w:r w:rsidR="00444FDC">
              <w:rPr>
                <w:webHidden/>
              </w:rPr>
              <w:t>18-3</w:t>
            </w:r>
            <w:r w:rsidR="00444FDC">
              <w:rPr>
                <w:webHidden/>
              </w:rPr>
              <w:fldChar w:fldCharType="end"/>
            </w:r>
          </w:hyperlink>
        </w:p>
        <w:p w:rsidR="00444FDC" w:rsidRDefault="00EF26B5">
          <w:pPr>
            <w:pStyle w:val="TOC1"/>
            <w:rPr>
              <w:rFonts w:asciiTheme="minorHAnsi" w:eastAsiaTheme="minorEastAsia" w:hAnsiTheme="minorHAnsi"/>
              <w:b w:val="0"/>
              <w:color w:val="auto"/>
              <w:sz w:val="22"/>
              <w:lang w:val="en-AU" w:eastAsia="en-AU"/>
            </w:rPr>
          </w:pPr>
          <w:hyperlink w:anchor="_Toc429475165" w:history="1">
            <w:r w:rsidR="00444FDC" w:rsidRPr="003C6514">
              <w:rPr>
                <w:rStyle w:val="Hyperlink"/>
              </w:rPr>
              <w:t>Shortened forms</w:t>
            </w:r>
            <w:r w:rsidR="00444FDC">
              <w:rPr>
                <w:webHidden/>
              </w:rPr>
              <w:tab/>
            </w:r>
            <w:r w:rsidR="00444FDC">
              <w:rPr>
                <w:webHidden/>
              </w:rPr>
              <w:fldChar w:fldCharType="begin"/>
            </w:r>
            <w:r w:rsidR="00444FDC">
              <w:rPr>
                <w:webHidden/>
              </w:rPr>
              <w:instrText xml:space="preserve"> PAGEREF _Toc429475165 \h </w:instrText>
            </w:r>
            <w:r w:rsidR="00444FDC">
              <w:rPr>
                <w:webHidden/>
              </w:rPr>
            </w:r>
            <w:r w:rsidR="00444FDC">
              <w:rPr>
                <w:webHidden/>
              </w:rPr>
              <w:fldChar w:fldCharType="separate"/>
            </w:r>
            <w:r w:rsidR="00444FDC">
              <w:rPr>
                <w:webHidden/>
              </w:rPr>
              <w:t>18-4</w:t>
            </w:r>
            <w:r w:rsidR="00444FDC">
              <w:rPr>
                <w:webHidden/>
              </w:rPr>
              <w:fldChar w:fldCharType="end"/>
            </w:r>
          </w:hyperlink>
        </w:p>
        <w:p w:rsidR="00444FDC" w:rsidRDefault="00EF26B5">
          <w:pPr>
            <w:pStyle w:val="TOC1"/>
            <w:rPr>
              <w:rFonts w:asciiTheme="minorHAnsi" w:eastAsiaTheme="minorEastAsia" w:hAnsiTheme="minorHAnsi"/>
              <w:b w:val="0"/>
              <w:color w:val="auto"/>
              <w:sz w:val="22"/>
              <w:lang w:val="en-AU" w:eastAsia="en-AU"/>
            </w:rPr>
          </w:pPr>
          <w:hyperlink w:anchor="_Toc429475166" w:history="1">
            <w:r w:rsidR="00444FDC" w:rsidRPr="003C6514">
              <w:rPr>
                <w:rStyle w:val="Hyperlink"/>
              </w:rPr>
              <w:t>18</w:t>
            </w:r>
            <w:r w:rsidR="00444FDC">
              <w:rPr>
                <w:rFonts w:asciiTheme="minorHAnsi" w:eastAsiaTheme="minorEastAsia" w:hAnsiTheme="minorHAnsi"/>
                <w:b w:val="0"/>
                <w:color w:val="auto"/>
                <w:sz w:val="22"/>
                <w:lang w:val="en-AU" w:eastAsia="en-AU"/>
              </w:rPr>
              <w:tab/>
            </w:r>
            <w:r w:rsidR="00444FDC" w:rsidRPr="003C6514">
              <w:rPr>
                <w:rStyle w:val="Hyperlink"/>
              </w:rPr>
              <w:t>Connection Policy</w:t>
            </w:r>
            <w:r w:rsidR="00444FDC">
              <w:rPr>
                <w:webHidden/>
              </w:rPr>
              <w:tab/>
            </w:r>
            <w:r w:rsidR="00444FDC">
              <w:rPr>
                <w:webHidden/>
              </w:rPr>
              <w:fldChar w:fldCharType="begin"/>
            </w:r>
            <w:r w:rsidR="00444FDC">
              <w:rPr>
                <w:webHidden/>
              </w:rPr>
              <w:instrText xml:space="preserve"> PAGEREF _Toc429475166 \h </w:instrText>
            </w:r>
            <w:r w:rsidR="00444FDC">
              <w:rPr>
                <w:webHidden/>
              </w:rPr>
            </w:r>
            <w:r w:rsidR="00444FDC">
              <w:rPr>
                <w:webHidden/>
              </w:rPr>
              <w:fldChar w:fldCharType="separate"/>
            </w:r>
            <w:r w:rsidR="00444FDC">
              <w:rPr>
                <w:webHidden/>
              </w:rPr>
              <w:t>18-6</w:t>
            </w:r>
            <w:r w:rsidR="00444FDC">
              <w:rPr>
                <w:webHidden/>
              </w:rPr>
              <w:fldChar w:fldCharType="end"/>
            </w:r>
          </w:hyperlink>
        </w:p>
        <w:p w:rsidR="00444FDC" w:rsidRDefault="00EF26B5">
          <w:pPr>
            <w:pStyle w:val="TOC2"/>
            <w:tabs>
              <w:tab w:val="left" w:pos="1276"/>
            </w:tabs>
            <w:rPr>
              <w:rFonts w:asciiTheme="minorHAnsi" w:eastAsiaTheme="minorEastAsia" w:hAnsiTheme="minorHAnsi"/>
              <w:b w:val="0"/>
              <w:color w:val="auto"/>
              <w:sz w:val="22"/>
              <w:lang w:eastAsia="en-AU"/>
            </w:rPr>
          </w:pPr>
          <w:hyperlink w:anchor="_Toc429475167" w:history="1">
            <w:r w:rsidR="00444FDC" w:rsidRPr="003C6514">
              <w:rPr>
                <w:rStyle w:val="Hyperlink"/>
              </w:rPr>
              <w:t>18.1</w:t>
            </w:r>
            <w:r w:rsidR="00444FDC">
              <w:rPr>
                <w:rFonts w:asciiTheme="minorHAnsi" w:eastAsiaTheme="minorEastAsia" w:hAnsiTheme="minorHAnsi"/>
                <w:b w:val="0"/>
                <w:color w:val="auto"/>
                <w:sz w:val="22"/>
                <w:lang w:eastAsia="en-AU"/>
              </w:rPr>
              <w:tab/>
            </w:r>
            <w:r w:rsidR="00444FDC" w:rsidRPr="003C6514">
              <w:rPr>
                <w:rStyle w:val="Hyperlink"/>
              </w:rPr>
              <w:t>Final decision</w:t>
            </w:r>
            <w:r w:rsidR="00444FDC">
              <w:rPr>
                <w:webHidden/>
              </w:rPr>
              <w:tab/>
            </w:r>
            <w:r w:rsidR="00444FDC">
              <w:rPr>
                <w:webHidden/>
              </w:rPr>
              <w:fldChar w:fldCharType="begin"/>
            </w:r>
            <w:r w:rsidR="00444FDC">
              <w:rPr>
                <w:webHidden/>
              </w:rPr>
              <w:instrText xml:space="preserve"> PAGEREF _Toc429475167 \h </w:instrText>
            </w:r>
            <w:r w:rsidR="00444FDC">
              <w:rPr>
                <w:webHidden/>
              </w:rPr>
            </w:r>
            <w:r w:rsidR="00444FDC">
              <w:rPr>
                <w:webHidden/>
              </w:rPr>
              <w:fldChar w:fldCharType="separate"/>
            </w:r>
            <w:r w:rsidR="00444FDC">
              <w:rPr>
                <w:webHidden/>
              </w:rPr>
              <w:t>18-7</w:t>
            </w:r>
            <w:r w:rsidR="00444FDC">
              <w:rPr>
                <w:webHidden/>
              </w:rPr>
              <w:fldChar w:fldCharType="end"/>
            </w:r>
          </w:hyperlink>
        </w:p>
        <w:p w:rsidR="00444FDC" w:rsidRDefault="00EF26B5">
          <w:pPr>
            <w:pStyle w:val="TOC2"/>
            <w:tabs>
              <w:tab w:val="left" w:pos="1276"/>
            </w:tabs>
            <w:rPr>
              <w:rFonts w:asciiTheme="minorHAnsi" w:eastAsiaTheme="minorEastAsia" w:hAnsiTheme="minorHAnsi"/>
              <w:b w:val="0"/>
              <w:color w:val="auto"/>
              <w:sz w:val="22"/>
              <w:lang w:eastAsia="en-AU"/>
            </w:rPr>
          </w:pPr>
          <w:hyperlink w:anchor="_Toc429475168" w:history="1">
            <w:r w:rsidR="00444FDC" w:rsidRPr="003C6514">
              <w:rPr>
                <w:rStyle w:val="Hyperlink"/>
              </w:rPr>
              <w:t>18.2</w:t>
            </w:r>
            <w:r w:rsidR="00444FDC">
              <w:rPr>
                <w:rFonts w:asciiTheme="minorHAnsi" w:eastAsiaTheme="minorEastAsia" w:hAnsiTheme="minorHAnsi"/>
                <w:b w:val="0"/>
                <w:color w:val="auto"/>
                <w:sz w:val="22"/>
                <w:lang w:eastAsia="en-AU"/>
              </w:rPr>
              <w:tab/>
            </w:r>
            <w:r w:rsidR="00444FDC" w:rsidRPr="003C6514">
              <w:rPr>
                <w:rStyle w:val="Hyperlink"/>
              </w:rPr>
              <w:t>Ergon Energy's revised proposal</w:t>
            </w:r>
            <w:r w:rsidR="00444FDC">
              <w:rPr>
                <w:webHidden/>
              </w:rPr>
              <w:tab/>
            </w:r>
            <w:r w:rsidR="00444FDC">
              <w:rPr>
                <w:webHidden/>
              </w:rPr>
              <w:fldChar w:fldCharType="begin"/>
            </w:r>
            <w:r w:rsidR="00444FDC">
              <w:rPr>
                <w:webHidden/>
              </w:rPr>
              <w:instrText xml:space="preserve"> PAGEREF _Toc429475168 \h </w:instrText>
            </w:r>
            <w:r w:rsidR="00444FDC">
              <w:rPr>
                <w:webHidden/>
              </w:rPr>
            </w:r>
            <w:r w:rsidR="00444FDC">
              <w:rPr>
                <w:webHidden/>
              </w:rPr>
              <w:fldChar w:fldCharType="separate"/>
            </w:r>
            <w:r w:rsidR="00444FDC">
              <w:rPr>
                <w:webHidden/>
              </w:rPr>
              <w:t>18-7</w:t>
            </w:r>
            <w:r w:rsidR="00444FDC">
              <w:rPr>
                <w:webHidden/>
              </w:rPr>
              <w:fldChar w:fldCharType="end"/>
            </w:r>
          </w:hyperlink>
        </w:p>
        <w:p w:rsidR="00444FDC" w:rsidRDefault="00EF26B5">
          <w:pPr>
            <w:pStyle w:val="TOC2"/>
            <w:tabs>
              <w:tab w:val="left" w:pos="1276"/>
            </w:tabs>
            <w:rPr>
              <w:rFonts w:asciiTheme="minorHAnsi" w:eastAsiaTheme="minorEastAsia" w:hAnsiTheme="minorHAnsi"/>
              <w:b w:val="0"/>
              <w:color w:val="auto"/>
              <w:sz w:val="22"/>
              <w:lang w:eastAsia="en-AU"/>
            </w:rPr>
          </w:pPr>
          <w:hyperlink w:anchor="_Toc429475169" w:history="1">
            <w:r w:rsidR="00444FDC" w:rsidRPr="003C6514">
              <w:rPr>
                <w:rStyle w:val="Hyperlink"/>
              </w:rPr>
              <w:t>18.3</w:t>
            </w:r>
            <w:r w:rsidR="00444FDC">
              <w:rPr>
                <w:rFonts w:asciiTheme="minorHAnsi" w:eastAsiaTheme="minorEastAsia" w:hAnsiTheme="minorHAnsi"/>
                <w:b w:val="0"/>
                <w:color w:val="auto"/>
                <w:sz w:val="22"/>
                <w:lang w:eastAsia="en-AU"/>
              </w:rPr>
              <w:tab/>
            </w:r>
            <w:r w:rsidR="00444FDC" w:rsidRPr="003C6514">
              <w:rPr>
                <w:rStyle w:val="Hyperlink"/>
              </w:rPr>
              <w:t>AER’s assessment approach</w:t>
            </w:r>
            <w:r w:rsidR="00444FDC">
              <w:rPr>
                <w:webHidden/>
              </w:rPr>
              <w:tab/>
            </w:r>
            <w:r w:rsidR="00444FDC">
              <w:rPr>
                <w:webHidden/>
              </w:rPr>
              <w:fldChar w:fldCharType="begin"/>
            </w:r>
            <w:r w:rsidR="00444FDC">
              <w:rPr>
                <w:webHidden/>
              </w:rPr>
              <w:instrText xml:space="preserve"> PAGEREF _Toc429475169 \h </w:instrText>
            </w:r>
            <w:r w:rsidR="00444FDC">
              <w:rPr>
                <w:webHidden/>
              </w:rPr>
            </w:r>
            <w:r w:rsidR="00444FDC">
              <w:rPr>
                <w:webHidden/>
              </w:rPr>
              <w:fldChar w:fldCharType="separate"/>
            </w:r>
            <w:r w:rsidR="00444FDC">
              <w:rPr>
                <w:webHidden/>
              </w:rPr>
              <w:t>18-7</w:t>
            </w:r>
            <w:r w:rsidR="00444FDC">
              <w:rPr>
                <w:webHidden/>
              </w:rPr>
              <w:fldChar w:fldCharType="end"/>
            </w:r>
          </w:hyperlink>
        </w:p>
        <w:p w:rsidR="00444FDC" w:rsidRDefault="00EF26B5">
          <w:pPr>
            <w:pStyle w:val="TOC2"/>
            <w:tabs>
              <w:tab w:val="left" w:pos="1276"/>
            </w:tabs>
            <w:rPr>
              <w:rFonts w:asciiTheme="minorHAnsi" w:eastAsiaTheme="minorEastAsia" w:hAnsiTheme="minorHAnsi"/>
              <w:b w:val="0"/>
              <w:color w:val="auto"/>
              <w:sz w:val="22"/>
              <w:lang w:eastAsia="en-AU"/>
            </w:rPr>
          </w:pPr>
          <w:hyperlink w:anchor="_Toc429475170" w:history="1">
            <w:r w:rsidR="00444FDC" w:rsidRPr="003C6514">
              <w:rPr>
                <w:rStyle w:val="Hyperlink"/>
              </w:rPr>
              <w:t>18.4</w:t>
            </w:r>
            <w:r w:rsidR="00444FDC">
              <w:rPr>
                <w:rFonts w:asciiTheme="minorHAnsi" w:eastAsiaTheme="minorEastAsia" w:hAnsiTheme="minorHAnsi"/>
                <w:b w:val="0"/>
                <w:color w:val="auto"/>
                <w:sz w:val="22"/>
                <w:lang w:eastAsia="en-AU"/>
              </w:rPr>
              <w:tab/>
            </w:r>
            <w:r w:rsidR="00444FDC" w:rsidRPr="003C6514">
              <w:rPr>
                <w:rStyle w:val="Hyperlink"/>
              </w:rPr>
              <w:t>Reasons for final decision</w:t>
            </w:r>
            <w:r w:rsidR="00444FDC">
              <w:rPr>
                <w:webHidden/>
              </w:rPr>
              <w:tab/>
            </w:r>
            <w:r w:rsidR="00444FDC">
              <w:rPr>
                <w:webHidden/>
              </w:rPr>
              <w:fldChar w:fldCharType="begin"/>
            </w:r>
            <w:r w:rsidR="00444FDC">
              <w:rPr>
                <w:webHidden/>
              </w:rPr>
              <w:instrText xml:space="preserve"> PAGEREF _Toc429475170 \h </w:instrText>
            </w:r>
            <w:r w:rsidR="00444FDC">
              <w:rPr>
                <w:webHidden/>
              </w:rPr>
            </w:r>
            <w:r w:rsidR="00444FDC">
              <w:rPr>
                <w:webHidden/>
              </w:rPr>
              <w:fldChar w:fldCharType="separate"/>
            </w:r>
            <w:r w:rsidR="00444FDC">
              <w:rPr>
                <w:webHidden/>
              </w:rPr>
              <w:t>18-7</w:t>
            </w:r>
            <w:r w:rsidR="00444FDC">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8" w:name="_Toc404700925"/>
      <w:bookmarkStart w:id="9" w:name="_Toc429475165"/>
      <w:r>
        <w:lastRenderedPageBreak/>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5C4C9C" w:rsidRDefault="005C4C9C" w:rsidP="005C4C9C">
            <w:pPr>
              <w:numPr>
                <w:ilvl w:val="0"/>
                <w:numId w:val="24"/>
              </w:numPr>
            </w:pPr>
            <w:r w:rsidRPr="005C4C9C">
              <w:t>AEMC</w:t>
            </w:r>
          </w:p>
        </w:tc>
        <w:tc>
          <w:tcPr>
            <w:tcW w:w="4344" w:type="dxa"/>
          </w:tcPr>
          <w:p w:rsidR="005C4C9C" w:rsidRPr="005C4C9C" w:rsidRDefault="005C4C9C" w:rsidP="005C4C9C">
            <w:pPr>
              <w:numPr>
                <w:ilvl w:val="0"/>
                <w:numId w:val="24"/>
              </w:numPr>
            </w:pPr>
            <w:r w:rsidRPr="005C4C9C">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AEMO</w:t>
            </w:r>
          </w:p>
        </w:tc>
        <w:tc>
          <w:tcPr>
            <w:tcW w:w="4344" w:type="dxa"/>
          </w:tcPr>
          <w:p w:rsidR="005C4C9C" w:rsidRPr="005C4C9C" w:rsidRDefault="005C4C9C" w:rsidP="005C4C9C">
            <w:pPr>
              <w:numPr>
                <w:ilvl w:val="0"/>
                <w:numId w:val="24"/>
              </w:numPr>
            </w:pPr>
            <w:r w:rsidRPr="005C4C9C">
              <w:t>Australian Energy Market Operator</w:t>
            </w:r>
          </w:p>
        </w:tc>
      </w:tr>
      <w:tr w:rsidR="005C4C9C" w:rsidTr="005C4C9C">
        <w:tc>
          <w:tcPr>
            <w:tcW w:w="4349" w:type="dxa"/>
          </w:tcPr>
          <w:p w:rsidR="005C4C9C" w:rsidRPr="005C4C9C" w:rsidRDefault="005C4C9C" w:rsidP="005C4C9C">
            <w:pPr>
              <w:numPr>
                <w:ilvl w:val="0"/>
                <w:numId w:val="24"/>
              </w:numPr>
            </w:pPr>
            <w:r w:rsidRPr="005C4C9C">
              <w:t>AER</w:t>
            </w:r>
          </w:p>
        </w:tc>
        <w:tc>
          <w:tcPr>
            <w:tcW w:w="4344" w:type="dxa"/>
          </w:tcPr>
          <w:p w:rsidR="005C4C9C" w:rsidRPr="005C4C9C" w:rsidRDefault="005C4C9C" w:rsidP="005C4C9C">
            <w:pPr>
              <w:numPr>
                <w:ilvl w:val="0"/>
                <w:numId w:val="24"/>
              </w:numPr>
            </w:pPr>
            <w:r w:rsidRPr="005C4C9C">
              <w:t>Australian Energy Regulator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augex</w:t>
            </w:r>
          </w:p>
        </w:tc>
        <w:tc>
          <w:tcPr>
            <w:tcW w:w="4344" w:type="dxa"/>
          </w:tcPr>
          <w:p w:rsidR="005C4C9C" w:rsidRPr="005C4C9C" w:rsidRDefault="005C4C9C" w:rsidP="005C4C9C">
            <w:pPr>
              <w:numPr>
                <w:ilvl w:val="0"/>
                <w:numId w:val="24"/>
              </w:numPr>
            </w:pPr>
            <w:r w:rsidRPr="005C4C9C">
              <w:t>augmentation expenditure</w:t>
            </w:r>
          </w:p>
        </w:tc>
      </w:tr>
      <w:tr w:rsidR="005C4C9C" w:rsidTr="005C4C9C">
        <w:tc>
          <w:tcPr>
            <w:tcW w:w="4349" w:type="dxa"/>
          </w:tcPr>
          <w:p w:rsidR="005C4C9C" w:rsidRPr="005C4C9C" w:rsidRDefault="005C4C9C" w:rsidP="005C4C9C">
            <w:pPr>
              <w:numPr>
                <w:ilvl w:val="0"/>
                <w:numId w:val="24"/>
              </w:numPr>
            </w:pPr>
            <w:r w:rsidRPr="005C4C9C">
              <w:t>capex</w:t>
            </w:r>
          </w:p>
        </w:tc>
        <w:tc>
          <w:tcPr>
            <w:tcW w:w="4344" w:type="dxa"/>
          </w:tcPr>
          <w:p w:rsidR="005C4C9C" w:rsidRPr="005C4C9C" w:rsidRDefault="005C4C9C" w:rsidP="005C4C9C">
            <w:pPr>
              <w:numPr>
                <w:ilvl w:val="0"/>
                <w:numId w:val="24"/>
              </w:numPr>
            </w:pPr>
            <w:r w:rsidRPr="005C4C9C">
              <w:t>capital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CCP</w:t>
            </w:r>
          </w:p>
        </w:tc>
        <w:tc>
          <w:tcPr>
            <w:tcW w:w="4344" w:type="dxa"/>
          </w:tcPr>
          <w:p w:rsidR="005C4C9C" w:rsidRPr="005C4C9C" w:rsidRDefault="005C4C9C" w:rsidP="005C4C9C">
            <w:pPr>
              <w:numPr>
                <w:ilvl w:val="0"/>
                <w:numId w:val="24"/>
              </w:numPr>
            </w:pPr>
            <w:r w:rsidRPr="005C4C9C">
              <w:t>Consumer Challenge Panel</w:t>
            </w:r>
          </w:p>
        </w:tc>
      </w:tr>
      <w:tr w:rsidR="005C4C9C" w:rsidTr="005C4C9C">
        <w:tc>
          <w:tcPr>
            <w:tcW w:w="4349" w:type="dxa"/>
          </w:tcPr>
          <w:p w:rsidR="005C4C9C" w:rsidRPr="005C4C9C" w:rsidRDefault="005C4C9C" w:rsidP="005C4C9C">
            <w:pPr>
              <w:numPr>
                <w:ilvl w:val="0"/>
                <w:numId w:val="24"/>
              </w:numPr>
            </w:pPr>
            <w:r w:rsidRPr="005C4C9C">
              <w:t>CESS</w:t>
            </w:r>
          </w:p>
        </w:tc>
        <w:tc>
          <w:tcPr>
            <w:tcW w:w="4344" w:type="dxa"/>
          </w:tcPr>
          <w:p w:rsidR="005C4C9C" w:rsidRPr="005C4C9C" w:rsidRDefault="005C4C9C" w:rsidP="005C4C9C">
            <w:pPr>
              <w:numPr>
                <w:ilvl w:val="0"/>
                <w:numId w:val="24"/>
              </w:numPr>
            </w:pPr>
            <w:r w:rsidRPr="005C4C9C">
              <w:t>capital expenditure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CPI</w:t>
            </w:r>
          </w:p>
        </w:tc>
        <w:tc>
          <w:tcPr>
            <w:tcW w:w="4344" w:type="dxa"/>
          </w:tcPr>
          <w:p w:rsidR="005C4C9C" w:rsidRPr="005C4C9C" w:rsidRDefault="005C4C9C" w:rsidP="005C4C9C">
            <w:pPr>
              <w:numPr>
                <w:ilvl w:val="0"/>
                <w:numId w:val="24"/>
              </w:numPr>
            </w:pPr>
            <w:r w:rsidRPr="005C4C9C">
              <w:t>consumer price index</w:t>
            </w:r>
          </w:p>
        </w:tc>
      </w:tr>
      <w:tr w:rsidR="005C4C9C" w:rsidTr="005C4C9C">
        <w:tc>
          <w:tcPr>
            <w:tcW w:w="4349" w:type="dxa"/>
          </w:tcPr>
          <w:p w:rsidR="005C4C9C" w:rsidRPr="005C4C9C" w:rsidRDefault="005C4C9C" w:rsidP="005C4C9C">
            <w:pPr>
              <w:numPr>
                <w:ilvl w:val="0"/>
                <w:numId w:val="24"/>
              </w:numPr>
            </w:pPr>
            <w:r w:rsidRPr="005C4C9C">
              <w:t>DRP</w:t>
            </w:r>
          </w:p>
        </w:tc>
        <w:tc>
          <w:tcPr>
            <w:tcW w:w="4344" w:type="dxa"/>
          </w:tcPr>
          <w:p w:rsidR="005C4C9C" w:rsidRPr="005C4C9C" w:rsidRDefault="005C4C9C" w:rsidP="005C4C9C">
            <w:pPr>
              <w:numPr>
                <w:ilvl w:val="0"/>
                <w:numId w:val="24"/>
              </w:numPr>
            </w:pPr>
            <w:r w:rsidRPr="005C4C9C">
              <w:t>debt risk premium</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DMIA</w:t>
            </w:r>
          </w:p>
        </w:tc>
        <w:tc>
          <w:tcPr>
            <w:tcW w:w="4344" w:type="dxa"/>
          </w:tcPr>
          <w:p w:rsidR="005C4C9C" w:rsidRPr="005C4C9C" w:rsidRDefault="005C4C9C" w:rsidP="005C4C9C">
            <w:pPr>
              <w:numPr>
                <w:ilvl w:val="0"/>
                <w:numId w:val="24"/>
              </w:numPr>
            </w:pPr>
            <w:r w:rsidRPr="005C4C9C">
              <w:t>demand management innovation allowance</w:t>
            </w:r>
          </w:p>
        </w:tc>
      </w:tr>
      <w:tr w:rsidR="005C4C9C" w:rsidTr="005C4C9C">
        <w:tc>
          <w:tcPr>
            <w:tcW w:w="4349" w:type="dxa"/>
          </w:tcPr>
          <w:p w:rsidR="005C4C9C" w:rsidRPr="005C4C9C" w:rsidRDefault="005C4C9C" w:rsidP="005C4C9C">
            <w:pPr>
              <w:numPr>
                <w:ilvl w:val="0"/>
                <w:numId w:val="24"/>
              </w:numPr>
            </w:pPr>
            <w:r w:rsidRPr="005C4C9C">
              <w:t>DMIS</w:t>
            </w:r>
          </w:p>
        </w:tc>
        <w:tc>
          <w:tcPr>
            <w:tcW w:w="4344" w:type="dxa"/>
          </w:tcPr>
          <w:p w:rsidR="005C4C9C" w:rsidRPr="005C4C9C" w:rsidRDefault="005C4C9C" w:rsidP="005C4C9C">
            <w:pPr>
              <w:numPr>
                <w:ilvl w:val="0"/>
                <w:numId w:val="24"/>
              </w:numPr>
            </w:pPr>
            <w:r w:rsidRPr="005C4C9C">
              <w:t>demand management incentive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distributor</w:t>
            </w:r>
          </w:p>
        </w:tc>
        <w:tc>
          <w:tcPr>
            <w:tcW w:w="4344" w:type="dxa"/>
          </w:tcPr>
          <w:p w:rsidR="005C4C9C" w:rsidRPr="005C4C9C" w:rsidRDefault="005C4C9C" w:rsidP="005C4C9C">
            <w:pPr>
              <w:numPr>
                <w:ilvl w:val="0"/>
                <w:numId w:val="24"/>
              </w:numPr>
            </w:pPr>
            <w:r w:rsidRPr="005C4C9C">
              <w:t>distribution network service provider</w:t>
            </w:r>
          </w:p>
        </w:tc>
      </w:tr>
      <w:tr w:rsidR="005C4C9C" w:rsidTr="005C4C9C">
        <w:tc>
          <w:tcPr>
            <w:tcW w:w="4349" w:type="dxa"/>
          </w:tcPr>
          <w:p w:rsidR="005C4C9C" w:rsidRPr="005C4C9C" w:rsidRDefault="005C4C9C" w:rsidP="005C4C9C">
            <w:pPr>
              <w:numPr>
                <w:ilvl w:val="0"/>
                <w:numId w:val="24"/>
              </w:numPr>
            </w:pPr>
            <w:r w:rsidRPr="005C4C9C">
              <w:t>DUoS</w:t>
            </w:r>
          </w:p>
        </w:tc>
        <w:tc>
          <w:tcPr>
            <w:tcW w:w="4344" w:type="dxa"/>
          </w:tcPr>
          <w:p w:rsidR="005C4C9C" w:rsidRPr="005C4C9C" w:rsidRDefault="005C4C9C" w:rsidP="005C4C9C">
            <w:pPr>
              <w:numPr>
                <w:ilvl w:val="0"/>
                <w:numId w:val="24"/>
              </w:numPr>
            </w:pPr>
            <w:r w:rsidRPr="005C4C9C">
              <w:t>distribution use of system</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EBSS</w:t>
            </w:r>
          </w:p>
        </w:tc>
        <w:tc>
          <w:tcPr>
            <w:tcW w:w="4344" w:type="dxa"/>
          </w:tcPr>
          <w:p w:rsidR="005C4C9C" w:rsidRPr="005C4C9C" w:rsidRDefault="005C4C9C" w:rsidP="005C4C9C">
            <w:pPr>
              <w:numPr>
                <w:ilvl w:val="0"/>
                <w:numId w:val="24"/>
              </w:numPr>
            </w:pPr>
            <w:r w:rsidRPr="005C4C9C">
              <w:t>efficiency benefit sharing scheme</w:t>
            </w:r>
          </w:p>
        </w:tc>
      </w:tr>
      <w:tr w:rsidR="005C4C9C" w:rsidTr="005C4C9C">
        <w:tc>
          <w:tcPr>
            <w:tcW w:w="4349" w:type="dxa"/>
          </w:tcPr>
          <w:p w:rsidR="005C4C9C" w:rsidRPr="005C4C9C" w:rsidRDefault="005C4C9C" w:rsidP="005C4C9C">
            <w:pPr>
              <w:numPr>
                <w:ilvl w:val="0"/>
                <w:numId w:val="24"/>
              </w:numPr>
            </w:pPr>
            <w:r w:rsidRPr="005C4C9C">
              <w:t>ERP</w:t>
            </w:r>
          </w:p>
        </w:tc>
        <w:tc>
          <w:tcPr>
            <w:tcW w:w="4344" w:type="dxa"/>
          </w:tcPr>
          <w:p w:rsidR="005C4C9C" w:rsidRPr="005C4C9C" w:rsidRDefault="005C4C9C" w:rsidP="005C4C9C">
            <w:pPr>
              <w:numPr>
                <w:ilvl w:val="0"/>
                <w:numId w:val="24"/>
              </w:numPr>
            </w:pPr>
            <w:r w:rsidRPr="005C4C9C">
              <w:t>equity risk premium</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Expenditure Assessment Guideline</w:t>
            </w:r>
          </w:p>
        </w:tc>
        <w:tc>
          <w:tcPr>
            <w:tcW w:w="4344"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5C4C9C">
        <w:tc>
          <w:tcPr>
            <w:tcW w:w="4349" w:type="dxa"/>
          </w:tcPr>
          <w:p w:rsidR="005C4C9C" w:rsidRPr="005C4C9C" w:rsidRDefault="005C4C9C" w:rsidP="005C4C9C">
            <w:pPr>
              <w:numPr>
                <w:ilvl w:val="0"/>
                <w:numId w:val="24"/>
              </w:numPr>
            </w:pPr>
            <w:r w:rsidRPr="005C4C9C">
              <w:t>F&amp;A</w:t>
            </w:r>
          </w:p>
        </w:tc>
        <w:tc>
          <w:tcPr>
            <w:tcW w:w="4344" w:type="dxa"/>
          </w:tcPr>
          <w:p w:rsidR="005C4C9C" w:rsidRPr="005C4C9C" w:rsidRDefault="005C4C9C" w:rsidP="005C4C9C">
            <w:pPr>
              <w:numPr>
                <w:ilvl w:val="0"/>
                <w:numId w:val="24"/>
              </w:numPr>
            </w:pPr>
            <w:r w:rsidRPr="005C4C9C">
              <w:t>framework and approach</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MRP</w:t>
            </w:r>
          </w:p>
        </w:tc>
        <w:tc>
          <w:tcPr>
            <w:tcW w:w="4344" w:type="dxa"/>
          </w:tcPr>
          <w:p w:rsidR="005C4C9C" w:rsidRPr="005C4C9C" w:rsidRDefault="005C4C9C" w:rsidP="005C4C9C">
            <w:pPr>
              <w:numPr>
                <w:ilvl w:val="0"/>
                <w:numId w:val="24"/>
              </w:numPr>
            </w:pPr>
            <w:r w:rsidRPr="005C4C9C">
              <w:t>market risk premium</w:t>
            </w:r>
          </w:p>
        </w:tc>
      </w:tr>
      <w:tr w:rsidR="005C4C9C" w:rsidTr="005C4C9C">
        <w:tc>
          <w:tcPr>
            <w:tcW w:w="4349" w:type="dxa"/>
          </w:tcPr>
          <w:p w:rsidR="005C4C9C" w:rsidRPr="005C4C9C" w:rsidRDefault="005C4C9C" w:rsidP="005C4C9C">
            <w:pPr>
              <w:numPr>
                <w:ilvl w:val="0"/>
                <w:numId w:val="24"/>
              </w:numPr>
            </w:pPr>
            <w:r w:rsidRPr="005C4C9C">
              <w:t>NEL</w:t>
            </w:r>
          </w:p>
        </w:tc>
        <w:tc>
          <w:tcPr>
            <w:tcW w:w="4344" w:type="dxa"/>
          </w:tcPr>
          <w:p w:rsidR="005C4C9C" w:rsidRPr="005C4C9C" w:rsidRDefault="005C4C9C" w:rsidP="005C4C9C">
            <w:pPr>
              <w:numPr>
                <w:ilvl w:val="0"/>
                <w:numId w:val="24"/>
              </w:numPr>
            </w:pPr>
            <w:r w:rsidRPr="005C4C9C">
              <w:t>national electricity law</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NEM</w:t>
            </w:r>
          </w:p>
        </w:tc>
        <w:tc>
          <w:tcPr>
            <w:tcW w:w="4344" w:type="dxa"/>
          </w:tcPr>
          <w:p w:rsidR="005C4C9C" w:rsidRPr="005C4C9C" w:rsidRDefault="005C4C9C" w:rsidP="005C4C9C">
            <w:pPr>
              <w:numPr>
                <w:ilvl w:val="0"/>
                <w:numId w:val="24"/>
              </w:numPr>
            </w:pPr>
            <w:r w:rsidRPr="005C4C9C">
              <w:t>national electricity market</w:t>
            </w:r>
          </w:p>
        </w:tc>
      </w:tr>
      <w:tr w:rsidR="005C4C9C" w:rsidTr="005C4C9C">
        <w:tc>
          <w:tcPr>
            <w:tcW w:w="4349" w:type="dxa"/>
          </w:tcPr>
          <w:p w:rsidR="005C4C9C" w:rsidRPr="005C4C9C" w:rsidRDefault="005C4C9C" w:rsidP="005C4C9C">
            <w:pPr>
              <w:numPr>
                <w:ilvl w:val="0"/>
                <w:numId w:val="24"/>
              </w:numPr>
            </w:pPr>
            <w:r w:rsidRPr="005C4C9C">
              <w:t>NEO</w:t>
            </w:r>
          </w:p>
        </w:tc>
        <w:tc>
          <w:tcPr>
            <w:tcW w:w="4344" w:type="dxa"/>
          </w:tcPr>
          <w:p w:rsidR="005C4C9C" w:rsidRPr="005C4C9C" w:rsidRDefault="005C4C9C" w:rsidP="005C4C9C">
            <w:pPr>
              <w:numPr>
                <w:ilvl w:val="0"/>
                <w:numId w:val="24"/>
              </w:numPr>
            </w:pPr>
            <w:r w:rsidRPr="005C4C9C">
              <w:t>national electricity objective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NER</w:t>
            </w:r>
          </w:p>
        </w:tc>
        <w:tc>
          <w:tcPr>
            <w:tcW w:w="4344" w:type="dxa"/>
          </w:tcPr>
          <w:p w:rsidR="005C4C9C" w:rsidRPr="005C4C9C" w:rsidRDefault="005C4C9C" w:rsidP="005C4C9C">
            <w:pPr>
              <w:numPr>
                <w:ilvl w:val="0"/>
                <w:numId w:val="24"/>
              </w:numPr>
            </w:pPr>
            <w:r w:rsidRPr="005C4C9C">
              <w:t>national electricity rules</w:t>
            </w:r>
          </w:p>
        </w:tc>
      </w:tr>
      <w:tr w:rsidR="005C4C9C" w:rsidTr="005C4C9C">
        <w:tc>
          <w:tcPr>
            <w:tcW w:w="4349" w:type="dxa"/>
          </w:tcPr>
          <w:p w:rsidR="005C4C9C" w:rsidRPr="005C4C9C" w:rsidRDefault="005C4C9C" w:rsidP="005C4C9C">
            <w:pPr>
              <w:numPr>
                <w:ilvl w:val="0"/>
                <w:numId w:val="24"/>
              </w:numPr>
            </w:pPr>
            <w:r w:rsidRPr="005C4C9C">
              <w:t>NSP</w:t>
            </w:r>
          </w:p>
        </w:tc>
        <w:tc>
          <w:tcPr>
            <w:tcW w:w="4344" w:type="dxa"/>
          </w:tcPr>
          <w:p w:rsidR="005C4C9C" w:rsidRPr="005C4C9C" w:rsidRDefault="005C4C9C" w:rsidP="005C4C9C">
            <w:pPr>
              <w:numPr>
                <w:ilvl w:val="0"/>
                <w:numId w:val="24"/>
              </w:numPr>
            </w:pPr>
            <w:r w:rsidRPr="005C4C9C">
              <w:t>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opex</w:t>
            </w:r>
          </w:p>
        </w:tc>
        <w:tc>
          <w:tcPr>
            <w:tcW w:w="4344" w:type="dxa"/>
          </w:tcPr>
          <w:p w:rsidR="005C4C9C" w:rsidRPr="005C4C9C" w:rsidRDefault="005C4C9C" w:rsidP="005C4C9C">
            <w:pPr>
              <w:numPr>
                <w:ilvl w:val="0"/>
                <w:numId w:val="24"/>
              </w:numPr>
            </w:pPr>
            <w:r w:rsidRPr="005C4C9C">
              <w:t>operating expenditure</w:t>
            </w:r>
          </w:p>
        </w:tc>
      </w:tr>
      <w:tr w:rsidR="005C4C9C" w:rsidTr="005C4C9C">
        <w:tc>
          <w:tcPr>
            <w:tcW w:w="4349" w:type="dxa"/>
          </w:tcPr>
          <w:p w:rsidR="005C4C9C" w:rsidRPr="005C4C9C" w:rsidRDefault="005C4C9C" w:rsidP="005C4C9C">
            <w:pPr>
              <w:numPr>
                <w:ilvl w:val="0"/>
                <w:numId w:val="24"/>
              </w:numPr>
            </w:pPr>
            <w:r w:rsidRPr="005C4C9C">
              <w:t>PPI</w:t>
            </w:r>
          </w:p>
        </w:tc>
        <w:tc>
          <w:tcPr>
            <w:tcW w:w="4344" w:type="dxa"/>
          </w:tcPr>
          <w:p w:rsidR="005C4C9C" w:rsidRPr="005C4C9C" w:rsidRDefault="005C4C9C" w:rsidP="005C4C9C">
            <w:pPr>
              <w:numPr>
                <w:ilvl w:val="0"/>
                <w:numId w:val="24"/>
              </w:numPr>
            </w:pPr>
            <w:r w:rsidRPr="005C4C9C">
              <w:t>partial performance indicators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PTRM</w:t>
            </w:r>
          </w:p>
        </w:tc>
        <w:tc>
          <w:tcPr>
            <w:tcW w:w="4344" w:type="dxa"/>
          </w:tcPr>
          <w:p w:rsidR="005C4C9C" w:rsidRPr="005C4C9C" w:rsidRDefault="005C4C9C" w:rsidP="005C4C9C">
            <w:pPr>
              <w:numPr>
                <w:ilvl w:val="0"/>
                <w:numId w:val="24"/>
              </w:numPr>
            </w:pPr>
            <w:r w:rsidRPr="005C4C9C">
              <w:t>post-tax revenue model</w:t>
            </w:r>
          </w:p>
        </w:tc>
      </w:tr>
      <w:tr w:rsidR="005C4C9C" w:rsidTr="005C4C9C">
        <w:tc>
          <w:tcPr>
            <w:tcW w:w="4349" w:type="dxa"/>
          </w:tcPr>
          <w:p w:rsidR="005C4C9C" w:rsidRPr="005C4C9C" w:rsidRDefault="005C4C9C" w:rsidP="005C4C9C">
            <w:pPr>
              <w:numPr>
                <w:ilvl w:val="0"/>
                <w:numId w:val="24"/>
              </w:numPr>
            </w:pPr>
            <w:r w:rsidRPr="005C4C9C">
              <w:t>RAB</w:t>
            </w:r>
          </w:p>
        </w:tc>
        <w:tc>
          <w:tcPr>
            <w:tcW w:w="4344" w:type="dxa"/>
          </w:tcPr>
          <w:p w:rsidR="005C4C9C" w:rsidRPr="005C4C9C" w:rsidRDefault="005C4C9C" w:rsidP="005C4C9C">
            <w:pPr>
              <w:numPr>
                <w:ilvl w:val="0"/>
                <w:numId w:val="24"/>
              </w:numPr>
            </w:pPr>
            <w:r w:rsidRPr="005C4C9C">
              <w:t>regulatory asset base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RBA</w:t>
            </w:r>
          </w:p>
        </w:tc>
        <w:tc>
          <w:tcPr>
            <w:tcW w:w="4344" w:type="dxa"/>
          </w:tcPr>
          <w:p w:rsidR="005C4C9C" w:rsidRPr="005C4C9C" w:rsidRDefault="005C4C9C" w:rsidP="005C4C9C">
            <w:pPr>
              <w:numPr>
                <w:ilvl w:val="0"/>
                <w:numId w:val="24"/>
              </w:numPr>
            </w:pPr>
            <w:r w:rsidRPr="005C4C9C">
              <w:t>Reserve Bank of Australia</w:t>
            </w:r>
          </w:p>
        </w:tc>
      </w:tr>
      <w:tr w:rsidR="005C4C9C" w:rsidTr="005C4C9C">
        <w:tc>
          <w:tcPr>
            <w:tcW w:w="4349" w:type="dxa"/>
          </w:tcPr>
          <w:p w:rsidR="005C4C9C" w:rsidRPr="005C4C9C" w:rsidRDefault="005C4C9C" w:rsidP="005C4C9C">
            <w:pPr>
              <w:numPr>
                <w:ilvl w:val="0"/>
                <w:numId w:val="24"/>
              </w:numPr>
            </w:pPr>
            <w:r w:rsidRPr="005C4C9C">
              <w:t>repex</w:t>
            </w:r>
          </w:p>
        </w:tc>
        <w:tc>
          <w:tcPr>
            <w:tcW w:w="4344" w:type="dxa"/>
          </w:tcPr>
          <w:p w:rsidR="005C4C9C" w:rsidRPr="005C4C9C" w:rsidRDefault="005C4C9C" w:rsidP="005C4C9C">
            <w:pPr>
              <w:numPr>
                <w:ilvl w:val="0"/>
                <w:numId w:val="24"/>
              </w:numPr>
            </w:pPr>
            <w:r w:rsidRPr="005C4C9C">
              <w:t>replacement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RFM</w:t>
            </w:r>
          </w:p>
        </w:tc>
        <w:tc>
          <w:tcPr>
            <w:tcW w:w="4344" w:type="dxa"/>
          </w:tcPr>
          <w:p w:rsidR="005C4C9C" w:rsidRPr="005C4C9C" w:rsidRDefault="005C4C9C" w:rsidP="005C4C9C">
            <w:pPr>
              <w:numPr>
                <w:ilvl w:val="0"/>
                <w:numId w:val="24"/>
              </w:numPr>
            </w:pPr>
            <w:r w:rsidRPr="005C4C9C">
              <w:t>roll forward model</w:t>
            </w:r>
          </w:p>
        </w:tc>
      </w:tr>
      <w:tr w:rsidR="005C4C9C" w:rsidTr="005C4C9C">
        <w:tc>
          <w:tcPr>
            <w:tcW w:w="4349" w:type="dxa"/>
          </w:tcPr>
          <w:p w:rsidR="005C4C9C" w:rsidRPr="005C4C9C" w:rsidRDefault="005C4C9C" w:rsidP="005C4C9C">
            <w:pPr>
              <w:numPr>
                <w:ilvl w:val="0"/>
                <w:numId w:val="24"/>
              </w:numPr>
            </w:pPr>
            <w:r w:rsidRPr="005C4C9C">
              <w:lastRenderedPageBreak/>
              <w:t>RIN</w:t>
            </w:r>
          </w:p>
        </w:tc>
        <w:tc>
          <w:tcPr>
            <w:tcW w:w="4344" w:type="dxa"/>
          </w:tcPr>
          <w:p w:rsidR="005C4C9C" w:rsidRPr="005C4C9C" w:rsidRDefault="005C4C9C" w:rsidP="005C4C9C">
            <w:pPr>
              <w:numPr>
                <w:ilvl w:val="0"/>
                <w:numId w:val="24"/>
              </w:numPr>
            </w:pPr>
            <w:r w:rsidRPr="005C4C9C">
              <w:t>regulatory information notice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RPP</w:t>
            </w:r>
          </w:p>
        </w:tc>
        <w:tc>
          <w:tcPr>
            <w:tcW w:w="4344" w:type="dxa"/>
          </w:tcPr>
          <w:p w:rsidR="005C4C9C" w:rsidRPr="005C4C9C" w:rsidRDefault="005C4C9C" w:rsidP="005C4C9C">
            <w:pPr>
              <w:numPr>
                <w:ilvl w:val="0"/>
                <w:numId w:val="24"/>
              </w:numPr>
            </w:pPr>
            <w:r w:rsidRPr="005C4C9C">
              <w:t>revenue and pricing principles</w:t>
            </w:r>
          </w:p>
        </w:tc>
      </w:tr>
      <w:tr w:rsidR="005C4C9C" w:rsidTr="005C4C9C">
        <w:tc>
          <w:tcPr>
            <w:tcW w:w="4349" w:type="dxa"/>
          </w:tcPr>
          <w:p w:rsidR="005C4C9C" w:rsidRPr="005C4C9C" w:rsidRDefault="005C4C9C" w:rsidP="005C4C9C">
            <w:pPr>
              <w:numPr>
                <w:ilvl w:val="0"/>
                <w:numId w:val="24"/>
              </w:numPr>
            </w:pPr>
            <w:r w:rsidRPr="005C4C9C">
              <w:t>SAIDI</w:t>
            </w:r>
          </w:p>
        </w:tc>
        <w:tc>
          <w:tcPr>
            <w:tcW w:w="4344" w:type="dxa"/>
          </w:tcPr>
          <w:p w:rsidR="005C4C9C" w:rsidRPr="005C4C9C" w:rsidRDefault="005C4C9C" w:rsidP="005C4C9C">
            <w:pPr>
              <w:numPr>
                <w:ilvl w:val="0"/>
                <w:numId w:val="24"/>
              </w:numPr>
            </w:pPr>
            <w:r w:rsidRPr="005C4C9C">
              <w:t>system average interruption duration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SAIFI</w:t>
            </w:r>
          </w:p>
        </w:tc>
        <w:tc>
          <w:tcPr>
            <w:tcW w:w="4344" w:type="dxa"/>
          </w:tcPr>
          <w:p w:rsidR="005C4C9C" w:rsidRPr="005C4C9C" w:rsidRDefault="005C4C9C" w:rsidP="005C4C9C">
            <w:pPr>
              <w:numPr>
                <w:ilvl w:val="0"/>
                <w:numId w:val="24"/>
              </w:numPr>
            </w:pPr>
            <w:r w:rsidRPr="005C4C9C">
              <w:t>system average interruption frequency index</w:t>
            </w:r>
          </w:p>
        </w:tc>
      </w:tr>
      <w:tr w:rsidR="005C4C9C" w:rsidTr="005C4C9C">
        <w:tc>
          <w:tcPr>
            <w:tcW w:w="4349" w:type="dxa"/>
          </w:tcPr>
          <w:p w:rsidR="005C4C9C" w:rsidRPr="005C4C9C" w:rsidRDefault="005C4C9C" w:rsidP="005C4C9C">
            <w:pPr>
              <w:numPr>
                <w:ilvl w:val="0"/>
                <w:numId w:val="24"/>
              </w:numPr>
            </w:pPr>
            <w:r w:rsidRPr="005C4C9C">
              <w:t>SLCAPM</w:t>
            </w:r>
          </w:p>
        </w:tc>
        <w:tc>
          <w:tcPr>
            <w:tcW w:w="4344" w:type="dxa"/>
          </w:tcPr>
          <w:p w:rsidR="005C4C9C" w:rsidRPr="005C4C9C" w:rsidRDefault="005C4C9C" w:rsidP="005C4C9C">
            <w:pPr>
              <w:numPr>
                <w:ilvl w:val="0"/>
                <w:numId w:val="24"/>
              </w:numPr>
            </w:pPr>
            <w:r w:rsidRPr="005C4C9C">
              <w:t>Sharpe-Lintner capital asset pricing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STPIS</w:t>
            </w:r>
          </w:p>
        </w:tc>
        <w:tc>
          <w:tcPr>
            <w:tcW w:w="4344" w:type="dxa"/>
          </w:tcPr>
          <w:p w:rsidR="005C4C9C" w:rsidRPr="005C4C9C" w:rsidRDefault="005C4C9C" w:rsidP="005C4C9C">
            <w:pPr>
              <w:numPr>
                <w:ilvl w:val="0"/>
                <w:numId w:val="24"/>
              </w:numPr>
            </w:pPr>
            <w:r w:rsidRPr="005C4C9C">
              <w:t>service target performance incentive scheme</w:t>
            </w:r>
          </w:p>
        </w:tc>
      </w:tr>
      <w:tr w:rsidR="005C4C9C" w:rsidTr="005C4C9C">
        <w:tc>
          <w:tcPr>
            <w:tcW w:w="4349" w:type="dxa"/>
          </w:tcPr>
          <w:p w:rsidR="005C4C9C" w:rsidRPr="005C4C9C" w:rsidRDefault="005C4C9C" w:rsidP="005C4C9C">
            <w:pPr>
              <w:numPr>
                <w:ilvl w:val="0"/>
                <w:numId w:val="24"/>
              </w:numPr>
            </w:pPr>
            <w:r w:rsidRPr="005C4C9C">
              <w:t>WACC</w:t>
            </w:r>
          </w:p>
        </w:tc>
        <w:tc>
          <w:tcPr>
            <w:tcW w:w="434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DE563D" w:rsidRDefault="009A5113" w:rsidP="009A5113">
      <w:pPr>
        <w:pStyle w:val="Heading1"/>
      </w:pPr>
      <w:bookmarkStart w:id="10" w:name="_Toc429475166"/>
      <w:r>
        <w:lastRenderedPageBreak/>
        <w:t>Connection Policy</w:t>
      </w:r>
      <w:bookmarkEnd w:id="10"/>
    </w:p>
    <w:p w:rsidR="00EF05C6" w:rsidRDefault="00EF05C6" w:rsidP="00EF05C6">
      <w:pPr>
        <w:numPr>
          <w:ilvl w:val="0"/>
          <w:numId w:val="24"/>
        </w:numPr>
      </w:pPr>
      <w:r>
        <w:t xml:space="preserve">We are required to make a decision on the connection policy that is to apply to </w:t>
      </w:r>
      <w:r w:rsidR="00A0172F">
        <w:t>Ergon Energy</w:t>
      </w:r>
      <w:r w:rsidRPr="00EF05C6">
        <w:t xml:space="preserve"> </w:t>
      </w:r>
      <w:r w:rsidR="00741AEE">
        <w:t>for the 2015–</w:t>
      </w:r>
      <w:r>
        <w:t xml:space="preserve">20 regulatory control period. This may be the connection policy prepared by a distributor, some variant of it, or a policy substituted by </w:t>
      </w:r>
      <w:r w:rsidR="007F6DBB">
        <w:t>us</w:t>
      </w:r>
      <w:r>
        <w:t>.</w:t>
      </w:r>
      <w:r>
        <w:rPr>
          <w:rStyle w:val="FootnoteReference"/>
        </w:rPr>
        <w:footnoteReference w:id="1"/>
      </w:r>
      <w:r>
        <w:t xml:space="preserve"> </w:t>
      </w:r>
    </w:p>
    <w:p w:rsidR="00EF05C6" w:rsidRDefault="00EF05C6" w:rsidP="00EF05C6">
      <w:pPr>
        <w:numPr>
          <w:ilvl w:val="0"/>
          <w:numId w:val="24"/>
        </w:numPr>
      </w:pPr>
      <w:r>
        <w:t xml:space="preserve">A </w:t>
      </w:r>
      <w:r w:rsidRPr="00A868C4">
        <w:rPr>
          <w:rStyle w:val="AERbody"/>
        </w:rPr>
        <w:t>connection policy set</w:t>
      </w:r>
      <w:r>
        <w:rPr>
          <w:rStyle w:val="AERbody"/>
        </w:rPr>
        <w:t>s</w:t>
      </w:r>
      <w:r w:rsidRPr="00A868C4">
        <w:rPr>
          <w:rStyle w:val="AERbody"/>
        </w:rPr>
        <w:t xml:space="preserve"> out</w:t>
      </w:r>
      <w:r>
        <w:rPr>
          <w:rStyle w:val="AERbody"/>
        </w:rPr>
        <w:t xml:space="preserve"> the nature of connection services offered by a distributor, when connection charges may be payable by retail customers and how those charges are calculated. It also</w:t>
      </w:r>
      <w:r>
        <w:t>:</w:t>
      </w:r>
    </w:p>
    <w:p w:rsidR="00EF05C6" w:rsidRPr="000338D9" w:rsidRDefault="00EF05C6" w:rsidP="00EF05C6">
      <w:pPr>
        <w:pStyle w:val="AERbulletlistfirststyle"/>
      </w:pPr>
      <w:r>
        <w:t>must</w:t>
      </w:r>
      <w:r w:rsidRPr="000338D9">
        <w:t xml:space="preserve"> be consistent with:</w:t>
      </w:r>
      <w:r>
        <w:rPr>
          <w:rStyle w:val="FootnoteReference"/>
        </w:rPr>
        <w:footnoteReference w:id="2"/>
      </w:r>
    </w:p>
    <w:p w:rsidR="00EF05C6" w:rsidRDefault="00EF05C6" w:rsidP="00EF05C6">
      <w:pPr>
        <w:pStyle w:val="AERbulletlistsecondstyle"/>
      </w:pPr>
      <w:r>
        <w:t>the connection charge principles set out in chapter 5A of the NER</w:t>
      </w:r>
    </w:p>
    <w:p w:rsidR="00EF05C6" w:rsidRPr="000338D9" w:rsidRDefault="00EF05C6" w:rsidP="00EF05C6">
      <w:pPr>
        <w:pStyle w:val="AERbulletlistsecondstyle"/>
      </w:pPr>
      <w:r>
        <w:t>the connection policy requirements set out in part DA of chapter 6 of the NER</w:t>
      </w:r>
    </w:p>
    <w:p w:rsidR="00EF05C6" w:rsidRDefault="00EF05C6" w:rsidP="00EF05C6">
      <w:pPr>
        <w:pStyle w:val="AERbulletlistsecondstyle"/>
      </w:pPr>
      <w:r>
        <w:t>our connection charge guidelines published under chapter 5A,</w:t>
      </w:r>
      <w:r w:rsidRPr="000338D9">
        <w:rPr>
          <w:rStyle w:val="FootnoteReference"/>
        </w:rPr>
        <w:footnoteReference w:id="3"/>
      </w:r>
      <w:r>
        <w:t xml:space="preserve"> and </w:t>
      </w:r>
    </w:p>
    <w:p w:rsidR="00EF05C6" w:rsidRPr="000338D9" w:rsidRDefault="00EF05C6" w:rsidP="00EF05C6">
      <w:pPr>
        <w:pStyle w:val="AERbulletlistfirststyle"/>
      </w:pPr>
      <w:r>
        <w:t>must specify:</w:t>
      </w:r>
      <w:r>
        <w:rPr>
          <w:rStyle w:val="FootnoteReference"/>
        </w:rPr>
        <w:footnoteReference w:id="4"/>
      </w:r>
    </w:p>
    <w:p w:rsidR="00EF05C6" w:rsidRPr="000338D9" w:rsidRDefault="00EF05C6" w:rsidP="00EF05C6">
      <w:pPr>
        <w:pStyle w:val="AERbulletlistsecondstyle"/>
      </w:pPr>
      <w:r w:rsidRPr="00EA0A07">
        <w:t xml:space="preserve">the categories of persons that may be required to pay a connection charge and the </w:t>
      </w:r>
      <w:r w:rsidRPr="000338D9">
        <w:t>circumstances in which such a requirement may be imposed</w:t>
      </w:r>
    </w:p>
    <w:p w:rsidR="00EF05C6" w:rsidRPr="000338D9" w:rsidRDefault="00EF05C6" w:rsidP="00EF05C6">
      <w:pPr>
        <w:pStyle w:val="AERbulletlistsecondstyle"/>
      </w:pPr>
      <w:r w:rsidRPr="00EA0A07">
        <w:t>the aspects of a connection service for which a connection charge may be made</w:t>
      </w:r>
    </w:p>
    <w:p w:rsidR="00EF05C6" w:rsidRPr="000338D9" w:rsidRDefault="00EF05C6" w:rsidP="00EF05C6">
      <w:pPr>
        <w:pStyle w:val="AERbulletlistsecondstyle"/>
      </w:pPr>
      <w:r w:rsidRPr="00EA0A07">
        <w:t>the basis on which connec</w:t>
      </w:r>
      <w:r w:rsidRPr="000338D9">
        <w:t>tion charges are determined</w:t>
      </w:r>
    </w:p>
    <w:p w:rsidR="00EF05C6" w:rsidRPr="000338D9" w:rsidRDefault="00EF05C6" w:rsidP="00EF05C6">
      <w:pPr>
        <w:pStyle w:val="AERbulletlistsecondstyle"/>
      </w:pPr>
      <w:r w:rsidRPr="00EA0A07">
        <w:t>the manner in which connection charges are to be paid (or equivalent co</w:t>
      </w:r>
      <w:r w:rsidRPr="000338D9">
        <w:t>nsideration is to be given)</w:t>
      </w:r>
    </w:p>
    <w:p w:rsidR="00EF05C6" w:rsidRDefault="00EF05C6" w:rsidP="00EF05C6">
      <w:pPr>
        <w:pStyle w:val="AERbulletlistsecondstyle"/>
      </w:pPr>
      <w:r w:rsidRPr="00EA0A07">
        <w:t>a threshold (based on capacity or any other measure identified in the connection charge guidelines) below which a retail customer (not being  non-registered embedded generator or a real estate developer) will not be liable for a connection charge for an augmentation other than an extension.</w:t>
      </w:r>
    </w:p>
    <w:p w:rsidR="00741AEE" w:rsidRPr="007F6DBB" w:rsidRDefault="00741AEE" w:rsidP="007F6DBB">
      <w:pPr>
        <w:pStyle w:val="HeadingBoldBlue"/>
      </w:pPr>
      <w:r w:rsidRPr="007F6DBB">
        <w:t>The AER's connection charge guidelines for electricity retail customers</w:t>
      </w:r>
    </w:p>
    <w:p w:rsidR="00741AEE" w:rsidRPr="00E30446" w:rsidRDefault="00741AEE" w:rsidP="00741AEE">
      <w:pPr>
        <w:numPr>
          <w:ilvl w:val="0"/>
          <w:numId w:val="24"/>
        </w:numPr>
        <w:rPr>
          <w:rStyle w:val="AERbody"/>
        </w:rPr>
      </w:pPr>
      <w:r>
        <w:rPr>
          <w:rStyle w:val="AERbody"/>
        </w:rPr>
        <w:t>A connection policy must be consistent with our connection charge guidelines for electricity retail customers. The purpose of our guideline is to ensure that connection charges</w:t>
      </w:r>
      <w:r w:rsidRPr="00E30446">
        <w:rPr>
          <w:rStyle w:val="AERbody"/>
        </w:rPr>
        <w:t>:</w:t>
      </w:r>
      <w:r>
        <w:rPr>
          <w:rStyle w:val="FootnoteReference"/>
        </w:rPr>
        <w:footnoteReference w:id="5"/>
      </w:r>
    </w:p>
    <w:p w:rsidR="00741AEE" w:rsidRPr="000338D9" w:rsidRDefault="00741AEE" w:rsidP="00741AEE">
      <w:pPr>
        <w:pStyle w:val="AERbulletlistfirststyle"/>
        <w:rPr>
          <w:rStyle w:val="AERbody"/>
        </w:rPr>
      </w:pPr>
      <w:r w:rsidRPr="00E30446">
        <w:rPr>
          <w:rStyle w:val="AERbody"/>
        </w:rPr>
        <w:lastRenderedPageBreak/>
        <w:t>are reasonable</w:t>
      </w:r>
      <w:r>
        <w:rPr>
          <w:rStyle w:val="AERbody"/>
        </w:rPr>
        <w:t xml:space="preserve">, </w:t>
      </w:r>
      <w:r w:rsidRPr="00E30446">
        <w:rPr>
          <w:rStyle w:val="AERbody"/>
        </w:rPr>
        <w:t xml:space="preserve">taking into account the efficient costs of providing the connection services arising from the new connection or connection alteration </w:t>
      </w:r>
    </w:p>
    <w:p w:rsidR="00741AEE" w:rsidRPr="000338D9" w:rsidRDefault="00741AEE" w:rsidP="00741AEE">
      <w:pPr>
        <w:pStyle w:val="AERbulletlistfirststyle"/>
        <w:rPr>
          <w:rStyle w:val="AERbody"/>
        </w:rPr>
      </w:pPr>
      <w:r w:rsidRPr="00E30446">
        <w:rPr>
          <w:rStyle w:val="AERbody"/>
        </w:rPr>
        <w:t>provide, without undue administrative cost, a user-pays signal to reflect the efficient cost</w:t>
      </w:r>
      <w:r>
        <w:rPr>
          <w:rStyle w:val="AERbody"/>
        </w:rPr>
        <w:t>s</w:t>
      </w:r>
      <w:r w:rsidRPr="00E30446">
        <w:rPr>
          <w:rStyle w:val="AERbody"/>
        </w:rPr>
        <w:t xml:space="preserve"> of providing the connection services</w:t>
      </w:r>
    </w:p>
    <w:p w:rsidR="00741AEE" w:rsidRPr="000338D9" w:rsidRDefault="00741AEE" w:rsidP="00741AEE">
      <w:pPr>
        <w:pStyle w:val="AERbulletlistfirststyle"/>
        <w:rPr>
          <w:rStyle w:val="AERbody"/>
        </w:rPr>
      </w:pPr>
      <w:r w:rsidRPr="00E30446">
        <w:rPr>
          <w:rStyle w:val="AERbody"/>
        </w:rPr>
        <w:t>limit cross-subsidisation of connection costs between different classes (or subclasses) of retail customer</w:t>
      </w:r>
      <w:r>
        <w:rPr>
          <w:rStyle w:val="AERbody"/>
        </w:rPr>
        <w:t>s</w:t>
      </w:r>
    </w:p>
    <w:p w:rsidR="00741AEE" w:rsidRPr="000338D9" w:rsidRDefault="00741AEE" w:rsidP="00741AEE">
      <w:pPr>
        <w:pStyle w:val="AERbulletlistfirststyle"/>
        <w:rPr>
          <w:rStyle w:val="AERbody"/>
        </w:rPr>
      </w:pPr>
      <w:r w:rsidRPr="00E30446">
        <w:rPr>
          <w:rStyle w:val="AERbody"/>
        </w:rPr>
        <w:t>are competitively neutral, if the connection services are contestable.</w:t>
      </w:r>
    </w:p>
    <w:p w:rsidR="009A5113" w:rsidRDefault="00EA744C" w:rsidP="009A5113">
      <w:pPr>
        <w:pStyle w:val="Heading2"/>
      </w:pPr>
      <w:bookmarkStart w:id="11" w:name="_Toc408404320"/>
      <w:bookmarkStart w:id="12" w:name="_Toc429475167"/>
      <w:r>
        <w:t>Final</w:t>
      </w:r>
      <w:r w:rsidR="009A5113" w:rsidRPr="0074565D">
        <w:t xml:space="preserve"> decision</w:t>
      </w:r>
      <w:bookmarkEnd w:id="11"/>
      <w:bookmarkEnd w:id="12"/>
    </w:p>
    <w:p w:rsidR="00162B0E" w:rsidRPr="00162B0E" w:rsidRDefault="00162B0E" w:rsidP="00162B0E">
      <w:pPr>
        <w:pStyle w:val="ListParagraph"/>
        <w:numPr>
          <w:ilvl w:val="0"/>
          <w:numId w:val="23"/>
        </w:numPr>
        <w:rPr>
          <w:rStyle w:val="AERbody"/>
        </w:rPr>
      </w:pPr>
      <w:r w:rsidRPr="00162B0E">
        <w:rPr>
          <w:rStyle w:val="AERbody"/>
        </w:rPr>
        <w:t xml:space="preserve">We adopt the preliminary decision on connection policy as the final decision for </w:t>
      </w:r>
      <w:r w:rsidRPr="00EF05C6">
        <w:t>Ergon Energy</w:t>
      </w:r>
      <w:r w:rsidRPr="00162B0E">
        <w:rPr>
          <w:rStyle w:val="AERbody"/>
        </w:rPr>
        <w:t xml:space="preserve"> because </w:t>
      </w:r>
      <w:r w:rsidR="006603BA">
        <w:rPr>
          <w:rStyle w:val="AERbody"/>
        </w:rPr>
        <w:t>we have not received any submission that led to a different decision</w:t>
      </w:r>
      <w:r w:rsidRPr="00162B0E">
        <w:rPr>
          <w:rStyle w:val="AERbody"/>
        </w:rPr>
        <w:t>.</w:t>
      </w:r>
    </w:p>
    <w:p w:rsidR="009A5113" w:rsidRDefault="00314063" w:rsidP="009A5113">
      <w:pPr>
        <w:pStyle w:val="Heading2"/>
      </w:pPr>
      <w:bookmarkStart w:id="13" w:name="_Toc429475168"/>
      <w:r>
        <w:t>Ergon Energy</w:t>
      </w:r>
      <w:r w:rsidR="00EA744C">
        <w:t>'s revised</w:t>
      </w:r>
      <w:r w:rsidR="005C0A7F">
        <w:t xml:space="preserve"> proposal</w:t>
      </w:r>
      <w:bookmarkEnd w:id="13"/>
    </w:p>
    <w:p w:rsidR="00741AEE" w:rsidRPr="00CF200B" w:rsidRDefault="00741AEE" w:rsidP="00741AEE">
      <w:r w:rsidRPr="00EF05C6">
        <w:t>Ergon Energy</w:t>
      </w:r>
      <w:r>
        <w:t xml:space="preserve"> accepted</w:t>
      </w:r>
      <w:r w:rsidRPr="00DD0E09">
        <w:t xml:space="preserve"> our preliminary decision</w:t>
      </w:r>
      <w:r>
        <w:t xml:space="preserve"> on the connection policy.</w:t>
      </w:r>
      <w:r w:rsidR="007F6DBB">
        <w:rPr>
          <w:rStyle w:val="FootnoteReference"/>
        </w:rPr>
        <w:footnoteReference w:id="6"/>
      </w:r>
      <w:r w:rsidRPr="00DD0E09">
        <w:t xml:space="preserve"> </w:t>
      </w:r>
    </w:p>
    <w:p w:rsidR="009A5113" w:rsidRDefault="009A5113" w:rsidP="009A5113">
      <w:pPr>
        <w:pStyle w:val="Heading2"/>
      </w:pPr>
      <w:bookmarkStart w:id="14" w:name="_Toc408404322"/>
      <w:bookmarkStart w:id="15" w:name="_Toc429475169"/>
      <w:r w:rsidRPr="0074565D">
        <w:t>AER’s assessment approach</w:t>
      </w:r>
      <w:bookmarkEnd w:id="14"/>
      <w:bookmarkEnd w:id="15"/>
    </w:p>
    <w:p w:rsidR="00741AEE" w:rsidRPr="00F71667" w:rsidRDefault="00741AEE" w:rsidP="00741AEE">
      <w:r>
        <w:t>Consistent with o</w:t>
      </w:r>
      <w:r w:rsidRPr="00277FF4">
        <w:t xml:space="preserve">ur approach </w:t>
      </w:r>
      <w:r>
        <w:t>in</w:t>
      </w:r>
      <w:r w:rsidRPr="00277FF4">
        <w:t xml:space="preserve"> assessing </w:t>
      </w:r>
      <w:r w:rsidRPr="00EF05C6">
        <w:t>Ergon Energy</w:t>
      </w:r>
      <w:r>
        <w:t>'s connection policy in the preliminary decision, w</w:t>
      </w:r>
      <w:r w:rsidRPr="00F71667">
        <w:t xml:space="preserve">e examined the proposed </w:t>
      </w:r>
      <w:r>
        <w:t xml:space="preserve">changes to the </w:t>
      </w:r>
      <w:r w:rsidRPr="00F71667">
        <w:t xml:space="preserve">connection policy against the requirements of </w:t>
      </w:r>
      <w:r>
        <w:t>clause 6.7A.1 of the NER</w:t>
      </w:r>
      <w:r w:rsidRPr="00F71667">
        <w:t xml:space="preserve"> as stated above––whether it:</w:t>
      </w:r>
    </w:p>
    <w:p w:rsidR="00741AEE" w:rsidRPr="00F71667" w:rsidRDefault="00741AEE" w:rsidP="00741AEE">
      <w:pPr>
        <w:pStyle w:val="AERbulletlistfirststyle"/>
      </w:pPr>
      <w:r w:rsidRPr="00F71667">
        <w:t>is consistent with the connection charge principles set out in chapter 5A of the NER, and our connection charge guidelines</w:t>
      </w:r>
    </w:p>
    <w:p w:rsidR="00741AEE" w:rsidRPr="00F71667" w:rsidRDefault="00741AEE" w:rsidP="00741AEE">
      <w:pPr>
        <w:pStyle w:val="AERbulletlistfirststyle"/>
      </w:pPr>
      <w:r w:rsidRPr="00F71667">
        <w:t xml:space="preserve">contains all the information </w:t>
      </w:r>
      <w:r w:rsidRPr="00F0334E">
        <w:t>that must be specified under clause 6.7A.1(b)(2) of the NER</w:t>
      </w:r>
      <w:r w:rsidRPr="00F71667">
        <w:t>.</w:t>
      </w:r>
    </w:p>
    <w:p w:rsidR="00741AEE" w:rsidRPr="00F71667" w:rsidRDefault="00741AEE" w:rsidP="00741AEE">
      <w:r>
        <w:t>I</w:t>
      </w:r>
      <w:r w:rsidRPr="00F71667">
        <w:t>n addition, we also examined whether:</w:t>
      </w:r>
    </w:p>
    <w:p w:rsidR="00741AEE" w:rsidRDefault="00741AEE" w:rsidP="00741AEE">
      <w:pPr>
        <w:pStyle w:val="AERbulletlistfirststyle"/>
      </w:pPr>
      <w:r w:rsidRPr="00F71667">
        <w:t>other connection related charges included in the connection policy, such as metering installation charges, are consistent with the service classification of this draft determination</w:t>
      </w:r>
    </w:p>
    <w:p w:rsidR="00741AEE" w:rsidRPr="00CF200B" w:rsidRDefault="00741AEE" w:rsidP="00741AEE">
      <w:pPr>
        <w:pStyle w:val="AERbulletlistfirststyle"/>
      </w:pPr>
      <w:r w:rsidRPr="00F71667">
        <w:t>the connection policy contains terms that are not fair and reasonable</w:t>
      </w:r>
      <w:r>
        <w:t>.</w:t>
      </w:r>
    </w:p>
    <w:p w:rsidR="009A5113" w:rsidRPr="0074565D" w:rsidRDefault="009A5113" w:rsidP="009A5113">
      <w:pPr>
        <w:pStyle w:val="Heading2"/>
      </w:pPr>
      <w:bookmarkStart w:id="16" w:name="_Toc408404324"/>
      <w:bookmarkStart w:id="17" w:name="_Toc429475170"/>
      <w:r w:rsidRPr="0074565D">
        <w:t xml:space="preserve">Reasons for </w:t>
      </w:r>
      <w:r w:rsidR="00651CB2">
        <w:t>final</w:t>
      </w:r>
      <w:r w:rsidR="00651CB2" w:rsidRPr="0074565D">
        <w:t xml:space="preserve"> </w:t>
      </w:r>
      <w:r w:rsidRPr="0074565D">
        <w:t>decision</w:t>
      </w:r>
      <w:bookmarkEnd w:id="16"/>
      <w:bookmarkEnd w:id="17"/>
      <w:r w:rsidRPr="0074565D">
        <w:t xml:space="preserve"> </w:t>
      </w:r>
    </w:p>
    <w:p w:rsidR="00361D17" w:rsidRDefault="006603BA" w:rsidP="00361D17">
      <w:pPr>
        <w:numPr>
          <w:ilvl w:val="0"/>
          <w:numId w:val="24"/>
        </w:numPr>
      </w:pPr>
      <w:r>
        <w:t>In</w:t>
      </w:r>
      <w:r w:rsidR="00361D17">
        <w:t xml:space="preserve"> the preliminary decision, we modified </w:t>
      </w:r>
      <w:r>
        <w:t xml:space="preserve">the upstream shared asset augmentation charge rates originally proposed by </w:t>
      </w:r>
      <w:r w:rsidR="00361D17">
        <w:t>Ergon Energy</w:t>
      </w:r>
      <w:r w:rsidR="00AA1170">
        <w:t>.</w:t>
      </w:r>
      <w:r>
        <w:t xml:space="preserve"> </w:t>
      </w:r>
      <w:r w:rsidR="00CC3070">
        <w:t xml:space="preserve">We also modified </w:t>
      </w:r>
      <w:r>
        <w:t xml:space="preserve">some </w:t>
      </w:r>
      <w:r w:rsidR="00361D17" w:rsidRPr="00361D17">
        <w:t>terms and con</w:t>
      </w:r>
      <w:r w:rsidR="00361D17">
        <w:t xml:space="preserve">ditions </w:t>
      </w:r>
      <w:r>
        <w:t xml:space="preserve">to improve </w:t>
      </w:r>
      <w:r w:rsidR="00CC3070">
        <w:t xml:space="preserve">the </w:t>
      </w:r>
      <w:r>
        <w:t>clarity of the originally proposed connection policy</w:t>
      </w:r>
      <w:r w:rsidR="00361D17">
        <w:t xml:space="preserve">. </w:t>
      </w:r>
    </w:p>
    <w:p w:rsidR="00474EC7" w:rsidRPr="00474EC7" w:rsidRDefault="00361D17" w:rsidP="007F6DBB">
      <w:pPr>
        <w:pStyle w:val="ListParagraph"/>
        <w:numPr>
          <w:ilvl w:val="0"/>
          <w:numId w:val="24"/>
        </w:numPr>
      </w:pPr>
      <w:r w:rsidRPr="00361D17">
        <w:t xml:space="preserve">Ergon Energy </w:t>
      </w:r>
      <w:r>
        <w:t xml:space="preserve">has </w:t>
      </w:r>
      <w:r w:rsidRPr="00361D17">
        <w:t>accepted our preliminary decision on the connection policy.</w:t>
      </w:r>
      <w:r>
        <w:t xml:space="preserve"> Therefore, we </w:t>
      </w:r>
      <w:r w:rsidRPr="00162B0E">
        <w:rPr>
          <w:rStyle w:val="AERbody"/>
        </w:rPr>
        <w:t xml:space="preserve">adopt the preliminary decision on connection policy as the final decision for </w:t>
      </w:r>
      <w:r w:rsidRPr="00EF05C6">
        <w:t>Ergon Energy</w:t>
      </w:r>
      <w:r>
        <w:t>.</w:t>
      </w:r>
    </w:p>
    <w:sectPr w:rsidR="00474EC7" w:rsidRPr="00474EC7" w:rsidSect="00EA744C">
      <w:headerReference w:type="even" r:id="rId15"/>
      <w:headerReference w:type="default" r:id="rId16"/>
      <w:footerReference w:type="even" r:id="rId17"/>
      <w:footerReference w:type="default" r:id="rId18"/>
      <w:headerReference w:type="first" r:id="rId19"/>
      <w:pgSz w:w="11906" w:h="16838" w:code="9"/>
      <w:pgMar w:top="1440" w:right="1700" w:bottom="1582" w:left="1729" w:header="720" w:footer="0" w:gutter="0"/>
      <w:pgNumType w:start="3"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44C" w:rsidRPr="00EA744C" w:rsidRDefault="00EF26B5" w:rsidP="00EA744C">
    <w:pPr>
      <w:pStyle w:val="Footer"/>
      <w:tabs>
        <w:tab w:val="clear" w:pos="4513"/>
        <w:tab w:val="clear" w:pos="9026"/>
        <w:tab w:val="center" w:pos="4238"/>
      </w:tabs>
    </w:pPr>
    <w:sdt>
      <w:sdtPr>
        <w:id w:val="714854681"/>
        <w:docPartObj>
          <w:docPartGallery w:val="Page Numbers (Bottom of Page)"/>
          <w:docPartUnique/>
        </w:docPartObj>
      </w:sdtPr>
      <w:sdtEndPr/>
      <w:sdtContent>
        <w:r w:rsidR="00EA744C" w:rsidRPr="00EA744C">
          <w:fldChar w:fldCharType="begin"/>
        </w:r>
        <w:r w:rsidR="00EA744C" w:rsidRPr="00EA744C">
          <w:instrText xml:space="preserve"> PAGE   \* MERGEFORMAT </w:instrText>
        </w:r>
        <w:r w:rsidR="00EA744C" w:rsidRPr="00EA744C">
          <w:fldChar w:fldCharType="separate"/>
        </w:r>
        <w:r w:rsidR="00F135BB">
          <w:rPr>
            <w:noProof/>
          </w:rPr>
          <w:t>18-0</w:t>
        </w:r>
        <w:r w:rsidR="00EA744C" w:rsidRPr="00EA744C">
          <w:fldChar w:fldCharType="end"/>
        </w:r>
      </w:sdtContent>
    </w:sdt>
    <w:r w:rsidR="00EA744C">
      <w:tab/>
    </w:r>
    <w:r w:rsidR="00EA744C" w:rsidRPr="00CA52A2">
      <w:t xml:space="preserve">Attachment 18 – Connection </w:t>
    </w:r>
    <w:r w:rsidR="00EA744C" w:rsidRPr="00EA744C">
      <w:t xml:space="preserve">policy | </w:t>
    </w:r>
    <w:r w:rsidR="00314063">
      <w:t>Ergon Energy</w:t>
    </w:r>
    <w:r w:rsidR="00EA744C" w:rsidRPr="00EA744C">
      <w:t xml:space="preserve"> final decision 2015–20</w:t>
    </w:r>
  </w:p>
  <w:p w:rsidR="00DE563D" w:rsidRDefault="00DE5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6104A" w:rsidRDefault="0066104A">
    <w:pPr>
      <w:pStyle w:val="Footer"/>
    </w:pP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DE772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DE772C" w:rsidRDefault="00DE772C">
    <w:pPr>
      <w:pStyle w:val="Footer"/>
    </w:pPr>
  </w:p>
  <w:p w:rsidR="00DE772C" w:rsidRDefault="00D17683">
    <w:pPr>
      <w:pStyle w:val="Footer"/>
    </w:pPr>
    <w:r>
      <w:fldChar w:fldCharType="begin"/>
    </w:r>
    <w:r>
      <w:instrText xml:space="preserve"> DOCPROPERTY DocumentID \* MERGEFORMAT </w:instrText>
    </w:r>
    <w:r>
      <w:fldChar w:fldCharType="separate"/>
    </w:r>
    <w:r w:rsidR="00D45694">
      <w:rPr>
        <w:b/>
        <w:bCs/>
        <w:lang w:val="en-US"/>
      </w:rPr>
      <w:t>Error! Unknown document property name.</w:t>
    </w:r>
    <w:r>
      <w:rPr>
        <w:color w:val="191919"/>
        <w:sz w:val="13"/>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710586"/>
      <w:docPartObj>
        <w:docPartGallery w:val="Page Numbers (Bottom of Page)"/>
        <w:docPartUnique/>
      </w:docPartObj>
    </w:sdtPr>
    <w:sdtEndPr/>
    <w:sdtContent>
      <w:p w:rsidR="00EA744C" w:rsidRPr="00EA744C" w:rsidRDefault="00EA744C">
        <w:pPr>
          <w:pStyle w:val="Footer"/>
        </w:pPr>
        <w:r w:rsidRPr="00EA744C">
          <w:fldChar w:fldCharType="begin"/>
        </w:r>
        <w:r w:rsidRPr="00EA744C">
          <w:instrText xml:space="preserve"> PAGE   \* MERGEFORMAT </w:instrText>
        </w:r>
        <w:r w:rsidRPr="00EA744C">
          <w:fldChar w:fldCharType="separate"/>
        </w:r>
        <w:r w:rsidR="00F135BB">
          <w:rPr>
            <w:noProof/>
          </w:rPr>
          <w:t>18-5</w:t>
        </w:r>
        <w:r w:rsidRPr="00EA744C">
          <w:fldChar w:fldCharType="end"/>
        </w:r>
        <w:r w:rsidRPr="00EA744C">
          <w:t xml:space="preserve"> </w:t>
        </w:r>
        <w:r>
          <w:tab/>
        </w:r>
        <w:r w:rsidRPr="00CA52A2">
          <w:t xml:space="preserve">Attachment 18 – Connection </w:t>
        </w:r>
        <w:r>
          <w:t>policy</w:t>
        </w:r>
        <w:r w:rsidRPr="00CA52A2">
          <w:t xml:space="preserve"> | </w:t>
        </w:r>
        <w:r w:rsidR="00314063">
          <w:t>Ergon Energy</w:t>
        </w:r>
        <w:r>
          <w:t xml:space="preserve"> final decision 2015–20</w:t>
        </w:r>
      </w:p>
    </w:sdtContent>
  </w:sdt>
  <w:p w:rsidR="00DE772C" w:rsidRDefault="00DE772C">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EF05C6" w:rsidRDefault="00EF05C6" w:rsidP="00EF05C6">
      <w:pPr>
        <w:pStyle w:val="FootnoteText"/>
      </w:pPr>
      <w:r>
        <w:rPr>
          <w:rStyle w:val="FootnoteReference"/>
        </w:rPr>
        <w:footnoteRef/>
      </w:r>
      <w:r>
        <w:t xml:space="preserve"> </w:t>
      </w:r>
      <w:r>
        <w:tab/>
        <w:t>NER, cl 6.12.1(21).</w:t>
      </w:r>
    </w:p>
  </w:footnote>
  <w:footnote w:id="2">
    <w:p w:rsidR="00EF05C6" w:rsidRDefault="00EF05C6" w:rsidP="00EF05C6">
      <w:pPr>
        <w:pStyle w:val="FootnoteText"/>
      </w:pPr>
      <w:r>
        <w:rPr>
          <w:rStyle w:val="FootnoteReference"/>
        </w:rPr>
        <w:footnoteRef/>
      </w:r>
      <w:r>
        <w:t xml:space="preserve"> </w:t>
      </w:r>
      <w:r>
        <w:tab/>
        <w:t>NER, cl. 6.7A.1(b)(1).</w:t>
      </w:r>
    </w:p>
  </w:footnote>
  <w:footnote w:id="3">
    <w:p w:rsidR="00EF05C6" w:rsidRDefault="00EF05C6" w:rsidP="00EF05C6">
      <w:pPr>
        <w:pStyle w:val="FootnoteText"/>
      </w:pPr>
      <w:r>
        <w:rPr>
          <w:rStyle w:val="FootnoteReference"/>
        </w:rPr>
        <w:footnoteRef/>
      </w:r>
      <w:r>
        <w:t xml:space="preserve"> </w:t>
      </w:r>
      <w:r>
        <w:tab/>
      </w:r>
      <w:r w:rsidRPr="001D0C7F">
        <w:t xml:space="preserve">AER, </w:t>
      </w:r>
      <w:r w:rsidRPr="00DA1375">
        <w:rPr>
          <w:rStyle w:val="AERtextitalic"/>
        </w:rPr>
        <w:t>Connection charge guideline for electricity retail customers, Under chapter 5A of the National Electricity Rules Version 1.0</w:t>
      </w:r>
      <w:r w:rsidRPr="001D0C7F">
        <w:t>, June 2012</w:t>
      </w:r>
      <w:r>
        <w:t>.</w:t>
      </w:r>
    </w:p>
  </w:footnote>
  <w:footnote w:id="4">
    <w:p w:rsidR="00EF05C6" w:rsidRDefault="00EF05C6" w:rsidP="00EF05C6">
      <w:pPr>
        <w:pStyle w:val="FootnoteText"/>
      </w:pPr>
      <w:r>
        <w:rPr>
          <w:rStyle w:val="FootnoteReference"/>
        </w:rPr>
        <w:footnoteRef/>
      </w:r>
      <w:r>
        <w:t xml:space="preserve"> </w:t>
      </w:r>
      <w:r>
        <w:tab/>
        <w:t>NER, cl. 6.7A.1(b)(2).</w:t>
      </w:r>
    </w:p>
  </w:footnote>
  <w:footnote w:id="5">
    <w:p w:rsidR="00741AEE" w:rsidRDefault="00741AEE" w:rsidP="00741AEE">
      <w:pPr>
        <w:pStyle w:val="FootnoteText"/>
      </w:pPr>
      <w:r>
        <w:rPr>
          <w:rStyle w:val="FootnoteReference"/>
        </w:rPr>
        <w:footnoteRef/>
      </w:r>
      <w:r>
        <w:t xml:space="preserve"> </w:t>
      </w:r>
      <w:r>
        <w:tab/>
        <w:t xml:space="preserve">NER, cl. 5A.E.3(b); </w:t>
      </w:r>
      <w:r w:rsidRPr="001D0C7F">
        <w:t xml:space="preserve">AER, </w:t>
      </w:r>
      <w:r w:rsidRPr="00DA1375">
        <w:rPr>
          <w:rStyle w:val="AERtextitalic"/>
        </w:rPr>
        <w:t>Connection charge guideline for electricity retail customers, Under chapter 5A of the National Electricity Rules Version 1.0</w:t>
      </w:r>
      <w:r w:rsidRPr="001D0C7F">
        <w:t>, June 2012</w:t>
      </w:r>
      <w:r>
        <w:t>, p</w:t>
      </w:r>
      <w:r w:rsidR="00E35AB1">
        <w:t>a</w:t>
      </w:r>
      <w:r>
        <w:t>g</w:t>
      </w:r>
      <w:r w:rsidR="00E35AB1">
        <w:t>e</w:t>
      </w:r>
      <w:r>
        <w:t xml:space="preserve"> 11.</w:t>
      </w:r>
    </w:p>
  </w:footnote>
  <w:footnote w:id="6">
    <w:p w:rsidR="007F6DBB" w:rsidRDefault="007F6DBB">
      <w:pPr>
        <w:pStyle w:val="FootnoteText"/>
      </w:pPr>
      <w:r>
        <w:rPr>
          <w:rStyle w:val="FootnoteReference"/>
        </w:rPr>
        <w:footnoteRef/>
      </w:r>
      <w:r>
        <w:t xml:space="preserve"> </w:t>
      </w:r>
      <w:r>
        <w:tab/>
        <w:t xml:space="preserve">Ergon Energy, </w:t>
      </w:r>
      <w:r w:rsidRPr="007F6DBB">
        <w:rPr>
          <w:rStyle w:val="AERtextitalic"/>
        </w:rPr>
        <w:t>Revised regulatory proposal</w:t>
      </w:r>
      <w:r>
        <w:t>, July 2015, p. 157.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EF26B5">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DE772C">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DE77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EF26B5">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DD0E0166"/>
    <w:lvl w:ilvl="0">
      <w:start w:val="1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ocumentProtection w:formatting="1" w:enforcement="1" w:spinCount="100000" w:hashValue="8yr7Cp6LuPmU8LxnNfWfudpC7hbn68eGgmwHkq8508g=" w:saltValue="6PNXl/bw09o7s3SIBC4MZA=="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340\AER15 2532  Energex - Final decision - Attach 18 - Connection policy.DOCX"/>
  </w:docVars>
  <w:rsids>
    <w:rsidRoot w:val="00961A4A"/>
    <w:rsid w:val="00010286"/>
    <w:rsid w:val="00021202"/>
    <w:rsid w:val="00021C2B"/>
    <w:rsid w:val="0002517F"/>
    <w:rsid w:val="00026495"/>
    <w:rsid w:val="0003578C"/>
    <w:rsid w:val="000401AF"/>
    <w:rsid w:val="00063247"/>
    <w:rsid w:val="00070F9F"/>
    <w:rsid w:val="0007137B"/>
    <w:rsid w:val="00085663"/>
    <w:rsid w:val="00085EBF"/>
    <w:rsid w:val="00091B15"/>
    <w:rsid w:val="000A3020"/>
    <w:rsid w:val="000A6C7B"/>
    <w:rsid w:val="000C2B40"/>
    <w:rsid w:val="000D06C1"/>
    <w:rsid w:val="000D122C"/>
    <w:rsid w:val="000D3016"/>
    <w:rsid w:val="000E1819"/>
    <w:rsid w:val="000E4821"/>
    <w:rsid w:val="000E6C72"/>
    <w:rsid w:val="000F0B2B"/>
    <w:rsid w:val="000F114D"/>
    <w:rsid w:val="000F3E72"/>
    <w:rsid w:val="000F48B1"/>
    <w:rsid w:val="00103E03"/>
    <w:rsid w:val="00116EB2"/>
    <w:rsid w:val="00124609"/>
    <w:rsid w:val="00126A4C"/>
    <w:rsid w:val="00142AB6"/>
    <w:rsid w:val="0014573B"/>
    <w:rsid w:val="001573E4"/>
    <w:rsid w:val="00160756"/>
    <w:rsid w:val="00162B0E"/>
    <w:rsid w:val="0017232E"/>
    <w:rsid w:val="00174102"/>
    <w:rsid w:val="001754EE"/>
    <w:rsid w:val="00180157"/>
    <w:rsid w:val="00185CB9"/>
    <w:rsid w:val="00186F77"/>
    <w:rsid w:val="001926A4"/>
    <w:rsid w:val="00192AD5"/>
    <w:rsid w:val="001B45A0"/>
    <w:rsid w:val="001D055E"/>
    <w:rsid w:val="001F05A4"/>
    <w:rsid w:val="001F492E"/>
    <w:rsid w:val="001F6DA3"/>
    <w:rsid w:val="002010BC"/>
    <w:rsid w:val="002016E7"/>
    <w:rsid w:val="00201F98"/>
    <w:rsid w:val="00202E03"/>
    <w:rsid w:val="0020478D"/>
    <w:rsid w:val="0020492C"/>
    <w:rsid w:val="0022413C"/>
    <w:rsid w:val="00224DB9"/>
    <w:rsid w:val="00227DCE"/>
    <w:rsid w:val="0023276C"/>
    <w:rsid w:val="00233775"/>
    <w:rsid w:val="00251745"/>
    <w:rsid w:val="00263AC0"/>
    <w:rsid w:val="00264264"/>
    <w:rsid w:val="0026772D"/>
    <w:rsid w:val="00286874"/>
    <w:rsid w:val="00290C63"/>
    <w:rsid w:val="00296B65"/>
    <w:rsid w:val="002A7DEF"/>
    <w:rsid w:val="002B1003"/>
    <w:rsid w:val="002C233C"/>
    <w:rsid w:val="002D72E8"/>
    <w:rsid w:val="002E7B22"/>
    <w:rsid w:val="002F7986"/>
    <w:rsid w:val="00301B40"/>
    <w:rsid w:val="003029EE"/>
    <w:rsid w:val="0030370B"/>
    <w:rsid w:val="00305CC8"/>
    <w:rsid w:val="00307F6D"/>
    <w:rsid w:val="00314063"/>
    <w:rsid w:val="003177A2"/>
    <w:rsid w:val="003271B5"/>
    <w:rsid w:val="00327A1E"/>
    <w:rsid w:val="00331264"/>
    <w:rsid w:val="00334C8D"/>
    <w:rsid w:val="00343A18"/>
    <w:rsid w:val="00344473"/>
    <w:rsid w:val="003518B3"/>
    <w:rsid w:val="00361D17"/>
    <w:rsid w:val="003846F1"/>
    <w:rsid w:val="003B484F"/>
    <w:rsid w:val="003B7FBA"/>
    <w:rsid w:val="003F174D"/>
    <w:rsid w:val="003F7442"/>
    <w:rsid w:val="00415F31"/>
    <w:rsid w:val="00423A77"/>
    <w:rsid w:val="00444FDC"/>
    <w:rsid w:val="0045777E"/>
    <w:rsid w:val="00474EC7"/>
    <w:rsid w:val="00477BA7"/>
    <w:rsid w:val="00480B4B"/>
    <w:rsid w:val="00485DC4"/>
    <w:rsid w:val="004A43D1"/>
    <w:rsid w:val="004B4412"/>
    <w:rsid w:val="004C348C"/>
    <w:rsid w:val="004D55BA"/>
    <w:rsid w:val="004E22EC"/>
    <w:rsid w:val="004F6A0E"/>
    <w:rsid w:val="00530128"/>
    <w:rsid w:val="00532467"/>
    <w:rsid w:val="00537FD6"/>
    <w:rsid w:val="0056115A"/>
    <w:rsid w:val="00564A4D"/>
    <w:rsid w:val="0056588A"/>
    <w:rsid w:val="00567BA5"/>
    <w:rsid w:val="00571B35"/>
    <w:rsid w:val="00571D57"/>
    <w:rsid w:val="00577A09"/>
    <w:rsid w:val="005829C2"/>
    <w:rsid w:val="00584D8F"/>
    <w:rsid w:val="00586819"/>
    <w:rsid w:val="0059704C"/>
    <w:rsid w:val="005A404D"/>
    <w:rsid w:val="005B1E3C"/>
    <w:rsid w:val="005B704A"/>
    <w:rsid w:val="005C0A7F"/>
    <w:rsid w:val="005C26CC"/>
    <w:rsid w:val="005C4C9C"/>
    <w:rsid w:val="005D7BA2"/>
    <w:rsid w:val="005E31A8"/>
    <w:rsid w:val="005E36C2"/>
    <w:rsid w:val="006007DE"/>
    <w:rsid w:val="00601638"/>
    <w:rsid w:val="00610EF9"/>
    <w:rsid w:val="00612F4F"/>
    <w:rsid w:val="00615C6B"/>
    <w:rsid w:val="00621DCE"/>
    <w:rsid w:val="00632D6D"/>
    <w:rsid w:val="00642C3E"/>
    <w:rsid w:val="00651C3A"/>
    <w:rsid w:val="00651CB2"/>
    <w:rsid w:val="006560CA"/>
    <w:rsid w:val="006603BA"/>
    <w:rsid w:val="0066104A"/>
    <w:rsid w:val="00663DAD"/>
    <w:rsid w:val="00665649"/>
    <w:rsid w:val="00675E20"/>
    <w:rsid w:val="00676679"/>
    <w:rsid w:val="00683C89"/>
    <w:rsid w:val="00691D9A"/>
    <w:rsid w:val="006B2395"/>
    <w:rsid w:val="006B4CF9"/>
    <w:rsid w:val="006B785B"/>
    <w:rsid w:val="006B7AC8"/>
    <w:rsid w:val="006C1736"/>
    <w:rsid w:val="006C4798"/>
    <w:rsid w:val="006D550F"/>
    <w:rsid w:val="006F3AD1"/>
    <w:rsid w:val="006F3FC8"/>
    <w:rsid w:val="0070011E"/>
    <w:rsid w:val="00701CAB"/>
    <w:rsid w:val="00707563"/>
    <w:rsid w:val="0072348C"/>
    <w:rsid w:val="00724A37"/>
    <w:rsid w:val="007303C3"/>
    <w:rsid w:val="00741AEE"/>
    <w:rsid w:val="007429BE"/>
    <w:rsid w:val="00743223"/>
    <w:rsid w:val="00746E01"/>
    <w:rsid w:val="00747EEA"/>
    <w:rsid w:val="00757364"/>
    <w:rsid w:val="00757BDF"/>
    <w:rsid w:val="007609D0"/>
    <w:rsid w:val="00763E5D"/>
    <w:rsid w:val="00767740"/>
    <w:rsid w:val="00777EE6"/>
    <w:rsid w:val="00782EEA"/>
    <w:rsid w:val="0079378D"/>
    <w:rsid w:val="007B186E"/>
    <w:rsid w:val="007B2C72"/>
    <w:rsid w:val="007B7735"/>
    <w:rsid w:val="007C1C53"/>
    <w:rsid w:val="007C74BB"/>
    <w:rsid w:val="007D456E"/>
    <w:rsid w:val="007E4904"/>
    <w:rsid w:val="007E4CB5"/>
    <w:rsid w:val="007F066B"/>
    <w:rsid w:val="007F213A"/>
    <w:rsid w:val="007F6DBB"/>
    <w:rsid w:val="007F75C4"/>
    <w:rsid w:val="008033C4"/>
    <w:rsid w:val="00806C88"/>
    <w:rsid w:val="0081034E"/>
    <w:rsid w:val="008221F2"/>
    <w:rsid w:val="00825985"/>
    <w:rsid w:val="008344F6"/>
    <w:rsid w:val="0083510F"/>
    <w:rsid w:val="008408C5"/>
    <w:rsid w:val="00851209"/>
    <w:rsid w:val="0085722A"/>
    <w:rsid w:val="008837AC"/>
    <w:rsid w:val="008A587D"/>
    <w:rsid w:val="008B35CD"/>
    <w:rsid w:val="008B5FCC"/>
    <w:rsid w:val="008B7544"/>
    <w:rsid w:val="008C3374"/>
    <w:rsid w:val="008C5486"/>
    <w:rsid w:val="008C708B"/>
    <w:rsid w:val="008D1661"/>
    <w:rsid w:val="008D6800"/>
    <w:rsid w:val="008E7031"/>
    <w:rsid w:val="008E77DE"/>
    <w:rsid w:val="008F07A3"/>
    <w:rsid w:val="008F34DD"/>
    <w:rsid w:val="009001B6"/>
    <w:rsid w:val="00900E1B"/>
    <w:rsid w:val="00901C3C"/>
    <w:rsid w:val="009233EE"/>
    <w:rsid w:val="009272AD"/>
    <w:rsid w:val="009277DC"/>
    <w:rsid w:val="009460AA"/>
    <w:rsid w:val="00951978"/>
    <w:rsid w:val="00961A4A"/>
    <w:rsid w:val="009661DE"/>
    <w:rsid w:val="00983C25"/>
    <w:rsid w:val="009856B7"/>
    <w:rsid w:val="00985C86"/>
    <w:rsid w:val="009A5113"/>
    <w:rsid w:val="009A5FC3"/>
    <w:rsid w:val="009B6F84"/>
    <w:rsid w:val="009B74B0"/>
    <w:rsid w:val="009D0E06"/>
    <w:rsid w:val="009D3906"/>
    <w:rsid w:val="009D6B46"/>
    <w:rsid w:val="009F4940"/>
    <w:rsid w:val="009F5BA1"/>
    <w:rsid w:val="00A0172F"/>
    <w:rsid w:val="00A02A88"/>
    <w:rsid w:val="00A0562E"/>
    <w:rsid w:val="00A0726D"/>
    <w:rsid w:val="00A32FBB"/>
    <w:rsid w:val="00A428EE"/>
    <w:rsid w:val="00A4478A"/>
    <w:rsid w:val="00A44852"/>
    <w:rsid w:val="00A4650A"/>
    <w:rsid w:val="00A50502"/>
    <w:rsid w:val="00A57D04"/>
    <w:rsid w:val="00A60A26"/>
    <w:rsid w:val="00A61598"/>
    <w:rsid w:val="00A84A99"/>
    <w:rsid w:val="00A84F46"/>
    <w:rsid w:val="00A871F4"/>
    <w:rsid w:val="00AA1170"/>
    <w:rsid w:val="00AC1B2C"/>
    <w:rsid w:val="00AC3264"/>
    <w:rsid w:val="00AE1BF1"/>
    <w:rsid w:val="00AF0DD2"/>
    <w:rsid w:val="00B0209D"/>
    <w:rsid w:val="00B07CEA"/>
    <w:rsid w:val="00B13048"/>
    <w:rsid w:val="00B1716D"/>
    <w:rsid w:val="00B17A1D"/>
    <w:rsid w:val="00B207A0"/>
    <w:rsid w:val="00B514DD"/>
    <w:rsid w:val="00B52AF0"/>
    <w:rsid w:val="00B561BD"/>
    <w:rsid w:val="00B56E03"/>
    <w:rsid w:val="00B757A6"/>
    <w:rsid w:val="00B8080B"/>
    <w:rsid w:val="00B82223"/>
    <w:rsid w:val="00B87BA5"/>
    <w:rsid w:val="00B87C39"/>
    <w:rsid w:val="00B9562D"/>
    <w:rsid w:val="00BA4665"/>
    <w:rsid w:val="00BB2FB2"/>
    <w:rsid w:val="00BB3304"/>
    <w:rsid w:val="00BB7528"/>
    <w:rsid w:val="00BD310B"/>
    <w:rsid w:val="00BD3446"/>
    <w:rsid w:val="00BE1F1B"/>
    <w:rsid w:val="00BE47B5"/>
    <w:rsid w:val="00BF7CAE"/>
    <w:rsid w:val="00C04223"/>
    <w:rsid w:val="00C25FA6"/>
    <w:rsid w:val="00C52D23"/>
    <w:rsid w:val="00C538A9"/>
    <w:rsid w:val="00C53B5A"/>
    <w:rsid w:val="00C54F5A"/>
    <w:rsid w:val="00C569B4"/>
    <w:rsid w:val="00C56A3E"/>
    <w:rsid w:val="00C67A92"/>
    <w:rsid w:val="00C7497E"/>
    <w:rsid w:val="00C84560"/>
    <w:rsid w:val="00C86679"/>
    <w:rsid w:val="00CA489E"/>
    <w:rsid w:val="00CA52A2"/>
    <w:rsid w:val="00CB0279"/>
    <w:rsid w:val="00CB666B"/>
    <w:rsid w:val="00CC3070"/>
    <w:rsid w:val="00CC7F1D"/>
    <w:rsid w:val="00CE484B"/>
    <w:rsid w:val="00CF0DEE"/>
    <w:rsid w:val="00D006AE"/>
    <w:rsid w:val="00D01CF0"/>
    <w:rsid w:val="00D01EFD"/>
    <w:rsid w:val="00D0442A"/>
    <w:rsid w:val="00D067E0"/>
    <w:rsid w:val="00D17683"/>
    <w:rsid w:val="00D45694"/>
    <w:rsid w:val="00D61388"/>
    <w:rsid w:val="00D61A54"/>
    <w:rsid w:val="00D64DEA"/>
    <w:rsid w:val="00D7168E"/>
    <w:rsid w:val="00D71E57"/>
    <w:rsid w:val="00D80893"/>
    <w:rsid w:val="00D83A72"/>
    <w:rsid w:val="00D84854"/>
    <w:rsid w:val="00D848B4"/>
    <w:rsid w:val="00D92CF1"/>
    <w:rsid w:val="00D92D38"/>
    <w:rsid w:val="00D950F5"/>
    <w:rsid w:val="00DA4752"/>
    <w:rsid w:val="00DA61F3"/>
    <w:rsid w:val="00DA6B93"/>
    <w:rsid w:val="00DB0F93"/>
    <w:rsid w:val="00DB1A67"/>
    <w:rsid w:val="00DB5074"/>
    <w:rsid w:val="00DB5B21"/>
    <w:rsid w:val="00DC7981"/>
    <w:rsid w:val="00DE1093"/>
    <w:rsid w:val="00DE4EFA"/>
    <w:rsid w:val="00DE5520"/>
    <w:rsid w:val="00DE563D"/>
    <w:rsid w:val="00DE5E2E"/>
    <w:rsid w:val="00DE772C"/>
    <w:rsid w:val="00DF312A"/>
    <w:rsid w:val="00E04818"/>
    <w:rsid w:val="00E06442"/>
    <w:rsid w:val="00E06BCF"/>
    <w:rsid w:val="00E1001C"/>
    <w:rsid w:val="00E23993"/>
    <w:rsid w:val="00E25B8C"/>
    <w:rsid w:val="00E35AB1"/>
    <w:rsid w:val="00E51D65"/>
    <w:rsid w:val="00E6200B"/>
    <w:rsid w:val="00E65C85"/>
    <w:rsid w:val="00E66199"/>
    <w:rsid w:val="00E711C7"/>
    <w:rsid w:val="00E755EC"/>
    <w:rsid w:val="00E7624D"/>
    <w:rsid w:val="00EA3D42"/>
    <w:rsid w:val="00EA6B1B"/>
    <w:rsid w:val="00EA744C"/>
    <w:rsid w:val="00EB5BC8"/>
    <w:rsid w:val="00EB606C"/>
    <w:rsid w:val="00EC04F1"/>
    <w:rsid w:val="00ED7323"/>
    <w:rsid w:val="00EE28F3"/>
    <w:rsid w:val="00EE50D1"/>
    <w:rsid w:val="00EF05C6"/>
    <w:rsid w:val="00EF26B5"/>
    <w:rsid w:val="00EF5110"/>
    <w:rsid w:val="00F0334E"/>
    <w:rsid w:val="00F10411"/>
    <w:rsid w:val="00F135BB"/>
    <w:rsid w:val="00F15882"/>
    <w:rsid w:val="00F171E0"/>
    <w:rsid w:val="00F20BD3"/>
    <w:rsid w:val="00F2526A"/>
    <w:rsid w:val="00F373A5"/>
    <w:rsid w:val="00F47559"/>
    <w:rsid w:val="00F61176"/>
    <w:rsid w:val="00F64C7B"/>
    <w:rsid w:val="00F65B25"/>
    <w:rsid w:val="00F676DD"/>
    <w:rsid w:val="00F71667"/>
    <w:rsid w:val="00F75A26"/>
    <w:rsid w:val="00F76706"/>
    <w:rsid w:val="00F768C8"/>
    <w:rsid w:val="00F81B8D"/>
    <w:rsid w:val="00F83FAD"/>
    <w:rsid w:val="00F8653A"/>
    <w:rsid w:val="00F92349"/>
    <w:rsid w:val="00F952A0"/>
    <w:rsid w:val="00FA3C7F"/>
    <w:rsid w:val="00FB4402"/>
    <w:rsid w:val="00FB60FE"/>
    <w:rsid w:val="00FB74E2"/>
    <w:rsid w:val="00FC71DC"/>
    <w:rsid w:val="00FD2ED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C4732A-B645-4330-AFE3-B6CE88439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31A44863</Template>
  <TotalTime>0</TotalTime>
  <Pages>8</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2015-10-24T07:23:00Z</dcterms:created>
  <dcterms:modified xsi:type="dcterms:W3CDTF">2015-10-24T07:23:00Z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8427778</vt:lpwstr>
  </property>
  <property fmtid="{D5CDD505-2E9C-101B-9397-08002B2CF9AE}" pid="3" name="_MarkAsFinal">
    <vt:bool>true</vt:bool>
  </property>
</Properties>
</file>