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14:paraId="02287182" w14:textId="77777777"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E456604" wp14:editId="176757C9">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77777777" w:rsidR="009C0307" w:rsidRDefault="009C0307" w:rsidP="009C0307">
          <w:pPr>
            <w:pStyle w:val="ReportSubtitle"/>
          </w:pPr>
          <w:r>
            <w:t>FINAL DECISION</w:t>
          </w:r>
        </w:p>
        <w:p w14:paraId="67FBD86B" w14:textId="7577A374" w:rsidR="009C0307" w:rsidRDefault="00696201" w:rsidP="009C0307">
          <w:pPr>
            <w:pStyle w:val="ReportSubtitle"/>
          </w:pPr>
          <w:r>
            <w:t>Ergon Energy</w:t>
          </w:r>
        </w:p>
        <w:p w14:paraId="43AA656D" w14:textId="50D28CAF" w:rsidR="003F2309" w:rsidRDefault="005276FD" w:rsidP="009C0307">
          <w:pPr>
            <w:pStyle w:val="ReportSubtitle"/>
          </w:pPr>
          <w:r>
            <w:t>determination</w:t>
          </w:r>
          <w:r w:rsidR="003F2309">
            <w:t xml:space="preserve"> </w:t>
          </w:r>
        </w:p>
        <w:p w14:paraId="7B01D74B" w14:textId="77777777" w:rsidR="009C0307" w:rsidRDefault="003F2309" w:rsidP="009C0307">
          <w:pPr>
            <w:pStyle w:val="ReportSubtitle"/>
          </w:pPr>
          <w:r>
            <w:t>2015-</w:t>
          </w:r>
          <w:r w:rsidR="005276FD">
            <w:t>16 to 2019</w:t>
          </w:r>
          <w:r>
            <w:t>-</w:t>
          </w:r>
          <w:r w:rsidR="009C0307">
            <w:t>20</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386BFA81" w:rsidR="000A6C7B" w:rsidRPr="00327A1E" w:rsidRDefault="003F2309" w:rsidP="00327A1E">
          <w:pPr>
            <w:pStyle w:val="ReportDate"/>
          </w:pPr>
          <w:r>
            <w:t>October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proofErr w:type="gramStart"/>
      <w:r>
        <w:t>or</w:t>
      </w:r>
      <w:proofErr w:type="gramEnd"/>
      <w:r>
        <w:t xml:space="preserve">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14:paraId="7E7BF8AA" w14:textId="77777777" w:rsidR="009001B6" w:rsidRDefault="009001B6">
      <w:pPr>
        <w:spacing w:line="240" w:lineRule="auto"/>
      </w:pPr>
      <w:bookmarkStart w:id="0" w:name="_Toc404354899"/>
      <w:bookmarkStart w:id="1" w:name="_Toc404353070"/>
      <w:bookmarkStart w:id="2" w:name="_Toc404684201"/>
      <w:bookmarkStart w:id="3" w:name="_Toc404700923"/>
      <w:r>
        <w:br w:type="page"/>
      </w:r>
    </w:p>
    <w:p w14:paraId="74FF84FF" w14:textId="77777777" w:rsidR="00E6180D" w:rsidRDefault="00E6180D" w:rsidP="003D3D89">
      <w:pPr>
        <w:pStyle w:val="UnnumberedHeading"/>
      </w:pPr>
      <w:bookmarkStart w:id="4" w:name="_Toc408493480"/>
      <w:bookmarkStart w:id="5" w:name="_Toc433445532"/>
      <w:bookmarkEnd w:id="0"/>
      <w:bookmarkEnd w:id="1"/>
      <w:bookmarkEnd w:id="2"/>
      <w:bookmarkEnd w:id="3"/>
      <w:r w:rsidRPr="003D3D89">
        <w:lastRenderedPageBreak/>
        <w:t>Note</w:t>
      </w:r>
      <w:bookmarkEnd w:id="4"/>
      <w:bookmarkEnd w:id="5"/>
    </w:p>
    <w:p w14:paraId="2F0816E7" w14:textId="14058074" w:rsidR="0016622B" w:rsidRDefault="0016622B" w:rsidP="0016622B">
      <w:pPr>
        <w:numPr>
          <w:ilvl w:val="0"/>
          <w:numId w:val="25"/>
        </w:numPr>
      </w:pPr>
      <w:r>
        <w:t xml:space="preserve">This attachment forms part of the AER's final decision on </w:t>
      </w:r>
      <w:r w:rsidR="00C35731">
        <w:t>Ergon Energy</w:t>
      </w:r>
      <w:r w:rsidR="00471920">
        <w:t>'s</w:t>
      </w:r>
      <w:r>
        <w:t xml:space="preserve"> 2015–20 distribution determination. It should be read with all other parts of the final decision.</w:t>
      </w:r>
    </w:p>
    <w:p w14:paraId="646374EE" w14:textId="77777777" w:rsidR="0016622B" w:rsidRDefault="0016622B" w:rsidP="0016622B">
      <w:pPr>
        <w:numPr>
          <w:ilvl w:val="0"/>
          <w:numId w:val="25"/>
        </w:numPr>
      </w:pPr>
      <w:r>
        <w:t>The final decision includes the following documents:</w:t>
      </w:r>
    </w:p>
    <w:p w14:paraId="5689C692" w14:textId="77777777" w:rsidR="0016622B" w:rsidRDefault="0016622B" w:rsidP="0016622B">
      <w:pPr>
        <w:numPr>
          <w:ilvl w:val="0"/>
          <w:numId w:val="25"/>
        </w:numPr>
      </w:pPr>
      <w:r>
        <w:t>Overview</w:t>
      </w:r>
    </w:p>
    <w:p w14:paraId="7E93AF65" w14:textId="77777777" w:rsidR="0016622B" w:rsidRDefault="0016622B" w:rsidP="0016622B">
      <w:pPr>
        <w:numPr>
          <w:ilvl w:val="0"/>
          <w:numId w:val="25"/>
        </w:numPr>
      </w:pPr>
      <w:r>
        <w:t>Attachment 1 – Annual revenue requirement</w:t>
      </w:r>
    </w:p>
    <w:p w14:paraId="02BCA62A" w14:textId="77777777" w:rsidR="0016622B" w:rsidRDefault="0016622B" w:rsidP="0016622B">
      <w:pPr>
        <w:numPr>
          <w:ilvl w:val="0"/>
          <w:numId w:val="25"/>
        </w:numPr>
      </w:pPr>
      <w:r>
        <w:t>Attachment 2 – Regulatory asset base</w:t>
      </w:r>
    </w:p>
    <w:p w14:paraId="1A3F3F19" w14:textId="77777777" w:rsidR="0016622B" w:rsidRDefault="0016622B" w:rsidP="0016622B">
      <w:pPr>
        <w:numPr>
          <w:ilvl w:val="0"/>
          <w:numId w:val="25"/>
        </w:numPr>
      </w:pPr>
      <w:r>
        <w:t>Attachment 3 – Rate of return</w:t>
      </w:r>
    </w:p>
    <w:p w14:paraId="07647183" w14:textId="77777777" w:rsidR="0016622B" w:rsidRDefault="0016622B" w:rsidP="0016622B">
      <w:pPr>
        <w:numPr>
          <w:ilvl w:val="0"/>
          <w:numId w:val="25"/>
        </w:numPr>
      </w:pPr>
      <w:r>
        <w:t>Attachment 4 – Value of imputation credits</w:t>
      </w:r>
    </w:p>
    <w:p w14:paraId="33636763" w14:textId="77777777" w:rsidR="0016622B" w:rsidRDefault="0016622B" w:rsidP="0016622B">
      <w:pPr>
        <w:numPr>
          <w:ilvl w:val="0"/>
          <w:numId w:val="25"/>
        </w:numPr>
      </w:pPr>
      <w:r>
        <w:t>Attachment 5 – Regulatory depreciation</w:t>
      </w:r>
    </w:p>
    <w:p w14:paraId="07820EAB" w14:textId="77777777" w:rsidR="0016622B" w:rsidRDefault="0016622B" w:rsidP="0016622B">
      <w:pPr>
        <w:numPr>
          <w:ilvl w:val="0"/>
          <w:numId w:val="25"/>
        </w:numPr>
      </w:pPr>
      <w:r>
        <w:t xml:space="preserve">Attachment 6 – Capital expenditure </w:t>
      </w:r>
    </w:p>
    <w:p w14:paraId="23797776" w14:textId="77777777" w:rsidR="0016622B" w:rsidRDefault="0016622B" w:rsidP="0016622B">
      <w:pPr>
        <w:numPr>
          <w:ilvl w:val="0"/>
          <w:numId w:val="25"/>
        </w:numPr>
      </w:pPr>
      <w:r>
        <w:t>Attachment 7 – Operating expenditure</w:t>
      </w:r>
    </w:p>
    <w:p w14:paraId="05E8AC55" w14:textId="77777777" w:rsidR="0016622B" w:rsidRDefault="0016622B" w:rsidP="0016622B">
      <w:pPr>
        <w:numPr>
          <w:ilvl w:val="0"/>
          <w:numId w:val="25"/>
        </w:numPr>
      </w:pPr>
      <w:r>
        <w:t>Attachment 8 – Corporate income tax</w:t>
      </w:r>
    </w:p>
    <w:p w14:paraId="4A27F0C6" w14:textId="77777777" w:rsidR="0016622B" w:rsidRDefault="0016622B" w:rsidP="0016622B">
      <w:pPr>
        <w:numPr>
          <w:ilvl w:val="0"/>
          <w:numId w:val="25"/>
        </w:numPr>
      </w:pPr>
      <w:r>
        <w:t>Attachment 9 – Efficiency benefit sharing scheme</w:t>
      </w:r>
    </w:p>
    <w:p w14:paraId="794CC919" w14:textId="77777777" w:rsidR="0016622B" w:rsidRDefault="0016622B" w:rsidP="0016622B">
      <w:pPr>
        <w:numPr>
          <w:ilvl w:val="0"/>
          <w:numId w:val="25"/>
        </w:numPr>
      </w:pPr>
      <w:r>
        <w:t>Attachment 10 – Capital expenditure sharing scheme</w:t>
      </w:r>
    </w:p>
    <w:p w14:paraId="11CBB6E0" w14:textId="77777777" w:rsidR="0016622B" w:rsidRDefault="0016622B" w:rsidP="0016622B">
      <w:pPr>
        <w:numPr>
          <w:ilvl w:val="0"/>
          <w:numId w:val="25"/>
        </w:numPr>
      </w:pPr>
      <w:r>
        <w:t>Attachment 11 – Service target performance incentive scheme</w:t>
      </w:r>
    </w:p>
    <w:p w14:paraId="4F336D57" w14:textId="77777777" w:rsidR="0016622B" w:rsidRDefault="0016622B" w:rsidP="0016622B">
      <w:pPr>
        <w:numPr>
          <w:ilvl w:val="0"/>
          <w:numId w:val="25"/>
        </w:numPr>
      </w:pPr>
      <w:r>
        <w:t>Attachment 12 – Demand management incentive scheme</w:t>
      </w:r>
    </w:p>
    <w:p w14:paraId="02F684C4" w14:textId="77777777" w:rsidR="0016622B" w:rsidRDefault="0016622B" w:rsidP="0016622B">
      <w:pPr>
        <w:numPr>
          <w:ilvl w:val="0"/>
          <w:numId w:val="25"/>
        </w:numPr>
      </w:pPr>
      <w:r>
        <w:t>Attachment 13 – Classification of services</w:t>
      </w:r>
    </w:p>
    <w:p w14:paraId="465004BB" w14:textId="77777777" w:rsidR="0016622B" w:rsidRDefault="0016622B" w:rsidP="0016622B">
      <w:pPr>
        <w:numPr>
          <w:ilvl w:val="0"/>
          <w:numId w:val="25"/>
        </w:numPr>
      </w:pPr>
      <w:r>
        <w:t>Attachment 14 – Control mechanism</w:t>
      </w:r>
    </w:p>
    <w:p w14:paraId="06D25640" w14:textId="77777777" w:rsidR="0016622B" w:rsidRDefault="0016622B" w:rsidP="0016622B">
      <w:pPr>
        <w:numPr>
          <w:ilvl w:val="0"/>
          <w:numId w:val="25"/>
        </w:numPr>
      </w:pPr>
      <w:r>
        <w:t>Attachment 15 – Pass through events</w:t>
      </w:r>
    </w:p>
    <w:p w14:paraId="4E439756" w14:textId="77777777" w:rsidR="0016622B" w:rsidRDefault="0016622B" w:rsidP="0016622B">
      <w:pPr>
        <w:numPr>
          <w:ilvl w:val="0"/>
          <w:numId w:val="25"/>
        </w:numPr>
      </w:pPr>
      <w:r>
        <w:t>Attachment 16 – Alternative control services</w:t>
      </w:r>
    </w:p>
    <w:p w14:paraId="1211A007" w14:textId="77777777" w:rsidR="0016622B" w:rsidRDefault="0016622B" w:rsidP="0016622B">
      <w:pPr>
        <w:numPr>
          <w:ilvl w:val="0"/>
          <w:numId w:val="25"/>
        </w:numPr>
      </w:pPr>
      <w:r>
        <w:t>Attachment 17 – Negotiated services framework and criteria</w:t>
      </w:r>
    </w:p>
    <w:p w14:paraId="319B42CD" w14:textId="7335D3F0" w:rsidR="00BB1615" w:rsidRPr="008F07A3" w:rsidRDefault="0016622B" w:rsidP="00BB1615">
      <w:pPr>
        <w:sectPr w:rsidR="00BB1615"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r>
        <w:t>Attachment 18 – Connection policy</w:t>
      </w:r>
    </w:p>
    <w:p w14:paraId="2C5E6F2B" w14:textId="77777777" w:rsidR="00DE563D" w:rsidRPr="00A72B34" w:rsidRDefault="00DE563D" w:rsidP="00DE563D">
      <w:pPr>
        <w:pStyle w:val="UnnumberedHeading"/>
        <w:numPr>
          <w:ilvl w:val="0"/>
          <w:numId w:val="24"/>
        </w:numPr>
      </w:pPr>
      <w:bookmarkStart w:id="6" w:name="_Toc403144133"/>
      <w:bookmarkStart w:id="7" w:name="_Toc433445533"/>
      <w:r>
        <w:lastRenderedPageBreak/>
        <w:t>Contents</w:t>
      </w:r>
      <w:bookmarkEnd w:id="6"/>
      <w:bookmarkEnd w:id="7"/>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14:paraId="2DE1249F" w14:textId="77777777" w:rsidR="00E136F8" w:rsidRDefault="0099387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7,1,Heading 8,2" </w:instrText>
          </w:r>
          <w:r>
            <w:rPr>
              <w:color w:val="auto"/>
              <w:sz w:val="22"/>
            </w:rPr>
            <w:fldChar w:fldCharType="separate"/>
          </w:r>
          <w:hyperlink w:anchor="_Toc433445532" w:history="1">
            <w:r w:rsidR="00E136F8" w:rsidRPr="007A3C5B">
              <w:rPr>
                <w:rStyle w:val="Hyperlink"/>
              </w:rPr>
              <w:t>Note</w:t>
            </w:r>
            <w:r w:rsidR="00E136F8">
              <w:rPr>
                <w:webHidden/>
              </w:rPr>
              <w:tab/>
            </w:r>
            <w:r w:rsidR="00E136F8">
              <w:rPr>
                <w:webHidden/>
              </w:rPr>
              <w:fldChar w:fldCharType="begin"/>
            </w:r>
            <w:r w:rsidR="00E136F8">
              <w:rPr>
                <w:webHidden/>
              </w:rPr>
              <w:instrText xml:space="preserve"> PAGEREF _Toc433445532 \h </w:instrText>
            </w:r>
            <w:r w:rsidR="00E136F8">
              <w:rPr>
                <w:webHidden/>
              </w:rPr>
            </w:r>
            <w:r w:rsidR="00E136F8">
              <w:rPr>
                <w:webHidden/>
              </w:rPr>
              <w:fldChar w:fldCharType="separate"/>
            </w:r>
            <w:r w:rsidR="00E136F8">
              <w:rPr>
                <w:webHidden/>
              </w:rPr>
              <w:t>4-2</w:t>
            </w:r>
            <w:r w:rsidR="00E136F8">
              <w:rPr>
                <w:webHidden/>
              </w:rPr>
              <w:fldChar w:fldCharType="end"/>
            </w:r>
          </w:hyperlink>
        </w:p>
        <w:p w14:paraId="3146AC3F" w14:textId="77777777" w:rsidR="00E136F8" w:rsidRDefault="00990689">
          <w:pPr>
            <w:pStyle w:val="TOC1"/>
            <w:rPr>
              <w:rFonts w:asciiTheme="minorHAnsi" w:eastAsiaTheme="minorEastAsia" w:hAnsiTheme="minorHAnsi"/>
              <w:b w:val="0"/>
              <w:color w:val="auto"/>
              <w:sz w:val="22"/>
              <w:lang w:val="en-AU" w:eastAsia="en-AU"/>
            </w:rPr>
          </w:pPr>
          <w:hyperlink w:anchor="_Toc433445533" w:history="1">
            <w:r w:rsidR="00E136F8" w:rsidRPr="007A3C5B">
              <w:rPr>
                <w:rStyle w:val="Hyperlink"/>
              </w:rPr>
              <w:t>Contents</w:t>
            </w:r>
            <w:r w:rsidR="00E136F8">
              <w:rPr>
                <w:webHidden/>
              </w:rPr>
              <w:tab/>
            </w:r>
            <w:r w:rsidR="00E136F8">
              <w:rPr>
                <w:webHidden/>
              </w:rPr>
              <w:fldChar w:fldCharType="begin"/>
            </w:r>
            <w:r w:rsidR="00E136F8">
              <w:rPr>
                <w:webHidden/>
              </w:rPr>
              <w:instrText xml:space="preserve"> PAGEREF _Toc433445533 \h </w:instrText>
            </w:r>
            <w:r w:rsidR="00E136F8">
              <w:rPr>
                <w:webHidden/>
              </w:rPr>
            </w:r>
            <w:r w:rsidR="00E136F8">
              <w:rPr>
                <w:webHidden/>
              </w:rPr>
              <w:fldChar w:fldCharType="separate"/>
            </w:r>
            <w:r w:rsidR="00E136F8">
              <w:rPr>
                <w:webHidden/>
              </w:rPr>
              <w:t>4-3</w:t>
            </w:r>
            <w:r w:rsidR="00E136F8">
              <w:rPr>
                <w:webHidden/>
              </w:rPr>
              <w:fldChar w:fldCharType="end"/>
            </w:r>
          </w:hyperlink>
        </w:p>
        <w:p w14:paraId="7F4AC779" w14:textId="77777777" w:rsidR="00E136F8" w:rsidRDefault="00990689">
          <w:pPr>
            <w:pStyle w:val="TOC1"/>
            <w:rPr>
              <w:rFonts w:asciiTheme="minorHAnsi" w:eastAsiaTheme="minorEastAsia" w:hAnsiTheme="minorHAnsi"/>
              <w:b w:val="0"/>
              <w:color w:val="auto"/>
              <w:sz w:val="22"/>
              <w:lang w:val="en-AU" w:eastAsia="en-AU"/>
            </w:rPr>
          </w:pPr>
          <w:hyperlink w:anchor="_Toc433445534" w:history="1">
            <w:r w:rsidR="00E136F8" w:rsidRPr="007A3C5B">
              <w:rPr>
                <w:rStyle w:val="Hyperlink"/>
              </w:rPr>
              <w:t>Shortened forms</w:t>
            </w:r>
            <w:r w:rsidR="00E136F8">
              <w:rPr>
                <w:webHidden/>
              </w:rPr>
              <w:tab/>
            </w:r>
            <w:r w:rsidR="00E136F8">
              <w:rPr>
                <w:webHidden/>
              </w:rPr>
              <w:fldChar w:fldCharType="begin"/>
            </w:r>
            <w:r w:rsidR="00E136F8">
              <w:rPr>
                <w:webHidden/>
              </w:rPr>
              <w:instrText xml:space="preserve"> PAGEREF _Toc433445534 \h </w:instrText>
            </w:r>
            <w:r w:rsidR="00E136F8">
              <w:rPr>
                <w:webHidden/>
              </w:rPr>
            </w:r>
            <w:r w:rsidR="00E136F8">
              <w:rPr>
                <w:webHidden/>
              </w:rPr>
              <w:fldChar w:fldCharType="separate"/>
            </w:r>
            <w:r w:rsidR="00E136F8">
              <w:rPr>
                <w:webHidden/>
              </w:rPr>
              <w:t>4-5</w:t>
            </w:r>
            <w:r w:rsidR="00E136F8">
              <w:rPr>
                <w:webHidden/>
              </w:rPr>
              <w:fldChar w:fldCharType="end"/>
            </w:r>
          </w:hyperlink>
        </w:p>
        <w:p w14:paraId="72D35DF2" w14:textId="77777777" w:rsidR="00E136F8" w:rsidRDefault="00990689">
          <w:pPr>
            <w:pStyle w:val="TOC1"/>
            <w:rPr>
              <w:rFonts w:asciiTheme="minorHAnsi" w:eastAsiaTheme="minorEastAsia" w:hAnsiTheme="minorHAnsi"/>
              <w:b w:val="0"/>
              <w:color w:val="auto"/>
              <w:sz w:val="22"/>
              <w:lang w:val="en-AU" w:eastAsia="en-AU"/>
            </w:rPr>
          </w:pPr>
          <w:hyperlink w:anchor="_Toc433445535" w:history="1">
            <w:r w:rsidR="00E136F8" w:rsidRPr="007A3C5B">
              <w:rPr>
                <w:rStyle w:val="Hyperlink"/>
              </w:rPr>
              <w:t>4</w:t>
            </w:r>
            <w:r w:rsidR="00E136F8">
              <w:rPr>
                <w:rFonts w:asciiTheme="minorHAnsi" w:eastAsiaTheme="minorEastAsia" w:hAnsiTheme="minorHAnsi"/>
                <w:b w:val="0"/>
                <w:color w:val="auto"/>
                <w:sz w:val="22"/>
                <w:lang w:val="en-AU" w:eastAsia="en-AU"/>
              </w:rPr>
              <w:tab/>
            </w:r>
            <w:r w:rsidR="00E136F8" w:rsidRPr="007A3C5B">
              <w:rPr>
                <w:rStyle w:val="Hyperlink"/>
              </w:rPr>
              <w:t>Value of imputation credits</w:t>
            </w:r>
            <w:r w:rsidR="00E136F8">
              <w:rPr>
                <w:webHidden/>
              </w:rPr>
              <w:tab/>
            </w:r>
            <w:r w:rsidR="00E136F8">
              <w:rPr>
                <w:webHidden/>
              </w:rPr>
              <w:fldChar w:fldCharType="begin"/>
            </w:r>
            <w:r w:rsidR="00E136F8">
              <w:rPr>
                <w:webHidden/>
              </w:rPr>
              <w:instrText xml:space="preserve"> PAGEREF _Toc433445535 \h </w:instrText>
            </w:r>
            <w:r w:rsidR="00E136F8">
              <w:rPr>
                <w:webHidden/>
              </w:rPr>
            </w:r>
            <w:r w:rsidR="00E136F8">
              <w:rPr>
                <w:webHidden/>
              </w:rPr>
              <w:fldChar w:fldCharType="separate"/>
            </w:r>
            <w:r w:rsidR="00E136F8">
              <w:rPr>
                <w:webHidden/>
              </w:rPr>
              <w:t>4-6</w:t>
            </w:r>
            <w:r w:rsidR="00E136F8">
              <w:rPr>
                <w:webHidden/>
              </w:rPr>
              <w:fldChar w:fldCharType="end"/>
            </w:r>
          </w:hyperlink>
        </w:p>
        <w:p w14:paraId="31C809D2" w14:textId="77777777" w:rsidR="00E136F8" w:rsidRDefault="00990689">
          <w:pPr>
            <w:pStyle w:val="TOC2"/>
            <w:rPr>
              <w:rFonts w:asciiTheme="minorHAnsi" w:eastAsiaTheme="minorEastAsia" w:hAnsiTheme="minorHAnsi"/>
              <w:b w:val="0"/>
              <w:color w:val="auto"/>
              <w:sz w:val="22"/>
              <w:lang w:eastAsia="en-AU"/>
            </w:rPr>
          </w:pPr>
          <w:hyperlink w:anchor="_Toc433445536" w:history="1">
            <w:r w:rsidR="00E136F8" w:rsidRPr="007A3C5B">
              <w:rPr>
                <w:rStyle w:val="Hyperlink"/>
              </w:rPr>
              <w:t>4.1</w:t>
            </w:r>
            <w:r w:rsidR="00E136F8">
              <w:rPr>
                <w:rFonts w:asciiTheme="minorHAnsi" w:eastAsiaTheme="minorEastAsia" w:hAnsiTheme="minorHAnsi"/>
                <w:b w:val="0"/>
                <w:color w:val="auto"/>
                <w:sz w:val="22"/>
                <w:lang w:eastAsia="en-AU"/>
              </w:rPr>
              <w:tab/>
            </w:r>
            <w:r w:rsidR="00E136F8" w:rsidRPr="007A3C5B">
              <w:rPr>
                <w:rStyle w:val="Hyperlink"/>
              </w:rPr>
              <w:t>Final decision</w:t>
            </w:r>
            <w:r w:rsidR="00E136F8">
              <w:rPr>
                <w:webHidden/>
              </w:rPr>
              <w:tab/>
            </w:r>
            <w:r w:rsidR="00E136F8">
              <w:rPr>
                <w:webHidden/>
              </w:rPr>
              <w:fldChar w:fldCharType="begin"/>
            </w:r>
            <w:r w:rsidR="00E136F8">
              <w:rPr>
                <w:webHidden/>
              </w:rPr>
              <w:instrText xml:space="preserve"> PAGEREF _Toc433445536 \h </w:instrText>
            </w:r>
            <w:r w:rsidR="00E136F8">
              <w:rPr>
                <w:webHidden/>
              </w:rPr>
            </w:r>
            <w:r w:rsidR="00E136F8">
              <w:rPr>
                <w:webHidden/>
              </w:rPr>
              <w:fldChar w:fldCharType="separate"/>
            </w:r>
            <w:r w:rsidR="00E136F8">
              <w:rPr>
                <w:webHidden/>
              </w:rPr>
              <w:t>4-6</w:t>
            </w:r>
            <w:r w:rsidR="00E136F8">
              <w:rPr>
                <w:webHidden/>
              </w:rPr>
              <w:fldChar w:fldCharType="end"/>
            </w:r>
          </w:hyperlink>
        </w:p>
        <w:p w14:paraId="622D8F55" w14:textId="77777777" w:rsidR="00E136F8" w:rsidRDefault="00990689">
          <w:pPr>
            <w:pStyle w:val="TOC2"/>
            <w:rPr>
              <w:rFonts w:asciiTheme="minorHAnsi" w:eastAsiaTheme="minorEastAsia" w:hAnsiTheme="minorHAnsi"/>
              <w:b w:val="0"/>
              <w:color w:val="auto"/>
              <w:sz w:val="22"/>
              <w:lang w:eastAsia="en-AU"/>
            </w:rPr>
          </w:pPr>
          <w:hyperlink w:anchor="_Toc433445537" w:history="1">
            <w:r w:rsidR="00E136F8" w:rsidRPr="007A3C5B">
              <w:rPr>
                <w:rStyle w:val="Hyperlink"/>
              </w:rPr>
              <w:t>4.2</w:t>
            </w:r>
            <w:r w:rsidR="00E136F8">
              <w:rPr>
                <w:rFonts w:asciiTheme="minorHAnsi" w:eastAsiaTheme="minorEastAsia" w:hAnsiTheme="minorHAnsi"/>
                <w:b w:val="0"/>
                <w:color w:val="auto"/>
                <w:sz w:val="22"/>
                <w:lang w:eastAsia="en-AU"/>
              </w:rPr>
              <w:tab/>
            </w:r>
            <w:r w:rsidR="00E136F8" w:rsidRPr="007A3C5B">
              <w:rPr>
                <w:rStyle w:val="Hyperlink"/>
              </w:rPr>
              <w:t>Ergon Energy's revised proposal</w:t>
            </w:r>
            <w:r w:rsidR="00E136F8">
              <w:rPr>
                <w:webHidden/>
              </w:rPr>
              <w:tab/>
            </w:r>
            <w:r w:rsidR="00E136F8">
              <w:rPr>
                <w:webHidden/>
              </w:rPr>
              <w:fldChar w:fldCharType="begin"/>
            </w:r>
            <w:r w:rsidR="00E136F8">
              <w:rPr>
                <w:webHidden/>
              </w:rPr>
              <w:instrText xml:space="preserve"> PAGEREF _Toc433445537 \h </w:instrText>
            </w:r>
            <w:r w:rsidR="00E136F8">
              <w:rPr>
                <w:webHidden/>
              </w:rPr>
            </w:r>
            <w:r w:rsidR="00E136F8">
              <w:rPr>
                <w:webHidden/>
              </w:rPr>
              <w:fldChar w:fldCharType="separate"/>
            </w:r>
            <w:r w:rsidR="00E136F8">
              <w:rPr>
                <w:webHidden/>
              </w:rPr>
              <w:t>4-7</w:t>
            </w:r>
            <w:r w:rsidR="00E136F8">
              <w:rPr>
                <w:webHidden/>
              </w:rPr>
              <w:fldChar w:fldCharType="end"/>
            </w:r>
          </w:hyperlink>
        </w:p>
        <w:p w14:paraId="08E0AC1D" w14:textId="77777777" w:rsidR="00E136F8" w:rsidRDefault="00990689">
          <w:pPr>
            <w:pStyle w:val="TOC2"/>
            <w:rPr>
              <w:rFonts w:asciiTheme="minorHAnsi" w:eastAsiaTheme="minorEastAsia" w:hAnsiTheme="minorHAnsi"/>
              <w:b w:val="0"/>
              <w:color w:val="auto"/>
              <w:sz w:val="22"/>
              <w:lang w:eastAsia="en-AU"/>
            </w:rPr>
          </w:pPr>
          <w:hyperlink w:anchor="_Toc433445538" w:history="1">
            <w:r w:rsidR="00E136F8" w:rsidRPr="007A3C5B">
              <w:rPr>
                <w:rStyle w:val="Hyperlink"/>
              </w:rPr>
              <w:t>4.3</w:t>
            </w:r>
            <w:r w:rsidR="00E136F8">
              <w:rPr>
                <w:rFonts w:asciiTheme="minorHAnsi" w:eastAsiaTheme="minorEastAsia" w:hAnsiTheme="minorHAnsi"/>
                <w:b w:val="0"/>
                <w:color w:val="auto"/>
                <w:sz w:val="22"/>
                <w:lang w:eastAsia="en-AU"/>
              </w:rPr>
              <w:tab/>
            </w:r>
            <w:r w:rsidR="00E136F8" w:rsidRPr="007A3C5B">
              <w:rPr>
                <w:rStyle w:val="Hyperlink"/>
              </w:rPr>
              <w:t>AER’s assessment approach</w:t>
            </w:r>
            <w:r w:rsidR="00E136F8">
              <w:rPr>
                <w:webHidden/>
              </w:rPr>
              <w:tab/>
            </w:r>
            <w:r w:rsidR="00E136F8">
              <w:rPr>
                <w:webHidden/>
              </w:rPr>
              <w:fldChar w:fldCharType="begin"/>
            </w:r>
            <w:r w:rsidR="00E136F8">
              <w:rPr>
                <w:webHidden/>
              </w:rPr>
              <w:instrText xml:space="preserve"> PAGEREF _Toc433445538 \h </w:instrText>
            </w:r>
            <w:r w:rsidR="00E136F8">
              <w:rPr>
                <w:webHidden/>
              </w:rPr>
            </w:r>
            <w:r w:rsidR="00E136F8">
              <w:rPr>
                <w:webHidden/>
              </w:rPr>
              <w:fldChar w:fldCharType="separate"/>
            </w:r>
            <w:r w:rsidR="00E136F8">
              <w:rPr>
                <w:webHidden/>
              </w:rPr>
              <w:t>4-9</w:t>
            </w:r>
            <w:r w:rsidR="00E136F8">
              <w:rPr>
                <w:webHidden/>
              </w:rPr>
              <w:fldChar w:fldCharType="end"/>
            </w:r>
          </w:hyperlink>
        </w:p>
        <w:p w14:paraId="2E378E28" w14:textId="77777777" w:rsidR="00E136F8" w:rsidRDefault="00990689">
          <w:pPr>
            <w:pStyle w:val="TOC2"/>
            <w:rPr>
              <w:rFonts w:asciiTheme="minorHAnsi" w:eastAsiaTheme="minorEastAsia" w:hAnsiTheme="minorHAnsi"/>
              <w:b w:val="0"/>
              <w:color w:val="auto"/>
              <w:sz w:val="22"/>
              <w:lang w:eastAsia="en-AU"/>
            </w:rPr>
          </w:pPr>
          <w:hyperlink w:anchor="_Toc433445539" w:history="1">
            <w:r w:rsidR="00E136F8" w:rsidRPr="007A3C5B">
              <w:rPr>
                <w:rStyle w:val="Hyperlink"/>
              </w:rPr>
              <w:t>4.4</w:t>
            </w:r>
            <w:r w:rsidR="00E136F8">
              <w:rPr>
                <w:rFonts w:asciiTheme="minorHAnsi" w:eastAsiaTheme="minorEastAsia" w:hAnsiTheme="minorHAnsi"/>
                <w:b w:val="0"/>
                <w:color w:val="auto"/>
                <w:sz w:val="22"/>
                <w:lang w:eastAsia="en-AU"/>
              </w:rPr>
              <w:tab/>
            </w:r>
            <w:r w:rsidR="00E136F8" w:rsidRPr="007A3C5B">
              <w:rPr>
                <w:rStyle w:val="Hyperlink"/>
              </w:rPr>
              <w:t>Reasons for final decision</w:t>
            </w:r>
            <w:r w:rsidR="00E136F8">
              <w:rPr>
                <w:webHidden/>
              </w:rPr>
              <w:tab/>
            </w:r>
            <w:r w:rsidR="00E136F8">
              <w:rPr>
                <w:webHidden/>
              </w:rPr>
              <w:fldChar w:fldCharType="begin"/>
            </w:r>
            <w:r w:rsidR="00E136F8">
              <w:rPr>
                <w:webHidden/>
              </w:rPr>
              <w:instrText xml:space="preserve"> PAGEREF _Toc433445539 \h </w:instrText>
            </w:r>
            <w:r w:rsidR="00E136F8">
              <w:rPr>
                <w:webHidden/>
              </w:rPr>
            </w:r>
            <w:r w:rsidR="00E136F8">
              <w:rPr>
                <w:webHidden/>
              </w:rPr>
              <w:fldChar w:fldCharType="separate"/>
            </w:r>
            <w:r w:rsidR="00E136F8">
              <w:rPr>
                <w:webHidden/>
              </w:rPr>
              <w:t>4-16</w:t>
            </w:r>
            <w:r w:rsidR="00E136F8">
              <w:rPr>
                <w:webHidden/>
              </w:rPr>
              <w:fldChar w:fldCharType="end"/>
            </w:r>
          </w:hyperlink>
        </w:p>
        <w:p w14:paraId="24556229" w14:textId="77777777" w:rsidR="00E136F8" w:rsidRDefault="00990689">
          <w:pPr>
            <w:pStyle w:val="TOC1"/>
            <w:rPr>
              <w:rFonts w:asciiTheme="minorHAnsi" w:eastAsiaTheme="minorEastAsia" w:hAnsiTheme="minorHAnsi"/>
              <w:b w:val="0"/>
              <w:color w:val="auto"/>
              <w:sz w:val="22"/>
              <w:lang w:val="en-AU" w:eastAsia="en-AU"/>
            </w:rPr>
          </w:pPr>
          <w:hyperlink w:anchor="_Toc433445540" w:history="1">
            <w:r w:rsidR="00E136F8" w:rsidRPr="007A3C5B">
              <w:rPr>
                <w:rStyle w:val="Hyperlink"/>
              </w:rPr>
              <w:t>A</w:t>
            </w:r>
            <w:r w:rsidR="00E136F8">
              <w:rPr>
                <w:rFonts w:asciiTheme="minorHAnsi" w:eastAsiaTheme="minorEastAsia" w:hAnsiTheme="minorHAnsi"/>
                <w:b w:val="0"/>
                <w:color w:val="auto"/>
                <w:sz w:val="22"/>
                <w:lang w:val="en-AU" w:eastAsia="en-AU"/>
              </w:rPr>
              <w:tab/>
            </w:r>
            <w:r w:rsidR="00E136F8" w:rsidRPr="007A3C5B">
              <w:rPr>
                <w:rStyle w:val="Hyperlink"/>
              </w:rPr>
              <w:t>Value of imputation credits: Detailed analysis</w:t>
            </w:r>
            <w:r w:rsidR="00E136F8">
              <w:rPr>
                <w:webHidden/>
              </w:rPr>
              <w:tab/>
            </w:r>
            <w:r w:rsidR="00E136F8">
              <w:rPr>
                <w:webHidden/>
              </w:rPr>
              <w:fldChar w:fldCharType="begin"/>
            </w:r>
            <w:r w:rsidR="00E136F8">
              <w:rPr>
                <w:webHidden/>
              </w:rPr>
              <w:instrText xml:space="preserve"> PAGEREF _Toc433445540 \h </w:instrText>
            </w:r>
            <w:r w:rsidR="00E136F8">
              <w:rPr>
                <w:webHidden/>
              </w:rPr>
            </w:r>
            <w:r w:rsidR="00E136F8">
              <w:rPr>
                <w:webHidden/>
              </w:rPr>
              <w:fldChar w:fldCharType="separate"/>
            </w:r>
            <w:r w:rsidR="00E136F8">
              <w:rPr>
                <w:webHidden/>
              </w:rPr>
              <w:t>4-34</w:t>
            </w:r>
            <w:r w:rsidR="00E136F8">
              <w:rPr>
                <w:webHidden/>
              </w:rPr>
              <w:fldChar w:fldCharType="end"/>
            </w:r>
          </w:hyperlink>
        </w:p>
        <w:p w14:paraId="7AA37943" w14:textId="77777777" w:rsidR="00E136F8" w:rsidRDefault="00990689">
          <w:pPr>
            <w:pStyle w:val="TOC2"/>
            <w:rPr>
              <w:rFonts w:asciiTheme="minorHAnsi" w:eastAsiaTheme="minorEastAsia" w:hAnsiTheme="minorHAnsi"/>
              <w:b w:val="0"/>
              <w:color w:val="auto"/>
              <w:sz w:val="22"/>
              <w:lang w:eastAsia="en-AU"/>
            </w:rPr>
          </w:pPr>
          <w:hyperlink w:anchor="_Toc433445541" w:history="1">
            <w:r w:rsidR="00E136F8" w:rsidRPr="007A3C5B">
              <w:rPr>
                <w:rStyle w:val="Hyperlink"/>
              </w:rPr>
              <w:t>A.1</w:t>
            </w:r>
            <w:r w:rsidR="00E136F8">
              <w:rPr>
                <w:rFonts w:asciiTheme="minorHAnsi" w:eastAsiaTheme="minorEastAsia" w:hAnsiTheme="minorHAnsi"/>
                <w:b w:val="0"/>
                <w:color w:val="auto"/>
                <w:sz w:val="22"/>
                <w:lang w:eastAsia="en-AU"/>
              </w:rPr>
              <w:tab/>
            </w:r>
            <w:r w:rsidR="00E136F8" w:rsidRPr="007A3C5B">
              <w:rPr>
                <w:rStyle w:val="Hyperlink"/>
              </w:rPr>
              <w:t>Expert views on the value of imputation credits</w:t>
            </w:r>
            <w:r w:rsidR="00E136F8">
              <w:rPr>
                <w:webHidden/>
              </w:rPr>
              <w:tab/>
            </w:r>
            <w:r w:rsidR="00E136F8">
              <w:rPr>
                <w:webHidden/>
              </w:rPr>
              <w:fldChar w:fldCharType="begin"/>
            </w:r>
            <w:r w:rsidR="00E136F8">
              <w:rPr>
                <w:webHidden/>
              </w:rPr>
              <w:instrText xml:space="preserve"> PAGEREF _Toc433445541 \h </w:instrText>
            </w:r>
            <w:r w:rsidR="00E136F8">
              <w:rPr>
                <w:webHidden/>
              </w:rPr>
            </w:r>
            <w:r w:rsidR="00E136F8">
              <w:rPr>
                <w:webHidden/>
              </w:rPr>
              <w:fldChar w:fldCharType="separate"/>
            </w:r>
            <w:r w:rsidR="00E136F8">
              <w:rPr>
                <w:webHidden/>
              </w:rPr>
              <w:t>4-34</w:t>
            </w:r>
            <w:r w:rsidR="00E136F8">
              <w:rPr>
                <w:webHidden/>
              </w:rPr>
              <w:fldChar w:fldCharType="end"/>
            </w:r>
          </w:hyperlink>
        </w:p>
        <w:p w14:paraId="6C6FEC48" w14:textId="77777777" w:rsidR="00E136F8" w:rsidRDefault="00990689">
          <w:pPr>
            <w:pStyle w:val="TOC2"/>
            <w:rPr>
              <w:rFonts w:asciiTheme="minorHAnsi" w:eastAsiaTheme="minorEastAsia" w:hAnsiTheme="minorHAnsi"/>
              <w:b w:val="0"/>
              <w:color w:val="auto"/>
              <w:sz w:val="22"/>
              <w:lang w:eastAsia="en-AU"/>
            </w:rPr>
          </w:pPr>
          <w:hyperlink w:anchor="_Toc433445542" w:history="1">
            <w:r w:rsidR="00E136F8" w:rsidRPr="007A3C5B">
              <w:rPr>
                <w:rStyle w:val="Hyperlink"/>
              </w:rPr>
              <w:t>A.2</w:t>
            </w:r>
            <w:r w:rsidR="00E136F8">
              <w:rPr>
                <w:rFonts w:asciiTheme="minorHAnsi" w:eastAsiaTheme="minorEastAsia" w:hAnsiTheme="minorHAnsi"/>
                <w:b w:val="0"/>
                <w:color w:val="auto"/>
                <w:sz w:val="22"/>
                <w:lang w:eastAsia="en-AU"/>
              </w:rPr>
              <w:tab/>
            </w:r>
            <w:r w:rsidR="00E136F8" w:rsidRPr="007A3C5B">
              <w:rPr>
                <w:rStyle w:val="Hyperlink"/>
              </w:rPr>
              <w:t>The value of imputation credits used by other regulators</w:t>
            </w:r>
            <w:r w:rsidR="00E136F8">
              <w:rPr>
                <w:webHidden/>
              </w:rPr>
              <w:tab/>
            </w:r>
            <w:r w:rsidR="00E136F8">
              <w:rPr>
                <w:webHidden/>
              </w:rPr>
              <w:fldChar w:fldCharType="begin"/>
            </w:r>
            <w:r w:rsidR="00E136F8">
              <w:rPr>
                <w:webHidden/>
              </w:rPr>
              <w:instrText xml:space="preserve"> PAGEREF _Toc433445542 \h </w:instrText>
            </w:r>
            <w:r w:rsidR="00E136F8">
              <w:rPr>
                <w:webHidden/>
              </w:rPr>
            </w:r>
            <w:r w:rsidR="00E136F8">
              <w:rPr>
                <w:webHidden/>
              </w:rPr>
              <w:fldChar w:fldCharType="separate"/>
            </w:r>
            <w:r w:rsidR="00E136F8">
              <w:rPr>
                <w:webHidden/>
              </w:rPr>
              <w:t>4-36</w:t>
            </w:r>
            <w:r w:rsidR="00E136F8">
              <w:rPr>
                <w:webHidden/>
              </w:rPr>
              <w:fldChar w:fldCharType="end"/>
            </w:r>
          </w:hyperlink>
        </w:p>
        <w:p w14:paraId="1CC88A68" w14:textId="77777777" w:rsidR="00E136F8" w:rsidRDefault="00990689">
          <w:pPr>
            <w:pStyle w:val="TOC2"/>
            <w:rPr>
              <w:rFonts w:asciiTheme="minorHAnsi" w:eastAsiaTheme="minorEastAsia" w:hAnsiTheme="minorHAnsi"/>
              <w:b w:val="0"/>
              <w:color w:val="auto"/>
              <w:sz w:val="22"/>
              <w:lang w:eastAsia="en-AU"/>
            </w:rPr>
          </w:pPr>
          <w:hyperlink w:anchor="_Toc433445543" w:history="1">
            <w:r w:rsidR="00E136F8" w:rsidRPr="007A3C5B">
              <w:rPr>
                <w:rStyle w:val="Hyperlink"/>
              </w:rPr>
              <w:t>A.3</w:t>
            </w:r>
            <w:r w:rsidR="00E136F8">
              <w:rPr>
                <w:rFonts w:asciiTheme="minorHAnsi" w:eastAsiaTheme="minorEastAsia" w:hAnsiTheme="minorHAnsi"/>
                <w:b w:val="0"/>
                <w:color w:val="auto"/>
                <w:sz w:val="22"/>
                <w:lang w:eastAsia="en-AU"/>
              </w:rPr>
              <w:tab/>
            </w:r>
            <w:r w:rsidR="00E136F8" w:rsidRPr="007A3C5B">
              <w:rPr>
                <w:rStyle w:val="Hyperlink"/>
              </w:rPr>
              <w:t>Previous Australian Competition Tribunal considerations</w:t>
            </w:r>
            <w:r w:rsidR="00E136F8">
              <w:rPr>
                <w:webHidden/>
              </w:rPr>
              <w:tab/>
            </w:r>
            <w:r w:rsidR="00E136F8">
              <w:rPr>
                <w:webHidden/>
              </w:rPr>
              <w:fldChar w:fldCharType="begin"/>
            </w:r>
            <w:r w:rsidR="00E136F8">
              <w:rPr>
                <w:webHidden/>
              </w:rPr>
              <w:instrText xml:space="preserve"> PAGEREF _Toc433445543 \h </w:instrText>
            </w:r>
            <w:r w:rsidR="00E136F8">
              <w:rPr>
                <w:webHidden/>
              </w:rPr>
            </w:r>
            <w:r w:rsidR="00E136F8">
              <w:rPr>
                <w:webHidden/>
              </w:rPr>
              <w:fldChar w:fldCharType="separate"/>
            </w:r>
            <w:r w:rsidR="00E136F8">
              <w:rPr>
                <w:webHidden/>
              </w:rPr>
              <w:t>4-38</w:t>
            </w:r>
            <w:r w:rsidR="00E136F8">
              <w:rPr>
                <w:webHidden/>
              </w:rPr>
              <w:fldChar w:fldCharType="end"/>
            </w:r>
          </w:hyperlink>
        </w:p>
        <w:p w14:paraId="5472822F" w14:textId="77777777" w:rsidR="00E136F8" w:rsidRDefault="00990689">
          <w:pPr>
            <w:pStyle w:val="TOC2"/>
            <w:rPr>
              <w:rFonts w:asciiTheme="minorHAnsi" w:eastAsiaTheme="minorEastAsia" w:hAnsiTheme="minorHAnsi"/>
              <w:b w:val="0"/>
              <w:color w:val="auto"/>
              <w:sz w:val="22"/>
              <w:lang w:eastAsia="en-AU"/>
            </w:rPr>
          </w:pPr>
          <w:hyperlink w:anchor="_Toc433445544" w:history="1">
            <w:r w:rsidR="00E136F8" w:rsidRPr="007A3C5B">
              <w:rPr>
                <w:rStyle w:val="Hyperlink"/>
              </w:rPr>
              <w:t>A.4</w:t>
            </w:r>
            <w:r w:rsidR="00E136F8">
              <w:rPr>
                <w:rFonts w:asciiTheme="minorHAnsi" w:eastAsiaTheme="minorEastAsia" w:hAnsiTheme="minorHAnsi"/>
                <w:b w:val="0"/>
                <w:color w:val="auto"/>
                <w:sz w:val="22"/>
                <w:lang w:eastAsia="en-AU"/>
              </w:rPr>
              <w:tab/>
            </w:r>
            <w:r w:rsidR="00E136F8" w:rsidRPr="007A3C5B">
              <w:rPr>
                <w:rStyle w:val="Hyperlink"/>
              </w:rPr>
              <w:t>Key concerns of the service providers</w:t>
            </w:r>
            <w:r w:rsidR="00E136F8">
              <w:rPr>
                <w:webHidden/>
              </w:rPr>
              <w:tab/>
            </w:r>
            <w:r w:rsidR="00E136F8">
              <w:rPr>
                <w:webHidden/>
              </w:rPr>
              <w:fldChar w:fldCharType="begin"/>
            </w:r>
            <w:r w:rsidR="00E136F8">
              <w:rPr>
                <w:webHidden/>
              </w:rPr>
              <w:instrText xml:space="preserve"> PAGEREF _Toc433445544 \h </w:instrText>
            </w:r>
            <w:r w:rsidR="00E136F8">
              <w:rPr>
                <w:webHidden/>
              </w:rPr>
            </w:r>
            <w:r w:rsidR="00E136F8">
              <w:rPr>
                <w:webHidden/>
              </w:rPr>
              <w:fldChar w:fldCharType="separate"/>
            </w:r>
            <w:r w:rsidR="00E136F8">
              <w:rPr>
                <w:webHidden/>
              </w:rPr>
              <w:t>4-44</w:t>
            </w:r>
            <w:r w:rsidR="00E136F8">
              <w:rPr>
                <w:webHidden/>
              </w:rPr>
              <w:fldChar w:fldCharType="end"/>
            </w:r>
          </w:hyperlink>
        </w:p>
        <w:p w14:paraId="47F92D13" w14:textId="77777777" w:rsidR="00E136F8" w:rsidRDefault="00990689">
          <w:pPr>
            <w:pStyle w:val="TOC2"/>
            <w:rPr>
              <w:rFonts w:asciiTheme="minorHAnsi" w:eastAsiaTheme="minorEastAsia" w:hAnsiTheme="minorHAnsi"/>
              <w:b w:val="0"/>
              <w:color w:val="auto"/>
              <w:sz w:val="22"/>
              <w:lang w:eastAsia="en-AU"/>
            </w:rPr>
          </w:pPr>
          <w:hyperlink w:anchor="_Toc433445545" w:history="1">
            <w:r w:rsidR="00E136F8" w:rsidRPr="007A3C5B">
              <w:rPr>
                <w:rStyle w:val="Hyperlink"/>
              </w:rPr>
              <w:t>A.5</w:t>
            </w:r>
            <w:r w:rsidR="00E136F8">
              <w:rPr>
                <w:rFonts w:asciiTheme="minorHAnsi" w:eastAsiaTheme="minorEastAsia" w:hAnsiTheme="minorHAnsi"/>
                <w:b w:val="0"/>
                <w:color w:val="auto"/>
                <w:sz w:val="22"/>
                <w:lang w:eastAsia="en-AU"/>
              </w:rPr>
              <w:tab/>
            </w:r>
            <w:r w:rsidR="00E136F8" w:rsidRPr="007A3C5B">
              <w:rPr>
                <w:rStyle w:val="Hyperlink"/>
              </w:rPr>
              <w:t>The role of the value of imputation credits in the regulatory framework</w:t>
            </w:r>
            <w:r w:rsidR="00E136F8">
              <w:rPr>
                <w:webHidden/>
              </w:rPr>
              <w:tab/>
            </w:r>
            <w:r w:rsidR="00E136F8">
              <w:rPr>
                <w:webHidden/>
              </w:rPr>
              <w:fldChar w:fldCharType="begin"/>
            </w:r>
            <w:r w:rsidR="00E136F8">
              <w:rPr>
                <w:webHidden/>
              </w:rPr>
              <w:instrText xml:space="preserve"> PAGEREF _Toc433445545 \h </w:instrText>
            </w:r>
            <w:r w:rsidR="00E136F8">
              <w:rPr>
                <w:webHidden/>
              </w:rPr>
            </w:r>
            <w:r w:rsidR="00E136F8">
              <w:rPr>
                <w:webHidden/>
              </w:rPr>
              <w:fldChar w:fldCharType="separate"/>
            </w:r>
            <w:r w:rsidR="00E136F8">
              <w:rPr>
                <w:webHidden/>
              </w:rPr>
              <w:t>4-47</w:t>
            </w:r>
            <w:r w:rsidR="00E136F8">
              <w:rPr>
                <w:webHidden/>
              </w:rPr>
              <w:fldChar w:fldCharType="end"/>
            </w:r>
          </w:hyperlink>
        </w:p>
        <w:p w14:paraId="3D43103D" w14:textId="77777777" w:rsidR="00E136F8" w:rsidRDefault="00990689">
          <w:pPr>
            <w:pStyle w:val="TOC2"/>
            <w:rPr>
              <w:rFonts w:asciiTheme="minorHAnsi" w:eastAsiaTheme="minorEastAsia" w:hAnsiTheme="minorHAnsi"/>
              <w:b w:val="0"/>
              <w:color w:val="auto"/>
              <w:sz w:val="22"/>
              <w:lang w:eastAsia="en-AU"/>
            </w:rPr>
          </w:pPr>
          <w:hyperlink w:anchor="_Toc433445546" w:history="1">
            <w:r w:rsidR="00E136F8" w:rsidRPr="007A3C5B">
              <w:rPr>
                <w:rStyle w:val="Hyperlink"/>
              </w:rPr>
              <w:t>A.6</w:t>
            </w:r>
            <w:r w:rsidR="00E136F8">
              <w:rPr>
                <w:rFonts w:asciiTheme="minorHAnsi" w:eastAsiaTheme="minorEastAsia" w:hAnsiTheme="minorHAnsi"/>
                <w:b w:val="0"/>
                <w:color w:val="auto"/>
                <w:sz w:val="22"/>
                <w:lang w:eastAsia="en-AU"/>
              </w:rPr>
              <w:tab/>
            </w:r>
            <w:r w:rsidR="00E136F8" w:rsidRPr="007A3C5B">
              <w:rPr>
                <w:rStyle w:val="Hyperlink"/>
              </w:rPr>
              <w:t>The conceptual framework for the value of imputation credits</w:t>
            </w:r>
            <w:r w:rsidR="00E136F8">
              <w:rPr>
                <w:webHidden/>
              </w:rPr>
              <w:tab/>
            </w:r>
            <w:r w:rsidR="00E136F8">
              <w:rPr>
                <w:webHidden/>
              </w:rPr>
              <w:fldChar w:fldCharType="begin"/>
            </w:r>
            <w:r w:rsidR="00E136F8">
              <w:rPr>
                <w:webHidden/>
              </w:rPr>
              <w:instrText xml:space="preserve"> PAGEREF _Toc433445546 \h </w:instrText>
            </w:r>
            <w:r w:rsidR="00E136F8">
              <w:rPr>
                <w:webHidden/>
              </w:rPr>
            </w:r>
            <w:r w:rsidR="00E136F8">
              <w:rPr>
                <w:webHidden/>
              </w:rPr>
              <w:fldChar w:fldCharType="separate"/>
            </w:r>
            <w:r w:rsidR="00E136F8">
              <w:rPr>
                <w:webHidden/>
              </w:rPr>
              <w:t>4-50</w:t>
            </w:r>
            <w:r w:rsidR="00E136F8">
              <w:rPr>
                <w:webHidden/>
              </w:rPr>
              <w:fldChar w:fldCharType="end"/>
            </w:r>
          </w:hyperlink>
        </w:p>
        <w:p w14:paraId="50D2C1EF" w14:textId="77777777" w:rsidR="00E136F8" w:rsidRDefault="00990689">
          <w:pPr>
            <w:pStyle w:val="TOC2"/>
            <w:rPr>
              <w:rFonts w:asciiTheme="minorHAnsi" w:eastAsiaTheme="minorEastAsia" w:hAnsiTheme="minorHAnsi"/>
              <w:b w:val="0"/>
              <w:color w:val="auto"/>
              <w:sz w:val="22"/>
              <w:lang w:eastAsia="en-AU"/>
            </w:rPr>
          </w:pPr>
          <w:hyperlink w:anchor="_Toc433445547" w:history="1">
            <w:r w:rsidR="00E136F8" w:rsidRPr="007A3C5B">
              <w:rPr>
                <w:rStyle w:val="Hyperlink"/>
              </w:rPr>
              <w:t>A.7</w:t>
            </w:r>
            <w:r w:rsidR="00E136F8">
              <w:rPr>
                <w:rFonts w:asciiTheme="minorHAnsi" w:eastAsiaTheme="minorEastAsia" w:hAnsiTheme="minorHAnsi"/>
                <w:b w:val="0"/>
                <w:color w:val="auto"/>
                <w:sz w:val="22"/>
                <w:lang w:eastAsia="en-AU"/>
              </w:rPr>
              <w:tab/>
            </w:r>
            <w:r w:rsidR="00E136F8" w:rsidRPr="007A3C5B">
              <w:rPr>
                <w:rStyle w:val="Hyperlink"/>
              </w:rPr>
              <w:t>Gray's comments on the conceptual framework</w:t>
            </w:r>
            <w:r w:rsidR="00E136F8">
              <w:rPr>
                <w:webHidden/>
              </w:rPr>
              <w:tab/>
            </w:r>
            <w:r w:rsidR="00E136F8">
              <w:rPr>
                <w:webHidden/>
              </w:rPr>
              <w:fldChar w:fldCharType="begin"/>
            </w:r>
            <w:r w:rsidR="00E136F8">
              <w:rPr>
                <w:webHidden/>
              </w:rPr>
              <w:instrText xml:space="preserve"> PAGEREF _Toc433445547 \h </w:instrText>
            </w:r>
            <w:r w:rsidR="00E136F8">
              <w:rPr>
                <w:webHidden/>
              </w:rPr>
            </w:r>
            <w:r w:rsidR="00E136F8">
              <w:rPr>
                <w:webHidden/>
              </w:rPr>
              <w:fldChar w:fldCharType="separate"/>
            </w:r>
            <w:r w:rsidR="00E136F8">
              <w:rPr>
                <w:webHidden/>
              </w:rPr>
              <w:t>4-53</w:t>
            </w:r>
            <w:r w:rsidR="00E136F8">
              <w:rPr>
                <w:webHidden/>
              </w:rPr>
              <w:fldChar w:fldCharType="end"/>
            </w:r>
          </w:hyperlink>
        </w:p>
        <w:p w14:paraId="4066DC7E" w14:textId="77777777" w:rsidR="00E136F8" w:rsidRDefault="00990689">
          <w:pPr>
            <w:pStyle w:val="TOC2"/>
            <w:rPr>
              <w:rFonts w:asciiTheme="minorHAnsi" w:eastAsiaTheme="minorEastAsia" w:hAnsiTheme="minorHAnsi"/>
              <w:b w:val="0"/>
              <w:color w:val="auto"/>
              <w:sz w:val="22"/>
              <w:lang w:eastAsia="en-AU"/>
            </w:rPr>
          </w:pPr>
          <w:hyperlink w:anchor="_Toc433445548" w:history="1">
            <w:r w:rsidR="00E136F8" w:rsidRPr="007A3C5B">
              <w:rPr>
                <w:rStyle w:val="Hyperlink"/>
              </w:rPr>
              <w:t>A.8</w:t>
            </w:r>
            <w:r w:rsidR="00E136F8">
              <w:rPr>
                <w:rFonts w:asciiTheme="minorHAnsi" w:eastAsiaTheme="minorEastAsia" w:hAnsiTheme="minorHAnsi"/>
                <w:b w:val="0"/>
                <w:color w:val="auto"/>
                <w:sz w:val="22"/>
                <w:lang w:eastAsia="en-AU"/>
              </w:rPr>
              <w:tab/>
            </w:r>
            <w:r w:rsidR="00E136F8" w:rsidRPr="007A3C5B">
              <w:rPr>
                <w:rStyle w:val="Hyperlink"/>
              </w:rPr>
              <w:t>Further issues relating to the utilisation rate</w:t>
            </w:r>
            <w:r w:rsidR="00E136F8">
              <w:rPr>
                <w:webHidden/>
              </w:rPr>
              <w:tab/>
            </w:r>
            <w:r w:rsidR="00E136F8">
              <w:rPr>
                <w:webHidden/>
              </w:rPr>
              <w:fldChar w:fldCharType="begin"/>
            </w:r>
            <w:r w:rsidR="00E136F8">
              <w:rPr>
                <w:webHidden/>
              </w:rPr>
              <w:instrText xml:space="preserve"> PAGEREF _Toc433445548 \h </w:instrText>
            </w:r>
            <w:r w:rsidR="00E136F8">
              <w:rPr>
                <w:webHidden/>
              </w:rPr>
            </w:r>
            <w:r w:rsidR="00E136F8">
              <w:rPr>
                <w:webHidden/>
              </w:rPr>
              <w:fldChar w:fldCharType="separate"/>
            </w:r>
            <w:r w:rsidR="00E136F8">
              <w:rPr>
                <w:webHidden/>
              </w:rPr>
              <w:t>4-64</w:t>
            </w:r>
            <w:r w:rsidR="00E136F8">
              <w:rPr>
                <w:webHidden/>
              </w:rPr>
              <w:fldChar w:fldCharType="end"/>
            </w:r>
          </w:hyperlink>
        </w:p>
        <w:p w14:paraId="4525B27A" w14:textId="77777777" w:rsidR="00E136F8" w:rsidRDefault="00990689">
          <w:pPr>
            <w:pStyle w:val="TOC2"/>
            <w:rPr>
              <w:rFonts w:asciiTheme="minorHAnsi" w:eastAsiaTheme="minorEastAsia" w:hAnsiTheme="minorHAnsi"/>
              <w:b w:val="0"/>
              <w:color w:val="auto"/>
              <w:sz w:val="22"/>
              <w:lang w:eastAsia="en-AU"/>
            </w:rPr>
          </w:pPr>
          <w:hyperlink w:anchor="_Toc433445549" w:history="1">
            <w:r w:rsidR="00E136F8" w:rsidRPr="007A3C5B">
              <w:rPr>
                <w:rStyle w:val="Hyperlink"/>
              </w:rPr>
              <w:t>A.9</w:t>
            </w:r>
            <w:r w:rsidR="00E136F8">
              <w:rPr>
                <w:rFonts w:asciiTheme="minorHAnsi" w:eastAsiaTheme="minorEastAsia" w:hAnsiTheme="minorHAnsi"/>
                <w:b w:val="0"/>
                <w:color w:val="auto"/>
                <w:sz w:val="22"/>
                <w:lang w:eastAsia="en-AU"/>
              </w:rPr>
              <w:tab/>
            </w:r>
            <w:r w:rsidR="00E136F8" w:rsidRPr="007A3C5B">
              <w:rPr>
                <w:rStyle w:val="Hyperlink"/>
              </w:rPr>
              <w:t>Estimation approach considerations</w:t>
            </w:r>
            <w:r w:rsidR="00E136F8">
              <w:rPr>
                <w:webHidden/>
              </w:rPr>
              <w:tab/>
            </w:r>
            <w:r w:rsidR="00E136F8">
              <w:rPr>
                <w:webHidden/>
              </w:rPr>
              <w:fldChar w:fldCharType="begin"/>
            </w:r>
            <w:r w:rsidR="00E136F8">
              <w:rPr>
                <w:webHidden/>
              </w:rPr>
              <w:instrText xml:space="preserve"> PAGEREF _Toc433445549 \h </w:instrText>
            </w:r>
            <w:r w:rsidR="00E136F8">
              <w:rPr>
                <w:webHidden/>
              </w:rPr>
            </w:r>
            <w:r w:rsidR="00E136F8">
              <w:rPr>
                <w:webHidden/>
              </w:rPr>
              <w:fldChar w:fldCharType="separate"/>
            </w:r>
            <w:r w:rsidR="00E136F8">
              <w:rPr>
                <w:webHidden/>
              </w:rPr>
              <w:t>4-81</w:t>
            </w:r>
            <w:r w:rsidR="00E136F8">
              <w:rPr>
                <w:webHidden/>
              </w:rPr>
              <w:fldChar w:fldCharType="end"/>
            </w:r>
          </w:hyperlink>
        </w:p>
        <w:p w14:paraId="523CD0F4" w14:textId="77777777" w:rsidR="00E136F8" w:rsidRDefault="00990689">
          <w:pPr>
            <w:pStyle w:val="TOC2"/>
            <w:tabs>
              <w:tab w:val="left" w:pos="1276"/>
            </w:tabs>
            <w:rPr>
              <w:rFonts w:asciiTheme="minorHAnsi" w:eastAsiaTheme="minorEastAsia" w:hAnsiTheme="minorHAnsi"/>
              <w:b w:val="0"/>
              <w:color w:val="auto"/>
              <w:sz w:val="22"/>
              <w:lang w:eastAsia="en-AU"/>
            </w:rPr>
          </w:pPr>
          <w:hyperlink w:anchor="_Toc433445550" w:history="1">
            <w:r w:rsidR="00E136F8" w:rsidRPr="007A3C5B">
              <w:rPr>
                <w:rStyle w:val="Hyperlink"/>
              </w:rPr>
              <w:t>A.10</w:t>
            </w:r>
            <w:r w:rsidR="00E136F8">
              <w:rPr>
                <w:rFonts w:asciiTheme="minorHAnsi" w:eastAsiaTheme="minorEastAsia" w:hAnsiTheme="minorHAnsi"/>
                <w:b w:val="0"/>
                <w:color w:val="auto"/>
                <w:sz w:val="22"/>
                <w:lang w:eastAsia="en-AU"/>
              </w:rPr>
              <w:tab/>
            </w:r>
            <w:r w:rsidR="00E136F8" w:rsidRPr="007A3C5B">
              <w:rPr>
                <w:rStyle w:val="Hyperlink"/>
              </w:rPr>
              <w:t>Estimating the distribution rate</w:t>
            </w:r>
            <w:r w:rsidR="00E136F8">
              <w:rPr>
                <w:webHidden/>
              </w:rPr>
              <w:tab/>
            </w:r>
            <w:r w:rsidR="00E136F8">
              <w:rPr>
                <w:webHidden/>
              </w:rPr>
              <w:fldChar w:fldCharType="begin"/>
            </w:r>
            <w:r w:rsidR="00E136F8">
              <w:rPr>
                <w:webHidden/>
              </w:rPr>
              <w:instrText xml:space="preserve"> PAGEREF _Toc433445550 \h </w:instrText>
            </w:r>
            <w:r w:rsidR="00E136F8">
              <w:rPr>
                <w:webHidden/>
              </w:rPr>
            </w:r>
            <w:r w:rsidR="00E136F8">
              <w:rPr>
                <w:webHidden/>
              </w:rPr>
              <w:fldChar w:fldCharType="separate"/>
            </w:r>
            <w:r w:rsidR="00E136F8">
              <w:rPr>
                <w:webHidden/>
              </w:rPr>
              <w:t>4-83</w:t>
            </w:r>
            <w:r w:rsidR="00E136F8">
              <w:rPr>
                <w:webHidden/>
              </w:rPr>
              <w:fldChar w:fldCharType="end"/>
            </w:r>
          </w:hyperlink>
        </w:p>
        <w:p w14:paraId="02290A4B" w14:textId="77777777" w:rsidR="00E136F8" w:rsidRDefault="00990689">
          <w:pPr>
            <w:pStyle w:val="TOC2"/>
            <w:tabs>
              <w:tab w:val="left" w:pos="1276"/>
            </w:tabs>
            <w:rPr>
              <w:rFonts w:asciiTheme="minorHAnsi" w:eastAsiaTheme="minorEastAsia" w:hAnsiTheme="minorHAnsi"/>
              <w:b w:val="0"/>
              <w:color w:val="auto"/>
              <w:sz w:val="22"/>
              <w:lang w:eastAsia="en-AU"/>
            </w:rPr>
          </w:pPr>
          <w:hyperlink w:anchor="_Toc433445551" w:history="1">
            <w:r w:rsidR="00E136F8" w:rsidRPr="007A3C5B">
              <w:rPr>
                <w:rStyle w:val="Hyperlink"/>
              </w:rPr>
              <w:t>A.11</w:t>
            </w:r>
            <w:r w:rsidR="00E136F8">
              <w:rPr>
                <w:rFonts w:asciiTheme="minorHAnsi" w:eastAsiaTheme="minorEastAsia" w:hAnsiTheme="minorHAnsi"/>
                <w:b w:val="0"/>
                <w:color w:val="auto"/>
                <w:sz w:val="22"/>
                <w:lang w:eastAsia="en-AU"/>
              </w:rPr>
              <w:tab/>
            </w:r>
            <w:r w:rsidR="00E136F8" w:rsidRPr="007A3C5B">
              <w:rPr>
                <w:rStyle w:val="Hyperlink"/>
              </w:rPr>
              <w:t>Application of rate of return criteria to evidence on the utilisation rate</w:t>
            </w:r>
            <w:r w:rsidR="00E136F8">
              <w:rPr>
                <w:webHidden/>
              </w:rPr>
              <w:tab/>
            </w:r>
            <w:r w:rsidR="00E136F8">
              <w:rPr>
                <w:webHidden/>
              </w:rPr>
              <w:fldChar w:fldCharType="begin"/>
            </w:r>
            <w:r w:rsidR="00E136F8">
              <w:rPr>
                <w:webHidden/>
              </w:rPr>
              <w:instrText xml:space="preserve"> PAGEREF _Toc433445551 \h </w:instrText>
            </w:r>
            <w:r w:rsidR="00E136F8">
              <w:rPr>
                <w:webHidden/>
              </w:rPr>
            </w:r>
            <w:r w:rsidR="00E136F8">
              <w:rPr>
                <w:webHidden/>
              </w:rPr>
              <w:fldChar w:fldCharType="separate"/>
            </w:r>
            <w:r w:rsidR="00E136F8">
              <w:rPr>
                <w:webHidden/>
              </w:rPr>
              <w:t>4-90</w:t>
            </w:r>
            <w:r w:rsidR="00E136F8">
              <w:rPr>
                <w:webHidden/>
              </w:rPr>
              <w:fldChar w:fldCharType="end"/>
            </w:r>
          </w:hyperlink>
        </w:p>
        <w:p w14:paraId="7B7C9710" w14:textId="77777777" w:rsidR="00E136F8" w:rsidRDefault="00990689">
          <w:pPr>
            <w:pStyle w:val="TOC2"/>
            <w:tabs>
              <w:tab w:val="left" w:pos="1276"/>
            </w:tabs>
            <w:rPr>
              <w:rFonts w:asciiTheme="minorHAnsi" w:eastAsiaTheme="minorEastAsia" w:hAnsiTheme="minorHAnsi"/>
              <w:b w:val="0"/>
              <w:color w:val="auto"/>
              <w:sz w:val="22"/>
              <w:lang w:eastAsia="en-AU"/>
            </w:rPr>
          </w:pPr>
          <w:hyperlink w:anchor="_Toc433445552" w:history="1">
            <w:r w:rsidR="00E136F8" w:rsidRPr="007A3C5B">
              <w:rPr>
                <w:rStyle w:val="Hyperlink"/>
              </w:rPr>
              <w:t>A.12</w:t>
            </w:r>
            <w:r w:rsidR="00E136F8">
              <w:rPr>
                <w:rFonts w:asciiTheme="minorHAnsi" w:eastAsiaTheme="minorEastAsia" w:hAnsiTheme="minorHAnsi"/>
                <w:b w:val="0"/>
                <w:color w:val="auto"/>
                <w:sz w:val="22"/>
                <w:lang w:eastAsia="en-AU"/>
              </w:rPr>
              <w:tab/>
            </w:r>
            <w:r w:rsidR="00E136F8" w:rsidRPr="007A3C5B">
              <w:rPr>
                <w:rStyle w:val="Hyperlink"/>
              </w:rPr>
              <w:t>The equity ownership approach</w:t>
            </w:r>
            <w:r w:rsidR="00E136F8">
              <w:rPr>
                <w:webHidden/>
              </w:rPr>
              <w:tab/>
            </w:r>
            <w:r w:rsidR="00E136F8">
              <w:rPr>
                <w:webHidden/>
              </w:rPr>
              <w:fldChar w:fldCharType="begin"/>
            </w:r>
            <w:r w:rsidR="00E136F8">
              <w:rPr>
                <w:webHidden/>
              </w:rPr>
              <w:instrText xml:space="preserve"> PAGEREF _Toc433445552 \h </w:instrText>
            </w:r>
            <w:r w:rsidR="00E136F8">
              <w:rPr>
                <w:webHidden/>
              </w:rPr>
            </w:r>
            <w:r w:rsidR="00E136F8">
              <w:rPr>
                <w:webHidden/>
              </w:rPr>
              <w:fldChar w:fldCharType="separate"/>
            </w:r>
            <w:r w:rsidR="00E136F8">
              <w:rPr>
                <w:webHidden/>
              </w:rPr>
              <w:t>4-92</w:t>
            </w:r>
            <w:r w:rsidR="00E136F8">
              <w:rPr>
                <w:webHidden/>
              </w:rPr>
              <w:fldChar w:fldCharType="end"/>
            </w:r>
          </w:hyperlink>
        </w:p>
        <w:p w14:paraId="75BC4D61" w14:textId="77777777" w:rsidR="00E136F8" w:rsidRDefault="00990689">
          <w:pPr>
            <w:pStyle w:val="TOC2"/>
            <w:tabs>
              <w:tab w:val="left" w:pos="1276"/>
            </w:tabs>
            <w:rPr>
              <w:rFonts w:asciiTheme="minorHAnsi" w:eastAsiaTheme="minorEastAsia" w:hAnsiTheme="minorHAnsi"/>
              <w:b w:val="0"/>
              <w:color w:val="auto"/>
              <w:sz w:val="22"/>
              <w:lang w:eastAsia="en-AU"/>
            </w:rPr>
          </w:pPr>
          <w:hyperlink w:anchor="_Toc433445553" w:history="1">
            <w:r w:rsidR="00E136F8" w:rsidRPr="007A3C5B">
              <w:rPr>
                <w:rStyle w:val="Hyperlink"/>
              </w:rPr>
              <w:t>A.13</w:t>
            </w:r>
            <w:r w:rsidR="00E136F8">
              <w:rPr>
                <w:rFonts w:asciiTheme="minorHAnsi" w:eastAsiaTheme="minorEastAsia" w:hAnsiTheme="minorHAnsi"/>
                <w:b w:val="0"/>
                <w:color w:val="auto"/>
                <w:sz w:val="22"/>
                <w:lang w:eastAsia="en-AU"/>
              </w:rPr>
              <w:tab/>
            </w:r>
            <w:r w:rsidR="00E136F8" w:rsidRPr="007A3C5B">
              <w:rPr>
                <w:rStyle w:val="Hyperlink"/>
              </w:rPr>
              <w:t>Tax statistics</w:t>
            </w:r>
            <w:r w:rsidR="00E136F8">
              <w:rPr>
                <w:webHidden/>
              </w:rPr>
              <w:tab/>
            </w:r>
            <w:r w:rsidR="00E136F8">
              <w:rPr>
                <w:webHidden/>
              </w:rPr>
              <w:fldChar w:fldCharType="begin"/>
            </w:r>
            <w:r w:rsidR="00E136F8">
              <w:rPr>
                <w:webHidden/>
              </w:rPr>
              <w:instrText xml:space="preserve"> PAGEREF _Toc433445553 \h </w:instrText>
            </w:r>
            <w:r w:rsidR="00E136F8">
              <w:rPr>
                <w:webHidden/>
              </w:rPr>
            </w:r>
            <w:r w:rsidR="00E136F8">
              <w:rPr>
                <w:webHidden/>
              </w:rPr>
              <w:fldChar w:fldCharType="separate"/>
            </w:r>
            <w:r w:rsidR="00E136F8">
              <w:rPr>
                <w:webHidden/>
              </w:rPr>
              <w:t>4-96</w:t>
            </w:r>
            <w:r w:rsidR="00E136F8">
              <w:rPr>
                <w:webHidden/>
              </w:rPr>
              <w:fldChar w:fldCharType="end"/>
            </w:r>
          </w:hyperlink>
        </w:p>
        <w:p w14:paraId="53F169B7" w14:textId="77777777" w:rsidR="00E136F8" w:rsidRDefault="00990689">
          <w:pPr>
            <w:pStyle w:val="TOC2"/>
            <w:tabs>
              <w:tab w:val="left" w:pos="1276"/>
            </w:tabs>
            <w:rPr>
              <w:rFonts w:asciiTheme="minorHAnsi" w:eastAsiaTheme="minorEastAsia" w:hAnsiTheme="minorHAnsi"/>
              <w:b w:val="0"/>
              <w:color w:val="auto"/>
              <w:sz w:val="22"/>
              <w:lang w:eastAsia="en-AU"/>
            </w:rPr>
          </w:pPr>
          <w:hyperlink w:anchor="_Toc433445554" w:history="1">
            <w:r w:rsidR="00E136F8" w:rsidRPr="007A3C5B">
              <w:rPr>
                <w:rStyle w:val="Hyperlink"/>
              </w:rPr>
              <w:t>A.14</w:t>
            </w:r>
            <w:r w:rsidR="00E136F8">
              <w:rPr>
                <w:rFonts w:asciiTheme="minorHAnsi" w:eastAsiaTheme="minorEastAsia" w:hAnsiTheme="minorHAnsi"/>
                <w:b w:val="0"/>
                <w:color w:val="auto"/>
                <w:sz w:val="22"/>
                <w:lang w:eastAsia="en-AU"/>
              </w:rPr>
              <w:tab/>
            </w:r>
            <w:r w:rsidR="00E136F8" w:rsidRPr="007A3C5B">
              <w:rPr>
                <w:rStyle w:val="Hyperlink"/>
              </w:rPr>
              <w:t>Implied market value studies</w:t>
            </w:r>
            <w:r w:rsidR="00E136F8">
              <w:rPr>
                <w:webHidden/>
              </w:rPr>
              <w:tab/>
            </w:r>
            <w:r w:rsidR="00E136F8">
              <w:rPr>
                <w:webHidden/>
              </w:rPr>
              <w:fldChar w:fldCharType="begin"/>
            </w:r>
            <w:r w:rsidR="00E136F8">
              <w:rPr>
                <w:webHidden/>
              </w:rPr>
              <w:instrText xml:space="preserve"> PAGEREF _Toc433445554 \h </w:instrText>
            </w:r>
            <w:r w:rsidR="00E136F8">
              <w:rPr>
                <w:webHidden/>
              </w:rPr>
            </w:r>
            <w:r w:rsidR="00E136F8">
              <w:rPr>
                <w:webHidden/>
              </w:rPr>
              <w:fldChar w:fldCharType="separate"/>
            </w:r>
            <w:r w:rsidR="00E136F8">
              <w:rPr>
                <w:webHidden/>
              </w:rPr>
              <w:t>4-98</w:t>
            </w:r>
            <w:r w:rsidR="00E136F8">
              <w:rPr>
                <w:webHidden/>
              </w:rPr>
              <w:fldChar w:fldCharType="end"/>
            </w:r>
          </w:hyperlink>
        </w:p>
        <w:p w14:paraId="6F716579" w14:textId="77777777" w:rsidR="00E136F8" w:rsidRDefault="00990689">
          <w:pPr>
            <w:pStyle w:val="TOC2"/>
            <w:tabs>
              <w:tab w:val="left" w:pos="1276"/>
            </w:tabs>
            <w:rPr>
              <w:rFonts w:asciiTheme="minorHAnsi" w:eastAsiaTheme="minorEastAsia" w:hAnsiTheme="minorHAnsi"/>
              <w:b w:val="0"/>
              <w:color w:val="auto"/>
              <w:sz w:val="22"/>
              <w:lang w:eastAsia="en-AU"/>
            </w:rPr>
          </w:pPr>
          <w:hyperlink w:anchor="_Toc433445555" w:history="1">
            <w:r w:rsidR="00E136F8" w:rsidRPr="007A3C5B">
              <w:rPr>
                <w:rStyle w:val="Hyperlink"/>
              </w:rPr>
              <w:t>A.15</w:t>
            </w:r>
            <w:r w:rsidR="00E136F8">
              <w:rPr>
                <w:rFonts w:asciiTheme="minorHAnsi" w:eastAsiaTheme="minorEastAsia" w:hAnsiTheme="minorHAnsi"/>
                <w:b w:val="0"/>
                <w:color w:val="auto"/>
                <w:sz w:val="22"/>
                <w:lang w:eastAsia="en-AU"/>
              </w:rPr>
              <w:tab/>
            </w:r>
            <w:r w:rsidR="00E136F8" w:rsidRPr="007A3C5B">
              <w:rPr>
                <w:rStyle w:val="Hyperlink"/>
              </w:rPr>
              <w:t>Revised consideration of the conceptual goalposts approach</w:t>
            </w:r>
            <w:r w:rsidR="00E136F8">
              <w:rPr>
                <w:webHidden/>
              </w:rPr>
              <w:tab/>
            </w:r>
            <w:r w:rsidR="00E136F8">
              <w:rPr>
                <w:webHidden/>
              </w:rPr>
              <w:fldChar w:fldCharType="begin"/>
            </w:r>
            <w:r w:rsidR="00E136F8">
              <w:rPr>
                <w:webHidden/>
              </w:rPr>
              <w:instrText xml:space="preserve"> PAGEREF _Toc433445555 \h </w:instrText>
            </w:r>
            <w:r w:rsidR="00E136F8">
              <w:rPr>
                <w:webHidden/>
              </w:rPr>
            </w:r>
            <w:r w:rsidR="00E136F8">
              <w:rPr>
                <w:webHidden/>
              </w:rPr>
              <w:fldChar w:fldCharType="separate"/>
            </w:r>
            <w:r w:rsidR="00E136F8">
              <w:rPr>
                <w:webHidden/>
              </w:rPr>
              <w:t>4-116</w:t>
            </w:r>
            <w:r w:rsidR="00E136F8">
              <w:rPr>
                <w:webHidden/>
              </w:rPr>
              <w:fldChar w:fldCharType="end"/>
            </w:r>
          </w:hyperlink>
        </w:p>
        <w:p w14:paraId="49CF34B2" w14:textId="77777777" w:rsidR="00DE563D" w:rsidRDefault="00993877" w:rsidP="00993877">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8" w:name="_Toc404700925"/>
      <w:bookmarkStart w:id="9" w:name="_Toc408493482"/>
      <w:bookmarkStart w:id="10" w:name="_Toc433445534"/>
      <w:r w:rsidRPr="003D3D89">
        <w:lastRenderedPageBreak/>
        <w:t>Shortened</w:t>
      </w:r>
      <w:r>
        <w:t xml:space="preserve"> forms</w:t>
      </w:r>
      <w:bookmarkEnd w:id="8"/>
      <w:bookmarkEnd w:id="9"/>
      <w:bookmarkEnd w:id="10"/>
    </w:p>
    <w:p w14:paraId="2F9150AF" w14:textId="77777777" w:rsidR="003D3D89" w:rsidRPr="00271F7C" w:rsidRDefault="003D3D89" w:rsidP="003D3D89">
      <w:pPr>
        <w:numPr>
          <w:ilvl w:val="0"/>
          <w:numId w:val="25"/>
        </w:numPr>
      </w:pPr>
    </w:p>
    <w:tbl>
      <w:tblPr>
        <w:tblStyle w:val="AERtable-text0"/>
        <w:tblW w:w="0" w:type="auto"/>
        <w:tblLook w:val="04A0" w:firstRow="1" w:lastRow="0" w:firstColumn="1" w:lastColumn="0" w:noHBand="0" w:noVBand="1"/>
      </w:tblPr>
      <w:tblGrid>
        <w:gridCol w:w="3652"/>
        <w:gridCol w:w="5041"/>
      </w:tblGrid>
      <w:tr w:rsidR="0016622B" w14:paraId="1366759F" w14:textId="77777777" w:rsidTr="00CD1356">
        <w:trPr>
          <w:cnfStyle w:val="100000000000" w:firstRow="1" w:lastRow="0" w:firstColumn="0" w:lastColumn="0" w:oddVBand="0" w:evenVBand="0" w:oddHBand="0" w:evenHBand="0" w:firstRowFirstColumn="0" w:firstRowLastColumn="0" w:lastRowFirstColumn="0" w:lastRowLastColumn="0"/>
        </w:trPr>
        <w:tc>
          <w:tcPr>
            <w:tcW w:w="3652" w:type="dxa"/>
          </w:tcPr>
          <w:p w14:paraId="74D10A62" w14:textId="40477647" w:rsidR="0016622B" w:rsidRPr="0016622B" w:rsidRDefault="0016622B" w:rsidP="0016622B">
            <w:pPr>
              <w:numPr>
                <w:ilvl w:val="0"/>
                <w:numId w:val="25"/>
              </w:numPr>
            </w:pPr>
            <w:r w:rsidRPr="0016622B">
              <w:t>Shortened form</w:t>
            </w:r>
          </w:p>
        </w:tc>
        <w:tc>
          <w:tcPr>
            <w:tcW w:w="5041" w:type="dxa"/>
          </w:tcPr>
          <w:p w14:paraId="12885661" w14:textId="291CC307" w:rsidR="0016622B" w:rsidRPr="0016622B" w:rsidRDefault="0016622B" w:rsidP="0016622B">
            <w:pPr>
              <w:numPr>
                <w:ilvl w:val="0"/>
                <w:numId w:val="25"/>
              </w:numPr>
            </w:pPr>
            <w:r w:rsidRPr="0016622B">
              <w:t>Extended form</w:t>
            </w:r>
          </w:p>
        </w:tc>
      </w:tr>
      <w:tr w:rsidR="0016622B" w14:paraId="1F9C4B63" w14:textId="77777777" w:rsidTr="00CD1356">
        <w:tc>
          <w:tcPr>
            <w:tcW w:w="3652" w:type="dxa"/>
          </w:tcPr>
          <w:p w14:paraId="5CBB18F2" w14:textId="4F72BE35" w:rsidR="0016622B" w:rsidRPr="0016622B" w:rsidRDefault="0016622B" w:rsidP="0016622B">
            <w:pPr>
              <w:numPr>
                <w:ilvl w:val="0"/>
                <w:numId w:val="25"/>
              </w:numPr>
            </w:pPr>
            <w:r w:rsidRPr="0016622B">
              <w:t>AEMC</w:t>
            </w:r>
          </w:p>
        </w:tc>
        <w:tc>
          <w:tcPr>
            <w:tcW w:w="5041" w:type="dxa"/>
          </w:tcPr>
          <w:p w14:paraId="10B8E0FF" w14:textId="7FF7C8D9" w:rsidR="0016622B" w:rsidRPr="0016622B" w:rsidRDefault="0016622B" w:rsidP="0016622B">
            <w:pPr>
              <w:numPr>
                <w:ilvl w:val="0"/>
                <w:numId w:val="25"/>
              </w:numPr>
            </w:pPr>
            <w:r w:rsidRPr="0016622B">
              <w:t>Australian Energy Market Commission</w:t>
            </w:r>
          </w:p>
        </w:tc>
      </w:tr>
      <w:tr w:rsidR="0016622B" w14:paraId="3819A99D"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4A04EA02" w14:textId="5FE1259D" w:rsidR="0016622B" w:rsidRPr="0016622B" w:rsidRDefault="0016622B" w:rsidP="0016622B">
            <w:pPr>
              <w:numPr>
                <w:ilvl w:val="0"/>
                <w:numId w:val="25"/>
              </w:numPr>
            </w:pPr>
            <w:r w:rsidRPr="0016622B">
              <w:t>AER</w:t>
            </w:r>
          </w:p>
        </w:tc>
        <w:tc>
          <w:tcPr>
            <w:tcW w:w="5041" w:type="dxa"/>
          </w:tcPr>
          <w:p w14:paraId="39922EC9" w14:textId="5B6CF0BE" w:rsidR="0016622B" w:rsidRPr="0016622B" w:rsidRDefault="0016622B" w:rsidP="0016622B">
            <w:pPr>
              <w:numPr>
                <w:ilvl w:val="0"/>
                <w:numId w:val="25"/>
              </w:numPr>
            </w:pPr>
            <w:r w:rsidRPr="0016622B">
              <w:t>Australian Energy Regulator</w:t>
            </w:r>
          </w:p>
        </w:tc>
      </w:tr>
      <w:tr w:rsidR="0016622B" w14:paraId="07BF97B5" w14:textId="77777777" w:rsidTr="00CD1356">
        <w:tc>
          <w:tcPr>
            <w:tcW w:w="3652" w:type="dxa"/>
          </w:tcPr>
          <w:p w14:paraId="4B8CC8A5" w14:textId="7D5C9AC3" w:rsidR="0016622B" w:rsidRPr="0016622B" w:rsidRDefault="0016622B" w:rsidP="0016622B">
            <w:pPr>
              <w:numPr>
                <w:ilvl w:val="0"/>
                <w:numId w:val="25"/>
              </w:numPr>
            </w:pPr>
            <w:r w:rsidRPr="0016622B">
              <w:t>AGN</w:t>
            </w:r>
          </w:p>
        </w:tc>
        <w:tc>
          <w:tcPr>
            <w:tcW w:w="5041" w:type="dxa"/>
          </w:tcPr>
          <w:p w14:paraId="72FA4F42" w14:textId="64AA20B3" w:rsidR="0016622B" w:rsidRPr="0016622B" w:rsidRDefault="0016622B" w:rsidP="0016622B">
            <w:pPr>
              <w:numPr>
                <w:ilvl w:val="0"/>
                <w:numId w:val="25"/>
              </w:numPr>
            </w:pPr>
            <w:r w:rsidRPr="0016622B">
              <w:t>Australian Gas Networks</w:t>
            </w:r>
          </w:p>
        </w:tc>
      </w:tr>
      <w:tr w:rsidR="0016622B" w14:paraId="619424B3"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5C2BB0A0" w14:textId="6DB56896" w:rsidR="0016622B" w:rsidRPr="0016622B" w:rsidRDefault="0016622B" w:rsidP="0016622B">
            <w:pPr>
              <w:numPr>
                <w:ilvl w:val="0"/>
                <w:numId w:val="25"/>
              </w:numPr>
            </w:pPr>
            <w:r w:rsidRPr="0016622B">
              <w:t>APTNT</w:t>
            </w:r>
          </w:p>
        </w:tc>
        <w:tc>
          <w:tcPr>
            <w:tcW w:w="5041" w:type="dxa"/>
          </w:tcPr>
          <w:p w14:paraId="1323DAF8" w14:textId="637A4278" w:rsidR="0016622B" w:rsidRPr="0016622B" w:rsidRDefault="0016622B" w:rsidP="0016622B">
            <w:pPr>
              <w:numPr>
                <w:ilvl w:val="0"/>
                <w:numId w:val="25"/>
              </w:numPr>
            </w:pPr>
            <w:r w:rsidRPr="0016622B">
              <w:t>APT Pipelines (NT) Pty Ltd</w:t>
            </w:r>
          </w:p>
        </w:tc>
      </w:tr>
      <w:tr w:rsidR="0016622B" w14:paraId="39A1F2A2" w14:textId="77777777" w:rsidTr="00CD1356">
        <w:tc>
          <w:tcPr>
            <w:tcW w:w="3652" w:type="dxa"/>
          </w:tcPr>
          <w:p w14:paraId="0B50C13F" w14:textId="6454D8B9" w:rsidR="0016622B" w:rsidRPr="0016622B" w:rsidRDefault="0016622B" w:rsidP="0016622B">
            <w:pPr>
              <w:numPr>
                <w:ilvl w:val="0"/>
                <w:numId w:val="25"/>
              </w:numPr>
            </w:pPr>
            <w:r w:rsidRPr="0016622B">
              <w:t>capex</w:t>
            </w:r>
          </w:p>
        </w:tc>
        <w:tc>
          <w:tcPr>
            <w:tcW w:w="5041" w:type="dxa"/>
          </w:tcPr>
          <w:p w14:paraId="341235AD" w14:textId="260B16F6" w:rsidR="0016622B" w:rsidRPr="0016622B" w:rsidRDefault="0016622B" w:rsidP="0016622B">
            <w:pPr>
              <w:numPr>
                <w:ilvl w:val="0"/>
                <w:numId w:val="25"/>
              </w:numPr>
            </w:pPr>
            <w:r w:rsidRPr="0016622B">
              <w:t>capital expenditure</w:t>
            </w:r>
          </w:p>
        </w:tc>
      </w:tr>
      <w:tr w:rsidR="0016622B" w14:paraId="03A4D910"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14E600F4" w14:textId="127CA879" w:rsidR="0016622B" w:rsidRPr="0016622B" w:rsidRDefault="0016622B" w:rsidP="0016622B">
            <w:pPr>
              <w:numPr>
                <w:ilvl w:val="0"/>
                <w:numId w:val="25"/>
              </w:numPr>
            </w:pPr>
            <w:r w:rsidRPr="0016622B">
              <w:t>CAPM</w:t>
            </w:r>
          </w:p>
        </w:tc>
        <w:tc>
          <w:tcPr>
            <w:tcW w:w="5041" w:type="dxa"/>
          </w:tcPr>
          <w:p w14:paraId="56BF4AC9" w14:textId="6C4FA312" w:rsidR="0016622B" w:rsidRPr="0016622B" w:rsidRDefault="0016622B" w:rsidP="0016622B">
            <w:pPr>
              <w:numPr>
                <w:ilvl w:val="0"/>
                <w:numId w:val="25"/>
              </w:numPr>
            </w:pPr>
            <w:r w:rsidRPr="0016622B">
              <w:t>capital asset pricing model</w:t>
            </w:r>
          </w:p>
        </w:tc>
      </w:tr>
      <w:tr w:rsidR="0016622B" w14:paraId="178DDD09" w14:textId="77777777" w:rsidTr="00CD1356">
        <w:tc>
          <w:tcPr>
            <w:tcW w:w="3652" w:type="dxa"/>
          </w:tcPr>
          <w:p w14:paraId="6627FEB2" w14:textId="462FEB2A" w:rsidR="0016622B" w:rsidRPr="0016622B" w:rsidRDefault="0016622B" w:rsidP="0016622B">
            <w:pPr>
              <w:numPr>
                <w:ilvl w:val="0"/>
                <w:numId w:val="25"/>
              </w:numPr>
            </w:pPr>
            <w:r w:rsidRPr="0016622B">
              <w:t>CCP</w:t>
            </w:r>
          </w:p>
        </w:tc>
        <w:tc>
          <w:tcPr>
            <w:tcW w:w="5041" w:type="dxa"/>
          </w:tcPr>
          <w:p w14:paraId="2762E23C" w14:textId="375D8D3D" w:rsidR="0016622B" w:rsidRPr="0016622B" w:rsidRDefault="0016622B" w:rsidP="0016622B">
            <w:pPr>
              <w:numPr>
                <w:ilvl w:val="0"/>
                <w:numId w:val="25"/>
              </w:numPr>
            </w:pPr>
            <w:r w:rsidRPr="0016622B">
              <w:t>Consumer Challenge Panel</w:t>
            </w:r>
          </w:p>
        </w:tc>
      </w:tr>
      <w:tr w:rsidR="0016622B" w14:paraId="73192405"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38654F74" w14:textId="1B0034FB" w:rsidR="0016622B" w:rsidRPr="0016622B" w:rsidRDefault="0016622B" w:rsidP="0016622B">
            <w:pPr>
              <w:numPr>
                <w:ilvl w:val="0"/>
                <w:numId w:val="25"/>
              </w:numPr>
            </w:pPr>
            <w:r w:rsidRPr="0016622B">
              <w:t>CGS</w:t>
            </w:r>
          </w:p>
        </w:tc>
        <w:tc>
          <w:tcPr>
            <w:tcW w:w="5041" w:type="dxa"/>
          </w:tcPr>
          <w:p w14:paraId="21A5DCED" w14:textId="71FD3029" w:rsidR="0016622B" w:rsidRPr="0016622B" w:rsidRDefault="0016622B" w:rsidP="0016622B">
            <w:pPr>
              <w:numPr>
                <w:ilvl w:val="0"/>
                <w:numId w:val="25"/>
              </w:numPr>
            </w:pPr>
            <w:r w:rsidRPr="0016622B">
              <w:t>Commonwealth Government securities, also called Australian Government securities (AGS)</w:t>
            </w:r>
          </w:p>
        </w:tc>
      </w:tr>
      <w:tr w:rsidR="0016622B" w14:paraId="0368A6B1" w14:textId="77777777" w:rsidTr="00CD1356">
        <w:tc>
          <w:tcPr>
            <w:tcW w:w="3652" w:type="dxa"/>
          </w:tcPr>
          <w:p w14:paraId="2687CF4D" w14:textId="192D90D4" w:rsidR="0016622B" w:rsidRPr="0016622B" w:rsidRDefault="0016622B" w:rsidP="0016622B">
            <w:pPr>
              <w:numPr>
                <w:ilvl w:val="0"/>
                <w:numId w:val="25"/>
              </w:numPr>
            </w:pPr>
            <w:r w:rsidRPr="0016622B">
              <w:t>CPI</w:t>
            </w:r>
          </w:p>
        </w:tc>
        <w:tc>
          <w:tcPr>
            <w:tcW w:w="5041" w:type="dxa"/>
          </w:tcPr>
          <w:p w14:paraId="43287DA3" w14:textId="0419D921" w:rsidR="0016622B" w:rsidRPr="0016622B" w:rsidRDefault="0016622B" w:rsidP="0016622B">
            <w:pPr>
              <w:numPr>
                <w:ilvl w:val="0"/>
                <w:numId w:val="25"/>
              </w:numPr>
            </w:pPr>
            <w:r w:rsidRPr="0016622B">
              <w:t>consumer price index</w:t>
            </w:r>
          </w:p>
        </w:tc>
      </w:tr>
      <w:tr w:rsidR="0016622B" w14:paraId="580A7287"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60CF8AEC" w14:textId="6EAB7EBB" w:rsidR="0016622B" w:rsidRPr="0016622B" w:rsidRDefault="0016622B" w:rsidP="0016622B">
            <w:pPr>
              <w:numPr>
                <w:ilvl w:val="0"/>
                <w:numId w:val="25"/>
              </w:numPr>
            </w:pPr>
            <w:r w:rsidRPr="0016622B">
              <w:t>DGM</w:t>
            </w:r>
          </w:p>
        </w:tc>
        <w:tc>
          <w:tcPr>
            <w:tcW w:w="5041" w:type="dxa"/>
          </w:tcPr>
          <w:p w14:paraId="15116989" w14:textId="4429D188" w:rsidR="0016622B" w:rsidRPr="0016622B" w:rsidRDefault="0016622B" w:rsidP="0016622B">
            <w:pPr>
              <w:numPr>
                <w:ilvl w:val="0"/>
                <w:numId w:val="25"/>
              </w:numPr>
            </w:pPr>
            <w:r w:rsidRPr="0016622B">
              <w:t>dividend growth model</w:t>
            </w:r>
          </w:p>
        </w:tc>
      </w:tr>
      <w:tr w:rsidR="0016622B" w14:paraId="163BC64F" w14:textId="77777777" w:rsidTr="00CD1356">
        <w:tc>
          <w:tcPr>
            <w:tcW w:w="3652" w:type="dxa"/>
          </w:tcPr>
          <w:p w14:paraId="23D88301" w14:textId="13582327" w:rsidR="0016622B" w:rsidRPr="0016622B" w:rsidRDefault="0016622B" w:rsidP="0016622B">
            <w:pPr>
              <w:numPr>
                <w:ilvl w:val="0"/>
                <w:numId w:val="25"/>
              </w:numPr>
            </w:pPr>
            <w:r w:rsidRPr="0016622B">
              <w:t>DRP</w:t>
            </w:r>
          </w:p>
        </w:tc>
        <w:tc>
          <w:tcPr>
            <w:tcW w:w="5041" w:type="dxa"/>
          </w:tcPr>
          <w:p w14:paraId="44268EA9" w14:textId="3749535B" w:rsidR="0016622B" w:rsidRPr="0016622B" w:rsidRDefault="0016622B" w:rsidP="0016622B">
            <w:pPr>
              <w:numPr>
                <w:ilvl w:val="0"/>
                <w:numId w:val="25"/>
              </w:numPr>
            </w:pPr>
            <w:r w:rsidRPr="0016622B">
              <w:t>debt risk premium</w:t>
            </w:r>
          </w:p>
        </w:tc>
      </w:tr>
      <w:tr w:rsidR="0016622B" w14:paraId="378BC416"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0E33812B" w14:textId="130F88C7" w:rsidR="0016622B" w:rsidRPr="0016622B" w:rsidRDefault="0016622B" w:rsidP="0016622B">
            <w:pPr>
              <w:numPr>
                <w:ilvl w:val="0"/>
                <w:numId w:val="25"/>
              </w:numPr>
            </w:pPr>
            <w:r w:rsidRPr="0016622B">
              <w:t>distributor</w:t>
            </w:r>
          </w:p>
        </w:tc>
        <w:tc>
          <w:tcPr>
            <w:tcW w:w="5041" w:type="dxa"/>
          </w:tcPr>
          <w:p w14:paraId="68EF1880" w14:textId="55FEEF0B" w:rsidR="0016622B" w:rsidRPr="0016622B" w:rsidRDefault="0016622B" w:rsidP="0016622B">
            <w:pPr>
              <w:numPr>
                <w:ilvl w:val="0"/>
                <w:numId w:val="25"/>
              </w:numPr>
            </w:pPr>
            <w:r w:rsidRPr="0016622B">
              <w:t>distribution network service provider</w:t>
            </w:r>
          </w:p>
        </w:tc>
      </w:tr>
      <w:tr w:rsidR="0016622B" w14:paraId="5AC89F70" w14:textId="77777777" w:rsidTr="00CD1356">
        <w:tc>
          <w:tcPr>
            <w:tcW w:w="3652" w:type="dxa"/>
          </w:tcPr>
          <w:p w14:paraId="07EE54D1" w14:textId="30254E0A" w:rsidR="0016622B" w:rsidRPr="0016622B" w:rsidRDefault="0016622B" w:rsidP="0016622B">
            <w:pPr>
              <w:numPr>
                <w:ilvl w:val="0"/>
                <w:numId w:val="25"/>
              </w:numPr>
            </w:pPr>
            <w:r w:rsidRPr="0016622B">
              <w:t>ERP</w:t>
            </w:r>
          </w:p>
        </w:tc>
        <w:tc>
          <w:tcPr>
            <w:tcW w:w="5041" w:type="dxa"/>
          </w:tcPr>
          <w:p w14:paraId="5D387AB7" w14:textId="222FB5B1" w:rsidR="0016622B" w:rsidRPr="0016622B" w:rsidRDefault="0016622B" w:rsidP="0016622B">
            <w:pPr>
              <w:numPr>
                <w:ilvl w:val="0"/>
                <w:numId w:val="25"/>
              </w:numPr>
            </w:pPr>
            <w:r w:rsidRPr="0016622B">
              <w:t>equity risk premium</w:t>
            </w:r>
          </w:p>
        </w:tc>
      </w:tr>
      <w:tr w:rsidR="0016622B" w14:paraId="70000876"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5D99672C" w14:textId="1B5A1BE6" w:rsidR="0016622B" w:rsidRPr="0016622B" w:rsidRDefault="0016622B" w:rsidP="0016622B">
            <w:pPr>
              <w:numPr>
                <w:ilvl w:val="0"/>
                <w:numId w:val="25"/>
              </w:numPr>
            </w:pPr>
            <w:r w:rsidRPr="0016622B">
              <w:t>FFM</w:t>
            </w:r>
          </w:p>
        </w:tc>
        <w:tc>
          <w:tcPr>
            <w:tcW w:w="5041" w:type="dxa"/>
          </w:tcPr>
          <w:p w14:paraId="6117FADE" w14:textId="6AECFCCD" w:rsidR="0016622B" w:rsidRPr="0016622B" w:rsidRDefault="0016622B" w:rsidP="0016622B">
            <w:pPr>
              <w:numPr>
                <w:ilvl w:val="0"/>
                <w:numId w:val="25"/>
              </w:numPr>
            </w:pPr>
            <w:r w:rsidRPr="0016622B">
              <w:t>Fama-French three-factor model</w:t>
            </w:r>
          </w:p>
        </w:tc>
      </w:tr>
      <w:tr w:rsidR="0016622B" w14:paraId="2C7F96AB" w14:textId="77777777" w:rsidTr="00CD1356">
        <w:tc>
          <w:tcPr>
            <w:tcW w:w="3652" w:type="dxa"/>
          </w:tcPr>
          <w:p w14:paraId="4C5193B3" w14:textId="20AB31CC" w:rsidR="0016622B" w:rsidRPr="0016622B" w:rsidRDefault="0016622B" w:rsidP="0016622B">
            <w:pPr>
              <w:numPr>
                <w:ilvl w:val="0"/>
                <w:numId w:val="25"/>
              </w:numPr>
            </w:pPr>
            <w:r w:rsidRPr="0016622B">
              <w:t>JEN</w:t>
            </w:r>
          </w:p>
        </w:tc>
        <w:tc>
          <w:tcPr>
            <w:tcW w:w="5041" w:type="dxa"/>
          </w:tcPr>
          <w:p w14:paraId="709C052E" w14:textId="62A2132F" w:rsidR="0016622B" w:rsidRPr="0016622B" w:rsidRDefault="0016622B" w:rsidP="0016622B">
            <w:pPr>
              <w:numPr>
                <w:ilvl w:val="0"/>
                <w:numId w:val="25"/>
              </w:numPr>
            </w:pPr>
            <w:r w:rsidRPr="0016622B">
              <w:t>Jemena Electricity Networks</w:t>
            </w:r>
          </w:p>
        </w:tc>
      </w:tr>
      <w:tr w:rsidR="0016622B" w14:paraId="5FE6C866"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35C3F9C2" w14:textId="7EC6D520" w:rsidR="0016622B" w:rsidRPr="0016622B" w:rsidRDefault="0016622B" w:rsidP="0016622B">
            <w:pPr>
              <w:numPr>
                <w:ilvl w:val="0"/>
                <w:numId w:val="25"/>
              </w:numPr>
            </w:pPr>
            <w:r w:rsidRPr="0016622B">
              <w:t>JGN</w:t>
            </w:r>
          </w:p>
        </w:tc>
        <w:tc>
          <w:tcPr>
            <w:tcW w:w="5041" w:type="dxa"/>
          </w:tcPr>
          <w:p w14:paraId="3A5166F0" w14:textId="2CEB31C6" w:rsidR="0016622B" w:rsidRPr="0016622B" w:rsidRDefault="0016622B" w:rsidP="0016622B">
            <w:pPr>
              <w:numPr>
                <w:ilvl w:val="0"/>
                <w:numId w:val="25"/>
              </w:numPr>
            </w:pPr>
            <w:r w:rsidRPr="0016622B">
              <w:t>Jemena Gas Networks</w:t>
            </w:r>
          </w:p>
        </w:tc>
      </w:tr>
      <w:tr w:rsidR="0016622B" w14:paraId="56AB7180" w14:textId="77777777" w:rsidTr="00CD1356">
        <w:tc>
          <w:tcPr>
            <w:tcW w:w="3652" w:type="dxa"/>
          </w:tcPr>
          <w:p w14:paraId="33A2C846" w14:textId="55E14A3A" w:rsidR="0016622B" w:rsidRPr="0016622B" w:rsidRDefault="0016622B" w:rsidP="0016622B">
            <w:pPr>
              <w:numPr>
                <w:ilvl w:val="0"/>
                <w:numId w:val="25"/>
              </w:numPr>
            </w:pPr>
            <w:r w:rsidRPr="0016622B">
              <w:t>MRP</w:t>
            </w:r>
          </w:p>
        </w:tc>
        <w:tc>
          <w:tcPr>
            <w:tcW w:w="5041" w:type="dxa"/>
          </w:tcPr>
          <w:p w14:paraId="06E9E965" w14:textId="3EE96FFB" w:rsidR="0016622B" w:rsidRPr="0016622B" w:rsidRDefault="0016622B" w:rsidP="0016622B">
            <w:pPr>
              <w:numPr>
                <w:ilvl w:val="0"/>
                <w:numId w:val="25"/>
              </w:numPr>
            </w:pPr>
            <w:r w:rsidRPr="0016622B">
              <w:t>market risk premium</w:t>
            </w:r>
          </w:p>
        </w:tc>
      </w:tr>
      <w:tr w:rsidR="0016622B" w14:paraId="5EBCD148"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0A2E22FB" w14:textId="1C79D304" w:rsidR="0016622B" w:rsidRPr="0016622B" w:rsidRDefault="0016622B" w:rsidP="0016622B">
            <w:pPr>
              <w:numPr>
                <w:ilvl w:val="0"/>
                <w:numId w:val="25"/>
              </w:numPr>
            </w:pPr>
            <w:r w:rsidRPr="0016622B">
              <w:t>NEL</w:t>
            </w:r>
          </w:p>
        </w:tc>
        <w:tc>
          <w:tcPr>
            <w:tcW w:w="5041" w:type="dxa"/>
          </w:tcPr>
          <w:p w14:paraId="2700A4BE" w14:textId="08A10A56" w:rsidR="0016622B" w:rsidRPr="0016622B" w:rsidRDefault="0016622B" w:rsidP="0016622B">
            <w:pPr>
              <w:numPr>
                <w:ilvl w:val="0"/>
                <w:numId w:val="25"/>
              </w:numPr>
            </w:pPr>
            <w:r w:rsidRPr="0016622B">
              <w:t>national electricity law</w:t>
            </w:r>
          </w:p>
        </w:tc>
      </w:tr>
      <w:tr w:rsidR="0016622B" w14:paraId="32872B85" w14:textId="77777777" w:rsidTr="00CD1356">
        <w:tc>
          <w:tcPr>
            <w:tcW w:w="3652" w:type="dxa"/>
          </w:tcPr>
          <w:p w14:paraId="0CB5A335" w14:textId="25163C77" w:rsidR="0016622B" w:rsidRPr="0016622B" w:rsidRDefault="0016622B" w:rsidP="0016622B">
            <w:pPr>
              <w:numPr>
                <w:ilvl w:val="0"/>
                <w:numId w:val="25"/>
              </w:numPr>
            </w:pPr>
            <w:r w:rsidRPr="0016622B">
              <w:t>NEO</w:t>
            </w:r>
          </w:p>
        </w:tc>
        <w:tc>
          <w:tcPr>
            <w:tcW w:w="5041" w:type="dxa"/>
          </w:tcPr>
          <w:p w14:paraId="2F42D8E2" w14:textId="611A760C" w:rsidR="0016622B" w:rsidRPr="0016622B" w:rsidRDefault="0016622B" w:rsidP="0016622B">
            <w:pPr>
              <w:numPr>
                <w:ilvl w:val="0"/>
                <w:numId w:val="25"/>
              </w:numPr>
            </w:pPr>
            <w:r w:rsidRPr="0016622B">
              <w:t>national electricity objective</w:t>
            </w:r>
          </w:p>
        </w:tc>
      </w:tr>
      <w:tr w:rsidR="0016622B" w14:paraId="7D51F757"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069D69DB" w14:textId="4F2F9BE0" w:rsidR="0016622B" w:rsidRPr="0016622B" w:rsidRDefault="0016622B" w:rsidP="0016622B">
            <w:pPr>
              <w:numPr>
                <w:ilvl w:val="0"/>
                <w:numId w:val="25"/>
              </w:numPr>
            </w:pPr>
            <w:r w:rsidRPr="0016622B">
              <w:t>NER</w:t>
            </w:r>
          </w:p>
        </w:tc>
        <w:tc>
          <w:tcPr>
            <w:tcW w:w="5041" w:type="dxa"/>
          </w:tcPr>
          <w:p w14:paraId="5FF2B68C" w14:textId="707BC154" w:rsidR="0016622B" w:rsidRPr="0016622B" w:rsidRDefault="0016622B" w:rsidP="0016622B">
            <w:pPr>
              <w:numPr>
                <w:ilvl w:val="0"/>
                <w:numId w:val="25"/>
              </w:numPr>
            </w:pPr>
            <w:r w:rsidRPr="0016622B">
              <w:t>national electricity rules</w:t>
            </w:r>
          </w:p>
        </w:tc>
      </w:tr>
      <w:tr w:rsidR="0016622B" w14:paraId="08673DAC" w14:textId="77777777" w:rsidTr="00CD1356">
        <w:tc>
          <w:tcPr>
            <w:tcW w:w="3652" w:type="dxa"/>
          </w:tcPr>
          <w:p w14:paraId="4C8AC6AE" w14:textId="56B4B55E" w:rsidR="0016622B" w:rsidRPr="0016622B" w:rsidRDefault="0016622B" w:rsidP="0016622B">
            <w:pPr>
              <w:numPr>
                <w:ilvl w:val="0"/>
                <w:numId w:val="25"/>
              </w:numPr>
            </w:pPr>
            <w:r w:rsidRPr="0016622B">
              <w:t>NGL</w:t>
            </w:r>
          </w:p>
        </w:tc>
        <w:tc>
          <w:tcPr>
            <w:tcW w:w="5041" w:type="dxa"/>
          </w:tcPr>
          <w:p w14:paraId="02F4E7A4" w14:textId="6D9EA8BE" w:rsidR="0016622B" w:rsidRPr="0016622B" w:rsidRDefault="0016622B" w:rsidP="0016622B">
            <w:pPr>
              <w:numPr>
                <w:ilvl w:val="0"/>
                <w:numId w:val="25"/>
              </w:numPr>
            </w:pPr>
            <w:r w:rsidRPr="0016622B">
              <w:t>national gas law</w:t>
            </w:r>
          </w:p>
        </w:tc>
      </w:tr>
      <w:tr w:rsidR="0016622B" w14:paraId="0B7CD1AA" w14:textId="77777777" w:rsidTr="00CD1356">
        <w:trPr>
          <w:cnfStyle w:val="000000010000" w:firstRow="0" w:lastRow="0" w:firstColumn="0" w:lastColumn="0" w:oddVBand="0" w:evenVBand="0" w:oddHBand="0" w:evenHBand="1" w:firstRowFirstColumn="0" w:firstRowLastColumn="0" w:lastRowFirstColumn="0" w:lastRowLastColumn="0"/>
        </w:trPr>
        <w:tc>
          <w:tcPr>
            <w:tcW w:w="3652" w:type="dxa"/>
          </w:tcPr>
          <w:p w14:paraId="7BB5A0B6" w14:textId="7ABC79CE" w:rsidR="0016622B" w:rsidRPr="0016622B" w:rsidRDefault="0016622B" w:rsidP="0016622B">
            <w:pPr>
              <w:numPr>
                <w:ilvl w:val="0"/>
                <w:numId w:val="25"/>
              </w:numPr>
            </w:pPr>
            <w:r w:rsidRPr="0016622B">
              <w:t>NGO</w:t>
            </w:r>
          </w:p>
        </w:tc>
        <w:tc>
          <w:tcPr>
            <w:tcW w:w="5041" w:type="dxa"/>
          </w:tcPr>
          <w:p w14:paraId="01E363EB" w14:textId="2B99CC8C" w:rsidR="0016622B" w:rsidRPr="0016622B" w:rsidRDefault="0016622B" w:rsidP="0016622B">
            <w:pPr>
              <w:numPr>
                <w:ilvl w:val="0"/>
                <w:numId w:val="25"/>
              </w:numPr>
            </w:pPr>
            <w:r w:rsidRPr="0016622B">
              <w:t>national gas objective</w:t>
            </w:r>
          </w:p>
        </w:tc>
      </w:tr>
      <w:tr w:rsidR="0016622B" w14:paraId="2CF89D54" w14:textId="77777777" w:rsidTr="00CD1356">
        <w:tc>
          <w:tcPr>
            <w:tcW w:w="3652" w:type="dxa"/>
          </w:tcPr>
          <w:p w14:paraId="4E842F71" w14:textId="4648E250" w:rsidR="0016622B" w:rsidRPr="0016622B" w:rsidRDefault="0016622B" w:rsidP="0016622B">
            <w:pPr>
              <w:numPr>
                <w:ilvl w:val="0"/>
                <w:numId w:val="25"/>
              </w:numPr>
            </w:pPr>
            <w:r w:rsidRPr="0016622B">
              <w:t>NGR</w:t>
            </w:r>
          </w:p>
        </w:tc>
        <w:tc>
          <w:tcPr>
            <w:tcW w:w="5041" w:type="dxa"/>
          </w:tcPr>
          <w:p w14:paraId="401CD3DD" w14:textId="751EED87" w:rsidR="0016622B" w:rsidRPr="0016622B" w:rsidRDefault="0016622B" w:rsidP="0016622B">
            <w:pPr>
              <w:numPr>
                <w:ilvl w:val="0"/>
                <w:numId w:val="25"/>
              </w:numPr>
            </w:pPr>
            <w:r w:rsidRPr="0016622B">
              <w:t>national gas rules</w:t>
            </w:r>
          </w:p>
        </w:tc>
      </w:tr>
    </w:tbl>
    <w:p w14:paraId="58B86366" w14:textId="77777777" w:rsidR="00DE563D" w:rsidRPr="00436A39" w:rsidRDefault="00DE563D" w:rsidP="00DE563D">
      <w:pPr>
        <w:numPr>
          <w:ilvl w:val="0"/>
          <w:numId w:val="25"/>
        </w:numPr>
      </w:pPr>
    </w:p>
    <w:p w14:paraId="34CA2FA0" w14:textId="77777777" w:rsidR="00DE563D" w:rsidRDefault="00DE563D" w:rsidP="00DE563D"/>
    <w:p w14:paraId="4B91D25C" w14:textId="77777777" w:rsidR="00DE563D" w:rsidRDefault="00C04223" w:rsidP="00C04223">
      <w:pPr>
        <w:pStyle w:val="Heading1"/>
      </w:pPr>
      <w:bookmarkStart w:id="11" w:name="_Toc433445535"/>
      <w:r>
        <w:lastRenderedPageBreak/>
        <w:t>Value of imputation credits</w:t>
      </w:r>
      <w:bookmarkEnd w:id="11"/>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 xml:space="preserve">The NER/NGR </w:t>
      </w:r>
      <w:proofErr w:type="gramStart"/>
      <w:r>
        <w:t>recognise</w:t>
      </w:r>
      <w:proofErr w:type="gramEnd"/>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49A318EF" w:rsidR="00E356F9" w:rsidRDefault="00E356F9" w:rsidP="00E356F9">
      <w:pPr>
        <w:numPr>
          <w:ilvl w:val="0"/>
          <w:numId w:val="25"/>
        </w:numPr>
      </w:pPr>
      <w:r>
        <w:t xml:space="preserve">In this attachment, we set out our </w:t>
      </w:r>
      <w:r w:rsidR="00CE2DEA">
        <w:t>final</w:t>
      </w:r>
      <w:r>
        <w:t xml:space="preserve"> decision on the value of imputation credits and our key reasons for this </w:t>
      </w:r>
      <w:r w:rsidR="007661C9">
        <w:t>decision</w:t>
      </w:r>
      <w:r>
        <w:t xml:space="preserve">. We also consider </w:t>
      </w:r>
      <w:r w:rsidR="00C35731">
        <w:t>Ergon Energy</w:t>
      </w:r>
      <w:r w:rsidR="00FB4886">
        <w:t>'</w:t>
      </w:r>
      <w:r w:rsidR="00471920">
        <w:t>s</w:t>
      </w:r>
      <w:r>
        <w:t xml:space="preserve"> proposed value of imputation credits and the key reasons for its proposal. In appendix A, we include further supporting detail on our position on the value of imputation credits and also respond to </w:t>
      </w:r>
      <w:r w:rsidR="00C35731">
        <w:t>Ergon Energy</w:t>
      </w:r>
      <w:r w:rsidR="00471920">
        <w:t>'s</w:t>
      </w:r>
      <w:r>
        <w:t xml:space="preserve"> proposal in more detail. </w:t>
      </w:r>
    </w:p>
    <w:p w14:paraId="69F7E4E0" w14:textId="77777777" w:rsidR="00DE563D" w:rsidRPr="001754EE" w:rsidRDefault="00415F31" w:rsidP="001754EE">
      <w:pPr>
        <w:pStyle w:val="Heading2"/>
      </w:pPr>
      <w:bookmarkStart w:id="12" w:name="_Toc403144136"/>
      <w:bookmarkStart w:id="13" w:name="_Toc433445536"/>
      <w:r w:rsidRPr="001754EE">
        <w:t>Final</w:t>
      </w:r>
      <w:r w:rsidR="00DE563D" w:rsidRPr="001754EE">
        <w:t xml:space="preserve"> decision</w:t>
      </w:r>
      <w:bookmarkEnd w:id="12"/>
      <w:bookmarkEnd w:id="13"/>
    </w:p>
    <w:p w14:paraId="66144C66" w14:textId="110072ED" w:rsidR="002C233C" w:rsidRDefault="00AA4E4D" w:rsidP="002C233C">
      <w:pPr>
        <w:numPr>
          <w:ilvl w:val="0"/>
          <w:numId w:val="25"/>
        </w:numPr>
      </w:pPr>
      <w:bookmarkStart w:id="14" w:name="_Toc403144137"/>
      <w:r>
        <w:t>We do not acce</w:t>
      </w:r>
      <w:r w:rsidR="00841282">
        <w:t xml:space="preserve">pt </w:t>
      </w:r>
      <w:r w:rsidR="00C35731">
        <w:t>Ergon Energy</w:t>
      </w:r>
      <w:r w:rsidR="00471920">
        <w:t>'s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w:t>
      </w:r>
      <w:r>
        <w:lastRenderedPageBreak/>
        <w:t>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proofErr w:type="gramStart"/>
      <w:r>
        <w:t>t</w:t>
      </w:r>
      <w:r w:rsidRPr="006F0FAC">
        <w:t>he</w:t>
      </w:r>
      <w:proofErr w:type="gramEnd"/>
      <w:r w:rsidRPr="006F0FAC">
        <w:t xml:space="preserv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5945A95D" w:rsidR="00DE563D" w:rsidRPr="001754EE" w:rsidRDefault="00E5658D" w:rsidP="001754EE">
      <w:pPr>
        <w:pStyle w:val="Heading2"/>
      </w:pPr>
      <w:bookmarkStart w:id="15" w:name="_Ref414621796"/>
      <w:bookmarkStart w:id="16" w:name="_Toc433445537"/>
      <w:r>
        <w:t>Ergon Energy</w:t>
      </w:r>
      <w:r w:rsidR="00471920">
        <w:t>'s</w:t>
      </w:r>
      <w:r w:rsidR="00415F31" w:rsidRPr="001754EE">
        <w:t xml:space="preserve"> revised</w:t>
      </w:r>
      <w:r w:rsidR="00DE563D" w:rsidRPr="001754EE">
        <w:t xml:space="preserve"> proposal</w:t>
      </w:r>
      <w:bookmarkEnd w:id="14"/>
      <w:bookmarkEnd w:id="15"/>
      <w:bookmarkEnd w:id="16"/>
    </w:p>
    <w:p w14:paraId="191CCA4E" w14:textId="61EDD08F" w:rsidR="006F0FAC" w:rsidRDefault="006F0FAC" w:rsidP="00D14DE4">
      <w:pPr>
        <w:numPr>
          <w:ilvl w:val="0"/>
          <w:numId w:val="25"/>
        </w:numPr>
      </w:pPr>
      <w:r>
        <w:t xml:space="preserve">In its revised proposal, </w:t>
      </w:r>
      <w:r w:rsidR="00E5658D">
        <w:t>Ergon Energy</w:t>
      </w:r>
      <w:r>
        <w:t xml:space="preserve"> did not </w:t>
      </w:r>
      <w:r w:rsidR="003B0C3D">
        <w:t>adopt</w:t>
      </w:r>
      <w:r>
        <w:t xml:space="preserve"> our </w:t>
      </w:r>
      <w:r w:rsidR="00F864E6">
        <w:t>preliminary</w:t>
      </w:r>
      <w:r>
        <w:t xml:space="preserve"> decision and maintained the position in its initial proposal.</w:t>
      </w:r>
      <w:r w:rsidR="00C903FF">
        <w:rPr>
          <w:rStyle w:val="FootnoteReference"/>
        </w:rPr>
        <w:footnoteReference w:id="8"/>
      </w:r>
      <w:r>
        <w:t xml:space="preserve"> This was </w:t>
      </w:r>
      <w:r w:rsidR="00A35A6E">
        <w:t xml:space="preserve">for </w:t>
      </w:r>
      <w:r>
        <w:t xml:space="preserve">a value of imputation credits of 0.25, calculated as the product of a distribution rate of 0.7 and </w:t>
      </w:r>
      <w:proofErr w:type="gramStart"/>
      <w:r>
        <w:t>a</w:t>
      </w:r>
      <w:proofErr w:type="gramEnd"/>
      <w:r>
        <w:t xml:space="preserve"> utilisation rate of 0.35.</w:t>
      </w:r>
      <w:r>
        <w:rPr>
          <w:rStyle w:val="FootnoteReference"/>
        </w:rPr>
        <w:footnoteReference w:id="9"/>
      </w:r>
      <w:r>
        <w:t xml:space="preserve"> Its proposed distribution rate of 0.7 was consistent with</w:t>
      </w:r>
      <w:r w:rsidR="008E3B4F">
        <w:t xml:space="preserve"> the value in the Guideline and</w:t>
      </w:r>
      <w:r>
        <w:t xml:space="preserve"> </w:t>
      </w:r>
      <w:r w:rsidR="00A35A6E">
        <w:t xml:space="preserve">our value in the </w:t>
      </w:r>
      <w:r w:rsidR="00305358">
        <w:t>preliminary</w:t>
      </w:r>
      <w:r w:rsidR="00A35A6E">
        <w:t xml:space="preserve"> decision when estimated over all companies. However, in the </w:t>
      </w:r>
      <w:r w:rsidR="00305358">
        <w:t>preliminary</w:t>
      </w:r>
      <w:r w:rsidR="00A35A6E">
        <w:t xml:space="preserve"> decision we also relied in part on a distribution rate estimated over just public companies</w:t>
      </w:r>
      <w:r w:rsidR="00254F30">
        <w:t>,</w:t>
      </w:r>
      <w:r w:rsidR="00DE0079">
        <w:t xml:space="preserve"> of 0.8</w:t>
      </w:r>
      <w:r w:rsidR="00A35A6E">
        <w:t>.</w:t>
      </w:r>
      <w:r>
        <w:t xml:space="preserve"> </w:t>
      </w:r>
      <w:r w:rsidR="00E5658D">
        <w:t>Ergon Energy</w:t>
      </w:r>
      <w:r w:rsidR="00471920">
        <w:t>'s</w:t>
      </w:r>
      <w:r>
        <w:t xml:space="preserve"> 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the </w:t>
      </w:r>
      <w:r w:rsidR="005666AD">
        <w:t>preliminary</w:t>
      </w:r>
      <w:r w:rsidR="009E2B76">
        <w:t xml:space="preserve"> decision</w:t>
      </w:r>
      <w:r>
        <w:t xml:space="preserve">. </w:t>
      </w:r>
      <w:r w:rsidR="00E5658D">
        <w:t>Ergon Energy</w:t>
      </w:r>
      <w:r w:rsidR="00471920">
        <w:t>'s</w:t>
      </w:r>
      <w:r w:rsidR="005666AD">
        <w:t xml:space="preserve"> 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0.35</w:t>
      </w:r>
      <w:r w:rsidR="00D14DE4">
        <w:t>'.</w:t>
      </w:r>
      <w:r w:rsidR="00D14DE4">
        <w:rPr>
          <w:rStyle w:val="FootnoteReference"/>
        </w:rPr>
        <w:footnoteReference w:id="10"/>
      </w:r>
      <w:r w:rsidR="002939DB">
        <w:t xml:space="preserve"> This estimate is from a 'dividend drop off' study by SFG Consulting and co-authored by Professor Gray.</w:t>
      </w:r>
      <w:r w:rsidR="002939DB">
        <w:rPr>
          <w:rStyle w:val="FootnoteReference"/>
        </w:rPr>
        <w:footnoteReference w:id="11"/>
      </w:r>
    </w:p>
    <w:p w14:paraId="0089D819" w14:textId="7B66DB15" w:rsidR="005E50C1" w:rsidRDefault="00E5658D" w:rsidP="006F0FAC">
      <w:r>
        <w:lastRenderedPageBreak/>
        <w:t>Ergon Energy</w:t>
      </w:r>
      <w:r w:rsidR="00471920">
        <w:t>'s</w:t>
      </w:r>
      <w:r w:rsidR="006F0FAC">
        <w:t xml:space="preserve"> proposed value of imputation credits of 0.25 and supporting reasons were </w:t>
      </w:r>
      <w:r w:rsidR="00300843">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332C7E" w:rsidRPr="00332C7E">
        <w:t xml:space="preserve">  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Citipower, Powercor</w:t>
      </w:r>
      <w:r w:rsidR="008F101D">
        <w:t xml:space="preserve">, </w:t>
      </w:r>
      <w:r w:rsidR="00B765CA">
        <w:t>Jemena Electricity Networks (Vic)</w:t>
      </w:r>
      <w:r w:rsidR="008F101D">
        <w:t>, ActewAGL Distribution, Australian Gas Networks, and APT Pipeline (NT) Pty Ltd</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 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2"/>
      </w:r>
    </w:p>
    <w:p w14:paraId="2C66528A" w14:textId="68685C29"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2418EF">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3"/>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4"/>
      </w:r>
      <w:r w:rsidR="00207E2C">
        <w:t xml:space="preserve"> </w:t>
      </w:r>
      <w:r w:rsidR="0037770A">
        <w:t xml:space="preserve">The </w:t>
      </w:r>
      <w:r w:rsidR="00C9636D">
        <w:t>key</w:t>
      </w:r>
      <w:r w:rsidR="0037770A">
        <w:t xml:space="preserve"> difference </w:t>
      </w:r>
      <w:r w:rsidR="00EF4770">
        <w:t>between</w:t>
      </w:r>
      <w:r w:rsidR="0037770A">
        <w:t xml:space="preserve"> this final decision and the JGN final decision is we have had regard to </w:t>
      </w:r>
      <w:r w:rsidR="002E1251">
        <w:t>several</w:t>
      </w:r>
      <w:r w:rsidR="00A51C21">
        <w:t xml:space="preserve"> </w:t>
      </w:r>
      <w:r w:rsidR="0037770A">
        <w:t>new expert reports</w:t>
      </w:r>
      <w:r w:rsidR="00C87763">
        <w:t xml:space="preserve"> from </w:t>
      </w:r>
      <w:proofErr w:type="gramStart"/>
      <w:r w:rsidR="00C87763">
        <w:t>NERA  and</w:t>
      </w:r>
      <w:proofErr w:type="gramEnd"/>
      <w:r w:rsidR="00C87763">
        <w:t xml:space="preserve"> Frontier</w:t>
      </w:r>
      <w:r w:rsidR="00E50C64">
        <w:t>.</w:t>
      </w:r>
      <w:r w:rsidR="00E50C64" w:rsidRPr="00E50C64">
        <w:rPr>
          <w:rStyle w:val="FootnoteReference"/>
        </w:rPr>
        <w:t xml:space="preserve"> </w:t>
      </w:r>
      <w:r w:rsidR="00E50C64">
        <w:rPr>
          <w:rStyle w:val="FootnoteReference"/>
        </w:rPr>
        <w:footnoteReference w:id="15"/>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6"/>
      </w:r>
      <w:r w:rsidR="0082105A">
        <w:t xml:space="preserve"> </w:t>
      </w:r>
    </w:p>
    <w:p w14:paraId="3A585A83" w14:textId="1199C72C" w:rsidR="002C233C" w:rsidRDefault="00843AA2" w:rsidP="005E50C1">
      <w:r>
        <w:t xml:space="preserve">Throughout this </w:t>
      </w:r>
      <w:r w:rsidR="001D4E56">
        <w:t>attachment</w:t>
      </w:r>
      <w:r>
        <w:t xml:space="preserve"> we refer to </w:t>
      </w:r>
      <w:r w:rsidR="0037770A">
        <w:t xml:space="preserve">AusNet Services, Citipower, </w:t>
      </w:r>
      <w:r w:rsidR="00EF4770">
        <w:t>Powercor</w:t>
      </w:r>
      <w:r w:rsidR="0037770A">
        <w:t>, and Jemena Electricity Networks (Vic) as 'the Vi</w:t>
      </w:r>
      <w:r>
        <w:t>ctorian service providers',</w:t>
      </w:r>
      <w:r w:rsidR="0037770A">
        <w:t xml:space="preserve"> </w:t>
      </w:r>
      <w:r>
        <w:t xml:space="preserve">and </w:t>
      </w:r>
      <w:r w:rsidR="0037770A">
        <w:t>ActewAGL Distribution,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7" w:name="_Toc403144138"/>
      <w:bookmarkStart w:id="18" w:name="_Toc433445538"/>
      <w:r w:rsidRPr="001754EE">
        <w:lastRenderedPageBreak/>
        <w:t>AER’s</w:t>
      </w:r>
      <w:r>
        <w:t xml:space="preserve"> assessment approach</w:t>
      </w:r>
      <w:bookmarkEnd w:id="17"/>
      <w:bookmarkEnd w:id="18"/>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proofErr w:type="gramStart"/>
      <w:r>
        <w:t>our</w:t>
      </w:r>
      <w:proofErr w:type="gramEnd"/>
      <w:r>
        <w:t xml:space="preserve"> approach to determining the value of imputation credits.</w:t>
      </w:r>
    </w:p>
    <w:p w14:paraId="7D089634" w14:textId="77777777" w:rsidR="00A90D90" w:rsidRPr="00A90D90" w:rsidRDefault="00A90D90" w:rsidP="00A90D90">
      <w:pPr>
        <w:pStyle w:val="Heading3"/>
      </w:pPr>
      <w:bookmarkStart w:id="19" w:name="_Ref400272912"/>
      <w:bookmarkStart w:id="20" w:name="_Ref416802130"/>
      <w:bookmarkStart w:id="21" w:name="_Ref416802459"/>
      <w:r w:rsidRPr="00EA24D2">
        <w:t>Requirements</w:t>
      </w:r>
      <w:r w:rsidRPr="00A90D90">
        <w:t xml:space="preserve"> of the </w:t>
      </w:r>
      <w:bookmarkEnd w:id="19"/>
      <w:r w:rsidR="005D59BA">
        <w:t>NEL/NGL and NER/NGR</w:t>
      </w:r>
      <w:bookmarkEnd w:id="20"/>
      <w:bookmarkEnd w:id="21"/>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2"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2"/>
      <w:r w:rsidRPr="00EA5C1A">
        <w:t>) must be estimated in accordance with the following formula:</w:t>
      </w:r>
      <w:r>
        <w:rPr>
          <w:rStyle w:val="FootnoteReference"/>
        </w:rPr>
        <w:footnoteReference w:id="17"/>
      </w:r>
    </w:p>
    <w:p w14:paraId="7355F9CF" w14:textId="77777777" w:rsidR="00A90D90" w:rsidRPr="00EA5C1A" w:rsidRDefault="00990689"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990689"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990689"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w:t>
      </w:r>
      <w:proofErr w:type="gramStart"/>
      <w:r w:rsidR="00A90D90" w:rsidRPr="00A90D90">
        <w:t>is</w:t>
      </w:r>
      <w:proofErr w:type="gramEnd"/>
      <w:r w:rsidR="00A90D90" w:rsidRPr="00A90D90">
        <w:t xml:space="preserve">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w:t>
      </w:r>
      <w:proofErr w:type="gramStart"/>
      <w:r w:rsidRPr="00A90D90">
        <w:t>is</w:t>
      </w:r>
      <w:proofErr w:type="gramEnd"/>
      <w:r w:rsidRPr="00A90D90">
        <w:t xml:space="preserve"> the value of imputation credits.</w:t>
      </w:r>
    </w:p>
    <w:p w14:paraId="19D7828C" w14:textId="77777777" w:rsidR="00A90D90" w:rsidRDefault="00A90D90" w:rsidP="00A90D90">
      <w:pPr>
        <w:numPr>
          <w:ilvl w:val="0"/>
          <w:numId w:val="25"/>
        </w:numPr>
      </w:pPr>
      <w:r w:rsidRPr="00FA0554">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8"/>
      </w:r>
    </w:p>
    <w:p w14:paraId="7BB7F96A" w14:textId="77777777" w:rsidR="008C1870" w:rsidRDefault="00B61A9F" w:rsidP="008C1870">
      <w:pPr>
        <w:numPr>
          <w:ilvl w:val="0"/>
          <w:numId w:val="25"/>
        </w:numPr>
      </w:pPr>
      <w:r>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9"/>
      </w:r>
      <w:r w:rsidR="008C1870">
        <w:t xml:space="preserve"> This is because:</w:t>
      </w:r>
    </w:p>
    <w:p w14:paraId="5BE85F6D" w14:textId="77777777" w:rsidR="008C1870" w:rsidRPr="00A3557D" w:rsidRDefault="008C1870" w:rsidP="008C1870">
      <w:pPr>
        <w:pStyle w:val="AERbulletlistfirststyle"/>
      </w:pPr>
      <w:r>
        <w:lastRenderedPageBreak/>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20"/>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1"/>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proofErr w:type="gramStart"/>
      <w:r>
        <w:t>'.</w:t>
      </w:r>
      <w:proofErr w:type="gramEnd"/>
      <w:r w:rsidR="00CB622C">
        <w:rPr>
          <w:rStyle w:val="FootnoteReference"/>
        </w:rPr>
        <w:footnoteReference w:id="22"/>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proofErr w:type="gramStart"/>
      <w:r w:rsidR="00713D13">
        <w:t>'.</w:t>
      </w:r>
      <w:proofErr w:type="gramEnd"/>
      <w:r w:rsidR="00CB622C">
        <w:rPr>
          <w:rStyle w:val="FootnoteReference"/>
        </w:rPr>
        <w:footnoteReference w:id="23"/>
      </w:r>
      <w:r w:rsidR="00713D13">
        <w:t xml:space="preserve"> </w:t>
      </w:r>
    </w:p>
    <w:p w14:paraId="37632B70" w14:textId="77777777" w:rsidR="008A4877" w:rsidRDefault="00BB0325" w:rsidP="007C38AD">
      <w:r>
        <w:t>T</w:t>
      </w:r>
      <w:r w:rsidR="008C1870">
        <w:t xml:space="preserve">he NER/NGR </w:t>
      </w:r>
      <w:proofErr w:type="gramStart"/>
      <w:r w:rsidR="008C1870">
        <w:t>require</w:t>
      </w:r>
      <w:proofErr w:type="gramEnd"/>
      <w:r w:rsidR="008C1870">
        <w:t xml:space="preserv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4"/>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5"/>
      </w:r>
      <w:r w:rsidR="008006B0">
        <w:t xml:space="preserve"> An important implication of this is that gamma is not a standalone 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1E2164">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6"/>
      </w:r>
      <w:r w:rsidR="000E0997">
        <w:t xml:space="preserve"> </w:t>
      </w:r>
      <w:r w:rsidR="000E0997">
        <w:lastRenderedPageBreak/>
        <w:t>That is, '</w:t>
      </w:r>
      <w:proofErr w:type="gramStart"/>
      <w:r w:rsidR="000E0997">
        <w:t>the per</w:t>
      </w:r>
      <w:proofErr w:type="gramEnd"/>
      <w:r w:rsidR="000E0997">
        <w:t xml:space="preserve">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7"/>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w:t>
      </w:r>
      <w:proofErr w:type="gramStart"/>
      <w:r w:rsidR="00A90D90">
        <w:t>is</w:t>
      </w:r>
      <w:proofErr w:type="gramEnd"/>
      <w:r w:rsidR="00A90D90">
        <w:t xml:space="preserve"> likely to contribute to the achievement of the </w:t>
      </w:r>
      <w:r w:rsidR="005D59BA">
        <w:t>NEO/NGO</w:t>
      </w:r>
      <w:r w:rsidR="00A90D90">
        <w:t>.</w:t>
      </w:r>
      <w:r w:rsidR="00A90D90">
        <w:rPr>
          <w:rStyle w:val="FootnoteReference"/>
        </w:rPr>
        <w:footnoteReference w:id="28"/>
      </w:r>
      <w:r w:rsidR="00A90D90">
        <w:t xml:space="preserve"> Further, when exercising </w:t>
      </w:r>
      <w:proofErr w:type="gramStart"/>
      <w:r w:rsidR="00A90D90">
        <w:t>a discretion</w:t>
      </w:r>
      <w:proofErr w:type="gramEnd"/>
      <w:r w:rsidR="00A90D90">
        <w:t xml:space="preserve"> in making the relevant parts of a decision, we must take into account the </w:t>
      </w:r>
      <w:r w:rsidR="00566FF4">
        <w:t>RPP</w:t>
      </w:r>
      <w:r w:rsidR="00A90D90">
        <w:t>.</w:t>
      </w:r>
      <w:r w:rsidR="00A90D90">
        <w:rPr>
          <w:rStyle w:val="FootnoteReference"/>
        </w:rPr>
        <w:footnoteReference w:id="29"/>
      </w:r>
      <w:r w:rsidR="00A90D90">
        <w:t xml:space="preserve"> The </w:t>
      </w:r>
      <w:r w:rsidR="00566FF4">
        <w:t>RPP</w:t>
      </w:r>
      <w:r w:rsidR="00A90D90">
        <w:t xml:space="preserve"> provide, amongst other things, that</w:t>
      </w:r>
      <w:r w:rsidR="00112FED">
        <w:t>:</w:t>
      </w:r>
      <w:r w:rsidR="00112FED">
        <w:rPr>
          <w:rStyle w:val="FootnoteReference"/>
        </w:rPr>
        <w:footnoteReference w:id="30"/>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proofErr w:type="gramStart"/>
      <w:r>
        <w:t>a</w:t>
      </w:r>
      <w:proofErr w:type="gramEnd"/>
      <w:r>
        <w:t xml:space="preserve">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proofErr w:type="gramStart"/>
      <w:r>
        <w:t>not</w:t>
      </w:r>
      <w:proofErr w:type="gramEnd"/>
      <w:r>
        <w:t xml:space="preserve">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range of relevant evidence in this attachment. We have determined a value of imputation credits that </w:t>
      </w:r>
      <w:r w:rsidR="003A55DC">
        <w:t xml:space="preserve">we are satisfied </w:t>
      </w:r>
      <w:r>
        <w:t xml:space="preserve">achieves a balance between the </w:t>
      </w:r>
      <w:proofErr w:type="gramStart"/>
      <w:r>
        <w:t>opportunity</w:t>
      </w:r>
      <w:proofErr w:type="gramEnd"/>
      <w:r>
        <w:t xml:space="preserve"> for service providers to recover at least efficient costs but that is commensurate with relevant risks.</w:t>
      </w:r>
    </w:p>
    <w:p w14:paraId="43CBE0E8" w14:textId="77777777" w:rsidR="00A90D90" w:rsidRPr="00A90D90" w:rsidRDefault="00A90D90" w:rsidP="00A90D90">
      <w:pPr>
        <w:pStyle w:val="Heading3"/>
      </w:pPr>
      <w:bookmarkStart w:id="23" w:name="_Ref401234016"/>
      <w:r>
        <w:lastRenderedPageBreak/>
        <w:t xml:space="preserve">Rate of return </w:t>
      </w:r>
      <w:r w:rsidR="00EA6FAD">
        <w:t>G</w:t>
      </w:r>
      <w:r>
        <w:t>uideline</w:t>
      </w:r>
      <w:bookmarkEnd w:id="23"/>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1"/>
      </w:r>
      <w:r>
        <w:t xml:space="preserve"> Within it we </w:t>
      </w:r>
      <w:r w:rsidRPr="007968DE">
        <w:t>specif</w:t>
      </w:r>
      <w:r>
        <w:t>ied</w:t>
      </w:r>
      <w:r w:rsidRPr="007968DE">
        <w:t>:</w:t>
      </w:r>
      <w:r w:rsidRPr="000709A4">
        <w:rPr>
          <w:rStyle w:val="FootnoteReference"/>
        </w:rPr>
        <w:footnoteReference w:id="32"/>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3"/>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4"/>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5"/>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1E2164">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1E2164">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4" w:name="_Ref404065332"/>
      <w:r>
        <w:t>Definition of benchmark efficient</w:t>
      </w:r>
      <w:r w:rsidRPr="00A90D90">
        <w:t xml:space="preserve"> entity</w:t>
      </w:r>
      <w:bookmarkEnd w:id="24"/>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1E2164">
        <w:t>4.3.1</w:t>
      </w:r>
      <w:r>
        <w:fldChar w:fldCharType="end"/>
      </w:r>
      <w:r>
        <w:t xml:space="preserve">, the </w:t>
      </w:r>
      <w:r w:rsidR="004569D9">
        <w:t>NER/NGR</w:t>
      </w:r>
      <w:r>
        <w:t xml:space="preserve"> </w:t>
      </w:r>
      <w:proofErr w:type="gramStart"/>
      <w:r>
        <w:t>refer</w:t>
      </w:r>
      <w:proofErr w:type="gramEnd"/>
      <w:r>
        <w:t xml:space="preserve">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proofErr w:type="gramStart"/>
      <w:r>
        <w:t>a</w:t>
      </w:r>
      <w:proofErr w:type="gramEnd"/>
      <w:r>
        <w:t xml:space="preserve">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6"/>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lastRenderedPageBreak/>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5" w:name="_Ref415070818"/>
      <w:r>
        <w:t>Interrelationships</w:t>
      </w:r>
      <w:bookmarkEnd w:id="25"/>
    </w:p>
    <w:p w14:paraId="677673DE" w14:textId="18141AE9" w:rsidR="009E59CE" w:rsidRDefault="00140344" w:rsidP="009E59CE">
      <w:r>
        <w:t xml:space="preserve">The NER/NGR </w:t>
      </w:r>
      <w:proofErr w:type="gramStart"/>
      <w:r>
        <w:t>recognise</w:t>
      </w:r>
      <w:proofErr w:type="gramEnd"/>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proofErr w:type="gramStart"/>
      <w:r>
        <w:t>adjust</w:t>
      </w:r>
      <w:proofErr w:type="gramEnd"/>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7"/>
      </w:r>
      <w:r w:rsidR="00A736D1">
        <w:t xml:space="preserve"> The CCP then concluded:</w:t>
      </w:r>
      <w:r w:rsidR="00A736D1">
        <w:rPr>
          <w:rStyle w:val="FootnoteReference"/>
        </w:rPr>
        <w:footnoteReference w:id="38"/>
      </w:r>
    </w:p>
    <w:p w14:paraId="50F94A09" w14:textId="77777777" w:rsidR="00A736D1" w:rsidRDefault="00A736D1" w:rsidP="00A736D1">
      <w:pPr>
        <w:pStyle w:val="AERquote"/>
      </w:pPr>
      <w:r w:rsidRPr="00A736D1">
        <w:lastRenderedPageBreak/>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14:paraId="069A2213" w14:textId="77777777"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final 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9"/>
      </w:r>
    </w:p>
    <w:p w14:paraId="17DE5AF2" w14:textId="77777777" w:rsidR="00A90D90" w:rsidRPr="00A90D90" w:rsidRDefault="00A90D90" w:rsidP="00A90D90">
      <w:pPr>
        <w:pStyle w:val="Heading3"/>
      </w:pPr>
      <w:r>
        <w:t xml:space="preserve">Expert </w:t>
      </w:r>
      <w:r w:rsidRPr="00A90D90">
        <w:t>reports</w:t>
      </w:r>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40"/>
      </w:r>
    </w:p>
    <w:p w14:paraId="4ECF5965" w14:textId="2718F29C" w:rsidR="00A90D90" w:rsidRDefault="00FA3A98" w:rsidP="00A90D90">
      <w:pPr>
        <w:numPr>
          <w:ilvl w:val="0"/>
          <w:numId w:val="25"/>
        </w:numPr>
      </w:pPr>
      <w:r>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1"/>
      </w:r>
      <w:r w:rsidR="00A90D90">
        <w:t xml:space="preserve"> We have also had regard to, among other things:</w:t>
      </w:r>
    </w:p>
    <w:p w14:paraId="03A546BF" w14:textId="3006E932" w:rsidR="00A90D90" w:rsidRPr="00A90D90" w:rsidRDefault="00A90D90" w:rsidP="00A90D90">
      <w:pPr>
        <w:pStyle w:val="AERbulletlistfirststyle"/>
      </w:pPr>
      <w:proofErr w:type="gramStart"/>
      <w:r>
        <w:t>t</w:t>
      </w:r>
      <w:r w:rsidRPr="00A90D90">
        <w:t>he</w:t>
      </w:r>
      <w:proofErr w:type="gramEnd"/>
      <w:r w:rsidRPr="00A90D90">
        <w:t xml:space="preserv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2"/>
      </w:r>
    </w:p>
    <w:p w14:paraId="7697B2B3" w14:textId="18DC901D" w:rsidR="00836DA3" w:rsidRDefault="00836DA3" w:rsidP="00A90D90">
      <w:pPr>
        <w:pStyle w:val="AERbulletlistfirststyle"/>
      </w:pPr>
      <w:proofErr w:type="gramStart"/>
      <w:r>
        <w:t>the</w:t>
      </w:r>
      <w:proofErr w:type="gramEnd"/>
      <w:r>
        <w:t xml:space="preserve"> March 2015, April 2015 and June 2015 reports by </w:t>
      </w:r>
      <w:r w:rsidRPr="00A90D90">
        <w:t>NERA Economic Consulting (NERA)</w:t>
      </w:r>
      <w:r>
        <w:t xml:space="preserve"> that were commissioned by service providers.</w:t>
      </w:r>
      <w:r w:rsidR="00C730ED">
        <w:rPr>
          <w:rStyle w:val="FootnoteReference"/>
        </w:rPr>
        <w:footnoteReference w:id="43"/>
      </w:r>
    </w:p>
    <w:p w14:paraId="34AF6867" w14:textId="3699C803" w:rsidR="00A90D90" w:rsidRPr="00A90D90" w:rsidRDefault="00836DA3" w:rsidP="00A90D90">
      <w:pPr>
        <w:pStyle w:val="AERbulletlistfirststyle"/>
      </w:pPr>
      <w:proofErr w:type="gramStart"/>
      <w:r>
        <w:t>the</w:t>
      </w:r>
      <w:proofErr w:type="gramEnd"/>
      <w:r>
        <w:t xml:space="preserv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4"/>
      </w:r>
    </w:p>
    <w:p w14:paraId="4844F622" w14:textId="77777777" w:rsidR="00A90D90" w:rsidRPr="00A90D90" w:rsidRDefault="00A90D90" w:rsidP="00A90D90">
      <w:pPr>
        <w:pStyle w:val="AERbulletlistfirststyle"/>
      </w:pPr>
      <w:proofErr w:type="gramStart"/>
      <w:r>
        <w:lastRenderedPageBreak/>
        <w:t>a</w:t>
      </w:r>
      <w:r w:rsidRPr="00A90D90">
        <w:t>n</w:t>
      </w:r>
      <w:proofErr w:type="gramEnd"/>
      <w:r w:rsidRPr="00A90D90">
        <w:t xml:space="preserve"> October 2013 review of a network rail access undertaking by Professor Michael McKenzie of the University of Liverpool and Associate Professor Graham Partington of the University of Sydney.</w:t>
      </w:r>
      <w:r w:rsidRPr="00A90D90">
        <w:rPr>
          <w:rStyle w:val="FootnoteReference"/>
        </w:rPr>
        <w:footnoteReference w:id="45"/>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proofErr w:type="gramStart"/>
      <w:r>
        <w:t>a</w:t>
      </w:r>
      <w:proofErr w:type="gramEnd"/>
      <w:r w:rsidRPr="00A90D90">
        <w:t xml:space="preserve"> September 2013 report on tax statistics by Dr. Neville Hathaway that was commissioned by the Energy Networks Association.</w:t>
      </w:r>
      <w:r w:rsidRPr="00A90D90">
        <w:rPr>
          <w:rStyle w:val="FootnoteReference"/>
        </w:rPr>
        <w:footnoteReference w:id="46"/>
      </w:r>
    </w:p>
    <w:p w14:paraId="4C791746" w14:textId="449ADF59" w:rsidR="00A90D90" w:rsidRPr="00A90D90" w:rsidRDefault="00A90D90" w:rsidP="00A90D90">
      <w:pPr>
        <w:pStyle w:val="AERbulletlistfirststyle"/>
      </w:pPr>
      <w:proofErr w:type="gramStart"/>
      <w:r>
        <w:t>a</w:t>
      </w:r>
      <w:proofErr w:type="gramEnd"/>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7"/>
      </w:r>
    </w:p>
    <w:p w14:paraId="5C7EB87D" w14:textId="77777777" w:rsidR="00A90D90" w:rsidRPr="00A90D90" w:rsidRDefault="00A90D90" w:rsidP="00A90D90">
      <w:pPr>
        <w:pStyle w:val="Heading3"/>
      </w:pPr>
      <w:bookmarkStart w:id="26" w:name="_Ref415048973"/>
      <w:r w:rsidRPr="00784B2C">
        <w:t xml:space="preserve">Approach to </w:t>
      </w:r>
      <w:r w:rsidRPr="00A90D90">
        <w:t>determining the value of imputation credits</w:t>
      </w:r>
      <w:bookmarkEnd w:id="26"/>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8"/>
      </w:r>
      <w:r>
        <w:t xml:space="preserve"> Our approach to determining the value of imputation credits is guided by:</w:t>
      </w:r>
    </w:p>
    <w:p w14:paraId="1A3ACAFA" w14:textId="77777777" w:rsidR="00A90D90" w:rsidRPr="00A90D90" w:rsidRDefault="00A90D90" w:rsidP="00A90D90">
      <w:pPr>
        <w:pStyle w:val="AERbulletlistfirststyle"/>
      </w:pPr>
      <w:proofErr w:type="gramStart"/>
      <w:r>
        <w:t>t</w:t>
      </w:r>
      <w:r w:rsidRPr="00A90D90">
        <w:t>he</w:t>
      </w:r>
      <w:proofErr w:type="gramEnd"/>
      <w:r w:rsidRPr="00A90D90">
        <w:t xml:space="preserv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1E2164">
        <w:t>4.3.1</w:t>
      </w:r>
      <w:r w:rsidRPr="00A90D90">
        <w:fldChar w:fldCharType="end"/>
      </w:r>
      <w:r w:rsidRPr="00A90D90">
        <w:t>.</w:t>
      </w:r>
    </w:p>
    <w:p w14:paraId="5C899FC7" w14:textId="77777777" w:rsidR="00A90D90" w:rsidRPr="00A90D90" w:rsidRDefault="00A90D90" w:rsidP="00A90D90">
      <w:pPr>
        <w:pStyle w:val="AERbulletlistfirststyle"/>
      </w:pPr>
      <w:proofErr w:type="gramStart"/>
      <w:r>
        <w:t>t</w:t>
      </w:r>
      <w:r w:rsidRPr="00A90D90">
        <w:t>he</w:t>
      </w:r>
      <w:proofErr w:type="gramEnd"/>
      <w:r w:rsidRPr="00A90D90">
        <w:t xml:space="preserv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9"/>
      </w:r>
    </w:p>
    <w:p w14:paraId="26C36FA9" w14:textId="77777777" w:rsidR="00A90D90" w:rsidRPr="00A90D90" w:rsidRDefault="00A90D90" w:rsidP="00A90D90">
      <w:pPr>
        <w:pStyle w:val="AERbulletlistfirststyle"/>
      </w:pPr>
      <w:proofErr w:type="gramStart"/>
      <w:r>
        <w:t>r</w:t>
      </w:r>
      <w:r w:rsidRPr="00A90D90">
        <w:t>elevant</w:t>
      </w:r>
      <w:proofErr w:type="gramEnd"/>
      <w:r w:rsidRPr="00A90D90">
        <w:t xml:space="preserve"> academic literature—the framework developed in a 1994 paper by Officer is widely recognised as providing the basis for the value of imputation credits in the building block framework.</w:t>
      </w:r>
      <w:r w:rsidRPr="00A90D90">
        <w:rPr>
          <w:rStyle w:val="FootnoteReference"/>
        </w:rPr>
        <w:footnoteReference w:id="50"/>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proofErr w:type="gramStart"/>
      <w:r w:rsidRPr="00423E59">
        <w:t>the</w:t>
      </w:r>
      <w:proofErr w:type="gramEnd"/>
      <w:r w:rsidRPr="00423E59">
        <w:t xml:space="preserve"> utilisation value to investors in the market per dollar of imputation credits distributed </w:t>
      </w:r>
      <w:r w:rsidRPr="00A90D90">
        <w:t>(the utilisation rate).</w:t>
      </w:r>
      <w:r w:rsidRPr="00A90D90">
        <w:rPr>
          <w:rStyle w:val="FootnoteReference"/>
        </w:rPr>
        <w:footnoteReference w:id="51"/>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t>a</w:t>
      </w:r>
      <w:r w:rsidR="00A90D90">
        <w:t xml:space="preserve"> wide range of relevant </w:t>
      </w:r>
      <w:r w:rsidR="00A90D90" w:rsidRPr="00A90D90">
        <w:t xml:space="preserve">evidence—while there is a widely accepted approach to estimating the distribution rate, there is no single accepted approach to estimating the </w:t>
      </w:r>
      <w:r w:rsidR="00A90D90" w:rsidRPr="00A90D90">
        <w:lastRenderedPageBreak/>
        <w:t>utilisation rate and there is a range of evidence relevant to the utilisation rate. This includes:</w:t>
      </w:r>
    </w:p>
    <w:p w14:paraId="6BCEA3D3" w14:textId="77777777" w:rsidR="00A90D90" w:rsidRPr="00A90D90" w:rsidRDefault="00A90D90" w:rsidP="00A90D90">
      <w:pPr>
        <w:pStyle w:val="AERbulletlistsecondstyle"/>
      </w:pPr>
      <w:proofErr w:type="gramStart"/>
      <w:r>
        <w:t>t</w:t>
      </w:r>
      <w:r w:rsidRPr="00A90D90">
        <w:t>he</w:t>
      </w:r>
      <w:proofErr w:type="gramEnd"/>
      <w:r w:rsidRPr="00A90D90">
        <w:t xml:space="preserve"> proportion of Australian equity held by domestic investors (the 'equity ownership approach').</w:t>
      </w:r>
    </w:p>
    <w:p w14:paraId="716FC3A5" w14:textId="77777777" w:rsidR="00A90D90" w:rsidRPr="00A90D90" w:rsidRDefault="00A90D90" w:rsidP="00A90D90">
      <w:pPr>
        <w:pStyle w:val="AERbulletlistsecondstyle"/>
      </w:pPr>
      <w:proofErr w:type="gramStart"/>
      <w:r>
        <w:t>t</w:t>
      </w:r>
      <w:r w:rsidRPr="00A90D90">
        <w:t>he</w:t>
      </w:r>
      <w:proofErr w:type="gramEnd"/>
      <w:r w:rsidRPr="00A90D90">
        <w:t xml:space="preserve"> reported value of credits utilised by investors in Australian Taxation Office (ATO) statistics ('tax statistics').</w:t>
      </w:r>
    </w:p>
    <w:p w14:paraId="67B183A8" w14:textId="77777777" w:rsidR="00A90D90" w:rsidRPr="00A90D90" w:rsidRDefault="00A90D90" w:rsidP="00A90D90">
      <w:pPr>
        <w:pStyle w:val="AERbulletlistsecondstyle"/>
      </w:pPr>
      <w:proofErr w:type="gramStart"/>
      <w:r>
        <w:t>s</w:t>
      </w:r>
      <w:r w:rsidRPr="00A90D90">
        <w:t>tudies</w:t>
      </w:r>
      <w:proofErr w:type="gramEnd"/>
      <w:r w:rsidRPr="00A90D90">
        <w:t xml:space="preserve">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2"/>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t>underlying theory and academic literature</w:t>
      </w:r>
      <w:r w:rsidRPr="00A90D90">
        <w:t>, and</w:t>
      </w:r>
    </w:p>
    <w:p w14:paraId="6E364C77" w14:textId="77777777" w:rsidR="002C233C" w:rsidRDefault="00A90D90" w:rsidP="00A90D90">
      <w:pPr>
        <w:pStyle w:val="AERbulletlistsecondstyle"/>
      </w:pPr>
      <w:proofErr w:type="gramStart"/>
      <w:r>
        <w:t>relevance</w:t>
      </w:r>
      <w:proofErr w:type="gramEnd"/>
      <w:r>
        <w:t xml:space="preserve"> of different estimation techniques, particularly for the utilisation rate.</w:t>
      </w:r>
    </w:p>
    <w:p w14:paraId="34206BF7" w14:textId="77777777" w:rsidR="00DE563D" w:rsidRDefault="00DE563D" w:rsidP="001754EE">
      <w:pPr>
        <w:pStyle w:val="Heading2"/>
      </w:pPr>
      <w:bookmarkStart w:id="27" w:name="_Toc403144140"/>
      <w:bookmarkStart w:id="28" w:name="_Ref414621693"/>
      <w:bookmarkStart w:id="29" w:name="_Ref414621836"/>
      <w:bookmarkStart w:id="30" w:name="_Ref414907434"/>
      <w:bookmarkStart w:id="31" w:name="_Ref415068229"/>
      <w:bookmarkStart w:id="32" w:name="_Ref419298166"/>
      <w:bookmarkStart w:id="33" w:name="_Toc433445539"/>
      <w:r w:rsidRPr="001754EE">
        <w:t>Reasons</w:t>
      </w:r>
      <w:r>
        <w:t xml:space="preserve"> for </w:t>
      </w:r>
      <w:r w:rsidR="002016E7">
        <w:t>final</w:t>
      </w:r>
      <w:r>
        <w:t xml:space="preserve"> decision</w:t>
      </w:r>
      <w:bookmarkEnd w:id="27"/>
      <w:bookmarkEnd w:id="28"/>
      <w:bookmarkEnd w:id="29"/>
      <w:bookmarkEnd w:id="30"/>
      <w:bookmarkEnd w:id="31"/>
      <w:bookmarkEnd w:id="32"/>
      <w:bookmarkEnd w:id="33"/>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proofErr w:type="gramStart"/>
      <w:r>
        <w:t>i</w:t>
      </w:r>
      <w:r w:rsidR="00730504">
        <w:t>t</w:t>
      </w:r>
      <w:proofErr w:type="gramEnd"/>
      <w:r w:rsidR="00730504">
        <w:t xml:space="preserve">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proofErr w:type="gramStart"/>
      <w:r>
        <w:t>i</w:t>
      </w:r>
      <w:r w:rsidR="00730504">
        <w:t>t</w:t>
      </w:r>
      <w:proofErr w:type="gramEnd"/>
      <w:r w:rsidR="00730504">
        <w:t xml:space="preserve">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3"/>
      </w:r>
      <w:r w:rsidR="00730504" w:rsidRPr="00730504">
        <w:t xml:space="preserve"> The equity ownership approach was Lally's second preference after his recommendation for </w:t>
      </w:r>
      <w:proofErr w:type="gramStart"/>
      <w:r w:rsidR="00730504" w:rsidRPr="00730504">
        <w:t>a</w:t>
      </w:r>
      <w:proofErr w:type="gramEnd"/>
      <w:r w:rsidR="00730504" w:rsidRPr="00730504">
        <w:t xml:space="preserve"> utilisation rate of 1.</w:t>
      </w:r>
      <w:r w:rsidR="00730504" w:rsidRPr="00730504">
        <w:rPr>
          <w:rStyle w:val="FootnoteReference"/>
        </w:rPr>
        <w:footnoteReference w:id="54"/>
      </w:r>
    </w:p>
    <w:p w14:paraId="2C8FC9CA" w14:textId="77777777" w:rsidR="00730504" w:rsidRPr="00730504" w:rsidRDefault="00AF1D81" w:rsidP="00730504">
      <w:pPr>
        <w:pStyle w:val="AERbulletlistfirststyle"/>
      </w:pPr>
      <w:proofErr w:type="gramStart"/>
      <w:r>
        <w:lastRenderedPageBreak/>
        <w:t>i</w:t>
      </w:r>
      <w:r w:rsidR="00730504">
        <w:t>t</w:t>
      </w:r>
      <w:proofErr w:type="gramEnd"/>
      <w:r w:rsidR="00730504">
        <w:t xml:space="preserve">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5"/>
      </w:r>
    </w:p>
    <w:p w14:paraId="233D1756" w14:textId="77777777" w:rsidR="00730504" w:rsidRPr="00730504" w:rsidRDefault="00AF1D81" w:rsidP="00730504">
      <w:pPr>
        <w:pStyle w:val="AERbulletlistfirststyle"/>
      </w:pPr>
      <w:proofErr w:type="gramStart"/>
      <w:r>
        <w:t>b</w:t>
      </w:r>
      <w:r w:rsidR="00730504">
        <w:t>ased</w:t>
      </w:r>
      <w:proofErr w:type="gramEnd"/>
      <w:r w:rsidR="00730504">
        <w:t xml:space="preserve">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6"/>
      </w:r>
      <w:r w:rsidR="00730504" w:rsidRPr="00730504">
        <w:t xml:space="preserve"> The imprecision of determining the value of imputation credits was emphasised by Handley.</w:t>
      </w:r>
      <w:r w:rsidR="00730504" w:rsidRPr="00730504">
        <w:rPr>
          <w:rStyle w:val="FootnoteReference"/>
        </w:rPr>
        <w:footnoteReference w:id="57"/>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77777777" w:rsidR="00730504" w:rsidRDefault="00730504" w:rsidP="00730504">
      <w:pPr>
        <w:numPr>
          <w:ilvl w:val="0"/>
          <w:numId w:val="25"/>
        </w:numPr>
      </w:pPr>
      <w:r>
        <w:t>Further to the Guideline approach, in this final decision we consider that:</w:t>
      </w:r>
    </w:p>
    <w:p w14:paraId="1A6095EA" w14:textId="77777777" w:rsidR="00730504" w:rsidRPr="00730504" w:rsidRDefault="00AF1D81" w:rsidP="00730504">
      <w:pPr>
        <w:pStyle w:val="AERbulletlistfirststyle"/>
      </w:pPr>
      <w:proofErr w:type="gramStart"/>
      <w:r>
        <w:t>w</w:t>
      </w:r>
      <w:r w:rsidR="00730504">
        <w:t>e</w:t>
      </w:r>
      <w:proofErr w:type="gramEnd"/>
      <w:r w:rsidR="00730504">
        <w:t xml:space="preserv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1E2164">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proofErr w:type="gramStart"/>
      <w:r>
        <w:t>i</w:t>
      </w:r>
      <w:r w:rsidR="00730504">
        <w:t>t</w:t>
      </w:r>
      <w:proofErr w:type="gramEnd"/>
      <w:r w:rsidR="00730504">
        <w:t xml:space="preserve">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1E2164">
        <w:t>A.9.2</w:t>
      </w:r>
      <w:r w:rsidR="00730504" w:rsidRPr="00730504">
        <w:fldChar w:fldCharType="end"/>
      </w:r>
      <w:r w:rsidR="00730504" w:rsidRPr="00730504">
        <w:t xml:space="preserve"> of appendix A. </w:t>
      </w:r>
    </w:p>
    <w:p w14:paraId="44DFCFC2" w14:textId="6CB6FB37" w:rsidR="00730504" w:rsidRPr="00EB588E" w:rsidRDefault="00730504" w:rsidP="00730504">
      <w:pPr>
        <w:numPr>
          <w:ilvl w:val="0"/>
          <w:numId w:val="25"/>
        </w:numPr>
      </w:pPr>
      <w:r>
        <w:t xml:space="preserve">Recognising these considerations,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8"/>
      </w:r>
      <w:r w:rsidRPr="00EB588E">
        <w:t xml:space="preserve"> These individual sources of evidence allow us to present estimates to </w:t>
      </w:r>
      <w:r w:rsidRPr="00EB588E">
        <w:lastRenderedPageBreak/>
        <w:t>two decimal places. However, we consider it reasonable to determine a value of imputation credits to only one decimal place when determining a single value from across this evidence.</w:t>
      </w:r>
      <w:r w:rsidR="00F21A67">
        <w:t xml:space="preserve"> </w:t>
      </w:r>
    </w:p>
    <w:p w14:paraId="59321772" w14:textId="77777777" w:rsidR="00730504" w:rsidRDefault="00730504" w:rsidP="00730504">
      <w:pPr>
        <w:pStyle w:val="Caption"/>
      </w:pPr>
      <w:bookmarkStart w:id="34" w:name="_Ref400900366"/>
      <w:bookmarkStart w:id="35" w:name="_Ref400900335"/>
      <w:r>
        <w:t xml:space="preserve">Table </w:t>
      </w:r>
      <w:fldSimple w:instr=" STYLEREF 1 \s ">
        <w:r w:rsidR="001E2164">
          <w:rPr>
            <w:noProof/>
          </w:rPr>
          <w:t>4</w:t>
        </w:r>
      </w:fldSimple>
      <w:r w:rsidR="00257FBE">
        <w:noBreakHyphen/>
      </w:r>
      <w:fldSimple w:instr=" SEQ Table \* ARABIC \s 1 ">
        <w:r w:rsidR="001E2164">
          <w:rPr>
            <w:noProof/>
          </w:rPr>
          <w:t>1</w:t>
        </w:r>
      </w:fldSimple>
      <w:bookmarkEnd w:id="34"/>
      <w:r>
        <w:tab/>
        <w:t>Estimates of the value of imputation credits—evidence from all equity</w:t>
      </w:r>
      <w:bookmarkEnd w:id="35"/>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36" w:name="_Ref400900373"/>
    </w:p>
    <w:p w14:paraId="011199F5" w14:textId="77777777" w:rsidR="00730504" w:rsidRDefault="00730504" w:rsidP="00730504">
      <w:pPr>
        <w:pStyle w:val="Caption"/>
      </w:pPr>
      <w:bookmarkStart w:id="37" w:name="_Ref404072148"/>
      <w:r>
        <w:t xml:space="preserve">Table </w:t>
      </w:r>
      <w:fldSimple w:instr=" STYLEREF 1 \s ">
        <w:r w:rsidR="001E2164">
          <w:rPr>
            <w:noProof/>
          </w:rPr>
          <w:t>4</w:t>
        </w:r>
      </w:fldSimple>
      <w:r w:rsidR="00257FBE">
        <w:noBreakHyphen/>
      </w:r>
      <w:fldSimple w:instr=" SEQ Table \* ARABIC \s 1 ">
        <w:r w:rsidR="001E2164">
          <w:rPr>
            <w:noProof/>
          </w:rPr>
          <w:t>2</w:t>
        </w:r>
      </w:fldSimple>
      <w:bookmarkEnd w:id="36"/>
      <w:bookmarkEnd w:id="37"/>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w:t>
      </w:r>
      <w:proofErr w:type="gramStart"/>
      <w:r>
        <w:t>a</w:t>
      </w:r>
      <w:proofErr w:type="gramEnd"/>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1E2164">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9"/>
      </w:r>
      <w:r>
        <w:t xml:space="preserve"> From within this range, we choose a value of 0.4. This is because:</w:t>
      </w:r>
    </w:p>
    <w:p w14:paraId="138D13A9" w14:textId="77777777" w:rsidR="00730504" w:rsidRPr="00730504" w:rsidRDefault="00AF1D81" w:rsidP="00730504">
      <w:pPr>
        <w:pStyle w:val="AERbulletlistfirststyle"/>
      </w:pPr>
      <w:proofErr w:type="gramStart"/>
      <w:r>
        <w:t>t</w:t>
      </w:r>
      <w:r w:rsidR="00730504">
        <w:t>he</w:t>
      </w:r>
      <w:proofErr w:type="gramEnd"/>
      <w:r w:rsidR="00730504">
        <w:t xml:space="preserv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proofErr w:type="gramStart"/>
      <w:r>
        <w:t>t</w:t>
      </w:r>
      <w:r w:rsidR="00730504">
        <w:t>he</w:t>
      </w:r>
      <w:proofErr w:type="gramEnd"/>
      <w:r w:rsidR="00730504">
        <w:t xml:space="preserv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proofErr w:type="gramStart"/>
      <w:r>
        <w:lastRenderedPageBreak/>
        <w:t>t</w:t>
      </w:r>
      <w:r w:rsidR="005C7BE1" w:rsidRPr="005C7BE1">
        <w:t>he</w:t>
      </w:r>
      <w:proofErr w:type="gramEnd"/>
      <w:r w:rsidR="005C7BE1" w:rsidRPr="005C7BE1">
        <w:t xml:space="preserv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w:t>
      </w:r>
      <w:proofErr w:type="gramStart"/>
      <w:r w:rsidR="005C7BE1" w:rsidRPr="005C7BE1">
        <w:t>both higher or</w:t>
      </w:r>
      <w:proofErr w:type="gramEnd"/>
      <w:r w:rsidR="005C7BE1" w:rsidRPr="005C7BE1">
        <w:t xml:space="preserve"> lower than 0.4.</w:t>
      </w:r>
    </w:p>
    <w:p w14:paraId="3F4BF640" w14:textId="77777777" w:rsidR="00730504" w:rsidRDefault="00730504" w:rsidP="00730504">
      <w:pPr>
        <w:numPr>
          <w:ilvl w:val="0"/>
          <w:numId w:val="25"/>
        </w:numPr>
      </w:pPr>
      <w:r>
        <w:t>The reasons for the relative levels of reliance that we place on different types of evidence are set out in this attachment and appendix A.</w:t>
      </w:r>
    </w:p>
    <w:p w14:paraId="6032D9CD" w14:textId="60B955F4" w:rsidR="00730504" w:rsidRPr="00730504" w:rsidRDefault="00730504" w:rsidP="00CB42DF">
      <w:pPr>
        <w:numPr>
          <w:ilvl w:val="0"/>
          <w:numId w:val="25"/>
        </w:numPr>
      </w:pPr>
      <w:r>
        <w:t xml:space="preserve">We therefore do not accept the service providers' proposed value of imputation credits of 0.25, calculated as the product of a distribution rate of 0.7 and </w:t>
      </w:r>
      <w:proofErr w:type="gramStart"/>
      <w:r>
        <w:t>a</w:t>
      </w:r>
      <w:proofErr w:type="gramEnd"/>
      <w:r>
        <w:t xml:space="preserve">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that other classes of evidence are more </w:t>
      </w:r>
      <w:r w:rsidR="00C9626B">
        <w:t>valuable</w:t>
      </w:r>
      <w:r w:rsidRPr="00730504">
        <w:t>.</w:t>
      </w:r>
      <w:r w:rsidRPr="00730504">
        <w:rPr>
          <w:rStyle w:val="FootnoteReference"/>
        </w:rPr>
        <w:footnoteReference w:id="60"/>
      </w:r>
      <w:r w:rsidRPr="00730504">
        <w:t xml:space="preserve"> McKenzie and Partington's report for the Queensland Resources Council suggested that it is reasonable to have regard to other classes of evidence.</w:t>
      </w:r>
      <w:r w:rsidRPr="00730504">
        <w:rPr>
          <w:rStyle w:val="FootnoteReference"/>
        </w:rPr>
        <w:footnoteReference w:id="61"/>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proofErr w:type="gramStart"/>
      <w:r w:rsidR="00792483">
        <w:t>be</w:t>
      </w:r>
      <w:proofErr w:type="gramEnd"/>
      <w:r w:rsidR="00792483">
        <w:t xml:space="preserve"> disregarded entirely.</w:t>
      </w:r>
      <w:r w:rsidR="005170E4">
        <w:rPr>
          <w:rStyle w:val="FootnoteReference"/>
        </w:rPr>
        <w:footnoteReference w:id="62"/>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3"/>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13A4DB90" w:rsidR="002C233C" w:rsidRDefault="00730504" w:rsidP="00730504">
      <w:r>
        <w:lastRenderedPageBreak/>
        <w:t>In sections</w:t>
      </w:r>
      <w:r w:rsidR="008D1665">
        <w:t xml:space="preserve"> </w:t>
      </w:r>
      <w:r w:rsidR="008D1665">
        <w:fldChar w:fldCharType="begin"/>
      </w:r>
      <w:r w:rsidR="008D1665">
        <w:instrText xml:space="preserve"> REF _Ref403482746 \r \h </w:instrText>
      </w:r>
      <w:r w:rsidR="008D1665">
        <w:fldChar w:fldCharType="separate"/>
      </w:r>
      <w:r w:rsidR="001E2164">
        <w:t>4.4.1</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1E2164">
        <w:t>4.4.2</w:t>
      </w:r>
      <w:r w:rsidR="008D1665">
        <w:fldChar w:fldCharType="end"/>
      </w:r>
      <w:r>
        <w:t xml:space="preserve">, we describe the sources of the estimates in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 and we present our assessment of the underlying evidence.</w:t>
      </w:r>
    </w:p>
    <w:p w14:paraId="72DCB178" w14:textId="77777777" w:rsidR="00570EA2" w:rsidRDefault="008D1665" w:rsidP="00215D70">
      <w:pPr>
        <w:pStyle w:val="HeadingBoldItalic"/>
      </w:pPr>
      <w:r>
        <w:t>Responses to key issues raised by stakeholders</w:t>
      </w:r>
    </w:p>
    <w:p w14:paraId="117D9567" w14:textId="5E9F65B1" w:rsidR="00B935D2" w:rsidRDefault="007D7B91" w:rsidP="008D1665">
      <w:r>
        <w:t xml:space="preserve">The issues raised by the service providers are addressed in the relevant sections below and in various sections of appendix A. In section </w:t>
      </w:r>
      <w:r>
        <w:fldChar w:fldCharType="begin"/>
      </w:r>
      <w:r>
        <w:instrText xml:space="preserve"> REF _Ref415070393 \r \h </w:instrText>
      </w:r>
      <w:r>
        <w:fldChar w:fldCharType="separate"/>
      </w:r>
      <w:r w:rsidR="001E2164">
        <w:t>A.4</w:t>
      </w:r>
      <w:r>
        <w:fldChar w:fldCharType="end"/>
      </w:r>
      <w:r>
        <w:t xml:space="preserve"> of appendix A</w:t>
      </w:r>
      <w:r w:rsidR="001943F7">
        <w:t>,</w:t>
      </w:r>
      <w:r>
        <w:t xml:space="preserve"> we identify where in this final 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39C252F0"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AD0AE8">
        <w:t xml:space="preserve">2014 or regulatory decisions released in </w:t>
      </w:r>
      <w:r w:rsidR="00FE2616">
        <w:t xml:space="preserve">April and </w:t>
      </w:r>
      <w:r w:rsidR="00ED0B08">
        <w:t>June</w:t>
      </w:r>
      <w:r w:rsidR="00FE2616">
        <w:t xml:space="preserve"> 2015</w:t>
      </w:r>
      <w:r w:rsidR="007D7B91">
        <w:t>.</w:t>
      </w:r>
    </w:p>
    <w:p w14:paraId="373E9E59" w14:textId="77777777" w:rsidR="008D1665" w:rsidRDefault="00F42728" w:rsidP="008D1665">
      <w:r>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4"/>
      </w:r>
      <w:r w:rsidR="00997F72">
        <w:t xml:space="preserve"> We address this in section </w:t>
      </w:r>
      <w:r w:rsidR="00997F72">
        <w:fldChar w:fldCharType="begin"/>
      </w:r>
      <w:r w:rsidR="00997F72">
        <w:instrText xml:space="preserve"> REF _Ref415070818 \r \h </w:instrText>
      </w:r>
      <w:r w:rsidR="00997F72">
        <w:fldChar w:fldCharType="separate"/>
      </w:r>
      <w:r w:rsidR="001E2164">
        <w:t>4.3.4</w:t>
      </w:r>
      <w:r w:rsidR="00997F72">
        <w:fldChar w:fldCharType="end"/>
      </w:r>
      <w:r w:rsidR="00997F72">
        <w:t>.</w:t>
      </w:r>
    </w:p>
    <w:p w14:paraId="5378884D" w14:textId="77777777" w:rsidR="005401BC" w:rsidRPr="005401BC" w:rsidRDefault="005401BC" w:rsidP="005401BC">
      <w:pPr>
        <w:pStyle w:val="AERbulletlistfirststyle"/>
      </w:pPr>
      <w:r>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5"/>
      </w:r>
      <w:r w:rsidRPr="005401BC">
        <w:t xml:space="preserve"> We agree with these comments in light of the Tribunal's finding that:</w:t>
      </w:r>
      <w:r w:rsidRPr="005401BC">
        <w:rPr>
          <w:rStyle w:val="FootnoteReference"/>
        </w:rPr>
        <w:footnoteReference w:id="66"/>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7"/>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t xml:space="preserve">efficient </w:t>
      </w:r>
      <w:r w:rsidRPr="005B539D">
        <w:t xml:space="preserve">entity for setting the </w:t>
      </w:r>
      <w:r>
        <w:t>rate of return</w:t>
      </w:r>
      <w:r w:rsidRPr="005B539D">
        <w:t>).</w:t>
      </w:r>
      <w:r>
        <w:rPr>
          <w:rStyle w:val="FootnoteReference"/>
        </w:rPr>
        <w:footnoteReference w:id="68"/>
      </w:r>
      <w:r>
        <w:t xml:space="preserve"> </w:t>
      </w:r>
      <w:r w:rsidR="001B6BD3">
        <w:t xml:space="preserve">The EMRF also submitted that we should </w:t>
      </w:r>
      <w:r w:rsidR="001B6BD3">
        <w:lastRenderedPageBreak/>
        <w:t>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69"/>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70"/>
      </w:r>
    </w:p>
    <w:p w14:paraId="0EAD4D6A" w14:textId="71E546CC" w:rsidR="0034249A" w:rsidRDefault="0034249A" w:rsidP="005B539D">
      <w:pPr>
        <w:pStyle w:val="AERbulletlistfirststyle"/>
      </w:pPr>
      <w:r>
        <w:t xml:space="preserve">The South Australian Council of Social Service (SACOSS) submitted, based on advice received from the South Australian Centre for Economic </w:t>
      </w:r>
      <w:proofErr w:type="gramStart"/>
      <w:r>
        <w:t>Studies, that</w:t>
      </w:r>
      <w:proofErr w:type="gramEnd"/>
      <w:r>
        <w:t xml:space="preserve"> evidence was emerging for a value of imputation credits lower than the 0.5 in the Guideline.</w:t>
      </w:r>
      <w:r w:rsidR="00B36753">
        <w:rPr>
          <w:rStyle w:val="FootnoteReference"/>
        </w:rPr>
        <w:footnoteReference w:id="71"/>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w:t>
      </w:r>
      <w:r w:rsidR="003E6B36">
        <w:t xml:space="preserve">for SA Power Networks </w:t>
      </w:r>
      <w:r w:rsidR="00852196">
        <w:t xml:space="preserve">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2"/>
      </w:r>
    </w:p>
    <w:p w14:paraId="297F8924" w14:textId="7409ECA7" w:rsidR="00F17B34" w:rsidRDefault="00F17B34" w:rsidP="00F17B34">
      <w:pPr>
        <w:pStyle w:val="AERbulletlistfirststyle"/>
      </w:pPr>
      <w:r>
        <w:t xml:space="preserve">The Energy Consumers Coalition of South Australia </w:t>
      </w:r>
      <w:r w:rsidR="00780A03">
        <w:t xml:space="preserve">(ECCSA)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3"/>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4"/>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would be a value of imputation credits of 0.5 as per the Guideline.</w:t>
      </w:r>
      <w:r w:rsidR="0014196F">
        <w:rPr>
          <w:rStyle w:val="FootnoteReference"/>
        </w:rPr>
        <w:footnoteReference w:id="75"/>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lastRenderedPageBreak/>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6"/>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338142CA" w14:textId="683847E2" w:rsidR="00B239C6" w:rsidRDefault="00B239C6" w:rsidP="0044559A">
      <w:pPr>
        <w:pStyle w:val="AERbulletlistfirststyle"/>
      </w:pPr>
      <w:r>
        <w:t>UnitingCare Australia supported our value for gamma, if a value for gamma is necessary.</w:t>
      </w:r>
      <w:r>
        <w:rPr>
          <w:rStyle w:val="FootnoteReference"/>
        </w:rPr>
        <w:footnoteReference w:id="77"/>
      </w:r>
    </w:p>
    <w:p w14:paraId="75D376B4" w14:textId="77777777" w:rsidR="009B2ABF" w:rsidRPr="009B2ABF" w:rsidRDefault="009B2ABF" w:rsidP="00FD5BE7">
      <w:pPr>
        <w:pStyle w:val="Heading3"/>
      </w:pPr>
      <w:bookmarkStart w:id="38" w:name="_Ref403482746"/>
      <w:r>
        <w:t xml:space="preserve">The </w:t>
      </w:r>
      <w:r w:rsidRPr="00FD5BE7">
        <w:t>distribution</w:t>
      </w:r>
      <w:r>
        <w:t xml:space="preserve"> rate</w:t>
      </w:r>
      <w:bookmarkEnd w:id="38"/>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8"/>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414731F9"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79"/>
      </w:r>
      <w:r>
        <w:t xml:space="preserve"> Using this approach, NERA estimated a distribution rate across all equity of 0.7 for the period 1987 to 2011.</w:t>
      </w:r>
      <w:r>
        <w:rPr>
          <w:rStyle w:val="FootnoteReference"/>
        </w:rPr>
        <w:footnoteReference w:id="80"/>
      </w:r>
      <w:r>
        <w:t xml:space="preserve"> Hathaway found a similar estimate for the period 2004 to 2011.</w:t>
      </w:r>
      <w:r>
        <w:rPr>
          <w:rStyle w:val="FootnoteReference"/>
        </w:rPr>
        <w:footnoteReference w:id="81"/>
      </w:r>
      <w:r>
        <w:t xml:space="preserve"> </w:t>
      </w:r>
      <w:r w:rsidR="00D15210">
        <w:t>We relied on these estimates in the Guideline and the draft decision</w:t>
      </w:r>
      <w:r w:rsidR="00615E45">
        <w:t>s</w:t>
      </w:r>
      <w:r w:rsidR="003E6B36">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2"/>
      </w:r>
    </w:p>
    <w:p w14:paraId="761112AD" w14:textId="77777777" w:rsidR="009B2ABF" w:rsidRDefault="009B2ABF" w:rsidP="009B2ABF">
      <w:pPr>
        <w:numPr>
          <w:ilvl w:val="0"/>
          <w:numId w:val="25"/>
        </w:numPr>
      </w:pPr>
      <w:r>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lastRenderedPageBreak/>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3"/>
      </w:r>
      <w:r w:rsidR="000F0BB8">
        <w:t xml:space="preserve"> and</w:t>
      </w:r>
    </w:p>
    <w:p w14:paraId="45CC2FE1" w14:textId="77777777" w:rsidR="000F0BB8" w:rsidRPr="009B2ABF" w:rsidRDefault="000F0BB8" w:rsidP="000F0BB8">
      <w:pPr>
        <w:pStyle w:val="AERbulletlistfirststyle"/>
      </w:pPr>
      <w:proofErr w:type="gramStart"/>
      <w:r>
        <w:t>is</w:t>
      </w:r>
      <w:proofErr w:type="gramEnd"/>
      <w:r>
        <w:t xml:space="preserve"> simple and intuitive.</w:t>
      </w:r>
    </w:p>
    <w:p w14:paraId="4555B2AA" w14:textId="6354FE90" w:rsidR="00090E98" w:rsidRDefault="009B2ABF" w:rsidP="009B2ABF">
      <w:pPr>
        <w:numPr>
          <w:ilvl w:val="0"/>
          <w:numId w:val="25"/>
        </w:numPr>
      </w:pPr>
      <w:r>
        <w:t xml:space="preserve">Also using this approach, Handley estimated a distribution rate across </w:t>
      </w:r>
      <w:r w:rsidR="001C274C">
        <w:t>only listed equity</w:t>
      </w:r>
      <w:r>
        <w:t xml:space="preserve"> of 0.8 for the period 1987 to 2011.</w:t>
      </w:r>
      <w:r>
        <w:rPr>
          <w:rStyle w:val="FootnoteReference"/>
        </w:rPr>
        <w:footnoteReference w:id="84"/>
      </w:r>
      <w:r>
        <w:t xml:space="preserve"> </w:t>
      </w:r>
      <w:r w:rsidR="00090E98">
        <w:t>We found a similar estimate</w:t>
      </w:r>
      <w:r w:rsidR="00CE7F4B">
        <w:t xml:space="preserve"> for the period 2004 to 2011.</w:t>
      </w:r>
      <w:r w:rsidR="00AE0135">
        <w:rPr>
          <w:rStyle w:val="FootnoteReference"/>
        </w:rPr>
        <w:footnoteReference w:id="85"/>
      </w:r>
      <w:r w:rsidR="00CE7F4B">
        <w:t xml:space="preserve"> </w:t>
      </w:r>
      <w:r w:rsidR="00D15210">
        <w:t xml:space="preserve">We relied on these estimates in the </w:t>
      </w:r>
      <w:r w:rsidR="0060605B">
        <w:t>preliminary</w:t>
      </w:r>
      <w:r w:rsidR="00D15210">
        <w:t xml:space="preserve"> decision.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6"/>
      </w:r>
      <w:r w:rsidR="00090E98">
        <w:t xml:space="preserve"> With regard to this updated analysis, in this final decision we use an estimate of the distribution rate over only listed equity of 0.77</w:t>
      </w:r>
      <w:r w:rsidR="003E6B36">
        <w:t>, consistent with the value used on our June 2015 decision for JGN</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1E2164">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7"/>
      </w:r>
      <w:r w:rsidRPr="00CE7F4B">
        <w:t xml:space="preserve"> We disagr</w:t>
      </w:r>
      <w:r>
        <w:t xml:space="preserve">ee and set out our reasons in section </w:t>
      </w:r>
      <w:r>
        <w:fldChar w:fldCharType="begin"/>
      </w:r>
      <w:r>
        <w:instrText xml:space="preserve"> REF _Ref414289334 \r \h </w:instrText>
      </w:r>
      <w:r>
        <w:fldChar w:fldCharType="separate"/>
      </w:r>
      <w:r w:rsidR="001E2164">
        <w:t>A.10.1</w:t>
      </w:r>
      <w:r>
        <w:fldChar w:fldCharType="end"/>
      </w:r>
      <w:r>
        <w:t xml:space="preserve"> of appendix A</w:t>
      </w:r>
      <w:r w:rsidRPr="00CE7F4B">
        <w:t>.</w:t>
      </w:r>
    </w:p>
    <w:p w14:paraId="15435718" w14:textId="77777777" w:rsidR="00FE182A" w:rsidRDefault="00FE182A" w:rsidP="001754EE">
      <w:pPr>
        <w:pStyle w:val="Heading3"/>
      </w:pPr>
      <w:bookmarkStart w:id="39" w:name="_Ref414289593"/>
      <w:r>
        <w:lastRenderedPageBreak/>
        <w:t>The utilisation rate</w:t>
      </w:r>
      <w:bookmarkEnd w:id="39"/>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8"/>
      </w:r>
      <w:r>
        <w:t xml:space="preserve"> </w:t>
      </w:r>
      <w:r w:rsidRPr="00EB5361">
        <w:t xml:space="preserve">Therefore, we consider that eligible investors have </w:t>
      </w:r>
      <w:proofErr w:type="gramStart"/>
      <w:r w:rsidRPr="00EB5361">
        <w:t>a</w:t>
      </w:r>
      <w:proofErr w:type="gramEnd"/>
      <w:r w:rsidRPr="00EB5361">
        <w:t xml:space="preserve"> utilisation rate of 1. Conversely, ‘ineligible’ investors cannot </w:t>
      </w:r>
      <w:r>
        <w:t>utilise</w:t>
      </w:r>
      <w:r w:rsidRPr="00EB5361">
        <w:t xml:space="preserve"> imputation credits and have </w:t>
      </w:r>
      <w:proofErr w:type="gramStart"/>
      <w:r w:rsidRPr="00EB5361">
        <w:t>a</w:t>
      </w:r>
      <w:proofErr w:type="gramEnd"/>
      <w:r w:rsidRPr="00EB5361">
        <w:t xml:space="preserve">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1E2164">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1E2164">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proofErr w:type="gramStart"/>
      <w:r>
        <w:t>less</w:t>
      </w:r>
      <w:proofErr w:type="gramEnd"/>
      <w:r>
        <w:t xml:space="preserve"> </w:t>
      </w:r>
      <w:r w:rsidRPr="008D1665">
        <w:t>reliance upon implied market value studies.</w:t>
      </w:r>
    </w:p>
    <w:p w14:paraId="7E3FC1EA" w14:textId="24208B47" w:rsidR="008D1665" w:rsidRDefault="008D1665" w:rsidP="008D1665">
      <w:pPr>
        <w:numPr>
          <w:ilvl w:val="0"/>
          <w:numId w:val="25"/>
        </w:numPr>
      </w:pPr>
      <w:r>
        <w:t xml:space="preserve">The results from those classes of evidence on which we place reliance are summarised in </w:t>
      </w:r>
      <w:r>
        <w:fldChar w:fldCharType="begin"/>
      </w:r>
      <w:r>
        <w:instrText xml:space="preserve"> REF  _Ref400900366 \* Lower \h </w:instrText>
      </w:r>
      <w:r>
        <w:fldChar w:fldCharType="separate"/>
      </w:r>
      <w:r w:rsidR="001E2164">
        <w:t xml:space="preserve">table </w:t>
      </w:r>
      <w:r w:rsidR="001E2164">
        <w:rPr>
          <w:noProof/>
        </w:rPr>
        <w:t>4</w:t>
      </w:r>
      <w:r w:rsidR="001E2164">
        <w:noBreakHyphen/>
      </w:r>
      <w:r w:rsidR="001E2164">
        <w:rPr>
          <w:noProof/>
        </w:rPr>
        <w:t>1</w:t>
      </w:r>
      <w:r>
        <w:fldChar w:fldCharType="end"/>
      </w:r>
      <w:r>
        <w:t xml:space="preserve"> and </w:t>
      </w:r>
      <w:r>
        <w:fldChar w:fldCharType="begin"/>
      </w:r>
      <w:r>
        <w:instrText xml:space="preserve"> REF  _Ref404072148 \* Lower \h </w:instrText>
      </w:r>
      <w:r>
        <w:fldChar w:fldCharType="separate"/>
      </w:r>
      <w:r w:rsidR="001E2164">
        <w:t xml:space="preserve">table </w:t>
      </w:r>
      <w:r w:rsidR="001E2164">
        <w:rPr>
          <w:noProof/>
        </w:rPr>
        <w:t>4</w:t>
      </w:r>
      <w:r w:rsidR="001E2164">
        <w:noBreakHyphen/>
      </w:r>
      <w:r w:rsidR="001E2164">
        <w:rPr>
          <w:noProof/>
        </w:rPr>
        <w:t>2</w:t>
      </w:r>
      <w:r>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89"/>
      </w:r>
      <w:r>
        <w:t xml:space="preserve"> We discuss each approach in the sections below.</w:t>
      </w:r>
      <w:r>
        <w:rPr>
          <w:rStyle w:val="FootnoteReference"/>
        </w:rPr>
        <w:footnoteReference w:id="90"/>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1E2164">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discussed above, we consider that </w:t>
      </w:r>
      <w:r w:rsidRPr="00EB5361">
        <w:t xml:space="preserve">eligible investors have </w:t>
      </w:r>
      <w:proofErr w:type="gramStart"/>
      <w:r w:rsidRPr="00EB5361">
        <w:t>a</w:t>
      </w:r>
      <w:proofErr w:type="gramEnd"/>
      <w:r w:rsidRPr="00EB5361">
        <w:t xml:space="preserve">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 xml:space="preserve">the 'equity </w:t>
      </w:r>
      <w:r>
        <w:lastRenderedPageBreak/>
        <w:t>ownership approach', and we use data from the National Accounts of the Australian Bureau of Statistics (ABS) to estimate the domestic ownership share.</w:t>
      </w:r>
      <w:r>
        <w:rPr>
          <w:rStyle w:val="FootnoteReference"/>
        </w:rPr>
        <w:footnoteReference w:id="91"/>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proofErr w:type="gramStart"/>
      <w:r>
        <w:t>it</w:t>
      </w:r>
      <w:proofErr w:type="gramEnd"/>
      <w:r>
        <w:t xml:space="preserve">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1E2164">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w:t>
      </w:r>
      <w:proofErr w:type="gramStart"/>
      <w:r w:rsidRPr="001D4E2C">
        <w:t>and</w:t>
      </w:r>
      <w:proofErr w:type="gramEnd"/>
      <w:r w:rsidRPr="001D4E2C">
        <w:t xml:space="preserve"> </w:t>
      </w:r>
      <w:r w:rsidR="00647254">
        <w:t>0.5</w:t>
      </w:r>
      <w:r w:rsidR="00C66D02">
        <w:t>5</w:t>
      </w:r>
      <w:r w:rsidRPr="001D4E2C">
        <w:t>, if only listed equity is considered.</w:t>
      </w:r>
    </w:p>
    <w:p w14:paraId="16FEE422" w14:textId="77777777" w:rsidR="008D1665" w:rsidRDefault="0027049E" w:rsidP="008D1665">
      <w:pPr>
        <w:numPr>
          <w:ilvl w:val="0"/>
          <w:numId w:val="25"/>
        </w:numPr>
      </w:pPr>
      <w:r>
        <w:t>This differs from the Guideline. I</w:t>
      </w:r>
      <w:r w:rsidR="008D1665">
        <w:t>n</w:t>
      </w:r>
      <w:r>
        <w:t xml:space="preserve"> the Guideline,</w:t>
      </w:r>
      <w:r w:rsidR="008D1665">
        <w:t xml:space="preserve"> we considered that the equity ownership approach supported </w:t>
      </w:r>
      <w:proofErr w:type="gramStart"/>
      <w:r w:rsidR="008D1665">
        <w:t>a</w:t>
      </w:r>
      <w:proofErr w:type="gramEnd"/>
      <w:r w:rsidR="008D1665">
        <w:t xml:space="preserve">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1E2164">
        <w:t>A.12</w:t>
      </w:r>
      <w:r w:rsidR="00F30705">
        <w:fldChar w:fldCharType="end"/>
      </w:r>
      <w:r w:rsidR="00F30705">
        <w:t xml:space="preserve"> </w:t>
      </w:r>
      <w:r w:rsidR="008D1665">
        <w:t>of appendix A.</w:t>
      </w:r>
    </w:p>
    <w:p w14:paraId="4B82A5D2" w14:textId="77777777" w:rsidR="008D1665" w:rsidRPr="004E1702" w:rsidRDefault="008D1665" w:rsidP="008D1665">
      <w:pPr>
        <w:pStyle w:val="HeadingBoldItalic"/>
        <w:numPr>
          <w:ilvl w:val="0"/>
          <w:numId w:val="25"/>
        </w:numPr>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w:t>
      </w:r>
      <w:proofErr w:type="gramStart"/>
      <w:r w:rsidR="008D1665">
        <w:t>approach, and other measures of the utilisation or redemption of imputation credits, do</w:t>
      </w:r>
      <w:proofErr w:type="gramEnd"/>
      <w:r w:rsidR="008D1665">
        <w:t xml:space="preserve"> not reflect a number of factors which affect investors' valuation of imputation credits.</w:t>
      </w:r>
      <w:r w:rsidR="008D1665">
        <w:rPr>
          <w:rStyle w:val="FootnoteReference"/>
        </w:rPr>
        <w:footnoteReference w:id="92"/>
      </w:r>
      <w:r w:rsidR="008D1665">
        <w:t xml:space="preserve"> We have received advice from Handley on these factors, and our responses are set out in detail in section </w:t>
      </w:r>
      <w:r w:rsidR="00E478F1">
        <w:fldChar w:fldCharType="begin"/>
      </w:r>
      <w:r w:rsidR="00E478F1">
        <w:instrText xml:space="preserve"> REF _Ref414099389 \r \h </w:instrText>
      </w:r>
      <w:r w:rsidR="00E478F1">
        <w:fldChar w:fldCharType="separate"/>
      </w:r>
      <w:r w:rsidR="001E2164">
        <w:t>A.8.2</w:t>
      </w:r>
      <w:r w:rsidR="00E478F1">
        <w:fldChar w:fldCharType="end"/>
      </w:r>
      <w:r w:rsidR="00E478F1">
        <w:t xml:space="preserve"> </w:t>
      </w:r>
      <w:r w:rsidR="008D1665">
        <w:t xml:space="preserve">of </w:t>
      </w:r>
      <w:r w:rsidR="008D1665">
        <w:lastRenderedPageBreak/>
        <w:t>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8D1665">
      <w:pPr>
        <w:pStyle w:val="HeadingBoldBlue"/>
      </w:pPr>
      <w:r>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3"/>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5C2EAD4D"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4"/>
      </w:r>
      <w:r>
        <w:t xml:space="preserve"> Lally considered that the tax statistics approach lacks precision, and he did not prefer it to the equity ownership approach.</w:t>
      </w:r>
      <w:r>
        <w:rPr>
          <w:rStyle w:val="FootnoteReference"/>
        </w:rPr>
        <w:footnoteReference w:id="95"/>
      </w:r>
      <w:r>
        <w:t xml:space="preserve">  However, Lally still preferred tax statistics to implied market value studies.</w:t>
      </w:r>
      <w:r w:rsidR="002C640C">
        <w:rPr>
          <w:rStyle w:val="FootnoteReference"/>
        </w:rPr>
        <w:footnoteReference w:id="96"/>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7"/>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t xml:space="preserve">They might not reflect the </w:t>
      </w:r>
      <w:r w:rsidRPr="008D1665">
        <w:t>amount of credits refunded to certain types of entities.</w:t>
      </w:r>
      <w:r w:rsidRPr="008D1665">
        <w:rPr>
          <w:rStyle w:val="FootnoteReference"/>
        </w:rPr>
        <w:footnoteReference w:id="98"/>
      </w:r>
      <w:r w:rsidRPr="008D1665">
        <w:t xml:space="preserve"> </w:t>
      </w:r>
    </w:p>
    <w:p w14:paraId="3CACE561" w14:textId="77777777" w:rsidR="001F6A3E" w:rsidRDefault="008D1665" w:rsidP="001F6A3E">
      <w:pPr>
        <w:pStyle w:val="AERbulletlistfirststyle"/>
      </w:pPr>
      <w:r>
        <w:lastRenderedPageBreak/>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99"/>
      </w:r>
      <w:r w:rsidR="00846525">
        <w:t xml:space="preserve"> </w:t>
      </w:r>
    </w:p>
    <w:p w14:paraId="4FE89234" w14:textId="0BDAACBD" w:rsidR="008D1665" w:rsidRDefault="008D1665" w:rsidP="008D1665">
      <w:pPr>
        <w:numPr>
          <w:ilvl w:val="0"/>
          <w:numId w:val="25"/>
        </w:numPr>
      </w:pPr>
      <w:r>
        <w:t xml:space="preserve">With regard to Hathaway's analysis, </w:t>
      </w:r>
      <w:r w:rsidR="00310914">
        <w:t xml:space="preserve">in the draft decision </w:t>
      </w:r>
      <w:r w:rsidR="003E6B36">
        <w:t xml:space="preserve">released in 2014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100"/>
      </w:r>
      <w:r>
        <w:t xml:space="preserve"> However, </w:t>
      </w:r>
      <w:r w:rsidR="00310914">
        <w:t>we also recognised in the draft decision</w:t>
      </w:r>
      <w:r w:rsidR="003E6B36">
        <w:t>s</w:t>
      </w:r>
      <w:r w:rsidR="00310914">
        <w:t xml:space="preserve"> that </w:t>
      </w:r>
      <w:r>
        <w:t>our estimate of the distribution rate</w:t>
      </w:r>
      <w:r w:rsidR="00310914">
        <w:t xml:space="preserve"> (0.7)</w:t>
      </w:r>
      <w:r>
        <w:t xml:space="preserve"> implie</w:t>
      </w:r>
      <w:r w:rsidR="00310914">
        <w:t>d</w:t>
      </w:r>
      <w:r>
        <w:t xml:space="preserve"> that we should adopt </w:t>
      </w:r>
      <w:proofErr w:type="gramStart"/>
      <w:r>
        <w:t>a</w:t>
      </w:r>
      <w:proofErr w:type="gramEnd"/>
      <w:r>
        <w:t xml:space="preserve">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1"/>
      </w:r>
      <w:r w:rsidRPr="008D1665">
        <w:t xml:space="preserve"> and</w:t>
      </w:r>
    </w:p>
    <w:p w14:paraId="436FEAEC" w14:textId="77777777" w:rsidR="008D1665" w:rsidRPr="008D1665" w:rsidRDefault="008D1665" w:rsidP="008D1665">
      <w:pPr>
        <w:pStyle w:val="AERbulletlistfirststyle"/>
      </w:pPr>
      <w:proofErr w:type="gramStart"/>
      <w:r>
        <w:t>c</w:t>
      </w:r>
      <w:r w:rsidRPr="008D1665">
        <w:t>onsistent</w:t>
      </w:r>
      <w:proofErr w:type="gramEnd"/>
      <w:r w:rsidRPr="008D1665">
        <w:t xml:space="preserve"> with our estimates of the distribution rate.</w:t>
      </w:r>
    </w:p>
    <w:p w14:paraId="379436CD" w14:textId="77777777" w:rsidR="00384981" w:rsidRDefault="00384981" w:rsidP="008D1665">
      <w:pPr>
        <w:numPr>
          <w:ilvl w:val="0"/>
          <w:numId w:val="25"/>
        </w:numPr>
      </w:pPr>
      <w:r>
        <w:t xml:space="preserve">In this final decision we </w:t>
      </w:r>
      <w:r w:rsidR="00340B37">
        <w:t>have regard to</w:t>
      </w:r>
      <w:r>
        <w:t xml:space="preserve"> NERA's updated analysis of the ATO data to the 2012 tax year.</w:t>
      </w:r>
      <w:r>
        <w:rPr>
          <w:rStyle w:val="FootnoteReference"/>
        </w:rPr>
        <w:footnoteReference w:id="102"/>
      </w:r>
      <w:r>
        <w:t xml:space="preserve"> This analysis supports a distribution rate of 0.7 and </w:t>
      </w:r>
      <w:proofErr w:type="gramStart"/>
      <w:r>
        <w:t>a</w:t>
      </w:r>
      <w:proofErr w:type="gramEnd"/>
      <w:r>
        <w:t xml:space="preserve">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1E2164">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3"/>
      </w:r>
      <w:r>
        <w:t xml:space="preserve"> We have received advice from Handley on these 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1E2164">
        <w:t>A.8.2</w:t>
      </w:r>
      <w:r w:rsidR="00311850">
        <w:fldChar w:fldCharType="end"/>
      </w:r>
      <w:r w:rsidR="00311850">
        <w:t xml:space="preserve"> </w:t>
      </w:r>
      <w:r w:rsidRPr="00132F9A">
        <w:t xml:space="preserve">of </w:t>
      </w:r>
      <w:r>
        <w:t xml:space="preserve">appendix A. In summary, </w:t>
      </w:r>
      <w:r>
        <w:lastRenderedPageBreak/>
        <w:t>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w:t>
      </w:r>
      <w:proofErr w:type="gramStart"/>
      <w:r>
        <w:t>A common type of implied market value study are</w:t>
      </w:r>
      <w:proofErr w:type="gramEnd"/>
      <w:r>
        <w:t xml:space="preserv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1E2164">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4"/>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5"/>
      </w:r>
    </w:p>
    <w:p w14:paraId="221C252F" w14:textId="77777777" w:rsidR="008D1665" w:rsidRDefault="00371865" w:rsidP="008D1665">
      <w:pPr>
        <w:numPr>
          <w:ilvl w:val="0"/>
          <w:numId w:val="25"/>
        </w:numPr>
      </w:pPr>
      <w:r>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from the value to the market of imputation credits (this is referred to as the 'allocation problem').</w:t>
      </w:r>
    </w:p>
    <w:p w14:paraId="2994636E" w14:textId="77777777" w:rsidR="008D1665" w:rsidRDefault="008D1665" w:rsidP="008D1665">
      <w:pPr>
        <w:numPr>
          <w:ilvl w:val="0"/>
          <w:numId w:val="25"/>
        </w:numPr>
      </w:pPr>
      <w:r>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1E2164">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lastRenderedPageBreak/>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1E2164">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6"/>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7"/>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8"/>
      </w:r>
      <w:r w:rsidR="00725A26">
        <w:t xml:space="preserve"> Lally also raised a number of issues in relation to SFG</w:t>
      </w:r>
      <w:r w:rsidR="00EB4959">
        <w:t>'s</w:t>
      </w:r>
      <w:r w:rsidR="00725A26">
        <w:t xml:space="preserve"> dividend drop off study.</w:t>
      </w:r>
      <w:r w:rsidR="00725A26">
        <w:rPr>
          <w:rStyle w:val="FootnoteReference"/>
        </w:rPr>
        <w:footnoteReference w:id="109"/>
      </w:r>
    </w:p>
    <w:p w14:paraId="44130F23" w14:textId="77777777" w:rsidR="008D1665" w:rsidRDefault="008D1665" w:rsidP="008D1665">
      <w:pPr>
        <w:pStyle w:val="AERbulletlistfirststyle"/>
      </w:pPr>
      <w:r>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10"/>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1"/>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suggest 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these studies' results for</w:t>
      </w:r>
      <w:r>
        <w:t xml:space="preserve"> investors' valuation of imputation credits. Handley and Lally advised that the </w:t>
      </w:r>
      <w:r>
        <w:lastRenderedPageBreak/>
        <w:t>desired estimate of the utilisation rate should exclude the effect of these factors.</w:t>
      </w:r>
      <w:r w:rsidR="00984362">
        <w:rPr>
          <w:rStyle w:val="FootnoteReference"/>
        </w:rPr>
        <w:footnoteReference w:id="112"/>
      </w:r>
      <w:r>
        <w:t xml:space="preserve"> To remove the effect, they advised that the estimate of the utilisation rate from a given study can be divided by investors' estimated valuation of dividends from the same study.</w:t>
      </w:r>
      <w:r>
        <w:rPr>
          <w:rStyle w:val="FootnoteReference"/>
        </w:rPr>
        <w:footnoteReference w:id="113"/>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4"/>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w:t>
      </w:r>
      <w:r w:rsidR="000637AF" w:rsidRPr="0060266A">
        <w:rPr>
          <w:rStyle w:val="AERbody"/>
        </w:rPr>
        <w:lastRenderedPageBreak/>
        <w:t xml:space="preserve">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proofErr w:type="gramStart"/>
      <w:r>
        <w:t>appeared</w:t>
      </w:r>
      <w:proofErr w:type="gramEnd"/>
      <w:r>
        <w:t xml:space="preserve"> to use more reasonable and robust econometric treatments.</w:t>
      </w:r>
    </w:p>
    <w:p w14:paraId="64C16D00" w14:textId="6DB8F068" w:rsidR="002030C9" w:rsidRDefault="00EF7EC0" w:rsidP="008D1665">
      <w:pPr>
        <w:numPr>
          <w:ilvl w:val="0"/>
          <w:numId w:val="25"/>
        </w:numPr>
      </w:pPr>
      <w:r>
        <w:t xml:space="preserve">However, in this final 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5"/>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6"/>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7"/>
      </w:r>
      <w:r w:rsidR="00313C79">
        <w:t xml:space="preserve"> </w:t>
      </w:r>
    </w:p>
    <w:p w14:paraId="6B7F820C" w14:textId="6AEBAD54" w:rsidR="002030C9" w:rsidRDefault="002030C9" w:rsidP="008D1665">
      <w:pPr>
        <w:numPr>
          <w:ilvl w:val="0"/>
          <w:numId w:val="25"/>
        </w:numPr>
      </w:pPr>
      <w:r>
        <w:t>Ultimate</w:t>
      </w:r>
      <w:r w:rsidR="00367EDE">
        <w:t xml:space="preserve">ly, as discussed in section </w:t>
      </w:r>
      <w:r w:rsidR="003663DE">
        <w:fldChar w:fldCharType="begin"/>
      </w:r>
      <w:r w:rsidR="003663DE">
        <w:instrText xml:space="preserve"> REF _Ref414907434 \r \h </w:instrText>
      </w:r>
      <w:r w:rsidR="003663DE">
        <w:fldChar w:fldCharType="separate"/>
      </w:r>
      <w:r w:rsidR="001E2164">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8"/>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t>Responses to key issues raised by stakeholders</w:t>
      </w:r>
    </w:p>
    <w:p w14:paraId="27ED6A90" w14:textId="6E6570C4" w:rsidR="006E1716" w:rsidRDefault="006E1716" w:rsidP="008D1665">
      <w:pPr>
        <w:numPr>
          <w:ilvl w:val="0"/>
          <w:numId w:val="25"/>
        </w:numPr>
      </w:pPr>
      <w:r>
        <w:t xml:space="preserve">The </w:t>
      </w:r>
      <w:r w:rsidR="00510DA0">
        <w:t xml:space="preserve">majority of </w:t>
      </w:r>
      <w:r>
        <w:t>service providers submitted that implied market value studies are direct evidence on the value of imputation credits to investors, and that this value will reflect the transactions costs or other personal costs incurred in redeeming credits.</w:t>
      </w:r>
      <w:r>
        <w:rPr>
          <w:rStyle w:val="FootnoteReference"/>
        </w:rPr>
        <w:footnoteReference w:id="119"/>
      </w:r>
      <w:r>
        <w:t xml:space="preserve"> </w:t>
      </w:r>
      <w:r w:rsidR="000D5ED8">
        <w:t>However</w:t>
      </w:r>
      <w:r>
        <w:t xml:space="preserve">, we </w:t>
      </w:r>
      <w:r>
        <w:lastRenderedPageBreak/>
        <w:t>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1E2164">
        <w:t>A.5</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1E2164">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1E2164">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1E2164">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Rules.</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20"/>
      </w:r>
    </w:p>
    <w:p w14:paraId="0C348843" w14:textId="3B5021F4" w:rsidR="006E1716" w:rsidRDefault="006B6E4A" w:rsidP="006E1716">
      <w:pPr>
        <w:pStyle w:val="AERbulletlistfirststyle"/>
      </w:pPr>
      <w:r>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1"/>
      </w:r>
      <w:r>
        <w:t xml:space="preserve"> and</w:t>
      </w:r>
    </w:p>
    <w:p w14:paraId="565C25F7" w14:textId="211E2783" w:rsidR="00C20980" w:rsidRDefault="006B6E4A" w:rsidP="006E1716">
      <w:pPr>
        <w:pStyle w:val="AERbulletlistfirststyle"/>
      </w:pPr>
      <w:proofErr w:type="gramStart"/>
      <w:r>
        <w:t>s</w:t>
      </w:r>
      <w:r w:rsidR="00C20980">
        <w:t>everal</w:t>
      </w:r>
      <w:proofErr w:type="gramEnd"/>
      <w:r w:rsidR="00C20980">
        <w:t xml:space="preserve">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2"/>
      </w:r>
    </w:p>
    <w:p w14:paraId="28295457" w14:textId="77777777" w:rsidR="004F6A0E" w:rsidRDefault="00193E3A" w:rsidP="002C233C">
      <w:pPr>
        <w:numPr>
          <w:ilvl w:val="0"/>
          <w:numId w:val="25"/>
        </w:numPr>
      </w:pPr>
      <w:r>
        <w:lastRenderedPageBreak/>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1E2164">
        <w:t>A.14</w:t>
      </w:r>
      <w:r w:rsidR="00C31B22">
        <w:fldChar w:fldCharType="end"/>
      </w:r>
      <w:r>
        <w:t xml:space="preserve"> of appendix A.</w:t>
      </w:r>
    </w:p>
    <w:p w14:paraId="54955EC0" w14:textId="77777777" w:rsidR="00091B15" w:rsidRDefault="00B168A4" w:rsidP="00091B15">
      <w:pPr>
        <w:pStyle w:val="Heading7"/>
      </w:pPr>
      <w:bookmarkStart w:id="40" w:name="_Toc433445540"/>
      <w:r>
        <w:lastRenderedPageBreak/>
        <w:t>Value of imputation credits: Detailed analysis</w:t>
      </w:r>
      <w:bookmarkEnd w:id="40"/>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3BC8C5F1"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w:t>
      </w:r>
      <w:proofErr w:type="gramStart"/>
      <w:r w:rsidR="004C7303">
        <w:t xml:space="preserve">determination </w:t>
      </w:r>
      <w:r w:rsidR="00EC3176">
        <w:t xml:space="preserve"> is</w:t>
      </w:r>
      <w:proofErr w:type="gramEnd"/>
      <w:r w:rsidR="00EC3176">
        <w:t xml:space="preserve"> that we have in this appendix had regard to </w:t>
      </w:r>
      <w:r w:rsidR="0079277D">
        <w:t>the new proposals (revised proposal of SA</w:t>
      </w:r>
      <w:r w:rsidR="0000799A">
        <w:t xml:space="preserve">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3"/>
      </w:r>
      <w:r w:rsidR="00B63676">
        <w:t xml:space="preserve">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4"/>
      </w:r>
    </w:p>
    <w:p w14:paraId="524AF94E" w14:textId="77777777" w:rsidR="00091B15" w:rsidRDefault="000222ED" w:rsidP="00091B15">
      <w:pPr>
        <w:pStyle w:val="Heading8"/>
      </w:pPr>
      <w:bookmarkStart w:id="41" w:name="_Ref414621676"/>
      <w:bookmarkStart w:id="42" w:name="_Toc433445541"/>
      <w:r>
        <w:t>Expert views on the value of imputation credits</w:t>
      </w:r>
      <w:bookmarkEnd w:id="41"/>
      <w:bookmarkEnd w:id="42"/>
    </w:p>
    <w:p w14:paraId="214B1581" w14:textId="7A54C054"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1E2164" w:rsidRPr="009421A7">
        <w:t xml:space="preserve">Table </w:t>
      </w:r>
      <w:r w:rsidR="001E2164">
        <w:rPr>
          <w:noProof/>
        </w:rPr>
        <w:t>4</w:t>
      </w:r>
      <w:r w:rsidR="001E2164">
        <w:noBreakHyphen/>
      </w:r>
      <w:r w:rsidR="001E2164">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final 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service </w:t>
      </w:r>
      <w:r w:rsidR="004E30F8">
        <w:lastRenderedPageBreak/>
        <w:t xml:space="preserve">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77777777" w:rsidR="00A36459" w:rsidRDefault="00A36459" w:rsidP="00A36459">
      <w:pPr>
        <w:pStyle w:val="Caption"/>
      </w:pPr>
      <w:bookmarkStart w:id="43" w:name="_Ref400609043"/>
      <w:r w:rsidRPr="009421A7">
        <w:t xml:space="preserve">Table </w:t>
      </w:r>
      <w:fldSimple w:instr=" STYLEREF 1 \s ">
        <w:r w:rsidR="001E2164">
          <w:rPr>
            <w:noProof/>
          </w:rPr>
          <w:t>4</w:t>
        </w:r>
      </w:fldSimple>
      <w:r w:rsidR="00257FBE">
        <w:noBreakHyphen/>
      </w:r>
      <w:fldSimple w:instr=" SEQ Table \* ARABIC \s 1 ">
        <w:r w:rsidR="001E2164">
          <w:rPr>
            <w:noProof/>
          </w:rPr>
          <w:t>3</w:t>
        </w:r>
      </w:fldSimple>
      <w:bookmarkEnd w:id="43"/>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77777777" w:rsidR="00A36459" w:rsidRPr="005527C3" w:rsidRDefault="00A36459" w:rsidP="003C0026">
            <w:pPr>
              <w:numPr>
                <w:ilvl w:val="0"/>
                <w:numId w:val="25"/>
              </w:numPr>
            </w:pPr>
            <w:r w:rsidRPr="005527C3">
              <w:t>Lally (2013</w:t>
            </w:r>
            <w:r w:rsidR="00384402">
              <w:t>a</w:t>
            </w:r>
            <w:r>
              <w:t>,</w:t>
            </w:r>
            <w:r w:rsidR="00384402">
              <w:t xml:space="preserve"> 2013b, </w:t>
            </w:r>
            <w:r>
              <w:t xml:space="preserve"> 2014</w:t>
            </w:r>
            <w:r w:rsidRPr="005527C3">
              <w:t>)</w:t>
            </w:r>
            <w:r>
              <w:rPr>
                <w:rStyle w:val="FootnoteReference"/>
              </w:rPr>
              <w:footnoteReference w:id="125"/>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6"/>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7"/>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8"/>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29"/>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30"/>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lastRenderedPageBreak/>
              <w:t xml:space="preserve">Gray (for </w:t>
            </w:r>
            <w:r w:rsidR="003E0AD9">
              <w:t>Frontier</w:t>
            </w:r>
            <w:r>
              <w:t>)</w:t>
            </w:r>
            <w:r w:rsidR="003E0AD9">
              <w:t xml:space="preserve"> (2015)</w:t>
            </w:r>
            <w:r w:rsidR="003E0AD9">
              <w:rPr>
                <w:rStyle w:val="FootnoteReference"/>
              </w:rPr>
              <w:footnoteReference w:id="131"/>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1E2164">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77777777"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5436C8">
        <w:t>final</w:t>
      </w:r>
      <w:r>
        <w:t xml:space="preserve"> 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44" w:name="_Ref414621875"/>
      <w:bookmarkStart w:id="45" w:name="_Toc433445542"/>
      <w:r>
        <w:t>The value of imputation credits used by other regulators</w:t>
      </w:r>
      <w:bookmarkEnd w:id="44"/>
      <w:bookmarkEnd w:id="45"/>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1E2164">
        <w:t xml:space="preserve">Table </w:t>
      </w:r>
      <w:r w:rsidR="001E2164">
        <w:rPr>
          <w:noProof/>
        </w:rPr>
        <w:t>4</w:t>
      </w:r>
      <w:r w:rsidR="001E2164">
        <w:noBreakHyphen/>
      </w:r>
      <w:r w:rsidR="001E2164">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14:paraId="12A9D052" w14:textId="77777777" w:rsidR="000B65E0" w:rsidRDefault="000B65E0" w:rsidP="000B65E0">
      <w:pPr>
        <w:pStyle w:val="Caption"/>
      </w:pPr>
      <w:bookmarkStart w:id="46" w:name="_Ref401082422"/>
      <w:r>
        <w:lastRenderedPageBreak/>
        <w:t xml:space="preserve">Table </w:t>
      </w:r>
      <w:fldSimple w:instr=" STYLEREF 1 \s ">
        <w:r w:rsidR="001E2164">
          <w:rPr>
            <w:noProof/>
          </w:rPr>
          <w:t>4</w:t>
        </w:r>
      </w:fldSimple>
      <w:r w:rsidR="00257FBE">
        <w:noBreakHyphen/>
      </w:r>
      <w:fldSimple w:instr=" SEQ Table \* ARABIC \s 1 ">
        <w:r w:rsidR="001E2164">
          <w:rPr>
            <w:noProof/>
          </w:rPr>
          <w:t>4</w:t>
        </w:r>
      </w:fldSimple>
      <w:bookmarkEnd w:id="46"/>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3C0026">
            <w:pPr>
              <w:numPr>
                <w:ilvl w:val="0"/>
                <w:numId w:val="25"/>
              </w:numPr>
            </w:pPr>
            <w:r>
              <w:t>Regulator</w:t>
            </w:r>
          </w:p>
        </w:tc>
        <w:tc>
          <w:tcPr>
            <w:tcW w:w="1842" w:type="dxa"/>
          </w:tcPr>
          <w:p w14:paraId="5ED3D8EB"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3C0026">
            <w:r>
              <w:t>IPART</w:t>
            </w:r>
            <w:r w:rsidRPr="00060F5E">
              <w:rPr>
                <w:rStyle w:val="FootnoteReference"/>
              </w:rPr>
              <w:footnoteReference w:id="132"/>
            </w:r>
          </w:p>
        </w:tc>
        <w:tc>
          <w:tcPr>
            <w:tcW w:w="1842" w:type="dxa"/>
          </w:tcPr>
          <w:p w14:paraId="7FA3315A" w14:textId="77777777" w:rsidR="00060F5E" w:rsidRPr="000F2066"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3C0026">
            <w:r>
              <w:t>ESC</w:t>
            </w:r>
            <w:r w:rsidRPr="00060F5E">
              <w:rPr>
                <w:rStyle w:val="AERsuperscript"/>
              </w:rPr>
              <w:footnoteReference w:id="133"/>
            </w:r>
          </w:p>
        </w:tc>
        <w:tc>
          <w:tcPr>
            <w:tcW w:w="1842" w:type="dxa"/>
          </w:tcPr>
          <w:p w14:paraId="331A406E" w14:textId="77777777" w:rsidR="00060F5E" w:rsidRPr="00372214"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4"/>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3C0026">
            <w:r w:rsidRPr="00501101">
              <w:t>QCA</w:t>
            </w:r>
            <w:r w:rsidRPr="00604705">
              <w:rPr>
                <w:rStyle w:val="FootnoteReference"/>
              </w:rPr>
              <w:footnoteReference w:id="135"/>
            </w:r>
            <w:r w:rsidRPr="00604705">
              <w:t xml:space="preserve">  </w:t>
            </w:r>
          </w:p>
        </w:tc>
        <w:tc>
          <w:tcPr>
            <w:tcW w:w="1842" w:type="dxa"/>
          </w:tcPr>
          <w:p w14:paraId="65A750F3" w14:textId="77777777"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3C0026">
            <w:pPr>
              <w:numPr>
                <w:ilvl w:val="0"/>
                <w:numId w:val="25"/>
              </w:numPr>
            </w:pPr>
            <w:r>
              <w:t>ERA</w:t>
            </w:r>
            <w:r w:rsidRPr="001E32C9">
              <w:rPr>
                <w:rStyle w:val="FootnoteReference"/>
              </w:rPr>
              <w:footnoteReference w:id="136"/>
            </w:r>
            <w:r w:rsidRPr="001E32C9">
              <w:t xml:space="preserve">  </w:t>
            </w:r>
          </w:p>
        </w:tc>
        <w:tc>
          <w:tcPr>
            <w:tcW w:w="1842" w:type="dxa"/>
          </w:tcPr>
          <w:p w14:paraId="2A36D313" w14:textId="77777777" w:rsidR="00604705" w:rsidRPr="000F2066"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3C0026">
            <w:pPr>
              <w:numPr>
                <w:ilvl w:val="0"/>
                <w:numId w:val="25"/>
              </w:numPr>
            </w:pPr>
            <w:r w:rsidRPr="00501101">
              <w:lastRenderedPageBreak/>
              <w:t>ACCC</w:t>
            </w:r>
            <w:r w:rsidRPr="001E32C9">
              <w:rPr>
                <w:rStyle w:val="FootnoteReference"/>
              </w:rPr>
              <w:footnoteReference w:id="137"/>
            </w:r>
            <w:r w:rsidRPr="001E32C9">
              <w:t xml:space="preserve"> </w:t>
            </w:r>
          </w:p>
        </w:tc>
        <w:tc>
          <w:tcPr>
            <w:tcW w:w="1842" w:type="dxa"/>
          </w:tcPr>
          <w:p w14:paraId="2A59396D" w14:textId="74AB2832"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77777777" w:rsidR="000B65E0" w:rsidRPr="000B65E0" w:rsidRDefault="000B65E0" w:rsidP="006A61BE">
      <w:pPr>
        <w:pStyle w:val="AERtablesource"/>
      </w:pPr>
      <w:r>
        <w:t>Source:</w:t>
      </w:r>
      <w:r>
        <w:tab/>
        <w:t>As specified in table.</w:t>
      </w:r>
    </w:p>
    <w:p w14:paraId="42B88C87" w14:textId="77777777" w:rsidR="00924584" w:rsidRDefault="00675214" w:rsidP="00924584">
      <w:r>
        <w:t>C</w:t>
      </w:r>
      <w:r w:rsidR="00206294">
        <w:t>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final decision value of imputation credits of 0.4 sits within the range adopted by regulators.</w:t>
      </w:r>
    </w:p>
    <w:p w14:paraId="3CF3DEE6" w14:textId="77777777" w:rsidR="008B661B" w:rsidRPr="008B661B" w:rsidRDefault="008B661B" w:rsidP="008B661B">
      <w:pPr>
        <w:pStyle w:val="Heading8"/>
      </w:pPr>
      <w:bookmarkStart w:id="47" w:name="_Toc433445543"/>
      <w:r w:rsidRPr="008B661B">
        <w:t>Previous Australian Competition Tribunal considerations</w:t>
      </w:r>
      <w:bookmarkEnd w:id="47"/>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8"/>
      </w:r>
    </w:p>
    <w:p w14:paraId="309F5973" w14:textId="77777777" w:rsidR="008B661B" w:rsidRDefault="008B661B" w:rsidP="008B661B">
      <w:pPr>
        <w:pStyle w:val="Heading9"/>
      </w:pPr>
      <w:r>
        <w:lastRenderedPageBreak/>
        <w:t>Energex</w:t>
      </w:r>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39"/>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3366B640"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fldChar w:fldCharType="begin"/>
      </w:r>
      <w:r>
        <w:instrText xml:space="preserve"> REF  _Ref400609646 \* Lower \h </w:instrText>
      </w:r>
      <w:r w:rsidR="00051598">
        <w:instrText xml:space="preserve"> \* MERGEFORMAT </w:instrText>
      </w:r>
      <w:r>
        <w:fldChar w:fldCharType="separate"/>
      </w:r>
      <w:r w:rsidR="001E2164" w:rsidRPr="000E711B">
        <w:t>table</w:t>
      </w:r>
      <w:r w:rsidR="001E2164" w:rsidRPr="000E711B">
        <w:rPr>
          <w:noProof/>
        </w:rPr>
        <w:t xml:space="preserve"> </w:t>
      </w:r>
      <w:r w:rsidR="001E2164">
        <w:rPr>
          <w:noProof/>
        </w:rPr>
        <w:t>4</w:t>
      </w:r>
      <w:r w:rsidR="001E2164">
        <w:rPr>
          <w:noProof/>
        </w:rPr>
        <w:noBreakHyphen/>
        <w:t>5</w:t>
      </w:r>
      <w:r>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5"/>
          <w:footerReference w:type="default" r:id="rId16"/>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77777777" w:rsidR="008B661B" w:rsidRPr="000E711B" w:rsidRDefault="008B661B" w:rsidP="008B661B">
      <w:pPr>
        <w:pStyle w:val="Caption"/>
      </w:pPr>
      <w:bookmarkStart w:id="48" w:name="_Ref400609646"/>
      <w:bookmarkStart w:id="49" w:name="_Ref401260171"/>
      <w:r w:rsidRPr="000E711B">
        <w:t xml:space="preserve">Table </w:t>
      </w:r>
      <w:fldSimple w:instr=" STYLEREF 1 \s ">
        <w:r w:rsidR="001E2164">
          <w:rPr>
            <w:noProof/>
          </w:rPr>
          <w:t>4</w:t>
        </w:r>
      </w:fldSimple>
      <w:r w:rsidR="00257FBE">
        <w:noBreakHyphen/>
      </w:r>
      <w:fldSimple w:instr=" SEQ Table \* ARABIC \s 1 ">
        <w:r w:rsidR="001E2164">
          <w:rPr>
            <w:noProof/>
          </w:rPr>
          <w:t>5</w:t>
        </w:r>
      </w:fldSimple>
      <w:bookmarkEnd w:id="48"/>
      <w:r w:rsidRPr="000E711B">
        <w:tab/>
        <w:t>Australian Competition Tribunal's observations on imputation credits</w:t>
      </w:r>
      <w:bookmarkEnd w:id="49"/>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(b) </w:t>
            </w:r>
            <w:proofErr w:type="gramStart"/>
            <w:r w:rsidRPr="000E711B">
              <w:t>how</w:t>
            </w:r>
            <w:proofErr w:type="gramEnd"/>
            <w:r w:rsidRPr="000E711B">
              <w:t xml:space="preserve"> it relates to the rest of the building blocks, especially the rate of return (cl 6.4.3(a) and cl 6.5.2(b) of the Rules)."</w:t>
            </w:r>
            <w:r w:rsidRPr="000E711B">
              <w:rPr>
                <w:rStyle w:val="FootnoteReference"/>
              </w:rPr>
              <w:footnoteReference w:id="140"/>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1E2164">
              <w:t>A.5</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1E2164">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1"/>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1E2164">
              <w:t>4.4.1</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1E2164">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lastRenderedPageBreak/>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2"/>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w:t>
            </w:r>
            <w:proofErr w:type="gramStart"/>
            <w:r w:rsidRPr="000E711B">
              <w:t>taxation</w:t>
            </w:r>
            <w:proofErr w:type="gramEnd"/>
            <w:r w:rsidRPr="000E711B">
              <w:t xml:space="preserve">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3"/>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1E2164">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1E2164">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lastRenderedPageBreak/>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4"/>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1E2164">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1E2164">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5"/>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lastRenderedPageBreak/>
        <w:t>During the Guideline process, service providers frequently proposed a value of imputation credits of 0.25 and referenced the Tribunal decision in support of this.</w:t>
      </w:r>
      <w:r w:rsidR="006E3A04">
        <w:rPr>
          <w:rStyle w:val="FootnoteReference"/>
        </w:rPr>
        <w:footnoteReference w:id="146"/>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r>
        <w:t>DBNGP and WA Gas Networks</w:t>
      </w:r>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7"/>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14:paraId="0D5D7172" w14:textId="77777777" w:rsidR="00055B09" w:rsidRDefault="00055B09" w:rsidP="00055B09">
      <w:pPr>
        <w:pStyle w:val="AERquote"/>
      </w:pPr>
      <w:r>
        <w:lastRenderedPageBreak/>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54D5E15A" w14:textId="77777777" w:rsidR="00055B09" w:rsidRPr="00883DBE" w:rsidRDefault="00055B09" w:rsidP="00055B09">
      <w:pPr>
        <w:pStyle w:val="AERquote"/>
      </w:pPr>
      <w:r>
        <w:t>…</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8"/>
      </w:r>
    </w:p>
    <w:p w14:paraId="00FC7815" w14:textId="77777777" w:rsidR="00ED6A81" w:rsidRDefault="0046390C" w:rsidP="00615CE6">
      <w:pPr>
        <w:pStyle w:val="Heading8"/>
      </w:pPr>
      <w:bookmarkStart w:id="50" w:name="_Ref415070393"/>
      <w:bookmarkStart w:id="51" w:name="_Toc433445544"/>
      <w:bookmarkStart w:id="52" w:name="_Ref400961862"/>
      <w:r>
        <w:t>Key concerns of</w:t>
      </w:r>
      <w:r w:rsidR="002630C5">
        <w:t xml:space="preserve"> the service providers</w:t>
      </w:r>
      <w:bookmarkEnd w:id="50"/>
      <w:bookmarkEnd w:id="51"/>
    </w:p>
    <w:p w14:paraId="7097614B" w14:textId="5B6AAEFB"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49"/>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w:t>
      </w:r>
      <w:proofErr w:type="gramStart"/>
      <w:r w:rsidR="00576550">
        <w:t xml:space="preserve">of </w:t>
      </w:r>
      <w:r w:rsidR="00407BEB">
        <w:t xml:space="preserve"> other</w:t>
      </w:r>
      <w:proofErr w:type="gramEnd"/>
      <w:r w:rsidR="00407BEB">
        <w:t xml:space="preserve">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final 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1E2164">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1E2164">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1E2164">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1E2164">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1E2164">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1E2164">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1E2164">
        <w:t>4.4.2</w:t>
      </w:r>
      <w:r w:rsidR="004B6775">
        <w:fldChar w:fldCharType="end"/>
      </w:r>
      <w:r w:rsidR="004B6775">
        <w:t xml:space="preserve"> why the equity ownership approach provides a reasonable estimate.</w:t>
      </w:r>
    </w:p>
    <w:p w14:paraId="2097FA60" w14:textId="6959C492" w:rsidR="00DD7B9A" w:rsidRDefault="0033258C" w:rsidP="005668B8">
      <w:pPr>
        <w:pStyle w:val="AERbulletlistfirststyle"/>
      </w:pPr>
      <w:r>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1E2164">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w:t>
      </w:r>
      <w:r w:rsidR="00DD7B9A">
        <w:lastRenderedPageBreak/>
        <w:t>applications of the equity ownership approach. In this final 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1E2164">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1E2164">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1E2164">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1E2164">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1E2164">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1E2164">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1E2164">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1E2164">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1E2164">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1E2164">
        <w:t>A.10.1</w:t>
      </w:r>
      <w:r w:rsidR="00680EF4">
        <w:fldChar w:fldCharType="end"/>
      </w:r>
      <w:r w:rsidR="00680EF4">
        <w:t xml:space="preserve"> we explain why we </w:t>
      </w:r>
      <w:r w:rsidR="0046390C">
        <w:t>disagree</w:t>
      </w:r>
      <w:r w:rsidR="00680EF4">
        <w:t>.</w:t>
      </w:r>
    </w:p>
    <w:p w14:paraId="38873E45" w14:textId="22B505D5"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 xml:space="preserve">the evidence presented in both the </w:t>
      </w:r>
      <w:r w:rsidR="003C53A9">
        <w:t>draft</w:t>
      </w:r>
      <w:r>
        <w:t xml:space="preserve"> decision</w:t>
      </w:r>
      <w:r w:rsidR="003C53A9">
        <w:t>s</w:t>
      </w:r>
      <w:r>
        <w:t xml:space="preserve"> and this final 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50"/>
      </w:r>
    </w:p>
    <w:p w14:paraId="1A6D819B" w14:textId="4A872B83"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w:t>
      </w:r>
      <w:r w:rsidRPr="0060266A">
        <w:rPr>
          <w:rStyle w:val="AERtexthighlight"/>
          <w:shd w:val="clear" w:color="auto" w:fill="auto"/>
        </w:rPr>
        <w:lastRenderedPageBreak/>
        <w:t>distributed credits (such as dividend drop-off studies)</w:t>
      </w:r>
      <w:r w:rsidR="00FA47B8" w:rsidRPr="0060266A">
        <w:rPr>
          <w:rStyle w:val="AERtexthighlight"/>
          <w:shd w:val="clear" w:color="auto" w:fill="auto"/>
        </w:rPr>
        <w:t>.</w:t>
      </w:r>
      <w:r w:rsidR="0060266A">
        <w:rPr>
          <w:rStyle w:val="FootnoteReference"/>
        </w:rPr>
        <w:footnoteReference w:id="151"/>
      </w:r>
      <w:r w:rsidR="00FA47B8" w:rsidRPr="0060266A">
        <w:rPr>
          <w:rStyle w:val="AERtexthighlight"/>
          <w:shd w:val="clear" w:color="auto" w:fill="auto"/>
        </w:rPr>
        <w:t xml:space="preserve"> In section </w:t>
      </w:r>
      <w:r w:rsidR="00EE3FE0" w:rsidRPr="0060266A">
        <w:rPr>
          <w:rStyle w:val="AERtexthighlight"/>
          <w:shd w:val="clear" w:color="auto" w:fill="auto"/>
        </w:rPr>
        <w:t>A 8.1</w:t>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5A8FEEC2"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2"/>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3"/>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7845BA" w:rsidRPr="0060266A">
        <w:rPr>
          <w:rStyle w:val="AERtexthighlight"/>
          <w:shd w:val="clear" w:color="auto" w:fill="auto"/>
        </w:rPr>
        <w:t>A.</w:t>
      </w:r>
      <w:r w:rsidR="00E27AAF" w:rsidRPr="0060266A">
        <w:rPr>
          <w:rStyle w:val="AERtexthighlight"/>
          <w:shd w:val="clear" w:color="auto" w:fill="auto"/>
        </w:rPr>
        <w:t>9</w:t>
      </w:r>
      <w:r w:rsidR="007845BA" w:rsidRPr="0060266A">
        <w:rPr>
          <w:rStyle w:val="AERtexthighlight"/>
          <w:shd w:val="clear" w:color="auto" w:fill="auto"/>
        </w:rPr>
        <w:t xml:space="preserve"> and A.10.1</w:t>
      </w:r>
      <w:r w:rsidR="001F5837" w:rsidRPr="0060266A">
        <w:rPr>
          <w:rStyle w:val="AERtexthighlight"/>
          <w:shd w:val="clear" w:color="auto" w:fill="auto"/>
        </w:rPr>
        <w:t xml:space="preserve"> we explain why we consider our approach is appropriate</w:t>
      </w:r>
      <w:r w:rsidR="00EE3FE0" w:rsidRPr="0060266A">
        <w:rPr>
          <w:rStyle w:val="AERtexthighlight"/>
          <w:shd w:val="clear" w:color="auto" w:fill="auto"/>
        </w:rPr>
        <w:t>.</w:t>
      </w:r>
      <w:r w:rsidR="001F5837" w:rsidRPr="0060266A">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61EA4368"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00702609" w:rsidRPr="0060266A">
        <w:rPr>
          <w:rStyle w:val="AERbody"/>
        </w:rPr>
        <w:t xml:space="preserve">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12C92723"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4"/>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7845BA" w:rsidRPr="0060266A">
        <w:rPr>
          <w:rStyle w:val="AERtexthighlight"/>
          <w:shd w:val="clear" w:color="auto" w:fill="auto"/>
        </w:rPr>
        <w:t>A.8.2</w:t>
      </w:r>
      <w:r w:rsidR="00DB3BB0" w:rsidRPr="0060266A">
        <w:rPr>
          <w:rStyle w:val="AERtexthighlight"/>
          <w:shd w:val="clear" w:color="auto" w:fill="auto"/>
        </w:rPr>
        <w:t xml:space="preserve"> we explain why we consider redemption rates can be used as point estimates of theta.</w:t>
      </w:r>
    </w:p>
    <w:p w14:paraId="4C69EFA1" w14:textId="122F6202"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t>The AER's implementation of the redemption rate is incorrect.</w:t>
      </w:r>
      <w:r w:rsidR="00EE762A">
        <w:rPr>
          <w:rStyle w:val="FootnoteReference"/>
        </w:rPr>
        <w:footnoteReference w:id="155"/>
      </w:r>
      <w:r w:rsidRPr="00EE762A">
        <w:rPr>
          <w:rStyle w:val="AERtexthighlight"/>
          <w:shd w:val="clear" w:color="auto" w:fill="auto"/>
        </w:rPr>
        <w:t xml:space="preserve"> In section </w:t>
      </w:r>
      <w:r w:rsidR="00E27AAF" w:rsidRPr="00EE762A">
        <w:rPr>
          <w:rStyle w:val="AERtexthighlight"/>
          <w:shd w:val="clear" w:color="auto" w:fill="auto"/>
        </w:rPr>
        <w:t>A.12</w:t>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483E527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lastRenderedPageBreak/>
        <w:t xml:space="preserve">The </w:t>
      </w:r>
      <w:proofErr w:type="gramStart"/>
      <w:r w:rsidRPr="00EE762A">
        <w:rPr>
          <w:rStyle w:val="AERtexthighlight"/>
          <w:shd w:val="clear" w:color="auto" w:fill="auto"/>
        </w:rPr>
        <w:t>criticisms of Gray and Hall's dividend drop-off work is</w:t>
      </w:r>
      <w:proofErr w:type="gramEnd"/>
      <w:r w:rsidRPr="00EE762A">
        <w:rPr>
          <w:rStyle w:val="AERtexthighlight"/>
          <w:shd w:val="clear" w:color="auto" w:fill="auto"/>
        </w:rPr>
        <w:t xml:space="preserve"> not reasonable.</w:t>
      </w:r>
      <w:r w:rsidR="00EE762A">
        <w:rPr>
          <w:rStyle w:val="FootnoteReference"/>
        </w:rPr>
        <w:footnoteReference w:id="156"/>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691112" w:rsidRPr="00EE762A">
        <w:rPr>
          <w:rStyle w:val="AERtexthighlight"/>
          <w:shd w:val="clear" w:color="auto" w:fill="auto"/>
        </w:rPr>
        <w:t>A.14.5</w:t>
      </w:r>
    </w:p>
    <w:p w14:paraId="66B06B38" w14:textId="4C86D022" w:rsidR="00C52F4D" w:rsidRPr="00EE762A" w:rsidRDefault="00C52F4D" w:rsidP="00F17452">
      <w:pPr>
        <w:rPr>
          <w:rStyle w:val="AERbody"/>
        </w:rPr>
      </w:pPr>
      <w:r w:rsidRPr="00EE762A">
        <w:rPr>
          <w:rStyle w:val="AERbody"/>
        </w:rPr>
        <w:t xml:space="preserve">We note that the primary and second order differences of view </w:t>
      </w:r>
      <w:r w:rsidR="000D24AE" w:rsidRPr="00EE762A">
        <w:rPr>
          <w:rStyle w:val="AERbody"/>
        </w:rPr>
        <w:t xml:space="preserve">identified above </w:t>
      </w:r>
      <w:r w:rsidR="005E7F5E" w:rsidRPr="00EE762A">
        <w:rPr>
          <w:rStyle w:val="AERbody"/>
        </w:rPr>
        <w:t>do not appear to be</w:t>
      </w:r>
      <w:r w:rsidRPr="00EE762A">
        <w:rPr>
          <w:rStyle w:val="AERbody"/>
        </w:rPr>
        <w:t xml:space="preserve"> new</w:t>
      </w:r>
      <w:r w:rsidR="005E7F5E" w:rsidRPr="00EE762A">
        <w:rPr>
          <w:rStyle w:val="AERbody"/>
        </w:rPr>
        <w:t xml:space="preserve"> issues and</w:t>
      </w:r>
      <w:r w:rsidR="000D24AE" w:rsidRPr="00EE762A">
        <w:rPr>
          <w:rStyle w:val="AERbody"/>
        </w:rPr>
        <w:t xml:space="preserve"> </w:t>
      </w:r>
      <w:r w:rsidR="005E7F5E" w:rsidRPr="00EE762A">
        <w:rPr>
          <w:rStyle w:val="AERbody"/>
        </w:rPr>
        <w:t>largely</w:t>
      </w:r>
      <w:r w:rsidR="00E3221A" w:rsidRPr="00EE762A">
        <w:rPr>
          <w:rStyle w:val="AERbody"/>
        </w:rPr>
        <w:t xml:space="preserve"> </w:t>
      </w:r>
      <w:r w:rsidR="000D24AE" w:rsidRPr="00EE762A">
        <w:rPr>
          <w:rStyle w:val="AERbody"/>
        </w:rPr>
        <w:t>overlap</w:t>
      </w:r>
      <w:r w:rsidR="00E470C3">
        <w:rPr>
          <w:rStyle w:val="AERbody"/>
        </w:rPr>
        <w:t xml:space="preserve"> with the 8 key concerns of </w:t>
      </w:r>
      <w:r w:rsidR="000D24AE" w:rsidRPr="00EE762A">
        <w:rPr>
          <w:rStyle w:val="AERbody"/>
        </w:rPr>
        <w:t>service providers raised previousl</w:t>
      </w:r>
      <w:r w:rsidR="005E7F5E" w:rsidRPr="00EE762A">
        <w:rPr>
          <w:rStyle w:val="AERbody"/>
        </w:rPr>
        <w:t>y</w:t>
      </w:r>
      <w:r w:rsidR="000D24AE" w:rsidRPr="00EE762A">
        <w:rPr>
          <w:rStyle w:val="AERbody"/>
        </w:rPr>
        <w:t xml:space="preserve">. </w:t>
      </w:r>
      <w:r w:rsidRPr="00EE762A">
        <w:rPr>
          <w:rStyle w:val="AERbody"/>
        </w:rPr>
        <w:t xml:space="preserve">Having considered the new </w:t>
      </w:r>
      <w:r w:rsidR="009F76C4" w:rsidRPr="00EE762A">
        <w:rPr>
          <w:rStyle w:val="AERbody"/>
        </w:rPr>
        <w:t xml:space="preserve">and revised regulatory </w:t>
      </w:r>
      <w:r w:rsidRPr="00EE762A">
        <w:rPr>
          <w:rStyle w:val="AERbody"/>
        </w:rPr>
        <w:t>proposals</w:t>
      </w:r>
      <w:r w:rsidR="009F76C4" w:rsidRPr="00EE762A">
        <w:rPr>
          <w:rStyle w:val="AERbody"/>
        </w:rPr>
        <w:t>,</w:t>
      </w:r>
      <w:r w:rsidRPr="00EE762A">
        <w:rPr>
          <w:rStyle w:val="AERbody"/>
        </w:rPr>
        <w:t xml:space="preserve"> and </w:t>
      </w:r>
      <w:r w:rsidR="009F76C4" w:rsidRPr="00EE762A">
        <w:rPr>
          <w:rStyle w:val="AERbody"/>
        </w:rPr>
        <w:t xml:space="preserve">the </w:t>
      </w:r>
      <w:r w:rsidRPr="00EE762A">
        <w:rPr>
          <w:rStyle w:val="AERbody"/>
        </w:rPr>
        <w:t xml:space="preserve">new </w:t>
      </w:r>
      <w:r w:rsidR="00EF4770" w:rsidRPr="00EE762A">
        <w:rPr>
          <w:rStyle w:val="AERbody"/>
        </w:rPr>
        <w:t>experts'</w:t>
      </w:r>
      <w:r w:rsidRPr="00EE762A">
        <w:rPr>
          <w:rStyle w:val="AERbody"/>
        </w:rPr>
        <w:t xml:space="preserve"> reports </w:t>
      </w:r>
      <w:r w:rsidR="009F76C4" w:rsidRPr="00EE762A">
        <w:rPr>
          <w:rStyle w:val="AERbody"/>
        </w:rPr>
        <w:t xml:space="preserve">not considered by us in making our </w:t>
      </w:r>
      <w:r w:rsidRPr="00EE762A">
        <w:rPr>
          <w:rStyle w:val="AERbody"/>
        </w:rPr>
        <w:t xml:space="preserve">JGN decision, we remain of the view that a gamma value of 0.4 is appropriate.  </w:t>
      </w:r>
    </w:p>
    <w:p w14:paraId="0E1FCB0F" w14:textId="77777777" w:rsidR="00615CE6" w:rsidRDefault="00615CE6" w:rsidP="00615CE6">
      <w:pPr>
        <w:pStyle w:val="Heading8"/>
      </w:pPr>
      <w:bookmarkStart w:id="53" w:name="_Ref415144114"/>
      <w:bookmarkStart w:id="54" w:name="_Toc433445545"/>
      <w:r>
        <w:t xml:space="preserve">The role </w:t>
      </w:r>
      <w:r w:rsidRPr="00615CE6">
        <w:t>of</w:t>
      </w:r>
      <w:r>
        <w:t xml:space="preserve"> the value of imputation credits in the regulatory framework</w:t>
      </w:r>
      <w:bookmarkEnd w:id="52"/>
      <w:bookmarkEnd w:id="53"/>
      <w:bookmarkEnd w:id="54"/>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proofErr w:type="gramStart"/>
      <w:r>
        <w:t>the</w:t>
      </w:r>
      <w:proofErr w:type="gramEnd"/>
      <w:r>
        <w:t xml:space="preserve"> </w:t>
      </w:r>
      <w:r w:rsidRPr="00615CE6">
        <w:t>construction of the tax building block.</w:t>
      </w:r>
    </w:p>
    <w:p w14:paraId="2070DDC9" w14:textId="77777777" w:rsidR="00615CE6" w:rsidRDefault="00615CE6" w:rsidP="00615CE6">
      <w:pPr>
        <w:pStyle w:val="Heading9"/>
      </w:pPr>
      <w:r>
        <w:t xml:space="preserve">The </w:t>
      </w:r>
      <w:r w:rsidRPr="00615CE6">
        <w:t>building</w:t>
      </w:r>
      <w:r>
        <w:t xml:space="preserve"> block framework</w:t>
      </w:r>
    </w:p>
    <w:p w14:paraId="24F91D72" w14:textId="7777777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7"/>
      </w:r>
      <w:r w:rsidRPr="009D12C3">
        <w:t xml:space="preserve">  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proofErr w:type="gramStart"/>
      <w:r>
        <w:t>f</w:t>
      </w:r>
      <w:r w:rsidR="00615CE6" w:rsidRPr="009D12C3">
        <w:t>und</w:t>
      </w:r>
      <w:proofErr w:type="gramEnd"/>
      <w:r w:rsidR="00615CE6" w:rsidRPr="009D12C3">
        <w:t xml:space="preserve"> its operating expenses.</w:t>
      </w:r>
    </w:p>
    <w:p w14:paraId="789FA7BE" w14:textId="77777777" w:rsidR="00615CE6" w:rsidRPr="00615CE6" w:rsidRDefault="0084249F" w:rsidP="00615CE6">
      <w:pPr>
        <w:pStyle w:val="AERbulletlistfirststyle"/>
      </w:pPr>
      <w:proofErr w:type="gramStart"/>
      <w:r>
        <w:t>a</w:t>
      </w:r>
      <w:r w:rsidR="00615CE6" w:rsidRPr="009D12C3">
        <w:t>chieve</w:t>
      </w:r>
      <w:proofErr w:type="gramEnd"/>
      <w:r w:rsidR="00615CE6" w:rsidRPr="009D12C3">
        <w:t xml:space="preser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returns the initial principal of the investment, and subsequent investments, back to investors.</w:t>
      </w:r>
    </w:p>
    <w:p w14:paraId="1FF3225B" w14:textId="77777777" w:rsidR="00615CE6" w:rsidRPr="00615CE6" w:rsidRDefault="0084249F" w:rsidP="00615CE6">
      <w:pPr>
        <w:pStyle w:val="AERbulletlistfirststyle"/>
      </w:pPr>
      <w:proofErr w:type="gramStart"/>
      <w:r>
        <w:t>p</w:t>
      </w:r>
      <w:r w:rsidR="00615CE6" w:rsidRPr="009D12C3">
        <w:t>ay</w:t>
      </w:r>
      <w:proofErr w:type="gramEnd"/>
      <w:r w:rsidR="00615CE6" w:rsidRPr="009D12C3">
        <w:t xml:space="preserve"> its tax liability.</w:t>
      </w:r>
    </w:p>
    <w:p w14:paraId="4D79BA20" w14:textId="77777777" w:rsidR="00615CE6" w:rsidRPr="00615CE6" w:rsidRDefault="0084249F" w:rsidP="00615CE6">
      <w:pPr>
        <w:pStyle w:val="AERbulletlistfirststyle"/>
      </w:pPr>
      <w:proofErr w:type="gramStart"/>
      <w:r>
        <w:t>r</w:t>
      </w:r>
      <w:r w:rsidR="00615CE6" w:rsidRPr="009D12C3">
        <w:t>eflect</w:t>
      </w:r>
      <w:proofErr w:type="gramEnd"/>
      <w:r w:rsidR="00615CE6" w:rsidRPr="009D12C3">
        <w:t xml:space="preserve">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lastRenderedPageBreak/>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8"/>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1E2164">
        <w:t>A.6</w:t>
      </w:r>
      <w:r>
        <w:fldChar w:fldCharType="end"/>
      </w:r>
      <w:r>
        <w:t xml:space="preserve">, </w:t>
      </w:r>
      <w:r>
        <w:fldChar w:fldCharType="begin"/>
      </w:r>
      <w:r>
        <w:instrText xml:space="preserve"> REF _Ref414028398 \r \h </w:instrText>
      </w:r>
      <w:r>
        <w:fldChar w:fldCharType="separate"/>
      </w:r>
      <w:r w:rsidR="001E2164">
        <w:t>A.7.3</w:t>
      </w:r>
      <w:r>
        <w:fldChar w:fldCharType="end"/>
      </w:r>
      <w:r>
        <w:t xml:space="preserve"> and </w:t>
      </w:r>
      <w:r>
        <w:fldChar w:fldCharType="begin"/>
      </w:r>
      <w:r>
        <w:instrText xml:space="preserve"> REF _Ref401748758 \r \h </w:instrText>
      </w:r>
      <w:r>
        <w:fldChar w:fldCharType="separate"/>
      </w:r>
      <w:r w:rsidR="001E2164">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5E108B3C"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F163CD" w:rsidRPr="00B535FE">
        <w:rPr>
          <w:rStyle w:val="AERtexthighlight"/>
          <w:shd w:val="clear" w:color="auto" w:fill="auto"/>
        </w:rPr>
        <w:t>A.14.3</w:t>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lastRenderedPageBreak/>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B535FE">
      <w:pPr>
        <w:pStyle w:val="AERbulletlistthirdstyle"/>
        <w:rPr>
          <w:rStyle w:val="AERtexthighlight"/>
          <w:shd w:val="clear" w:color="auto" w:fill="auto"/>
        </w:rPr>
      </w:pPr>
      <w:proofErr w:type="gramStart"/>
      <w:r w:rsidRPr="00B535FE">
        <w:rPr>
          <w:rStyle w:val="AERtexthighlight"/>
          <w:shd w:val="clear" w:color="auto" w:fill="auto"/>
        </w:rPr>
        <w:t>is</w:t>
      </w:r>
      <w:proofErr w:type="gramEnd"/>
      <w:r w:rsidRPr="00B535FE">
        <w:rPr>
          <w:rStyle w:val="AERtexthighlight"/>
          <w:shd w:val="clear" w:color="auto" w:fill="auto"/>
        </w:rPr>
        <w:t xml:space="preserve">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6C23893A"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sections A14.4</w:t>
      </w:r>
      <w:r w:rsidRPr="00B535FE">
        <w:rPr>
          <w:rStyle w:val="AERbody"/>
        </w:rPr>
        <w:t xml:space="preserve"> and A14.5</w:t>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59"/>
      </w:r>
      <w:r w:rsidR="009D7B99" w:rsidRPr="00B535FE">
        <w:rPr>
          <w:rStyle w:val="AERtexthighlight"/>
          <w:shd w:val="clear" w:color="auto" w:fill="auto"/>
        </w:rPr>
        <w:t xml:space="preserve"> </w:t>
      </w:r>
    </w:p>
    <w:p w14:paraId="4340E27D" w14:textId="63EBC9D6"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 xml:space="preserve">cost of </w:t>
      </w:r>
      <w:proofErr w:type="gramStart"/>
      <w:r w:rsidR="00070475" w:rsidRPr="007B0943">
        <w:rPr>
          <w:rStyle w:val="AERtexthighlight"/>
          <w:shd w:val="clear" w:color="auto" w:fill="auto"/>
        </w:rPr>
        <w:t xml:space="preserve">capital </w:t>
      </w:r>
      <w:r w:rsidRPr="007B0943">
        <w:rPr>
          <w:rStyle w:val="AERtexthighlight"/>
          <w:shd w:val="clear" w:color="auto" w:fill="auto"/>
        </w:rPr>
        <w:t xml:space="preserve"> </w:t>
      </w:r>
      <w:r w:rsidR="00070475" w:rsidRPr="007B0943">
        <w:rPr>
          <w:rStyle w:val="AERtexthighlight"/>
          <w:shd w:val="clear" w:color="auto" w:fill="auto"/>
        </w:rPr>
        <w:t>(</w:t>
      </w:r>
      <w:proofErr w:type="gramEnd"/>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60"/>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w:t>
      </w:r>
      <w:proofErr w:type="gramStart"/>
      <w:r w:rsidR="00070475" w:rsidRPr="007B0943">
        <w:rPr>
          <w:rStyle w:val="AERtexthighlight"/>
          <w:shd w:val="clear" w:color="auto" w:fill="auto"/>
        </w:rPr>
        <w:t xml:space="preserve">are </w:t>
      </w:r>
      <w:r w:rsidR="00402335" w:rsidRPr="007B0943">
        <w:rPr>
          <w:rStyle w:val="AERtexthighlight"/>
          <w:shd w:val="clear" w:color="auto" w:fill="auto"/>
        </w:rPr>
        <w:t xml:space="preserve"> </w:t>
      </w:r>
      <w:r w:rsidRPr="007B0943">
        <w:rPr>
          <w:rStyle w:val="AERtexthighlight"/>
          <w:shd w:val="clear" w:color="auto" w:fill="auto"/>
        </w:rPr>
        <w:t>before</w:t>
      </w:r>
      <w:proofErr w:type="gramEnd"/>
      <w:r w:rsidRPr="007B0943">
        <w:rPr>
          <w:rStyle w:val="AERtexthighlight"/>
          <w:shd w:val="clear" w:color="auto" w:fill="auto"/>
        </w:rPr>
        <w:t xml:space="preserv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1"/>
      </w:r>
      <w:r w:rsidR="00E21D11" w:rsidRPr="007B0943" w:rsidDel="00E21D11">
        <w:rPr>
          <w:rStyle w:val="FootnoteReference"/>
          <w:vertAlign w:val="baseline"/>
        </w:rPr>
        <w:t xml:space="preserve"> </w:t>
      </w:r>
    </w:p>
    <w:p w14:paraId="09B48945" w14:textId="5D4B9165" w:rsidR="00615CE6" w:rsidRPr="00A353B1" w:rsidRDefault="008A70BF" w:rsidP="00A353B1">
      <w:pPr>
        <w:pStyle w:val="Heading9"/>
      </w:pPr>
      <w:r w:rsidRPr="00A353B1">
        <w:t xml:space="preserve">  </w:t>
      </w:r>
      <w:r w:rsidR="00252549" w:rsidRPr="00A353B1">
        <w:t xml:space="preserve">   </w:t>
      </w:r>
      <w:r w:rsidR="004F3A30" w:rsidRPr="00A353B1">
        <w:t xml:space="preserve"> </w:t>
      </w:r>
      <w:bookmarkStart w:id="55" w:name="_Ref400962032"/>
      <w:r w:rsidR="00615CE6" w:rsidRPr="00A353B1">
        <w:t>The tax building block</w:t>
      </w:r>
      <w:bookmarkEnd w:id="55"/>
    </w:p>
    <w:p w14:paraId="6E02CFD7" w14:textId="77777777"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w:t>
      </w:r>
      <w:proofErr w:type="gramStart"/>
      <w:r w:rsidRPr="00721B11">
        <w:t>specify</w:t>
      </w:r>
      <w:proofErr w:type="gramEnd"/>
      <w:r w:rsidRPr="00721B11">
        <w:t xml:space="preserve"> that we must estimate a nominal vanilla rate of return.</w:t>
      </w:r>
      <w:r w:rsidRPr="00721B11">
        <w:rPr>
          <w:rStyle w:val="FootnoteReference"/>
        </w:rPr>
        <w:footnoteReference w:id="162"/>
      </w:r>
      <w:r w:rsidRPr="00721B11">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990689"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990689"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proofErr w:type="gramStart"/>
      <w:r w:rsidR="00615CE6" w:rsidRPr="00615CE6">
        <w:t>is</w:t>
      </w:r>
      <w:proofErr w:type="gramEnd"/>
      <w:r w:rsidR="00615CE6" w:rsidRPr="00615CE6">
        <w:t xml:space="preserve">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w:t>
      </w:r>
      <w:proofErr w:type="gramStart"/>
      <w:r w:rsidRPr="00615CE6">
        <w:t>is</w:t>
      </w:r>
      <w:proofErr w:type="gramEnd"/>
      <w:r w:rsidRPr="00615CE6">
        <w:t xml:space="preserve">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3"/>
      </w:r>
    </w:p>
    <w:p w14:paraId="1942ED40" w14:textId="77777777" w:rsidR="00A3557D" w:rsidRDefault="00A3557D" w:rsidP="00A3557D">
      <w:pPr>
        <w:pStyle w:val="Heading8"/>
      </w:pPr>
      <w:bookmarkStart w:id="56" w:name="_Ref400965182"/>
      <w:bookmarkStart w:id="57" w:name="_Toc433445546"/>
      <w:r w:rsidRPr="00A3557D">
        <w:t>The</w:t>
      </w:r>
      <w:r>
        <w:t xml:space="preserve"> conceptual framework for the value of imputation credits</w:t>
      </w:r>
      <w:bookmarkEnd w:id="56"/>
      <w:bookmarkEnd w:id="57"/>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1E2164">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4"/>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5"/>
      </w:r>
    </w:p>
    <w:p w14:paraId="72823775" w14:textId="77777777" w:rsidR="00A3557D" w:rsidRPr="00A3557D" w:rsidRDefault="00A3557D" w:rsidP="00A3557D">
      <w:pPr>
        <w:pStyle w:val="AERbulletlistfirststyle"/>
      </w:pPr>
      <w:r>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6"/>
      </w:r>
    </w:p>
    <w:p w14:paraId="08966943" w14:textId="77777777" w:rsidR="00A3557D" w:rsidRPr="00A3557D" w:rsidRDefault="00A3557D" w:rsidP="00A3557D">
      <w:pPr>
        <w:pStyle w:val="AERbulletlistfirststyle"/>
      </w:pPr>
      <w:r>
        <w:t xml:space="preserve">The </w:t>
      </w:r>
      <w:r w:rsidR="004569D9">
        <w:t>NER/NGR</w:t>
      </w:r>
      <w:r>
        <w:t xml:space="preserve"> </w:t>
      </w:r>
      <w:proofErr w:type="gramStart"/>
      <w:r>
        <w:t>require</w:t>
      </w:r>
      <w:proofErr w:type="gramEnd"/>
      <w:r>
        <w:t xml:space="preserve"> that we determine the rate of return </w:t>
      </w:r>
      <w:r w:rsidRPr="00A3557D">
        <w:t>on a nominal vanilla basis that is consistent with our estimate of the value of imputation credits.</w:t>
      </w:r>
      <w:r w:rsidRPr="00A3557D">
        <w:rPr>
          <w:rStyle w:val="FootnoteReference"/>
        </w:rPr>
        <w:footnoteReference w:id="167"/>
      </w:r>
    </w:p>
    <w:p w14:paraId="0D50D63B" w14:textId="77777777" w:rsidR="00A3557D" w:rsidRDefault="00A3557D" w:rsidP="00A3557D">
      <w:pPr>
        <w:numPr>
          <w:ilvl w:val="0"/>
          <w:numId w:val="25"/>
        </w:numPr>
      </w:pPr>
      <w:r>
        <w:t xml:space="preserve">Officer describes gamma in different ways, and this is a potential source of ambiguity regarding what the parameter represents and therefore how one might estimate it in practice. Whilst Handley acknowledged that Officer describes gamma in seemingly different </w:t>
      </w:r>
      <w:r>
        <w:lastRenderedPageBreak/>
        <w:t>ways, he advised that, when examined closely, there is no ambiguity in the meaning of Officer. Handley advised:</w:t>
      </w:r>
      <w:r>
        <w:rPr>
          <w:rStyle w:val="FootnoteReference"/>
        </w:rPr>
        <w:footnoteReference w:id="168"/>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proofErr w:type="gramStart"/>
      <w:r w:rsidRPr="00EB15F4">
        <w:t>and</w:t>
      </w:r>
      <w:proofErr w:type="gramEnd"/>
      <w:r w:rsidRPr="00EB15F4">
        <w:t xml:space="preserve">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w:t>
      </w:r>
      <w:proofErr w:type="gramStart"/>
      <w:r w:rsidRPr="00EB15F4">
        <w:rPr>
          <w:rStyle w:val="AERtextitalic"/>
          <w:rFonts w:hint="eastAsia"/>
        </w:rPr>
        <w:t>γ</w:t>
      </w:r>
      <w:proofErr w:type="gramEnd"/>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The Officer framework assumes that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Pr>
          <w:rStyle w:val="FootnoteReference"/>
        </w:rPr>
        <w:footnoteReference w:id="169"/>
      </w:r>
      <w:r>
        <w:t xml:space="preserve"> For example, it is typical for a company to retain some earnings from a previous year to fund part of its future investment, rather than pay out all earnings as dividends and fully </w:t>
      </w:r>
      <w:proofErr w:type="gramStart"/>
      <w:r>
        <w:t>raise</w:t>
      </w:r>
      <w:proofErr w:type="gramEnd"/>
      <w:r>
        <w:t xml:space="preserv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70"/>
      </w:r>
    </w:p>
    <w:p w14:paraId="09030E1C" w14:textId="77777777" w:rsidR="00A3557D" w:rsidRDefault="00A3557D" w:rsidP="00A3557D">
      <w:pPr>
        <w:numPr>
          <w:ilvl w:val="0"/>
          <w:numId w:val="25"/>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w:lastRenderedPageBreak/>
          <m:t>F</m:t>
        </m:r>
      </m:oMath>
      <w:r w:rsidRPr="00A3557D">
        <w:t xml:space="preserve"> </w:t>
      </w:r>
      <w:proofErr w:type="gramStart"/>
      <w:r w:rsidRPr="00A3557D">
        <w:t>is</w:t>
      </w:r>
      <w:proofErr w:type="gramEnd"/>
      <w:r w:rsidRPr="00A3557D">
        <w:t xml:space="preserve">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w:t>
      </w:r>
      <w:proofErr w:type="gramStart"/>
      <w:r w:rsidRPr="00A3557D">
        <w:t>theta</w:t>
      </w:r>
      <w:proofErr w:type="gramEnd"/>
      <w:r w:rsidRPr="00A3557D">
        <w:t>)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w:t>
      </w:r>
      <w:proofErr w:type="gramStart"/>
      <w:r w:rsidRPr="00A3557D">
        <w:t>psi</w:t>
      </w:r>
      <w:proofErr w:type="gramEnd"/>
      <w:r w:rsidRPr="00A3557D">
        <w:t>)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1"/>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2"/>
      </w:r>
    </w:p>
    <w:p w14:paraId="056A8CA5" w14:textId="77777777"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77777777"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that is, our definition of the utilisation rate in this final 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1E2164">
        <w:t>A.5</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1E2164">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1E2164">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xml:space="preserve">,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w:t>
      </w:r>
      <w:proofErr w:type="gramStart"/>
      <w:r>
        <w:t>a</w:t>
      </w:r>
      <w:proofErr w:type="gramEnd"/>
      <w:r>
        <w:t xml:space="preserve"> </w:t>
      </w:r>
      <w:r>
        <w:lastRenderedPageBreak/>
        <w:t>utilisation rate of 1 and others who will have a utilisation rate of 0.</w:t>
      </w:r>
      <w:r>
        <w:rPr>
          <w:rStyle w:val="FootnoteReference"/>
        </w:rPr>
        <w:footnoteReference w:id="173"/>
      </w:r>
      <w:r>
        <w:t xml:space="preserve"> We discuss Handley's advice on this matter further in section </w:t>
      </w:r>
      <w:r>
        <w:fldChar w:fldCharType="begin"/>
      </w:r>
      <w:r>
        <w:instrText xml:space="preserve"> REF _Ref401748758 \r \h </w:instrText>
      </w:r>
      <w:r>
        <w:fldChar w:fldCharType="separate"/>
      </w:r>
      <w:r w:rsidR="001E2164">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proofErr w:type="gramStart"/>
      <w:r>
        <w:t>,</w:t>
      </w:r>
      <w:r w:rsidR="00A3557D">
        <w:t xml:space="preserve"> </w:t>
      </w:r>
      <w:proofErr w:type="gramEnd"/>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4"/>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58" w:name="_Ref414282622"/>
      <w:bookmarkStart w:id="59" w:name="_Toc433445547"/>
      <w:r>
        <w:t>Gray</w:t>
      </w:r>
      <w:r w:rsidR="007D4339">
        <w:t xml:space="preserve">'s </w:t>
      </w:r>
      <w:r w:rsidR="00977EFF">
        <w:t>comments on the conceptual framework</w:t>
      </w:r>
      <w:bookmarkEnd w:id="58"/>
      <w:r w:rsidR="007D4339">
        <w:rPr>
          <w:rStyle w:val="FootnoteReference"/>
        </w:rPr>
        <w:footnoteReference w:id="175"/>
      </w:r>
      <w:bookmarkEnd w:id="59"/>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6"/>
      </w:r>
      <w:r>
        <w:t xml:space="preserve"> We set out our reasoning below.</w:t>
      </w:r>
    </w:p>
    <w:p w14:paraId="158C825C" w14:textId="21CB95B7" w:rsidR="006178F5" w:rsidRDefault="00655F54" w:rsidP="00776237">
      <w:pPr>
        <w:pStyle w:val="Heading9"/>
      </w:pPr>
      <w:bookmarkStart w:id="60" w:name="_Ref402179374"/>
      <w:r>
        <w:lastRenderedPageBreak/>
        <w:t>Gray</w:t>
      </w:r>
      <w:r w:rsidR="006178F5">
        <w:t>'s comments on the AER's position</w:t>
      </w:r>
    </w:p>
    <w:p w14:paraId="4A71C73B" w14:textId="13BFD10D"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proofErr w:type="gramStart"/>
      <w:r w:rsidR="006178F5">
        <w:t>'.</w:t>
      </w:r>
      <w:proofErr w:type="gramEnd"/>
      <w:r w:rsidR="006178F5">
        <w:rPr>
          <w:rStyle w:val="FootnoteReference"/>
        </w:rPr>
        <w:footnoteReference w:id="177"/>
      </w:r>
      <w:r w:rsidR="006178F5">
        <w:t xml:space="preserve"> This is incorrect. Our definition of the utilisation rate in this final 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1E2164">
        <w:t>A.7.3</w:t>
      </w:r>
      <w:r w:rsidR="005A4862">
        <w:fldChar w:fldCharType="end"/>
      </w:r>
      <w:r w:rsidR="005A4862">
        <w:t>.</w:t>
      </w:r>
    </w:p>
    <w:p w14:paraId="09F50B0A" w14:textId="2B460415"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8"/>
      </w:r>
      <w:r w:rsidR="00207CDF">
        <w:t xml:space="preserve"> This is also incorrect. In this final 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final 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79"/>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1E2164">
        <w:t>4.4.2</w:t>
      </w:r>
      <w:r w:rsidR="00192A3E">
        <w:fldChar w:fldCharType="end"/>
      </w:r>
      <w:r w:rsidR="00192A3E">
        <w:t xml:space="preserve"> of attachment 4</w:t>
      </w:r>
      <w:r>
        <w:t>.</w:t>
      </w:r>
    </w:p>
    <w:p w14:paraId="2F54D367" w14:textId="40C3A87A" w:rsidR="00776237" w:rsidRDefault="000D7365" w:rsidP="00776237">
      <w:pPr>
        <w:pStyle w:val="Heading9"/>
      </w:pPr>
      <w:r>
        <w:t>Gray</w:t>
      </w:r>
      <w:r w:rsidR="00776237">
        <w:t xml:space="preserve">'s comments on </w:t>
      </w:r>
      <w:r w:rsidR="004A2B49">
        <w:t>certain</w:t>
      </w:r>
      <w:r w:rsidR="00776237">
        <w:t xml:space="preserve"> evidence and advice cited in the Guideline</w:t>
      </w:r>
      <w:bookmarkEnd w:id="60"/>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80"/>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t>McKenzie and Parting</w:t>
      </w:r>
      <w:r w:rsidR="00992993">
        <w:t>t</w:t>
      </w:r>
      <w:r>
        <w:t>on (2013)</w:t>
      </w:r>
    </w:p>
    <w:p w14:paraId="7A09C41D" w14:textId="77777777" w:rsidR="00776237" w:rsidRDefault="00776237" w:rsidP="00776237">
      <w:pPr>
        <w:pStyle w:val="AERbulletlistfirststyle"/>
      </w:pPr>
      <w:r>
        <w:lastRenderedPageBreak/>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1"/>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2"/>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61" w:name="_Ref414028398"/>
      <w:r>
        <w:t>Gray</w:t>
      </w:r>
      <w:r w:rsidR="00082AC5">
        <w:t>'s comments on Offi</w:t>
      </w:r>
      <w:r w:rsidR="00F650D2">
        <w:t>cer (1994)</w:t>
      </w:r>
      <w:bookmarkEnd w:id="61"/>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w:t>
      </w:r>
      <w:proofErr w:type="gramStart"/>
      <w:r>
        <w:t>SFG,</w:t>
      </w:r>
      <w:proofErr w:type="gramEnd"/>
      <w:r>
        <w:t xml:space="preserve">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3"/>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t xml:space="preserve">(b) Officer means gamma to have </w:t>
      </w:r>
      <w:proofErr w:type="gramStart"/>
      <w:r>
        <w:t>a</w:t>
      </w:r>
      <w:proofErr w:type="gramEnd"/>
      <w:r>
        <w:t xml:space="preserve">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4"/>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5"/>
      </w:r>
    </w:p>
    <w:p w14:paraId="38C38CC4" w14:textId="77777777" w:rsidR="00C7355B" w:rsidRDefault="00E97C81" w:rsidP="00E97C81">
      <w:pPr>
        <w:pStyle w:val="AERquote"/>
      </w:pPr>
      <w:r>
        <w:lastRenderedPageBreak/>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6"/>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7"/>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8"/>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89"/>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lastRenderedPageBreak/>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90"/>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1"/>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990689"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proofErr w:type="gramStart"/>
      <w:r>
        <w:t>where</w:t>
      </w:r>
      <w:proofErr w:type="gramEnd"/>
      <w:r>
        <w:t xml:space="preserv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 xml:space="preserve">credits that might be redeemed, but the extent to which imputation credits </w:t>
      </w:r>
      <w:proofErr w:type="gramStart"/>
      <w:r w:rsidR="00DE138E" w:rsidRPr="00DE138E">
        <w:t>increase</w:t>
      </w:r>
      <w:proofErr w:type="gramEnd"/>
      <w:r w:rsidR="00DE138E" w:rsidRPr="00DE138E">
        <w:t xml:space="preserv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2"/>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lastRenderedPageBreak/>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3"/>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4"/>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w:t>
      </w:r>
      <w:proofErr w:type="gramStart"/>
      <w:r>
        <w:t xml:space="preserve">by </w:t>
      </w:r>
      <w:proofErr w:type="gramEnd"/>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w:t>
      </w:r>
      <w:proofErr w:type="gramStart"/>
      <w:r>
        <w:t xml:space="preserve">is </w:t>
      </w:r>
      <w:proofErr w:type="gramEnd"/>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w:t>
      </w:r>
      <w:proofErr w:type="gramStart"/>
      <w:r>
        <w:t xml:space="preserve">is </w:t>
      </w:r>
      <w:proofErr w:type="gramEnd"/>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5"/>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990689"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77777777" w:rsidR="00E75754" w:rsidRDefault="00D1409A" w:rsidP="00D1409A">
      <w:pPr>
        <w:pStyle w:val="AERquote"/>
      </w:pPr>
      <w:proofErr w:type="gramStart"/>
      <w:r>
        <w:t>where</w:t>
      </w:r>
      <w:proofErr w:type="gramEnd"/>
      <w:r>
        <w:t xml:space="preserv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4F183322" w14:textId="77777777" w:rsidR="00B27E42" w:rsidRDefault="007D06B6" w:rsidP="00B4676D">
      <w:r>
        <w:t>Gitman et al</w:t>
      </w:r>
      <w:r w:rsidR="004A70E0">
        <w:t xml:space="preserve"> (2011)</w:t>
      </w:r>
      <w:r>
        <w:t>:</w:t>
      </w:r>
      <w:r w:rsidR="004179E8">
        <w:rPr>
          <w:rStyle w:val="FootnoteReference"/>
        </w:rPr>
        <w:footnoteReference w:id="196"/>
      </w:r>
    </w:p>
    <w:p w14:paraId="6E6E8F38" w14:textId="77777777" w:rsidR="007D06B6" w:rsidRDefault="000228A2" w:rsidP="000228A2">
      <w:pPr>
        <w:pStyle w:val="AERquote"/>
      </w:pPr>
      <w:r>
        <w:lastRenderedPageBreak/>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w:t>
      </w:r>
      <w:proofErr w:type="gramStart"/>
      <w:r>
        <w:t xml:space="preserve">of </w:t>
      </w:r>
      <w:proofErr w:type="gramEnd"/>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7"/>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8"/>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199"/>
      </w:r>
    </w:p>
    <w:p w14:paraId="634C6D5F" w14:textId="77777777" w:rsidR="0078255A" w:rsidRDefault="00CD6F28" w:rsidP="0078255A">
      <w:pPr>
        <w:pStyle w:val="AERquote"/>
      </w:pPr>
      <w:r>
        <w:t>…</w:t>
      </w: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200"/>
      </w:r>
    </w:p>
    <w:p w14:paraId="3164CDB6" w14:textId="77777777" w:rsidR="00800C8B" w:rsidRDefault="00800C8B" w:rsidP="00B4676D">
      <w:r>
        <w:t>Gray also quoted:</w:t>
      </w:r>
      <w:r>
        <w:rPr>
          <w:rStyle w:val="FootnoteReference"/>
        </w:rPr>
        <w:footnoteReference w:id="201"/>
      </w:r>
    </w:p>
    <w:p w14:paraId="03348BEC" w14:textId="77777777" w:rsidR="00800C8B" w:rsidRPr="00800C8B" w:rsidRDefault="00800C8B" w:rsidP="00800C8B">
      <w:pPr>
        <w:pStyle w:val="AERquote"/>
      </w:pPr>
      <w:r w:rsidRPr="00800C8B">
        <w:lastRenderedPageBreak/>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2"/>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 xml:space="preserve">reduced </w:t>
      </w:r>
      <w:proofErr w:type="gramStart"/>
      <w:r w:rsidRPr="00FE64B7">
        <w:t>effect,</w:t>
      </w:r>
      <w:proofErr w:type="gramEnd"/>
      <w:r w:rsidRPr="00FE64B7">
        <w:t xml:space="preserve">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3"/>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4"/>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support of the position that the equity ownership approach is not an appropriate way to estimate the value of distributed imputation credits</w:t>
      </w:r>
      <w:r w:rsidR="00391493">
        <w:t>.</w:t>
      </w:r>
      <w:r w:rsidR="0022220C">
        <w:rPr>
          <w:rStyle w:val="FootnoteReference"/>
        </w:rPr>
        <w:footnoteReference w:id="205"/>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w:t>
      </w:r>
      <w:r w:rsidR="00391493">
        <w:lastRenderedPageBreak/>
        <w:t>available evidence with the intention of contributing to the policy debate around the efficacy of dividend imputation.</w:t>
      </w:r>
      <w:r w:rsidR="00391493">
        <w:rPr>
          <w:rStyle w:val="FootnoteReference"/>
        </w:rPr>
        <w:footnoteReference w:id="206"/>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7"/>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14:paraId="3F055C89" w14:textId="21E68FFB"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equity ownership approach that  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8"/>
      </w:r>
      <w:r w:rsidR="00B56748">
        <w:t xml:space="preserve"> the paper makes clear this evidence needs to be treated with caution stating:</w:t>
      </w:r>
      <w:r w:rsidR="00B56748">
        <w:rPr>
          <w:rStyle w:val="FootnoteReference"/>
        </w:rPr>
        <w:footnoteReference w:id="209"/>
      </w:r>
    </w:p>
    <w:p w14:paraId="6486452A" w14:textId="1E26351F" w:rsidR="00B56748" w:rsidRDefault="00B56748" w:rsidP="00144D81">
      <w:pPr>
        <w:pStyle w:val="AERquote"/>
      </w:pPr>
      <w:r w:rsidRPr="00B56748">
        <w:t xml:space="preserve">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w:t>
      </w:r>
      <w:r w:rsidRPr="00B56748">
        <w:lastRenderedPageBreak/>
        <w:t>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10"/>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r>
        <w:t>Gray</w:t>
      </w:r>
      <w:r w:rsidR="00960F6E">
        <w:t>'s comments on the Monkhouse framework</w:t>
      </w:r>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w:t>
      </w:r>
      <w:proofErr w:type="gramStart"/>
      <w:r w:rsidRPr="00A3557D">
        <w:t>theta</w:t>
      </w:r>
      <w:proofErr w:type="gramEnd"/>
      <w:r w:rsidRPr="00A3557D">
        <w:t>)</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1"/>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upon which a number of service providers rely, holds the same view</w:t>
      </w:r>
      <w:r w:rsidR="00FE339F">
        <w:t xml:space="preserve"> and notes the inconsistency between Lally and Handley's advice on this point</w:t>
      </w:r>
      <w:r w:rsidR="009F6A0B">
        <w:rPr>
          <w:rStyle w:val="FootnoteReference"/>
        </w:rPr>
        <w:footnoteReference w:id="212"/>
      </w:r>
    </w:p>
    <w:p w14:paraId="6CD536D6" w14:textId="55F01A3F" w:rsidR="00B34D36" w:rsidRDefault="00B34D36" w:rsidP="004D16B8">
      <w:r>
        <w:lastRenderedPageBreak/>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3"/>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proofErr w:type="gramStart"/>
      <w:r>
        <w:t>the</w:t>
      </w:r>
      <w:proofErr w:type="gramEnd"/>
      <w:r>
        <w:t xml:space="preserv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4"/>
      </w:r>
    </w:p>
    <w:p w14:paraId="22C5A10E" w14:textId="77777777" w:rsidR="00BE1E99" w:rsidRDefault="00BE1E99" w:rsidP="00BE1E99">
      <w:pPr>
        <w:pStyle w:val="AERquote"/>
      </w:pPr>
      <w:r>
        <w:t xml:space="preserve">[The relevant class of CAPM models] derive </w:t>
      </w:r>
      <w:proofErr w:type="gramStart"/>
      <w:r>
        <w:t>an equilibrium</w:t>
      </w:r>
      <w:proofErr w:type="gramEnd"/>
      <w:r>
        <w:t xml:space="preserve"> by solving a market clearing condition. This involves noting that:</w:t>
      </w:r>
    </w:p>
    <w:p w14:paraId="12C05913" w14:textId="77777777" w:rsidR="00BE1E99" w:rsidRDefault="00BE1E99" w:rsidP="00BE1E99">
      <w:pPr>
        <w:pStyle w:val="AERquote"/>
      </w:pPr>
      <w:r>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5"/>
      </w:r>
    </w:p>
    <w:p w14:paraId="79CC0562" w14:textId="77777777" w:rsidR="00EC0B07" w:rsidRDefault="00E5555B" w:rsidP="00EC0B07">
      <w:pPr>
        <w:pStyle w:val="AERquote"/>
      </w:pPr>
      <w:r>
        <w:t xml:space="preserve">[SFG’s claim that </w:t>
      </w:r>
      <w:proofErr w:type="gramStart"/>
      <w:r>
        <w:t>a representative</w:t>
      </w:r>
      <w:proofErr w:type="gramEnd"/>
      <w:r>
        <w:t xml:space="preser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t xml:space="preserve">An alternative and less extreme assumption which is implicit in the use of a “domestic” version of the CAPM is that any assets outside the model and any investors outside the model are not relevant for determining the prices of the assets </w:t>
      </w:r>
      <w:r>
        <w:lastRenderedPageBreak/>
        <w:t>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not relevant to 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6"/>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7"/>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8"/>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62" w:name="_Ref414623120"/>
      <w:bookmarkStart w:id="63" w:name="_Toc433445548"/>
      <w:r>
        <w:t>Further issues relating to the utilisation rate</w:t>
      </w:r>
      <w:bookmarkEnd w:id="62"/>
      <w:bookmarkEnd w:id="63"/>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1E2164">
        <w:t>A.6</w:t>
      </w:r>
      <w:r>
        <w:fldChar w:fldCharType="end"/>
      </w:r>
      <w:r>
        <w:t xml:space="preserve">, and in section </w:t>
      </w:r>
      <w:r w:rsidR="0003311D">
        <w:fldChar w:fldCharType="begin"/>
      </w:r>
      <w:r w:rsidR="0003311D">
        <w:instrText xml:space="preserve"> REF _Ref414289593 \r \h </w:instrText>
      </w:r>
      <w:r w:rsidR="0003311D">
        <w:fldChar w:fldCharType="separate"/>
      </w:r>
      <w:r w:rsidR="001E2164">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1E2164">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 xml:space="preserve">Therefore, we consider that eligible investors have </w:t>
      </w:r>
      <w:proofErr w:type="gramStart"/>
      <w:r w:rsidRPr="00EB5361">
        <w:t>a</w:t>
      </w:r>
      <w:proofErr w:type="gramEnd"/>
      <w:r w:rsidRPr="00EB5361">
        <w:t xml:space="preserve">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w:t>
      </w:r>
      <w:proofErr w:type="gramStart"/>
      <w:r w:rsidRPr="00EB5361">
        <w:t>a</w:t>
      </w:r>
      <w:proofErr w:type="gramEnd"/>
      <w:r w:rsidRPr="00EB5361">
        <w:t xml:space="preserve"> 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lastRenderedPageBreak/>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proofErr w:type="gramStart"/>
      <w:r>
        <w:t>respond</w:t>
      </w:r>
      <w:proofErr w:type="gramEnd"/>
      <w:r>
        <w:t xml:space="preserve"> to NERA's view.</w:t>
      </w:r>
    </w:p>
    <w:p w14:paraId="304276F6" w14:textId="77777777" w:rsidR="00600543" w:rsidRDefault="00600543" w:rsidP="00600543">
      <w:pPr>
        <w:pStyle w:val="Heading9"/>
      </w:pPr>
      <w:bookmarkStart w:id="64" w:name="_Ref401748758"/>
      <w:r w:rsidRPr="00600543">
        <w:t>Consistency</w:t>
      </w:r>
      <w:r>
        <w:t xml:space="preserve"> with the building block framework</w:t>
      </w:r>
      <w:bookmarkEnd w:id="64"/>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an investor that is eligible to fully 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19"/>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20"/>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1"/>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2"/>
      </w:r>
    </w:p>
    <w:p w14:paraId="1D0F8D2A" w14:textId="77777777" w:rsidR="007017ED" w:rsidRDefault="004A726F" w:rsidP="004A726F">
      <w:pPr>
        <w:pStyle w:val="AERquote"/>
      </w:pPr>
      <w:r w:rsidRPr="004A726F">
        <w:lastRenderedPageBreak/>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0BC8AA5C"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and maintain in this final decision,</w:t>
      </w:r>
      <w:r w:rsidR="00CF7CCA">
        <w:t xml:space="preserve"> that the Officer framework provides the basis for the rate of return framework in the NER/NGR.</w:t>
      </w:r>
      <w:r w:rsidR="00CF7CCA">
        <w:rPr>
          <w:rStyle w:val="FootnoteReference"/>
        </w:rPr>
        <w:footnoteReference w:id="223"/>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1E2164">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w:t>
      </w:r>
      <w:proofErr w:type="gramStart"/>
      <w:r w:rsidR="00446B6C">
        <w:t>employ</w:t>
      </w:r>
      <w:proofErr w:type="gramEnd"/>
      <w:r w:rsidR="00446B6C">
        <w:t xml:space="preserve">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and gamma forms part of the Officer framework</w:t>
      </w:r>
      <w:r w:rsidR="00446B6C">
        <w:t xml:space="preserve">. </w:t>
      </w:r>
      <w:r w:rsidR="00E21F6C">
        <w:t>We consider that proper regard to the NER/NGR</w:t>
      </w:r>
      <w:r w:rsidR="001D62E9">
        <w:t xml:space="preserve">'s use of the Officer </w:t>
      </w:r>
      <w:proofErr w:type="gramStart"/>
      <w:r w:rsidR="001D62E9">
        <w:t>framework</w:t>
      </w:r>
      <w:proofErr w:type="gramEnd"/>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lastRenderedPageBreak/>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4"/>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5"/>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6"/>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t xml:space="preserve">SFG (2015 para. 124-135) also suggests that the mathematical formulae in Officer (1994) support a value interpretation of gamma but not a redemption value </w:t>
      </w:r>
      <w:r w:rsidRPr="00DC6340">
        <w:rPr>
          <w:rStyle w:val="AERtexthighlight"/>
          <w:shd w:val="clear" w:color="auto" w:fill="auto"/>
        </w:rPr>
        <w:lastRenderedPageBreak/>
        <w:t>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65" w:name="_Ref414099389"/>
      <w:r>
        <w:t>Factors affecting investors' valuation of imputation credits</w:t>
      </w:r>
      <w:bookmarkEnd w:id="65"/>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investors' valuation of imputation credits.</w:t>
      </w:r>
      <w:r w:rsidR="000515FE">
        <w:rPr>
          <w:rStyle w:val="FootnoteReference"/>
        </w:rPr>
        <w:footnoteReference w:id="227"/>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8"/>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29"/>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30"/>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w:t>
      </w:r>
      <w:r w:rsidRPr="00E23E1D">
        <w:lastRenderedPageBreak/>
        <w:t xml:space="preserve">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w:t>
      </w:r>
      <w:proofErr w:type="gramStart"/>
      <w:r w:rsidRPr="00E23E1D">
        <w:t>a reliable estimate of the effect of the 45</w:t>
      </w:r>
      <w:r>
        <w:t>-</w:t>
      </w:r>
      <w:r w:rsidRPr="00E23E1D">
        <w:t>day holding rule</w:t>
      </w:r>
      <w:proofErr w:type="gramEnd"/>
      <w:r w:rsidRPr="00E23E1D">
        <w:t xml:space="preserve">, then they would have used it. </w:t>
      </w:r>
      <w:r>
        <w:t>As Handley stated in his 2010 paper, he 'is not aware of any data on the extent to which credits have been denied pursuant to this rule'.</w:t>
      </w:r>
      <w:r>
        <w:rPr>
          <w:rStyle w:val="FootnoteReference"/>
        </w:rPr>
        <w:footnoteReference w:id="231"/>
      </w:r>
      <w:r w:rsidR="00106C16">
        <w:t xml:space="preserve"> Handley maintained this view in his April 2015 report.</w:t>
      </w:r>
      <w:r w:rsidR="00106C16">
        <w:rPr>
          <w:rStyle w:val="FootnoteReference"/>
        </w:rPr>
        <w:footnoteReference w:id="232"/>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3"/>
      </w:r>
      <w:r>
        <w:t xml:space="preserve"> We know that the amount of imputation credits attached to a dollar of fully franked dividends is $0.43 ($1 x 0.3</w:t>
      </w:r>
      <w:proofErr w:type="gramStart"/>
      <w:r>
        <w:t>/(</w:t>
      </w:r>
      <w:proofErr w:type="gramEnd"/>
      <w:r>
        <w:t>1–0.3)).</w:t>
      </w:r>
      <w:r w:rsidR="00D712D1">
        <w:rPr>
          <w:rStyle w:val="FootnoteReference"/>
        </w:rPr>
        <w:footnoteReference w:id="234"/>
      </w:r>
      <w:r>
        <w:t xml:space="preserve"> Accordingly, we can compare the amount of imputation credits utilised by taxpayers with the amount of imputation credits received by those taxpayers as implied by the amount of fully </w:t>
      </w:r>
      <w:r>
        <w:lastRenderedPageBreak/>
        <w:t xml:space="preserve">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1E2164">
        <w:t xml:space="preserve">Table </w:t>
      </w:r>
      <w:r w:rsidR="001E2164">
        <w:rPr>
          <w:noProof/>
        </w:rPr>
        <w:t>4</w:t>
      </w:r>
      <w:r w:rsidR="001E2164">
        <w:noBreakHyphen/>
      </w:r>
      <w:r w:rsidR="001E2164">
        <w:rPr>
          <w:noProof/>
        </w:rPr>
        <w:t>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Pr>
          <w:rStyle w:val="FootnoteReference"/>
        </w:rPr>
        <w:footnoteReference w:id="235"/>
      </w:r>
      <w:r>
        <w:t xml:space="preserve"> This suggests that the 45-day holding rule is not having a material effect.</w:t>
      </w:r>
    </w:p>
    <w:p w14:paraId="1775C6C8" w14:textId="77777777" w:rsidR="00D52BA6" w:rsidRDefault="00D52BA6" w:rsidP="00D52BA6">
      <w:pPr>
        <w:pStyle w:val="Caption"/>
      </w:pPr>
      <w:bookmarkStart w:id="66" w:name="_Ref401848641"/>
      <w:r>
        <w:t xml:space="preserve">Table </w:t>
      </w:r>
      <w:fldSimple w:instr=" STYLEREF 1 \s ">
        <w:r w:rsidR="001E2164">
          <w:rPr>
            <w:noProof/>
          </w:rPr>
          <w:t>4</w:t>
        </w:r>
      </w:fldSimple>
      <w:r w:rsidR="00257FBE">
        <w:noBreakHyphen/>
      </w:r>
      <w:fldSimple w:instr=" SEQ Table \* ARABIC \s 1 ">
        <w:r w:rsidR="001E2164">
          <w:rPr>
            <w:noProof/>
          </w:rPr>
          <w:t>6</w:t>
        </w:r>
      </w:fldSimple>
      <w:bookmarkEnd w:id="66"/>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proofErr w:type="gramStart"/>
      <w:r w:rsidRPr="000757ED">
        <w:rPr>
          <w:rStyle w:val="AERtextitalic"/>
        </w:rPr>
        <w:t>?</w:t>
      </w:r>
      <w:r w:rsidRPr="000757ED">
        <w:t>,</w:t>
      </w:r>
      <w:proofErr w:type="gramEnd"/>
      <w:r w:rsidRPr="000757ED">
        <w:t xml:space="preserve">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6"/>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 xml:space="preserve">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w:t>
      </w:r>
      <w:r>
        <w:lastRenderedPageBreak/>
        <w:t>tax statistics is approximately</w:t>
      </w:r>
      <w:r w:rsidR="000B7BB5">
        <w:t xml:space="preserve"> 0.43, which is well below the domestic equity ownership rate for all equity.</w:t>
      </w:r>
    </w:p>
    <w:p w14:paraId="752D932D" w14:textId="64A2EF76" w:rsidR="00150117" w:rsidRDefault="00E05D4A" w:rsidP="0005367F">
      <w:r>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7"/>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8"/>
      </w:r>
      <w:r w:rsidR="00D21B03">
        <w:t xml:space="preserve"> we do not consider the above analysis provides compelling evidence that the 45 day rule is having a material impact given residual concerns with the data.</w:t>
      </w:r>
    </w:p>
    <w:p w14:paraId="70741A75" w14:textId="2C7EEA08"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 xml:space="preserve"> 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39"/>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67" w:name="_Ref400540858"/>
      <w:r>
        <w:t>Transactions costs</w:t>
      </w:r>
      <w:bookmarkEnd w:id="67"/>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40"/>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lastRenderedPageBreak/>
        <w:t xml:space="preserve">Firstly, we note that </w:t>
      </w:r>
      <w:r w:rsidR="00A24531">
        <w:t>Handley advised that we specifically not take account of these costs:</w:t>
      </w:r>
      <w:r w:rsidR="00A24531">
        <w:rPr>
          <w:rStyle w:val="FootnoteReference"/>
        </w:rPr>
        <w:footnoteReference w:id="241"/>
      </w:r>
    </w:p>
    <w:p w14:paraId="76F8E94A" w14:textId="77777777" w:rsidR="00A24531" w:rsidRDefault="00A24531" w:rsidP="00A24531">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2"/>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3"/>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4"/>
      </w:r>
      <w:r w:rsidR="005A184F">
        <w:t xml:space="preserve"> In response, we note that:</w:t>
      </w:r>
    </w:p>
    <w:p w14:paraId="01B60A42" w14:textId="77777777" w:rsidR="005A184F" w:rsidRPr="005A184F" w:rsidRDefault="005A184F" w:rsidP="005A184F">
      <w:pPr>
        <w:pStyle w:val="AERbulletlistfirststyle"/>
      </w:pPr>
      <w:r>
        <w:lastRenderedPageBreak/>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5"/>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6"/>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7"/>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1E2164">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20AE11EB"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w:t>
      </w:r>
      <w:r w:rsidR="00545E09">
        <w:lastRenderedPageBreak/>
        <w:t>distributed imputation credits'.</w:t>
      </w:r>
      <w:r w:rsidR="00545E09">
        <w:rPr>
          <w:rStyle w:val="FootnoteReference"/>
        </w:rPr>
        <w:footnoteReference w:id="248"/>
      </w:r>
      <w:r w:rsidR="00545E09">
        <w:t xml:space="preserve"> In support of this, </w:t>
      </w:r>
      <w:r w:rsidR="004136CE">
        <w:t>a number of</w:t>
      </w:r>
      <w:r w:rsidR="00545E09">
        <w:t xml:space="preserve"> service</w:t>
      </w:r>
      <w:r w:rsidR="00FB6971">
        <w:t xml:space="preserve"> providers presented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rsidR="00545E09">
        <w:t xml:space="preserve">. </w:t>
      </w:r>
    </w:p>
    <w:p w14:paraId="7FBEC5DE" w14:textId="77777777" w:rsidR="00545B75" w:rsidRDefault="00A7103E" w:rsidP="00A7103E">
      <w:pPr>
        <w:pStyle w:val="Caption"/>
      </w:pPr>
      <w:bookmarkStart w:id="68" w:name="_Ref415078600"/>
      <w:r>
        <w:t xml:space="preserve">Figure </w:t>
      </w:r>
      <w:fldSimple w:instr=" STYLEREF 1 \s ">
        <w:r w:rsidR="001E2164">
          <w:rPr>
            <w:noProof/>
          </w:rPr>
          <w:t>4</w:t>
        </w:r>
      </w:fldSimple>
      <w:r>
        <w:noBreakHyphen/>
      </w:r>
      <w:fldSimple w:instr=" SEQ Figure \* ARABIC \s 1 ">
        <w:r w:rsidR="001E2164">
          <w:rPr>
            <w:noProof/>
          </w:rPr>
          <w:t>1</w:t>
        </w:r>
      </w:fldSimple>
      <w:bookmarkEnd w:id="68"/>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77777777" w:rsidR="006B28F5" w:rsidRDefault="006B28F5" w:rsidP="006B28F5">
      <w:pPr>
        <w:pStyle w:val="Caption"/>
      </w:pPr>
      <w:bookmarkStart w:id="69" w:name="_Ref415078618"/>
      <w:r>
        <w:lastRenderedPageBreak/>
        <w:t xml:space="preserve">Figure </w:t>
      </w:r>
      <w:fldSimple w:instr=" STYLEREF 1 \s ">
        <w:r w:rsidR="001E2164">
          <w:rPr>
            <w:noProof/>
          </w:rPr>
          <w:t>4</w:t>
        </w:r>
      </w:fldSimple>
      <w:r>
        <w:noBreakHyphen/>
      </w:r>
      <w:fldSimple w:instr=" SEQ Figure \* ARABIC \s 1 ">
        <w:r w:rsidR="001E2164">
          <w:rPr>
            <w:noProof/>
          </w:rPr>
          <w:t>2</w:t>
        </w:r>
      </w:fldSimple>
      <w:bookmarkEnd w:id="69"/>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38B42455" w:rsidR="00A067BD" w:rsidRDefault="00545E09" w:rsidP="00F56EED">
      <w:r>
        <w:t xml:space="preserve">This notwithstanding, we consider that there are a number of problems with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3E93D659" w:rsidR="00605B17" w:rsidRDefault="002C3021" w:rsidP="00F56EED">
      <w:r>
        <w:t xml:space="preserve">The key difference between the figures is that in </w:t>
      </w:r>
      <w:r w:rsidR="00FB6971">
        <w:fldChar w:fldCharType="begin"/>
      </w:r>
      <w:r w:rsidR="00FB6971">
        <w:instrText xml:space="preserve"> REF  _Ref415078600 \* Lower \h </w:instrText>
      </w:r>
      <w:r w:rsidR="00FB6971">
        <w:fldChar w:fldCharType="separate"/>
      </w:r>
      <w:r w:rsidR="001E2164">
        <w:t xml:space="preserve">figure </w:t>
      </w:r>
      <w:r w:rsidR="001E2164">
        <w:rPr>
          <w:noProof/>
        </w:rPr>
        <w:t>4</w:t>
      </w:r>
      <w:r w:rsidR="001E2164">
        <w:noBreakHyphen/>
      </w:r>
      <w:r w:rsidR="001E2164">
        <w:rPr>
          <w:noProof/>
        </w:rPr>
        <w:t>1</w:t>
      </w:r>
      <w:r w:rsidR="00FB6971">
        <w:fldChar w:fldCharType="end"/>
      </w:r>
      <w:r w:rsidR="00E83279">
        <w:t xml:space="preserve"> the SFG estimate of the value of distributed credits is ultimately compared to the refined share of foreign ownership of listed equity, and in </w:t>
      </w:r>
      <w:r w:rsidR="00FB6971">
        <w:fldChar w:fldCharType="begin"/>
      </w:r>
      <w:r w:rsidR="00FB6971">
        <w:instrText xml:space="preserve"> REF  _Ref415078618 \* Lower \h </w:instrText>
      </w:r>
      <w:r w:rsidR="00FB6971">
        <w:fldChar w:fldCharType="separate"/>
      </w:r>
      <w:r w:rsidR="001E2164">
        <w:t xml:space="preserve">figure </w:t>
      </w:r>
      <w:r w:rsidR="001E2164">
        <w:rPr>
          <w:noProof/>
        </w:rPr>
        <w:t>4</w:t>
      </w:r>
      <w:r w:rsidR="001E2164">
        <w:noBreakHyphen/>
      </w:r>
      <w:r w:rsidR="001E2164">
        <w:rPr>
          <w:noProof/>
        </w:rPr>
        <w:t>2</w:t>
      </w:r>
      <w:r w:rsidR="00FB6971">
        <w:fldChar w:fldCharType="end"/>
      </w:r>
      <w:r w:rsidR="00FB6971">
        <w:t xml:space="preserve"> </w:t>
      </w:r>
      <w:r w:rsidR="00E83279">
        <w:t>the comparison is made with the refined share of foreign</w:t>
      </w:r>
      <w:r w:rsidR="00545E09">
        <w:t xml:space="preserve"> </w:t>
      </w:r>
      <w:r w:rsidR="00E83279">
        <w:t>ownership 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w:t>
      </w:r>
      <w:r w:rsidR="004D44E4">
        <w:lastRenderedPageBreak/>
        <w:t xml:space="preserve">estimate will represent </w:t>
      </w:r>
      <w:r w:rsidR="00246058">
        <w:t>'an average across all listed firms'.</w:t>
      </w:r>
      <w:r w:rsidR="00246058">
        <w:rPr>
          <w:rStyle w:val="FootnoteReference"/>
        </w:rPr>
        <w:footnoteReference w:id="249"/>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A24B51">
        <w:fldChar w:fldCharType="begin"/>
      </w:r>
      <w:r w:rsidR="00A24B51">
        <w:instrText xml:space="preserve"> REF  _Ref415078618 \* Lower \h </w:instrText>
      </w:r>
      <w:r w:rsidR="00A24B51">
        <w:fldChar w:fldCharType="separate"/>
      </w:r>
      <w:r w:rsidR="001E2164">
        <w:t xml:space="preserve">figure </w:t>
      </w:r>
      <w:r w:rsidR="001E2164">
        <w:rPr>
          <w:noProof/>
        </w:rPr>
        <w:t>4</w:t>
      </w:r>
      <w:r w:rsidR="001E2164">
        <w:noBreakHyphen/>
      </w:r>
      <w:r w:rsidR="001E2164">
        <w:rPr>
          <w:noProof/>
        </w:rPr>
        <w:t>2</w:t>
      </w:r>
      <w:r w:rsidR="00A24B51">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C853B7"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3E2CFF">
        <w:fldChar w:fldCharType="begin"/>
      </w:r>
      <w:r w:rsidR="003E2CFF">
        <w:instrText xml:space="preserve"> REF  _Ref415078600 \* Lower \h </w:instrText>
      </w:r>
      <w:r w:rsidR="003E2CFF">
        <w:fldChar w:fldCharType="separate"/>
      </w:r>
      <w:r w:rsidR="001E2164">
        <w:t xml:space="preserve">figure </w:t>
      </w:r>
      <w:r w:rsidR="001E2164">
        <w:rPr>
          <w:noProof/>
        </w:rPr>
        <w:t>4</w:t>
      </w:r>
      <w:r w:rsidR="001E2164">
        <w:noBreakHyphen/>
      </w:r>
      <w:r w:rsidR="001E2164">
        <w:rPr>
          <w:noProof/>
        </w:rPr>
        <w:t>1</w:t>
      </w:r>
      <w:r w:rsidR="003E2CFF">
        <w:fldChar w:fldCharType="end"/>
      </w:r>
      <w:r w:rsidR="003E2CFF">
        <w:t xml:space="preserve"> and </w:t>
      </w:r>
      <w:r w:rsidR="003E2CFF">
        <w:fldChar w:fldCharType="begin"/>
      </w:r>
      <w:r w:rsidR="003E2CFF">
        <w:instrText xml:space="preserve"> REF  _Ref415078618 \* Lower \h </w:instrText>
      </w:r>
      <w:r w:rsidR="003E2CFF">
        <w:fldChar w:fldCharType="separate"/>
      </w:r>
      <w:r w:rsidR="001E2164">
        <w:t xml:space="preserve">figure </w:t>
      </w:r>
      <w:r w:rsidR="001E2164">
        <w:rPr>
          <w:noProof/>
        </w:rPr>
        <w:t>4</w:t>
      </w:r>
      <w:r w:rsidR="001E2164">
        <w:noBreakHyphen/>
      </w:r>
      <w:r w:rsidR="001E2164">
        <w:rPr>
          <w:noProof/>
        </w:rPr>
        <w:t>2</w:t>
      </w:r>
      <w:r w:rsidR="003E2CFF">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23905A81" w:rsidR="00E77E30" w:rsidRDefault="00880298" w:rsidP="00F56EED">
      <w:r>
        <w:t>Using the relevant estimate of the foreign equity ownership share</w:t>
      </w:r>
      <w:r w:rsidR="00AF7793">
        <w:t xml:space="preserve"> discussed above</w:t>
      </w:r>
      <w:r>
        <w:t xml:space="preserve">, the logic of </w:t>
      </w:r>
      <w:r w:rsidR="00602CA1">
        <w:fldChar w:fldCharType="begin"/>
      </w:r>
      <w:r w:rsidR="00602CA1">
        <w:instrText xml:space="preserve"> REF  _Ref415078600 \* Lower \h </w:instrText>
      </w:r>
      <w:r w:rsidR="00602CA1">
        <w:fldChar w:fldCharType="separate"/>
      </w:r>
      <w:r w:rsidR="001E2164">
        <w:t xml:space="preserve">figure </w:t>
      </w:r>
      <w:r w:rsidR="001E2164">
        <w:rPr>
          <w:noProof/>
        </w:rPr>
        <w:t>4</w:t>
      </w:r>
      <w:r w:rsidR="001E2164">
        <w:noBreakHyphen/>
      </w:r>
      <w:r w:rsidR="001E2164">
        <w:rPr>
          <w:noProof/>
        </w:rPr>
        <w:t>1</w:t>
      </w:r>
      <w:r w:rsidR="00602CA1">
        <w:fldChar w:fldCharType="end"/>
      </w:r>
      <w:r w:rsidR="00602CA1">
        <w:t xml:space="preserve"> and </w:t>
      </w:r>
      <w:r w:rsidR="00602CA1">
        <w:fldChar w:fldCharType="begin"/>
      </w:r>
      <w:r w:rsidR="00602CA1">
        <w:instrText xml:space="preserve"> REF  _Ref415078618 \* Lower \h </w:instrText>
      </w:r>
      <w:r w:rsidR="00602CA1">
        <w:fldChar w:fldCharType="separate"/>
      </w:r>
      <w:r w:rsidR="001E2164">
        <w:t xml:space="preserve">figure </w:t>
      </w:r>
      <w:r w:rsidR="001E2164">
        <w:rPr>
          <w:noProof/>
        </w:rPr>
        <w:t>4</w:t>
      </w:r>
      <w:r w:rsidR="001E2164">
        <w:noBreakHyphen/>
      </w:r>
      <w:r w:rsidR="001E2164">
        <w:rPr>
          <w:noProof/>
        </w:rPr>
        <w:t>2</w:t>
      </w:r>
      <w:r w:rsidR="00602CA1">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50"/>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1E2164">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w:t>
      </w:r>
      <w:r w:rsidR="001F5AF0">
        <w:lastRenderedPageBreak/>
        <w:t>significant unresolved problems with the data</w:t>
      </w:r>
      <w:r>
        <w:t>.</w:t>
      </w:r>
      <w:r w:rsidR="001F5AF0">
        <w:rPr>
          <w:rStyle w:val="FootnoteReference"/>
        </w:rPr>
        <w:footnoteReference w:id="251"/>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2"/>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3"/>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4"/>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5"/>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3E30E50A"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6"/>
      </w:r>
      <w:r w:rsidRPr="00DC6340">
        <w:rPr>
          <w:rStyle w:val="AERbody"/>
        </w:rPr>
        <w:t xml:space="preserve"> w</w:t>
      </w:r>
      <w:r w:rsidR="00AC2D5B" w:rsidRPr="00DC6340">
        <w:rPr>
          <w:rStyle w:val="AERbody"/>
        </w:rPr>
        <w:t xml:space="preserve">e </w:t>
      </w:r>
      <w:r w:rsidR="00A275B2" w:rsidRPr="00DC6340">
        <w:rPr>
          <w:rStyle w:val="AERbody"/>
        </w:rPr>
        <w:t xml:space="preserve">do not consider there is any inconsistency between Handley's earlier work and subsequent work indicating taxation statistics can </w:t>
      </w:r>
      <w:r w:rsidR="00D673C6">
        <w:rPr>
          <w:rStyle w:val="AERbody"/>
        </w:rPr>
        <w:t>be used as a point estimate of 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y explained why tax statistics can be used as a point estimate</w:t>
      </w:r>
      <w:bookmarkStart w:id="70" w:name="_GoBack"/>
      <w:bookmarkEnd w:id="70"/>
      <w:r w:rsidR="00A275B2" w:rsidRPr="00DC6340">
        <w:rPr>
          <w:rStyle w:val="AERbody"/>
        </w:rPr>
        <w:t xml:space="preserve"> for </w:t>
      </w:r>
      <w:r w:rsidR="00D673C6">
        <w:rPr>
          <w:rStyle w:val="AERbody"/>
        </w:rPr>
        <w:t>theta</w:t>
      </w:r>
      <w:r w:rsidR="00A275B2" w:rsidRPr="00DC6340">
        <w:rPr>
          <w:rStyle w:val="AERbody"/>
        </w:rPr>
        <w:t>, a position we agree with.</w:t>
      </w:r>
      <w:r w:rsidR="00DC6340">
        <w:rPr>
          <w:rStyle w:val="FootnoteReference"/>
        </w:rPr>
        <w:footnoteReference w:id="257"/>
      </w:r>
      <w:r w:rsidR="009B7E6E" w:rsidRPr="00DC6340">
        <w:rPr>
          <w:rStyle w:val="AERbody"/>
        </w:rPr>
        <w:t xml:space="preserve"> </w:t>
      </w:r>
      <w:r w:rsidR="00FB232A" w:rsidRPr="00DC6340">
        <w:rPr>
          <w:rStyle w:val="AERbody"/>
        </w:rPr>
        <w:t xml:space="preserve">While we acknowledge that the ultimate source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the uncertainty with estimates based on the tax data, the true (unobservable) redemption value could be above or below the estimate. </w:t>
      </w:r>
    </w:p>
    <w:p w14:paraId="34F7847B" w14:textId="77777777" w:rsidR="001A0AD5" w:rsidRDefault="001A0AD5" w:rsidP="00647E2E">
      <w:pPr>
        <w:pStyle w:val="Heading9"/>
      </w:pPr>
      <w:r>
        <w:t>NERA's comments on the utilisation rate</w:t>
      </w:r>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8"/>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w:t>
      </w:r>
      <w:r w:rsidR="00693FAB">
        <w:lastRenderedPageBreak/>
        <w:t xml:space="preserve">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proofErr w:type="gramStart"/>
      <w:r>
        <w:t>where</w:t>
      </w:r>
      <w:proofErr w:type="gramEnd"/>
      <w:r>
        <w:t xml:space="preserv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59"/>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60"/>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1"/>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2"/>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lastRenderedPageBreak/>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3"/>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4"/>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5"/>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6"/>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 xml:space="preserve">is not clearly material </w:t>
      </w:r>
      <w:r w:rsidR="00FA6E24" w:rsidRPr="00507D00">
        <w:rPr>
          <w:rStyle w:val="AERbody"/>
        </w:rPr>
        <w:lastRenderedPageBreak/>
        <w:t>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7"/>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8"/>
      </w:r>
      <w:r w:rsidR="00971F3A" w:rsidRPr="00507D00">
        <w:rPr>
          <w:rStyle w:val="AERbody"/>
        </w:rPr>
        <w:t xml:space="preserve"> </w:t>
      </w:r>
      <w:r w:rsidR="007801A5" w:rsidRPr="00507D00">
        <w:rPr>
          <w:rStyle w:val="AERbody"/>
        </w:rPr>
        <w:t xml:space="preserve"> </w:t>
      </w:r>
    </w:p>
    <w:p w14:paraId="007A08FD" w14:textId="7B6BFA63"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position is not adequately supported.  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69"/>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507D00">
        <w:rPr>
          <w:rStyle w:val="FootnoteReference"/>
        </w:rPr>
        <w:footnoteReference w:id="270"/>
      </w:r>
      <w:r w:rsidR="005E1F91" w:rsidRPr="00507D00">
        <w:rPr>
          <w:rStyle w:val="AERbody"/>
        </w:rPr>
        <w:t>,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1"/>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t>NERA appear to agree this is an empirical question as it states earlier in its report "</w:t>
      </w:r>
      <w:proofErr w:type="gramStart"/>
      <w:r w:rsidRPr="00507D00">
        <w:rPr>
          <w:rStyle w:val="AERbody"/>
        </w:rPr>
        <w:t>]w</w:t>
      </w:r>
      <w:proofErr w:type="gramEnd"/>
      <w:r w:rsidRPr="00507D00">
        <w:rPr>
          <w:rStyle w:val="AERbody"/>
        </w:rPr>
        <w:t>]hether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2"/>
      </w:r>
      <w:r w:rsidRPr="00507D00">
        <w:rPr>
          <w:rStyle w:val="AERbody"/>
        </w:rPr>
        <w:t xml:space="preserve">  </w:t>
      </w:r>
    </w:p>
    <w:p w14:paraId="4D66D612" w14:textId="0B9969F3"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development of the Rate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3"/>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71" w:name="_Ref415068711"/>
      <w:bookmarkStart w:id="72" w:name="_Toc433445549"/>
      <w:r w:rsidRPr="00063611">
        <w:lastRenderedPageBreak/>
        <w:t>Estimation</w:t>
      </w:r>
      <w:r>
        <w:t xml:space="preserve"> approach considerations</w:t>
      </w:r>
      <w:bookmarkEnd w:id="71"/>
      <w:bookmarkEnd w:id="72"/>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73" w:name="_Ref401048631"/>
      <w:r>
        <w:t xml:space="preserve">Evidence from all equity or </w:t>
      </w:r>
      <w:r w:rsidR="001C274C">
        <w:t>only listed equity</w:t>
      </w:r>
      <w:bookmarkEnd w:id="73"/>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4"/>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5"/>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6"/>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w:t>
      </w:r>
      <w:r>
        <w:lastRenderedPageBreak/>
        <w:t xml:space="preserve">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7"/>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8"/>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79"/>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1E2164">
        <w:t>A.8.2</w:t>
      </w:r>
      <w:r w:rsidR="00FB4F6C">
        <w:fldChar w:fldCharType="end"/>
      </w:r>
      <w:r w:rsidR="00FB4F6C">
        <w:t>).</w:t>
      </w:r>
    </w:p>
    <w:p w14:paraId="548D7A1C" w14:textId="77777777" w:rsidR="00063611" w:rsidRDefault="00063611" w:rsidP="00063611">
      <w:pPr>
        <w:pStyle w:val="Heading9"/>
      </w:pPr>
      <w:bookmarkStart w:id="74" w:name="_Ref403481194"/>
      <w:r>
        <w:t xml:space="preserve">Relationship between the distribution rate and </w:t>
      </w:r>
      <w:r w:rsidRPr="00063611">
        <w:t>the</w:t>
      </w:r>
      <w:r>
        <w:t xml:space="preserve"> utilisation rate</w:t>
      </w:r>
      <w:bookmarkEnd w:id="74"/>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w:t>
      </w:r>
      <w:r w:rsidRPr="007467FD">
        <w:lastRenderedPageBreak/>
        <w:t xml:space="preserve">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80"/>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1"/>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2"/>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w:t>
      </w:r>
      <w:proofErr w:type="gramStart"/>
      <w:r w:rsidR="00AD1275" w:rsidRPr="00507D00">
        <w:rPr>
          <w:rStyle w:val="AERbody"/>
        </w:rPr>
        <w:t>this issues</w:t>
      </w:r>
      <w:proofErr w:type="gramEnd"/>
      <w:r w:rsidR="00AD1275" w:rsidRPr="00507D00">
        <w:rPr>
          <w:rStyle w:val="AERbody"/>
        </w:rPr>
        <w:t xml:space="preserve">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3"/>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75" w:name="_Ref401133206"/>
      <w:bookmarkStart w:id="76" w:name="_Toc433445550"/>
      <w:r w:rsidRPr="00EF5E4A">
        <w:t>Estimating</w:t>
      </w:r>
      <w:r>
        <w:t xml:space="preserve"> the </w:t>
      </w:r>
      <w:r w:rsidRPr="00BC3784">
        <w:t>distribution</w:t>
      </w:r>
      <w:r>
        <w:t xml:space="preserve"> rate</w:t>
      </w:r>
      <w:bookmarkEnd w:id="75"/>
      <w:bookmarkEnd w:id="76"/>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1E2164">
        <w:t>4.4.1</w:t>
      </w:r>
      <w:r w:rsidR="0081589C">
        <w:fldChar w:fldCharType="end"/>
      </w:r>
      <w:r>
        <w:t xml:space="preserve"> of attachment 4. Consistent with the Guideline, we estimate it using the 'cumulative payout ratio approach', which uses data from the ATO on the </w:t>
      </w:r>
      <w:r>
        <w:lastRenderedPageBreak/>
        <w:t>accounts used by companies to track their stocks of imputation credits ('franking account balances'). Using this approach, NERA estimated a distribution rate across all equity of 0.7 for the period 1987 to 2011.</w:t>
      </w:r>
      <w:r>
        <w:rPr>
          <w:rStyle w:val="FootnoteReference"/>
        </w:rPr>
        <w:footnoteReference w:id="284"/>
      </w:r>
      <w:r>
        <w:t xml:space="preserve"> Hathaway found a similar estimate for the period 2004 to 2011.</w:t>
      </w:r>
      <w:r>
        <w:rPr>
          <w:rStyle w:val="FootnoteReference"/>
        </w:rPr>
        <w:footnoteReference w:id="285"/>
      </w:r>
      <w:r>
        <w:t xml:space="preserve"> Also using this approach, Handley estimated a distribution rate across </w:t>
      </w:r>
      <w:r w:rsidR="001C274C">
        <w:t>only listed equity</w:t>
      </w:r>
      <w:r>
        <w:t xml:space="preserve"> of 0.8 for the period 1987 to 2011.</w:t>
      </w:r>
      <w:r>
        <w:rPr>
          <w:rStyle w:val="FootnoteReference"/>
        </w:rPr>
        <w:footnoteReference w:id="286"/>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56FA9102"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7"/>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8"/>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89"/>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 xml:space="preserve">estimate for the JGN final decision released in </w:t>
      </w:r>
      <w:r w:rsidR="00ED0B08">
        <w:t>June</w:t>
      </w:r>
      <w:r w:rsidR="003F30E2">
        <w:t xml:space="preserve"> 2015 and continue to</w:t>
      </w:r>
      <w:r w:rsidR="007938F1">
        <w:t xml:space="preserve"> use this estimate in this final decision.</w:t>
      </w:r>
    </w:p>
    <w:p w14:paraId="7E0D99F8" w14:textId="6599D895" w:rsidR="00BC3784" w:rsidRPr="00AA0E3C" w:rsidRDefault="00BC3784" w:rsidP="00BC3784">
      <w:pPr>
        <w:numPr>
          <w:ilvl w:val="0"/>
          <w:numId w:val="25"/>
        </w:numPr>
      </w:pPr>
      <w:r>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77" w:name="_Ref414289334"/>
      <w:bookmarkStart w:id="78" w:name="_Ref401156644"/>
      <w:r w:rsidRPr="00071CD2">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77"/>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lastRenderedPageBreak/>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90"/>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4425C755"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1E2164">
        <w:t>A.9.2</w:t>
      </w:r>
      <w:r w:rsidR="00680EF4">
        <w:fldChar w:fldCharType="end"/>
      </w:r>
      <w:r w:rsidR="00AB06BE">
        <w:t xml:space="preserve"> of this</w:t>
      </w:r>
      <w:r>
        <w:t xml:space="preserve"> final 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1"/>
      </w:r>
    </w:p>
    <w:p w14:paraId="04DDD6AD" w14:textId="77777777" w:rsidR="00424E33" w:rsidRDefault="00424E33" w:rsidP="00424E33">
      <w:pPr>
        <w:pStyle w:val="AERquote"/>
      </w:pPr>
      <w:r>
        <w:t>…</w:t>
      </w:r>
    </w:p>
    <w:p w14:paraId="4D816E0F" w14:textId="77777777" w:rsidR="00424E33" w:rsidRDefault="00424E33" w:rsidP="00424E33">
      <w:pPr>
        <w:pStyle w:val="AERquote"/>
      </w:pPr>
      <w:r>
        <w:t>For the same reason that very large multinational firms are not comparable to the benchmark efficient entity, very small private firms would also not be close comparators.</w:t>
      </w:r>
      <w:r w:rsidR="00B56451">
        <w:rPr>
          <w:rStyle w:val="FootnoteReference"/>
        </w:rPr>
        <w:footnoteReference w:id="292"/>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3"/>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analysis which considered only listed equity was not materially different from 0.7.</w:t>
      </w:r>
      <w:r w:rsidR="00B7259E">
        <w:rPr>
          <w:rStyle w:val="FootnoteReference"/>
        </w:rPr>
        <w:footnoteReference w:id="294"/>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5"/>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w:t>
      </w:r>
      <w:proofErr w:type="gramStart"/>
      <w:r w:rsidR="00F53B7E">
        <w:t>A</w:t>
      </w:r>
      <w:proofErr w:type="gramEnd"/>
      <w:r w:rsidR="00F53B7E">
        <w:t xml:space="preserve"> 9.2 and also further below).  </w:t>
      </w:r>
    </w:p>
    <w:p w14:paraId="27BAC015" w14:textId="2BFEAB6E" w:rsidR="001573AB" w:rsidRDefault="009C5A79" w:rsidP="00424E33">
      <w:r>
        <w:lastRenderedPageBreak/>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6"/>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7"/>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8"/>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299"/>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300"/>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w:t>
      </w:r>
      <w:r w:rsidR="00B46702">
        <w:lastRenderedPageBreak/>
        <w:t xml:space="preserve">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1"/>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1E2164">
        <w:t xml:space="preserve">figure </w:t>
      </w:r>
      <w:r w:rsidR="001E2164">
        <w:rPr>
          <w:noProof/>
        </w:rPr>
        <w:t>4</w:t>
      </w:r>
      <w:r w:rsidR="001E2164">
        <w:noBreakHyphen/>
      </w:r>
      <w:r w:rsidR="001E2164">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1E2164">
        <w:t xml:space="preserve">figure </w:t>
      </w:r>
      <w:r w:rsidR="001E2164">
        <w:rPr>
          <w:noProof/>
        </w:rPr>
        <w:t>4</w:t>
      </w:r>
      <w:r w:rsidR="001E2164">
        <w:noBreakHyphen/>
      </w:r>
      <w:r w:rsidR="001E2164">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1ED4ED9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proofErr w:type="gramStart"/>
      <w:r w:rsidR="001B05B4">
        <w:t>,</w:t>
      </w:r>
      <w:r>
        <w:t xml:space="preserve"> </w:t>
      </w:r>
      <w:r w:rsidR="001B05B4">
        <w:t xml:space="preserve"> NERA</w:t>
      </w:r>
      <w:proofErr w:type="gramEnd"/>
      <w:r w:rsidR="001B05B4">
        <w:t xml:space="preserve">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2"/>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a lower 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w:t>
      </w:r>
      <w:r w:rsidRPr="008E408D">
        <w:rPr>
          <w:rStyle w:val="AERbody"/>
        </w:rPr>
        <w:lastRenderedPageBreak/>
        <w:t>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3"/>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4"/>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79" w:name="_Ref415126827"/>
      <w:r>
        <w:t>The cumulative payout ratio approach</w:t>
      </w:r>
      <w:bookmarkEnd w:id="78"/>
      <w:bookmarkEnd w:id="79"/>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5"/>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proofErr w:type="gramStart"/>
      <w:r>
        <w:t>an</w:t>
      </w:r>
      <w:proofErr w:type="gramEnd"/>
      <w:r>
        <w:t xml:space="preserve">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r>
        <w:t xml:space="preserve">Alternative </w:t>
      </w:r>
      <w:r w:rsidRPr="00BC3784">
        <w:t>approaches</w:t>
      </w:r>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6"/>
      </w:r>
      <w:r w:rsidR="00AC6F43">
        <w:t xml:space="preserve"> However, neither advocated</w:t>
      </w:r>
      <w:r w:rsidRPr="00BC3784">
        <w:t xml:space="preserve"> the use of this estimate. NERA considered:</w:t>
      </w:r>
      <w:r w:rsidRPr="00BC3784">
        <w:rPr>
          <w:rStyle w:val="FootnoteReference"/>
        </w:rPr>
        <w:footnoteReference w:id="307"/>
      </w:r>
    </w:p>
    <w:p w14:paraId="638BDEED" w14:textId="77777777" w:rsidR="00BC3784" w:rsidRDefault="00BC3784" w:rsidP="00BC3784">
      <w:pPr>
        <w:pStyle w:val="AERquote"/>
      </w:pPr>
      <w:r w:rsidRPr="000B7792">
        <w:lastRenderedPageBreak/>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8"/>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09"/>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r>
        <w:t>Hathaway (2014)</w:t>
      </w:r>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10"/>
      </w:r>
      <w:r w:rsidR="00C531B4">
        <w:t xml:space="preserve"> This report updates the analysis to include tax data for the 2011-12 financial </w:t>
      </w:r>
      <w:proofErr w:type="gramStart"/>
      <w:r w:rsidR="00C531B4">
        <w:t>year</w:t>
      </w:r>
      <w:proofErr w:type="gramEnd"/>
      <w:r w:rsidR="00C531B4">
        <w:t xml:space="preserve">,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1"/>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the period 2004-12. This is in stark contrast to the 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lastRenderedPageBreak/>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215E9FFD"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the FAB data in this final 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80" w:name="_Ref403481535"/>
      <w:bookmarkStart w:id="81" w:name="_Toc433445551"/>
      <w:r>
        <w:t>Application of rate of return criteria to evidence on the utilisation rate</w:t>
      </w:r>
      <w:bookmarkEnd w:id="80"/>
      <w:bookmarkEnd w:id="81"/>
    </w:p>
    <w:p w14:paraId="0E13DF73" w14:textId="39ADA19F"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1E2164">
        <w:t>4.4.2</w:t>
      </w:r>
      <w:r w:rsidR="006734AB">
        <w:fldChar w:fldCharType="end"/>
      </w:r>
      <w:r w:rsidR="006734AB">
        <w:t xml:space="preserve"> </w:t>
      </w:r>
      <w:r>
        <w:t xml:space="preserve">of attachment 4, with supporting evidence provided in this appendix. However, 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1E2164">
        <w:t xml:space="preserve">table </w:t>
      </w:r>
      <w:r w:rsidR="001E2164">
        <w:rPr>
          <w:noProof/>
        </w:rPr>
        <w:t>4</w:t>
      </w:r>
      <w:r w:rsidR="001E2164" w:rsidRPr="00277D14">
        <w:noBreakHyphen/>
      </w:r>
      <w:r w:rsidR="001E2164">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lastRenderedPageBreak/>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 xml:space="preserve">here market data and other information </w:t>
            </w:r>
            <w:proofErr w:type="gramStart"/>
            <w:r w:rsidRPr="00277D14">
              <w:t>is</w:t>
            </w:r>
            <w:proofErr w:type="gramEnd"/>
            <w:r w:rsidRPr="00277D14">
              <w:t xml:space="preserve">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77777777" w:rsidR="00277D14" w:rsidRPr="00277D14" w:rsidRDefault="00277D14" w:rsidP="00277D14">
      <w:pPr>
        <w:pStyle w:val="Caption"/>
      </w:pPr>
      <w:bookmarkStart w:id="82" w:name="_Ref415046112"/>
      <w:r>
        <w:t xml:space="preserve">Table </w:t>
      </w:r>
      <w:fldSimple w:instr=" STYLEREF 1 \s ">
        <w:r w:rsidR="001E2164">
          <w:rPr>
            <w:noProof/>
          </w:rPr>
          <w:t>4</w:t>
        </w:r>
      </w:fldSimple>
      <w:r w:rsidRPr="00277D14">
        <w:noBreakHyphen/>
      </w:r>
      <w:fldSimple w:instr=" SEQ Table \* ARABIC \s 1 ">
        <w:r w:rsidR="001E2164">
          <w:rPr>
            <w:noProof/>
          </w:rPr>
          <w:t>7</w:t>
        </w:r>
      </w:fldSimple>
      <w:bookmarkEnd w:id="82"/>
      <w:r w:rsidRPr="00277D14">
        <w:tab/>
        <w:t>Application of rate of return criteria to evidence on the utilisation rate</w:t>
      </w:r>
    </w:p>
    <w:p w14:paraId="43D13E93" w14:textId="77777777" w:rsidR="00277D14" w:rsidRDefault="00277D14" w:rsidP="00277D14">
      <w:pPr>
        <w:pStyle w:val="AERtablesource"/>
      </w:pPr>
      <w:r>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83" w:name="_Ref403481615"/>
    </w:p>
    <w:p w14:paraId="0DA7B9E1" w14:textId="77777777" w:rsidR="0016005F" w:rsidRDefault="0016005F" w:rsidP="0016005F">
      <w:pPr>
        <w:pStyle w:val="Heading8"/>
      </w:pPr>
      <w:bookmarkStart w:id="84" w:name="_Ref415049811"/>
      <w:bookmarkStart w:id="85" w:name="_Toc433445552"/>
      <w:r>
        <w:lastRenderedPageBreak/>
        <w:t xml:space="preserve">The equity ownership </w:t>
      </w:r>
      <w:r w:rsidRPr="0016005F">
        <w:t>approach</w:t>
      </w:r>
      <w:bookmarkEnd w:id="83"/>
      <w:bookmarkEnd w:id="84"/>
      <w:bookmarkEnd w:id="85"/>
    </w:p>
    <w:p w14:paraId="76929845" w14:textId="77777777" w:rsidR="0016005F" w:rsidRDefault="0016005F" w:rsidP="0016005F">
      <w:pPr>
        <w:numPr>
          <w:ilvl w:val="0"/>
          <w:numId w:val="25"/>
        </w:numPr>
      </w:pPr>
      <w:r>
        <w:t xml:space="preserve">Recalling that eligible investors have </w:t>
      </w:r>
      <w:proofErr w:type="gramStart"/>
      <w:r>
        <w:t>a</w:t>
      </w:r>
      <w:proofErr w:type="gramEnd"/>
      <w:r>
        <w:t xml:space="preserve">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2"/>
      </w:r>
    </w:p>
    <w:p w14:paraId="70E87D5C" w14:textId="77777777"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1E2164">
        <w:t>4.4.2</w:t>
      </w:r>
      <w:r w:rsidR="00966578">
        <w:fldChar w:fldCharType="end"/>
      </w:r>
      <w:r>
        <w:t xml:space="preserve"> of attachment 4. In this section, we provide further detail on our application of the approach. We also compare our assessment of the approach in this </w:t>
      </w:r>
      <w:r w:rsidR="00CE2DEA">
        <w:t>final</w:t>
      </w:r>
      <w:r>
        <w:t xml:space="preserve"> 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1E2164">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1E2164">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77777777"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3"/>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 xml:space="preserve">0.38 </w:t>
      </w:r>
      <w:proofErr w:type="gramStart"/>
      <w:r>
        <w:t>and</w:t>
      </w:r>
      <w:proofErr w:type="gramEnd"/>
      <w:r>
        <w:t xml:space="preserve">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xml:space="preserve">, we considered that the equity ownership approach supported </w:t>
      </w:r>
      <w:proofErr w:type="gramStart"/>
      <w:r w:rsidRPr="000F2482">
        <w:t>a</w:t>
      </w:r>
      <w:proofErr w:type="gramEnd"/>
      <w:r w:rsidRPr="000F2482">
        <w:t xml:space="preserve"> utilisation rate between 0.7 and 0.8. This range was based on:</w:t>
      </w:r>
    </w:p>
    <w:p w14:paraId="201A0BFA" w14:textId="77777777" w:rsidR="0016005F" w:rsidRPr="0016005F" w:rsidRDefault="0016005F" w:rsidP="0016005F">
      <w:pPr>
        <w:pStyle w:val="AERbulletlistfirststyle"/>
      </w:pPr>
      <w:r w:rsidRPr="00575F22">
        <w:lastRenderedPageBreak/>
        <w:t>A 2007 feature article by the ABS, in which it was estimated using data from the National Accounts that domestic investors held 71 per cent of Australian equity.</w:t>
      </w:r>
      <w:r w:rsidRPr="0016005F">
        <w:rPr>
          <w:rStyle w:val="FootnoteReference"/>
        </w:rPr>
        <w:footnoteReference w:id="314"/>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5"/>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1E2164">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4EB14567"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final 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6"/>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5ECD4A4A" w:rsidR="00A23477" w:rsidRDefault="00C449C9" w:rsidP="00A23477">
      <w:pPr>
        <w:numPr>
          <w:ilvl w:val="0"/>
          <w:numId w:val="25"/>
        </w:numPr>
      </w:pPr>
      <w:r>
        <w:lastRenderedPageBreak/>
        <w:t>Our estimate</w:t>
      </w:r>
      <w:r w:rsidR="00A23477">
        <w:t xml:space="preserve"> ranges </w:t>
      </w:r>
      <w:r>
        <w:t>in this final decision</w:t>
      </w:r>
      <w:r w:rsidR="00A23477">
        <w:t xml:space="preserve"> differ from the corresponding ranges in the draft decisions.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7"/>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4E97E204"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8"/>
      </w:r>
      <w:r>
        <w:t xml:space="preserve"> Accordingly, </w:t>
      </w:r>
      <w:r w:rsidR="00C600C4">
        <w:t xml:space="preserve">as we did in the decisions released </w:t>
      </w:r>
      <w:r w:rsidR="00ED0B08">
        <w:t>i</w:t>
      </w:r>
      <w:r w:rsidR="00C600C4">
        <w:t xml:space="preserve">n April and </w:t>
      </w:r>
      <w:r w:rsidR="00ED0B08">
        <w:t>June</w:t>
      </w:r>
      <w:r w:rsidR="00C600C4">
        <w:t xml:space="preserve"> 2015, </w:t>
      </w:r>
      <w:r>
        <w:t xml:space="preserve">in this final 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19"/>
      </w:r>
      <w:r w:rsidR="009E2088">
        <w:t xml:space="preserve"> We disagree. </w:t>
      </w:r>
      <w:r w:rsidR="006A22AB">
        <w:t xml:space="preserve">Given that the series exhibits considerable 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20"/>
      </w:r>
    </w:p>
    <w:p w14:paraId="66346E7F" w14:textId="77777777" w:rsidR="00AC26A5" w:rsidRDefault="00AC26A5" w:rsidP="00AC26A5">
      <w:pPr>
        <w:pStyle w:val="AERquote"/>
      </w:pPr>
      <w:r w:rsidRPr="00AC26A5">
        <w:lastRenderedPageBreak/>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1"/>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 xml:space="preserve">We consider that the most relevant period to consider is that since July 2000, when eligible investors became entitled for a refund of excess credits. </w:t>
      </w:r>
      <w:proofErr w:type="gramStart"/>
      <w:r>
        <w:t>This accords</w:t>
      </w:r>
      <w:proofErr w:type="gramEnd"/>
      <w:r>
        <w:t xml:space="preserve"> with one of the periods Handley</w:t>
      </w:r>
      <w:r w:rsidR="00FD4722">
        <w:t xml:space="preserve"> considered</w:t>
      </w:r>
      <w:r w:rsidR="00415BFD">
        <w:t xml:space="preserve"> relevant</w:t>
      </w:r>
      <w:r>
        <w:t>.</w:t>
      </w:r>
      <w:r>
        <w:rPr>
          <w:rStyle w:val="FootnoteReference"/>
        </w:rPr>
        <w:footnoteReference w:id="322"/>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61CBFF8A" w14:textId="6DF857DE" w:rsidR="003B16C3"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3"/>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1E2164">
        <w:t xml:space="preserve">figure </w:t>
      </w:r>
      <w:r w:rsidR="001E2164">
        <w:rPr>
          <w:noProof/>
        </w:rPr>
        <w:t>4</w:t>
      </w:r>
      <w:r w:rsidR="001E2164">
        <w:noBreakHyphen/>
      </w:r>
      <w:r w:rsidR="001E2164">
        <w:rPr>
          <w:noProof/>
        </w:rPr>
        <w:t>3</w:t>
      </w:r>
      <w:r w:rsidR="00E468B0">
        <w:fldChar w:fldCharType="end"/>
      </w:r>
      <w:r w:rsidR="00E00708">
        <w:t>.</w:t>
      </w:r>
    </w:p>
    <w:p w14:paraId="6A172952" w14:textId="77777777" w:rsidR="00E468B0" w:rsidRDefault="003B16C3" w:rsidP="00E468B0">
      <w:pPr>
        <w:pStyle w:val="Caption"/>
      </w:pPr>
      <w:bookmarkStart w:id="86" w:name="_Ref414273399"/>
      <w:r>
        <w:lastRenderedPageBreak/>
        <w:t xml:space="preserve">Figure </w:t>
      </w:r>
      <w:fldSimple w:instr=" STYLEREF 1 \s ">
        <w:r w:rsidR="001E2164">
          <w:rPr>
            <w:noProof/>
          </w:rPr>
          <w:t>4</w:t>
        </w:r>
      </w:fldSimple>
      <w:r w:rsidR="00A7103E">
        <w:noBreakHyphen/>
      </w:r>
      <w:fldSimple w:instr=" SEQ Figure \* ARABIC \s 1 ">
        <w:r w:rsidR="001E2164">
          <w:rPr>
            <w:noProof/>
          </w:rPr>
          <w:t>3</w:t>
        </w:r>
      </w:fldSimple>
      <w:bookmarkEnd w:id="86"/>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1E2164">
        <w:t xml:space="preserve">Figure </w:t>
      </w:r>
      <w:r w:rsidR="001E2164">
        <w:rPr>
          <w:noProof/>
        </w:rPr>
        <w:t>4</w:t>
      </w:r>
      <w:r w:rsidR="001E2164">
        <w:noBreakHyphen/>
      </w:r>
      <w:r w:rsidR="001E2164">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87" w:name="_Ref402179420"/>
      <w:bookmarkStart w:id="88" w:name="_Toc433445553"/>
      <w:r>
        <w:t xml:space="preserve">Tax </w:t>
      </w:r>
      <w:r w:rsidRPr="00D60D4D">
        <w:t>statistics</w:t>
      </w:r>
      <w:bookmarkEnd w:id="87"/>
      <w:bookmarkEnd w:id="88"/>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4"/>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lastRenderedPageBreak/>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 xml:space="preserve">In the Guideline, we considered that tax statistics supported </w:t>
      </w:r>
      <w:proofErr w:type="gramStart"/>
      <w:r>
        <w:t>a</w:t>
      </w:r>
      <w:proofErr w:type="gramEnd"/>
      <w:r>
        <w:t xml:space="preserve">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1E2164">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5"/>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6"/>
      </w:r>
      <w:r w:rsidRPr="00C06B80">
        <w:t xml:space="preserve"> and</w:t>
      </w:r>
    </w:p>
    <w:p w14:paraId="7A2BDB1D" w14:textId="77777777" w:rsidR="00C06B80" w:rsidRPr="00C06B80" w:rsidRDefault="00C06B80" w:rsidP="00C06B80">
      <w:pPr>
        <w:pStyle w:val="AERbulletlistfirststyle"/>
      </w:pPr>
      <w:proofErr w:type="gramStart"/>
      <w:r>
        <w:t>consistent</w:t>
      </w:r>
      <w:proofErr w:type="gramEnd"/>
      <w:r>
        <w:t xml:space="preserve">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47A26715" w:rsidR="00D236C4" w:rsidRPr="00D236C4" w:rsidRDefault="00D236C4" w:rsidP="00C26A14">
      <w:r w:rsidRPr="00D236C4">
        <w:t xml:space="preserve">In this final decision we </w:t>
      </w:r>
      <w:r w:rsidR="00D27991">
        <w:t>have regard to</w:t>
      </w:r>
      <w:r w:rsidRPr="00D236C4">
        <w:t xml:space="preserve"> NERA's updated analysis of the ATO data to the 2012 tax year.</w:t>
      </w:r>
      <w:r w:rsidRPr="00D236C4">
        <w:rPr>
          <w:rStyle w:val="FootnoteReference"/>
        </w:rPr>
        <w:footnoteReference w:id="327"/>
      </w:r>
      <w:r w:rsidRPr="00D236C4">
        <w:t xml:space="preserve"> This analysis supports a distribution rate of 0.7 and </w:t>
      </w:r>
      <w:proofErr w:type="gramStart"/>
      <w:r w:rsidRPr="00D236C4">
        <w:t>a</w:t>
      </w:r>
      <w:proofErr w:type="gramEnd"/>
      <w:r w:rsidRPr="00D236C4">
        <w:t xml:space="preserve"> utilisation rate of 0.45.</w:t>
      </w:r>
      <w:r w:rsidR="00625179">
        <w:t xml:space="preserve"> </w:t>
      </w:r>
    </w:p>
    <w:p w14:paraId="4769F356" w14:textId="77777777" w:rsidR="00967FFA" w:rsidRDefault="002048E1" w:rsidP="00B93D6C">
      <w:r>
        <w:t xml:space="preserve">As discussed in section </w:t>
      </w:r>
      <w:r>
        <w:fldChar w:fldCharType="begin"/>
      </w:r>
      <w:r>
        <w:instrText xml:space="preserve"> REF _Ref401133206 \r \h </w:instrText>
      </w:r>
      <w:r>
        <w:fldChar w:fldCharType="separate"/>
      </w:r>
      <w:r w:rsidR="001E2164">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89" w:name="_Ref401080753"/>
      <w:bookmarkStart w:id="90" w:name="_Toc433445554"/>
      <w:r w:rsidRPr="00292ECF">
        <w:lastRenderedPageBreak/>
        <w:t>Implied</w:t>
      </w:r>
      <w:r>
        <w:t xml:space="preserve"> market value studies</w:t>
      </w:r>
      <w:bookmarkEnd w:id="89"/>
      <w:bookmarkEnd w:id="90"/>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1E2164">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1E2164">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1E2164">
        <w:t>A.14.6</w:t>
      </w:r>
      <w:r w:rsidR="00B40843">
        <w:fldChar w:fldCharType="end"/>
      </w:r>
      <w:r>
        <w:t>.</w:t>
      </w:r>
    </w:p>
    <w:p w14:paraId="659014DE" w14:textId="77777777" w:rsidR="00292ECF" w:rsidRPr="00222643" w:rsidRDefault="00292ECF" w:rsidP="00292ECF">
      <w:pPr>
        <w:pStyle w:val="Heading9"/>
      </w:pPr>
      <w:bookmarkStart w:id="91" w:name="_Ref402791521"/>
      <w:r w:rsidRPr="00222643">
        <w:t xml:space="preserve">Types of implied </w:t>
      </w:r>
      <w:r w:rsidRPr="00292ECF">
        <w:t>market</w:t>
      </w:r>
      <w:r w:rsidRPr="00222643">
        <w:t xml:space="preserve"> value studies</w:t>
      </w:r>
      <w:bookmarkEnd w:id="91"/>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proofErr w:type="gramStart"/>
      <w:r w:rsidRPr="00222643">
        <w:t>the</w:t>
      </w:r>
      <w:proofErr w:type="gramEnd"/>
      <w:r w:rsidRPr="00222643">
        <w:t xml:space="preserv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1E2345E7" w14:textId="3FA06461" w:rsidR="00292ECF" w:rsidRDefault="00292ECF" w:rsidP="00292ECF">
      <w:pPr>
        <w:numPr>
          <w:ilvl w:val="0"/>
          <w:numId w:val="25"/>
        </w:numPr>
      </w:pPr>
      <w:r>
        <w:fldChar w:fldCharType="begin"/>
      </w:r>
      <w:r>
        <w:instrText xml:space="preserve"> REF _Ref401075742 \h </w:instrText>
      </w:r>
      <w:r>
        <w:fldChar w:fldCharType="separate"/>
      </w:r>
      <w:r w:rsidR="001E2164">
        <w:t xml:space="preserve">Table </w:t>
      </w:r>
      <w:r w:rsidR="001E2164">
        <w:rPr>
          <w:noProof/>
        </w:rPr>
        <w:t>4</w:t>
      </w:r>
      <w:r w:rsidR="001E2164">
        <w:noBreakHyphen/>
      </w:r>
      <w:r w:rsidR="001E2164">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1E2164">
        <w:t xml:space="preserve">table </w:t>
      </w:r>
      <w:r w:rsidR="001E2164">
        <w:rPr>
          <w:noProof/>
        </w:rPr>
        <w:t>4</w:t>
      </w:r>
      <w:r w:rsidR="001E2164">
        <w:noBreakHyphen/>
      </w:r>
      <w:r w:rsidR="001E2164">
        <w:rPr>
          <w:noProof/>
        </w:rPr>
        <w:t>10</w:t>
      </w:r>
      <w:r>
        <w:fldChar w:fldCharType="end"/>
      </w:r>
      <w:r>
        <w:t>.</w:t>
      </w:r>
    </w:p>
    <w:p w14:paraId="6506F58E" w14:textId="77777777" w:rsidR="008E408D" w:rsidRDefault="008E408D" w:rsidP="00292ECF">
      <w:pPr>
        <w:pStyle w:val="Caption"/>
      </w:pPr>
      <w:bookmarkStart w:id="92" w:name="_Ref401075742"/>
    </w:p>
    <w:p w14:paraId="65C69292" w14:textId="77777777" w:rsidR="000F267C" w:rsidRDefault="000F267C" w:rsidP="000F267C"/>
    <w:p w14:paraId="0DF1CE66" w14:textId="77777777" w:rsidR="000F267C" w:rsidRDefault="000F267C" w:rsidP="000F267C"/>
    <w:p w14:paraId="1087CCFD" w14:textId="77777777" w:rsidR="000F267C" w:rsidRDefault="000F267C" w:rsidP="000F267C"/>
    <w:p w14:paraId="44CFC6A6" w14:textId="77777777" w:rsidR="000F267C" w:rsidRDefault="000F267C" w:rsidP="000F267C"/>
    <w:p w14:paraId="7204A5BE" w14:textId="77777777" w:rsidR="000F267C" w:rsidRPr="000F267C" w:rsidRDefault="000F267C" w:rsidP="000F267C"/>
    <w:p w14:paraId="4A3D60F9" w14:textId="77777777" w:rsidR="00292ECF" w:rsidRDefault="00292ECF" w:rsidP="00292ECF">
      <w:pPr>
        <w:pStyle w:val="Caption"/>
      </w:pPr>
      <w:r>
        <w:lastRenderedPageBreak/>
        <w:t xml:space="preserve">Table </w:t>
      </w:r>
      <w:fldSimple w:instr=" STYLEREF 1 \s ">
        <w:r w:rsidR="001E2164">
          <w:rPr>
            <w:noProof/>
          </w:rPr>
          <w:t>4</w:t>
        </w:r>
      </w:fldSimple>
      <w:r w:rsidR="00257FBE">
        <w:noBreakHyphen/>
      </w:r>
      <w:fldSimple w:instr=" SEQ Table \* ARABIC \s 1 ">
        <w:r w:rsidR="001E2164">
          <w:rPr>
            <w:noProof/>
          </w:rPr>
          <w:t>8</w:t>
        </w:r>
      </w:fldSimple>
      <w:bookmarkEnd w:id="92"/>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292ECF">
            <w:r w:rsidRPr="00222643">
              <w:t>Authors</w:t>
            </w:r>
          </w:p>
        </w:tc>
        <w:tc>
          <w:tcPr>
            <w:tcW w:w="1276" w:type="dxa"/>
          </w:tcPr>
          <w:p w14:paraId="283EFB8D" w14:textId="77777777" w:rsidR="00292ECF" w:rsidRPr="00292ECF" w:rsidRDefault="00292ECF" w:rsidP="00292ECF">
            <w:r w:rsidRPr="00222643">
              <w:t>Data range</w:t>
            </w:r>
          </w:p>
        </w:tc>
        <w:tc>
          <w:tcPr>
            <w:tcW w:w="5448" w:type="dxa"/>
          </w:tcPr>
          <w:p w14:paraId="13451828" w14:textId="77777777" w:rsidR="00292ECF" w:rsidRPr="00292ECF" w:rsidRDefault="00292ECF" w:rsidP="00292ECF">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292ECF">
            <w:pPr>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292ECF">
            <w:r w:rsidRPr="00222643">
              <w:t>Vo et al (2013)</w:t>
            </w:r>
            <w:r w:rsidRPr="00292ECF">
              <w:rPr>
                <w:rStyle w:val="FootnoteReference"/>
              </w:rPr>
              <w:footnoteReference w:id="328"/>
            </w:r>
          </w:p>
        </w:tc>
        <w:tc>
          <w:tcPr>
            <w:tcW w:w="1276" w:type="dxa"/>
          </w:tcPr>
          <w:p w14:paraId="0EAF2F2E" w14:textId="77777777" w:rsidR="00292ECF" w:rsidRPr="00292ECF" w:rsidRDefault="00292ECF" w:rsidP="00292ECF">
            <w:r w:rsidRPr="00222643">
              <w:t>2001-2012</w:t>
            </w:r>
          </w:p>
        </w:tc>
        <w:tc>
          <w:tcPr>
            <w:tcW w:w="5448" w:type="dxa"/>
          </w:tcPr>
          <w:p w14:paraId="71B1BEE4" w14:textId="77777777" w:rsidR="00292ECF" w:rsidRPr="00292ECF" w:rsidRDefault="00292ECF" w:rsidP="00292ECF">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292ECF">
            <w:r w:rsidRPr="00222643">
              <w:t>SFG (2013a)</w:t>
            </w:r>
            <w:r w:rsidRPr="00292ECF">
              <w:rPr>
                <w:rStyle w:val="FootnoteReference"/>
              </w:rPr>
              <w:footnoteReference w:id="329"/>
            </w:r>
          </w:p>
        </w:tc>
        <w:tc>
          <w:tcPr>
            <w:tcW w:w="1276" w:type="dxa"/>
          </w:tcPr>
          <w:p w14:paraId="185C58BD" w14:textId="77777777" w:rsidR="00292ECF" w:rsidRPr="00292ECF" w:rsidRDefault="00292ECF" w:rsidP="00292ECF">
            <w:r w:rsidRPr="00222643">
              <w:t>2001-2012</w:t>
            </w:r>
          </w:p>
        </w:tc>
        <w:tc>
          <w:tcPr>
            <w:tcW w:w="5448" w:type="dxa"/>
          </w:tcPr>
          <w:p w14:paraId="29C50CD3" w14:textId="77777777" w:rsidR="00292ECF" w:rsidRPr="00292ECF" w:rsidRDefault="00292ECF" w:rsidP="00292ECF">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292ECF">
            <w:r w:rsidRPr="00222643">
              <w:t>SFG (2011)</w:t>
            </w:r>
            <w:r w:rsidRPr="00292ECF">
              <w:rPr>
                <w:rStyle w:val="FootnoteReference"/>
              </w:rPr>
              <w:footnoteReference w:id="330"/>
            </w:r>
          </w:p>
        </w:tc>
        <w:tc>
          <w:tcPr>
            <w:tcW w:w="1276" w:type="dxa"/>
          </w:tcPr>
          <w:p w14:paraId="2ED7F207" w14:textId="77777777" w:rsidR="00292ECF" w:rsidRPr="00292ECF" w:rsidRDefault="00292ECF" w:rsidP="00292ECF">
            <w:r w:rsidRPr="00222643">
              <w:t>2001-2010</w:t>
            </w:r>
          </w:p>
        </w:tc>
        <w:tc>
          <w:tcPr>
            <w:tcW w:w="5448" w:type="dxa"/>
          </w:tcPr>
          <w:p w14:paraId="2D6CC299" w14:textId="77777777" w:rsidR="00292ECF" w:rsidRPr="00292ECF" w:rsidRDefault="00292ECF" w:rsidP="00292ECF">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292ECF">
            <w:r w:rsidRPr="00222643">
              <w:t>Minney (2010)</w:t>
            </w:r>
            <w:r w:rsidRPr="00292ECF">
              <w:rPr>
                <w:rStyle w:val="FootnoteReference"/>
              </w:rPr>
              <w:footnoteReference w:id="331"/>
            </w:r>
          </w:p>
        </w:tc>
        <w:tc>
          <w:tcPr>
            <w:tcW w:w="1276" w:type="dxa"/>
          </w:tcPr>
          <w:p w14:paraId="36063835" w14:textId="77777777" w:rsidR="00292ECF" w:rsidRPr="00292ECF" w:rsidRDefault="00292ECF" w:rsidP="00292ECF">
            <w:r w:rsidRPr="00222643">
              <w:t>2001–2009</w:t>
            </w:r>
          </w:p>
        </w:tc>
        <w:tc>
          <w:tcPr>
            <w:tcW w:w="5448" w:type="dxa"/>
          </w:tcPr>
          <w:p w14:paraId="27A710D0" w14:textId="77777777" w:rsidR="00292ECF" w:rsidRPr="00292ECF" w:rsidRDefault="00292ECF" w:rsidP="00292ECF">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292ECF">
            <w:r w:rsidRPr="00222643">
              <w:t>Beggs and Skeels (2006)</w:t>
            </w:r>
            <w:r w:rsidRPr="00292ECF">
              <w:rPr>
                <w:rStyle w:val="FootnoteReference"/>
              </w:rPr>
              <w:footnoteReference w:id="332"/>
            </w:r>
          </w:p>
        </w:tc>
        <w:tc>
          <w:tcPr>
            <w:tcW w:w="1276" w:type="dxa"/>
          </w:tcPr>
          <w:p w14:paraId="17E73999" w14:textId="77777777" w:rsidR="00292ECF" w:rsidRPr="00292ECF" w:rsidRDefault="00292ECF" w:rsidP="00292ECF">
            <w:r w:rsidRPr="00222643">
              <w:t>1986-2004</w:t>
            </w:r>
          </w:p>
        </w:tc>
        <w:tc>
          <w:tcPr>
            <w:tcW w:w="5448" w:type="dxa"/>
          </w:tcPr>
          <w:p w14:paraId="1C995742" w14:textId="77777777" w:rsidR="00292ECF" w:rsidRPr="00292ECF" w:rsidRDefault="00292ECF" w:rsidP="00292ECF">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292ECF">
            <w:r w:rsidRPr="00222643">
              <w:t>Hathaway and Officer (2004)</w:t>
            </w:r>
            <w:r w:rsidRPr="00292ECF">
              <w:rPr>
                <w:rStyle w:val="FootnoteReference"/>
              </w:rPr>
              <w:footnoteReference w:id="333"/>
            </w:r>
          </w:p>
        </w:tc>
        <w:tc>
          <w:tcPr>
            <w:tcW w:w="1276" w:type="dxa"/>
          </w:tcPr>
          <w:p w14:paraId="0789A524" w14:textId="77777777" w:rsidR="00292ECF" w:rsidRPr="00292ECF" w:rsidRDefault="00292ECF" w:rsidP="00292ECF">
            <w:r w:rsidRPr="00222643">
              <w:t>1986-2004</w:t>
            </w:r>
          </w:p>
        </w:tc>
        <w:tc>
          <w:tcPr>
            <w:tcW w:w="5448" w:type="dxa"/>
          </w:tcPr>
          <w:p w14:paraId="46910FD9" w14:textId="77777777" w:rsidR="00292ECF" w:rsidRPr="00292ECF" w:rsidRDefault="00292ECF" w:rsidP="00292ECF">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292ECF">
            <w:r w:rsidRPr="00222643">
              <w:t>Bellamy and Gray (2004)</w:t>
            </w:r>
            <w:r w:rsidRPr="00292ECF">
              <w:rPr>
                <w:rStyle w:val="FootnoteReference"/>
              </w:rPr>
              <w:footnoteReference w:id="334"/>
            </w:r>
          </w:p>
        </w:tc>
        <w:tc>
          <w:tcPr>
            <w:tcW w:w="1276" w:type="dxa"/>
          </w:tcPr>
          <w:p w14:paraId="238DAC68" w14:textId="77777777" w:rsidR="00292ECF" w:rsidRPr="00292ECF" w:rsidRDefault="00292ECF" w:rsidP="00292ECF">
            <w:r w:rsidRPr="00222643">
              <w:t>1995-2002</w:t>
            </w:r>
          </w:p>
        </w:tc>
        <w:tc>
          <w:tcPr>
            <w:tcW w:w="5448" w:type="dxa"/>
          </w:tcPr>
          <w:p w14:paraId="0D1BE8A0" w14:textId="77777777" w:rsidR="00292ECF" w:rsidRPr="00292ECF" w:rsidRDefault="00292ECF" w:rsidP="00292ECF">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292ECF">
            <w:r w:rsidRPr="00222643">
              <w:t>Bruckner et al (1994)</w:t>
            </w:r>
            <w:r w:rsidRPr="00292ECF">
              <w:rPr>
                <w:rStyle w:val="FootnoteReference"/>
              </w:rPr>
              <w:footnoteReference w:id="335"/>
            </w:r>
          </w:p>
        </w:tc>
        <w:tc>
          <w:tcPr>
            <w:tcW w:w="1276" w:type="dxa"/>
          </w:tcPr>
          <w:p w14:paraId="0BED859A" w14:textId="77777777" w:rsidR="00292ECF" w:rsidRPr="00292ECF" w:rsidRDefault="00292ECF" w:rsidP="00292ECF">
            <w:r w:rsidRPr="00222643">
              <w:t>1987-1993</w:t>
            </w:r>
          </w:p>
        </w:tc>
        <w:tc>
          <w:tcPr>
            <w:tcW w:w="5448" w:type="dxa"/>
          </w:tcPr>
          <w:p w14:paraId="322B14C0" w14:textId="77777777" w:rsidR="00292ECF" w:rsidRPr="00292ECF" w:rsidRDefault="00292ECF" w:rsidP="00292ECF">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292ECF">
            <w:r w:rsidRPr="00222643">
              <w:t>Brown and Clarke (1</w:t>
            </w:r>
            <w:r w:rsidRPr="00292ECF">
              <w:t>993)</w:t>
            </w:r>
            <w:r w:rsidRPr="00292ECF">
              <w:rPr>
                <w:rStyle w:val="FootnoteReference"/>
              </w:rPr>
              <w:footnoteReference w:id="336"/>
            </w:r>
          </w:p>
        </w:tc>
        <w:tc>
          <w:tcPr>
            <w:tcW w:w="1276" w:type="dxa"/>
          </w:tcPr>
          <w:p w14:paraId="0B81BBC7" w14:textId="77777777" w:rsidR="00292ECF" w:rsidRPr="00292ECF" w:rsidRDefault="00292ECF" w:rsidP="00292ECF">
            <w:r>
              <w:t>1973</w:t>
            </w:r>
            <w:r w:rsidRPr="00292ECF">
              <w:t>–1991</w:t>
            </w:r>
          </w:p>
        </w:tc>
        <w:tc>
          <w:tcPr>
            <w:tcW w:w="5448" w:type="dxa"/>
          </w:tcPr>
          <w:p w14:paraId="0B0D79CB" w14:textId="77777777" w:rsidR="00292ECF" w:rsidRPr="00292ECF" w:rsidRDefault="00292ECF" w:rsidP="00292ECF">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 xml:space="preserve">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w:t>
      </w:r>
      <w:r w:rsidRPr="00222643">
        <w:lastRenderedPageBreak/>
        <w:t>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2F3FF882" w:rsidR="00292ECF" w:rsidRDefault="00292ECF" w:rsidP="00292ECF">
      <w:pPr>
        <w:numPr>
          <w:ilvl w:val="0"/>
          <w:numId w:val="25"/>
        </w:numPr>
      </w:pPr>
      <w:r>
        <w:fldChar w:fldCharType="begin"/>
      </w:r>
      <w:r>
        <w:instrText xml:space="preserve"> REF _Ref401075839 \h </w:instrText>
      </w:r>
      <w:r>
        <w:fldChar w:fldCharType="separate"/>
      </w:r>
      <w:r w:rsidR="001E2164">
        <w:t xml:space="preserve">Table </w:t>
      </w:r>
      <w:r w:rsidR="001E2164">
        <w:rPr>
          <w:noProof/>
        </w:rPr>
        <w:t>4</w:t>
      </w:r>
      <w:r w:rsidR="001E2164">
        <w:noBreakHyphen/>
      </w:r>
      <w:r w:rsidR="001E2164">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1E2164">
        <w:t xml:space="preserve">table </w:t>
      </w:r>
      <w:r w:rsidR="001E2164">
        <w:rPr>
          <w:noProof/>
        </w:rPr>
        <w:t>4</w:t>
      </w:r>
      <w:r w:rsidR="001E2164">
        <w:noBreakHyphen/>
      </w:r>
      <w:r w:rsidR="001E2164">
        <w:rPr>
          <w:noProof/>
        </w:rPr>
        <w:t>11</w:t>
      </w:r>
      <w:r>
        <w:fldChar w:fldCharType="end"/>
      </w:r>
      <w:r>
        <w:t>.</w:t>
      </w:r>
    </w:p>
    <w:p w14:paraId="156D39CB" w14:textId="77777777" w:rsidR="00292ECF" w:rsidRDefault="00292ECF" w:rsidP="00292ECF">
      <w:pPr>
        <w:pStyle w:val="Caption"/>
      </w:pPr>
      <w:bookmarkStart w:id="93" w:name="_Ref401075839"/>
      <w:r>
        <w:t xml:space="preserve">Table </w:t>
      </w:r>
      <w:fldSimple w:instr=" STYLEREF 1 \s ">
        <w:r w:rsidR="001E2164">
          <w:rPr>
            <w:noProof/>
          </w:rPr>
          <w:t>4</w:t>
        </w:r>
      </w:fldSimple>
      <w:r w:rsidR="00257FBE">
        <w:noBreakHyphen/>
      </w:r>
      <w:fldSimple w:instr=" SEQ Table \* ARABIC \s 1 ">
        <w:r w:rsidR="001E2164">
          <w:rPr>
            <w:noProof/>
          </w:rPr>
          <w:t>9</w:t>
        </w:r>
      </w:fldSimple>
      <w:bookmarkEnd w:id="93"/>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7"/>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8"/>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39"/>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40"/>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t>NERA (2013b)</w:t>
            </w:r>
            <w:r w:rsidRPr="00292ECF">
              <w:rPr>
                <w:rStyle w:val="FootnoteReference"/>
              </w:rPr>
              <w:footnoteReference w:id="341"/>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lastRenderedPageBreak/>
              <w:t>Lajbcygier</w:t>
            </w:r>
            <w:r w:rsidRPr="00292ECF">
              <w:t xml:space="preserve"> and Wheatley (2012)</w:t>
            </w:r>
            <w:r w:rsidRPr="00292ECF">
              <w:rPr>
                <w:rStyle w:val="FootnoteReference"/>
              </w:rPr>
              <w:footnoteReference w:id="342"/>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t>Siau et al (2013)</w:t>
            </w:r>
            <w:r w:rsidRPr="00292ECF">
              <w:rPr>
                <w:rStyle w:val="FootnoteReference"/>
              </w:rPr>
              <w:footnoteReference w:id="343"/>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4"/>
            </w:r>
          </w:p>
        </w:tc>
        <w:tc>
          <w:tcPr>
            <w:tcW w:w="1111" w:type="dxa"/>
          </w:tcPr>
          <w:p w14:paraId="6F5BB4A2" w14:textId="28130BBC" w:rsidR="00F43C4C" w:rsidRPr="00222643" w:rsidRDefault="00F43C4C" w:rsidP="00292ECF">
            <w:r>
              <w:t>1996-2011</w:t>
            </w:r>
          </w:p>
        </w:tc>
        <w:tc>
          <w:tcPr>
            <w:tcW w:w="5448" w:type="dxa"/>
          </w:tcPr>
          <w:p w14:paraId="2C2DB0C0" w14:textId="7DFB3810" w:rsidR="00F43C4C" w:rsidRPr="00222643" w:rsidRDefault="00F43C4C" w:rsidP="00292ECF">
            <w:r>
              <w:t xml:space="preserve">Journal published version of the 2013 paper by Siau et al </w:t>
            </w:r>
            <w:r w:rsidR="003E00A4">
              <w:t xml:space="preserve">with </w:t>
            </w:r>
            <w:r w:rsidR="001C56D9">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5"/>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6"/>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7"/>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8"/>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94" w:name="_Ref403482459"/>
      <w:r w:rsidRPr="00222643">
        <w:t xml:space="preserve">Estimates from </w:t>
      </w:r>
      <w:r w:rsidRPr="00D15D53">
        <w:t>implied</w:t>
      </w:r>
      <w:r w:rsidRPr="00222643">
        <w:t xml:space="preserve"> market value studies</w:t>
      </w:r>
      <w:bookmarkEnd w:id="94"/>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77777777" w:rsidR="00D15D53" w:rsidRPr="00222643" w:rsidRDefault="00D15D53" w:rsidP="00D15D53">
      <w:pPr>
        <w:numPr>
          <w:ilvl w:val="0"/>
          <w:numId w:val="25"/>
        </w:numPr>
      </w:pPr>
      <w:r>
        <w:fldChar w:fldCharType="begin"/>
      </w:r>
      <w:r>
        <w:instrText xml:space="preserve"> REF _Ref401075676 \h </w:instrText>
      </w:r>
      <w:r>
        <w:fldChar w:fldCharType="separate"/>
      </w:r>
      <w:r w:rsidR="001E2164">
        <w:t xml:space="preserve">Table </w:t>
      </w:r>
      <w:r w:rsidR="001E2164">
        <w:rPr>
          <w:noProof/>
        </w:rPr>
        <w:t>4</w:t>
      </w:r>
      <w:r w:rsidR="001E2164">
        <w:noBreakHyphen/>
      </w:r>
      <w:r w:rsidR="001E2164">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14:paraId="26F1617D" w14:textId="77777777" w:rsidR="00D15D53" w:rsidRPr="00222643" w:rsidRDefault="00D15D53" w:rsidP="00D15D53">
      <w:pPr>
        <w:numPr>
          <w:ilvl w:val="0"/>
          <w:numId w:val="25"/>
        </w:numPr>
      </w:pPr>
      <w:r>
        <w:lastRenderedPageBreak/>
        <w:fldChar w:fldCharType="begin"/>
      </w:r>
      <w:r>
        <w:instrText xml:space="preserve"> REF _Ref401076250 \h </w:instrText>
      </w:r>
      <w:r>
        <w:fldChar w:fldCharType="separate"/>
      </w:r>
      <w:r w:rsidR="001E2164">
        <w:t xml:space="preserve">Table </w:t>
      </w:r>
      <w:r w:rsidR="001E2164">
        <w:rPr>
          <w:noProof/>
        </w:rPr>
        <w:t>4</w:t>
      </w:r>
      <w:r w:rsidR="001E2164">
        <w:noBreakHyphen/>
      </w:r>
      <w:r w:rsidR="001E2164">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77777777" w:rsidR="00D15D53" w:rsidRPr="00222643" w:rsidRDefault="00D15D53" w:rsidP="00D15D53">
      <w:pPr>
        <w:pStyle w:val="Caption"/>
      </w:pPr>
      <w:bookmarkStart w:id="95" w:name="_Ref401075676"/>
      <w:r>
        <w:lastRenderedPageBreak/>
        <w:t xml:space="preserve">Table </w:t>
      </w:r>
      <w:fldSimple w:instr=" STYLEREF 1 \s ">
        <w:r w:rsidR="001E2164">
          <w:rPr>
            <w:noProof/>
          </w:rPr>
          <w:t>4</w:t>
        </w:r>
      </w:fldSimple>
      <w:r w:rsidR="00257FBE">
        <w:noBreakHyphen/>
      </w:r>
      <w:fldSimple w:instr=" SEQ Table \* ARABIC \s 1 ">
        <w:r w:rsidR="001E2164">
          <w:rPr>
            <w:noProof/>
          </w:rPr>
          <w:t>10</w:t>
        </w:r>
      </w:fldSimple>
      <w:bookmarkEnd w:id="95"/>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9E7EFB">
            <w:pPr>
              <w:keepNext/>
            </w:pPr>
          </w:p>
        </w:tc>
        <w:tc>
          <w:tcPr>
            <w:tcW w:w="2835" w:type="dxa"/>
          </w:tcPr>
          <w:p w14:paraId="014FBF80" w14:textId="77777777" w:rsidR="00D15D53" w:rsidRPr="00D15D53" w:rsidRDefault="00D15D53" w:rsidP="009E7EFB">
            <w:pPr>
              <w:keepNext/>
            </w:pPr>
            <w:r w:rsidRPr="00222643">
              <w:t>Authors</w:t>
            </w:r>
          </w:p>
        </w:tc>
        <w:tc>
          <w:tcPr>
            <w:tcW w:w="1346" w:type="dxa"/>
          </w:tcPr>
          <w:p w14:paraId="6B7245B9" w14:textId="77777777" w:rsidR="00D15D53" w:rsidRPr="00D15D53" w:rsidRDefault="00D15D53" w:rsidP="009E7EFB">
            <w:pPr>
              <w:keepNext/>
            </w:pPr>
            <w:r w:rsidRPr="00222643">
              <w:t>Pre-2000 results</w:t>
            </w:r>
          </w:p>
        </w:tc>
        <w:tc>
          <w:tcPr>
            <w:tcW w:w="1347" w:type="dxa"/>
          </w:tcPr>
          <w:p w14:paraId="19E9BB34" w14:textId="77777777" w:rsidR="00D15D53" w:rsidRPr="00D15D53" w:rsidRDefault="00D15D53" w:rsidP="009E7EFB">
            <w:pPr>
              <w:keepNext/>
            </w:pPr>
            <w:r w:rsidRPr="00222643">
              <w:t>Post-2000 results</w:t>
            </w:r>
          </w:p>
        </w:tc>
        <w:tc>
          <w:tcPr>
            <w:tcW w:w="3260" w:type="dxa"/>
          </w:tcPr>
          <w:p w14:paraId="36BF759C" w14:textId="77777777" w:rsidR="00D15D53" w:rsidRPr="00D15D53" w:rsidRDefault="00D15D53" w:rsidP="009E7EFB">
            <w:pPr>
              <w:keepNext/>
            </w:pPr>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9E7EFB">
            <w:pPr>
              <w:keepNext/>
              <w:rPr>
                <w:rStyle w:val="Strong"/>
              </w:rPr>
            </w:pPr>
            <w:r w:rsidRPr="001F2ECE">
              <w:rPr>
                <w:rStyle w:val="Strong"/>
              </w:rPr>
              <w:t>Dividend drop off study</w:t>
            </w:r>
          </w:p>
        </w:tc>
        <w:tc>
          <w:tcPr>
            <w:tcW w:w="1346" w:type="dxa"/>
          </w:tcPr>
          <w:p w14:paraId="6CA044BD" w14:textId="77777777" w:rsidR="00D15D53" w:rsidRPr="00222643" w:rsidRDefault="00D15D53" w:rsidP="009E7EFB">
            <w:pPr>
              <w:keepNext/>
            </w:pPr>
          </w:p>
        </w:tc>
        <w:tc>
          <w:tcPr>
            <w:tcW w:w="1347" w:type="dxa"/>
          </w:tcPr>
          <w:p w14:paraId="5B79F52E" w14:textId="77777777" w:rsidR="00D15D53" w:rsidRPr="00222643" w:rsidRDefault="00D15D53" w:rsidP="009E7EFB">
            <w:pPr>
              <w:keepNext/>
            </w:pPr>
          </w:p>
        </w:tc>
        <w:tc>
          <w:tcPr>
            <w:tcW w:w="3260" w:type="dxa"/>
          </w:tcPr>
          <w:p w14:paraId="70BFBC8D" w14:textId="77777777" w:rsidR="00D15D53" w:rsidRPr="00222643" w:rsidRDefault="00D15D53" w:rsidP="009E7EFB">
            <w:pPr>
              <w:keepNext/>
            </w:pPr>
          </w:p>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9E7EFB">
            <w:pPr>
              <w:keepNext/>
            </w:pPr>
          </w:p>
        </w:tc>
        <w:tc>
          <w:tcPr>
            <w:tcW w:w="2977" w:type="dxa"/>
            <w:gridSpan w:val="2"/>
          </w:tcPr>
          <w:p w14:paraId="50E258FC" w14:textId="77777777" w:rsidR="00D15D53" w:rsidRPr="00D15D53" w:rsidRDefault="00D15D53" w:rsidP="009E7EFB">
            <w:pPr>
              <w:keepNext/>
            </w:pPr>
            <w:r w:rsidRPr="00222643">
              <w:t>Vo et al (2013)</w:t>
            </w:r>
            <w:r w:rsidRPr="00D15D53">
              <w:rPr>
                <w:rStyle w:val="FootnoteReference"/>
              </w:rPr>
              <w:footnoteReference w:id="349"/>
            </w:r>
          </w:p>
        </w:tc>
        <w:tc>
          <w:tcPr>
            <w:tcW w:w="1346" w:type="dxa"/>
          </w:tcPr>
          <w:p w14:paraId="167C98D6" w14:textId="77777777" w:rsidR="00D15D53" w:rsidRPr="00222643" w:rsidRDefault="00D15D53" w:rsidP="009E7EFB">
            <w:pPr>
              <w:keepNext/>
            </w:pPr>
          </w:p>
        </w:tc>
        <w:tc>
          <w:tcPr>
            <w:tcW w:w="1347" w:type="dxa"/>
          </w:tcPr>
          <w:p w14:paraId="450002B0" w14:textId="77777777" w:rsidR="00D15D53" w:rsidRPr="00D15D53" w:rsidRDefault="00D15D53" w:rsidP="009E7EFB">
            <w:pPr>
              <w:keepNext/>
            </w:pPr>
            <w:r w:rsidRPr="00222643">
              <w:t>0.35–0.55</w:t>
            </w:r>
            <w:r w:rsidRPr="00222643">
              <w:br/>
              <w:t>(2001–2012)</w:t>
            </w:r>
          </w:p>
        </w:tc>
        <w:tc>
          <w:tcPr>
            <w:tcW w:w="3260" w:type="dxa"/>
          </w:tcPr>
          <w:p w14:paraId="2C73F594" w14:textId="77777777" w:rsidR="00D15D53" w:rsidRPr="00D15D53" w:rsidRDefault="00D15D53" w:rsidP="009E7EFB">
            <w:pPr>
              <w:keepNext/>
            </w:pPr>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9E7EFB">
            <w:pPr>
              <w:keepNext/>
            </w:pPr>
          </w:p>
        </w:tc>
        <w:tc>
          <w:tcPr>
            <w:tcW w:w="2977" w:type="dxa"/>
            <w:gridSpan w:val="2"/>
          </w:tcPr>
          <w:p w14:paraId="5B10FB6D" w14:textId="77777777" w:rsidR="00D15D53" w:rsidRPr="00D15D53" w:rsidRDefault="00D15D53" w:rsidP="009E7EFB">
            <w:pPr>
              <w:keepNext/>
            </w:pPr>
            <w:r w:rsidRPr="00222643">
              <w:t>SFG (2013a)</w:t>
            </w:r>
            <w:r w:rsidRPr="00D15D53">
              <w:rPr>
                <w:rStyle w:val="FootnoteReference"/>
              </w:rPr>
              <w:footnoteReference w:id="350"/>
            </w:r>
          </w:p>
        </w:tc>
        <w:tc>
          <w:tcPr>
            <w:tcW w:w="1346" w:type="dxa"/>
          </w:tcPr>
          <w:p w14:paraId="358A75F7" w14:textId="77777777" w:rsidR="00D15D53" w:rsidRPr="00222643" w:rsidRDefault="00D15D53" w:rsidP="009E7EFB">
            <w:pPr>
              <w:keepNext/>
            </w:pPr>
          </w:p>
        </w:tc>
        <w:tc>
          <w:tcPr>
            <w:tcW w:w="1347" w:type="dxa"/>
          </w:tcPr>
          <w:p w14:paraId="1BDC57C1" w14:textId="77777777" w:rsidR="00D15D53" w:rsidRPr="00D15D53" w:rsidRDefault="00D15D53" w:rsidP="009E7EFB">
            <w:pPr>
              <w:keepNext/>
            </w:pPr>
            <w:r w:rsidRPr="00222643">
              <w:t>0.35</w:t>
            </w:r>
            <w:r w:rsidRPr="00222643">
              <w:br/>
              <w:t>(2001–2012)</w:t>
            </w:r>
          </w:p>
        </w:tc>
        <w:tc>
          <w:tcPr>
            <w:tcW w:w="3260" w:type="dxa"/>
          </w:tcPr>
          <w:p w14:paraId="6F1F447A" w14:textId="77777777" w:rsidR="00D15D53" w:rsidRPr="00D15D53" w:rsidRDefault="00D15D53" w:rsidP="009E7EFB">
            <w:pPr>
              <w:keepNext/>
            </w:pPr>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9E7EFB">
            <w:pPr>
              <w:keepNext/>
            </w:pPr>
          </w:p>
        </w:tc>
        <w:tc>
          <w:tcPr>
            <w:tcW w:w="2977" w:type="dxa"/>
            <w:gridSpan w:val="2"/>
          </w:tcPr>
          <w:p w14:paraId="7963730D" w14:textId="77777777" w:rsidR="00D15D53" w:rsidRPr="00D15D53" w:rsidRDefault="00D15D53" w:rsidP="009E7EFB">
            <w:pPr>
              <w:keepNext/>
            </w:pPr>
            <w:r w:rsidRPr="00222643">
              <w:t>SFG (2011)</w:t>
            </w:r>
            <w:r w:rsidRPr="00D15D53">
              <w:rPr>
                <w:rStyle w:val="FootnoteReference"/>
              </w:rPr>
              <w:footnoteReference w:id="351"/>
            </w:r>
          </w:p>
        </w:tc>
        <w:tc>
          <w:tcPr>
            <w:tcW w:w="1346" w:type="dxa"/>
          </w:tcPr>
          <w:p w14:paraId="7741C576" w14:textId="77777777" w:rsidR="00D15D53" w:rsidRPr="00222643" w:rsidRDefault="00D15D53" w:rsidP="009E7EFB">
            <w:pPr>
              <w:keepNext/>
            </w:pPr>
          </w:p>
        </w:tc>
        <w:tc>
          <w:tcPr>
            <w:tcW w:w="1347" w:type="dxa"/>
          </w:tcPr>
          <w:p w14:paraId="314136EE" w14:textId="77777777" w:rsidR="00D15D53" w:rsidRPr="00D15D53" w:rsidRDefault="00D15D53" w:rsidP="009E7EFB">
            <w:pPr>
              <w:keepNext/>
            </w:pPr>
            <w:r w:rsidRPr="00222643">
              <w:t>0.35</w:t>
            </w:r>
            <w:r w:rsidRPr="00222643">
              <w:br/>
              <w:t>(2001–2010)</w:t>
            </w:r>
          </w:p>
        </w:tc>
        <w:tc>
          <w:tcPr>
            <w:tcW w:w="3260" w:type="dxa"/>
          </w:tcPr>
          <w:p w14:paraId="2DE51411" w14:textId="77777777" w:rsidR="00D15D53" w:rsidRPr="00222643" w:rsidRDefault="00D15D53" w:rsidP="009E7EFB">
            <w:pPr>
              <w:keepNext/>
            </w:pPr>
          </w:p>
        </w:tc>
      </w:tr>
      <w:tr w:rsidR="00D15D53" w:rsidRPr="00222643" w14:paraId="192F6956" w14:textId="77777777" w:rsidTr="00D13AD4">
        <w:trPr>
          <w:cantSplit/>
          <w:trHeight w:val="301"/>
        </w:trPr>
        <w:tc>
          <w:tcPr>
            <w:tcW w:w="250" w:type="dxa"/>
          </w:tcPr>
          <w:p w14:paraId="493FBD1B" w14:textId="77777777" w:rsidR="00D15D53" w:rsidRPr="00222643" w:rsidRDefault="00D15D53" w:rsidP="009E7EFB">
            <w:pPr>
              <w:keepNext/>
            </w:pPr>
          </w:p>
        </w:tc>
        <w:tc>
          <w:tcPr>
            <w:tcW w:w="2977" w:type="dxa"/>
            <w:gridSpan w:val="2"/>
          </w:tcPr>
          <w:p w14:paraId="2D468894" w14:textId="77777777" w:rsidR="00D15D53" w:rsidRPr="00D15D53" w:rsidRDefault="00D15D53" w:rsidP="009E7EFB">
            <w:pPr>
              <w:keepNext/>
            </w:pPr>
            <w:r w:rsidRPr="00222643">
              <w:t>Minney (2010)</w:t>
            </w:r>
            <w:r w:rsidRPr="00D15D53">
              <w:rPr>
                <w:rStyle w:val="FootnoteReference"/>
              </w:rPr>
              <w:footnoteReference w:id="352"/>
            </w:r>
          </w:p>
        </w:tc>
        <w:tc>
          <w:tcPr>
            <w:tcW w:w="1346" w:type="dxa"/>
          </w:tcPr>
          <w:p w14:paraId="05F27275" w14:textId="77777777" w:rsidR="00D15D53" w:rsidRPr="00222643" w:rsidRDefault="00D15D53" w:rsidP="009E7EFB">
            <w:pPr>
              <w:keepNext/>
            </w:pPr>
          </w:p>
        </w:tc>
        <w:tc>
          <w:tcPr>
            <w:tcW w:w="1347" w:type="dxa"/>
          </w:tcPr>
          <w:p w14:paraId="411D9A11" w14:textId="77777777" w:rsidR="00D15D53" w:rsidRPr="00D15D53" w:rsidRDefault="00D15D53" w:rsidP="009E7EFB">
            <w:pPr>
              <w:keepNext/>
            </w:pPr>
            <w:r w:rsidRPr="00222643">
              <w:t>0.39</w:t>
            </w:r>
            <w:r w:rsidRPr="00222643">
              <w:br/>
              <w:t>(2001–2009)</w:t>
            </w:r>
          </w:p>
        </w:tc>
        <w:tc>
          <w:tcPr>
            <w:tcW w:w="3260" w:type="dxa"/>
          </w:tcPr>
          <w:p w14:paraId="27AC546C" w14:textId="77777777" w:rsidR="00D15D53" w:rsidRPr="00D15D53" w:rsidRDefault="00D15D53" w:rsidP="009E7EFB">
            <w:pPr>
              <w:keepNext/>
            </w:pPr>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9E7EFB">
            <w:pPr>
              <w:keepNext/>
            </w:pPr>
          </w:p>
        </w:tc>
        <w:tc>
          <w:tcPr>
            <w:tcW w:w="2977" w:type="dxa"/>
            <w:gridSpan w:val="2"/>
          </w:tcPr>
          <w:p w14:paraId="5E4B09F2" w14:textId="77777777" w:rsidR="00D15D53" w:rsidRPr="00D15D53" w:rsidRDefault="00D15D53" w:rsidP="009E7EFB">
            <w:pPr>
              <w:keepNext/>
            </w:pPr>
            <w:r w:rsidRPr="00222643">
              <w:t>Beggs and Skeels (2006)</w:t>
            </w:r>
            <w:r w:rsidRPr="00D15D53">
              <w:rPr>
                <w:rStyle w:val="FootnoteReference"/>
              </w:rPr>
              <w:footnoteReference w:id="353"/>
            </w:r>
          </w:p>
        </w:tc>
        <w:tc>
          <w:tcPr>
            <w:tcW w:w="1346" w:type="dxa"/>
          </w:tcPr>
          <w:p w14:paraId="7FC96440" w14:textId="77777777" w:rsidR="00D15D53" w:rsidRPr="00D15D53" w:rsidRDefault="00D15D53" w:rsidP="009E7EFB">
            <w:pPr>
              <w:keepNext/>
            </w:pPr>
            <w:r w:rsidRPr="00222643">
              <w:t>0.20</w:t>
            </w:r>
            <w:r w:rsidRPr="00222643">
              <w:br/>
              <w:t>(1992–1997)</w:t>
            </w:r>
          </w:p>
        </w:tc>
        <w:tc>
          <w:tcPr>
            <w:tcW w:w="1347" w:type="dxa"/>
          </w:tcPr>
          <w:p w14:paraId="6C17D532" w14:textId="77777777" w:rsidR="00D15D53" w:rsidRPr="00D15D53" w:rsidRDefault="00D15D53" w:rsidP="009E7EFB">
            <w:pPr>
              <w:keepNext/>
            </w:pPr>
            <w:r w:rsidRPr="00222643">
              <w:t>0.57</w:t>
            </w:r>
            <w:r w:rsidRPr="00222643">
              <w:br/>
              <w:t>(2001–2004)</w:t>
            </w:r>
          </w:p>
        </w:tc>
        <w:tc>
          <w:tcPr>
            <w:tcW w:w="3260" w:type="dxa"/>
          </w:tcPr>
          <w:p w14:paraId="695AD95F" w14:textId="77777777" w:rsidR="00D15D53" w:rsidRPr="00D15D53" w:rsidRDefault="00D15D53" w:rsidP="009E7EFB">
            <w:pPr>
              <w:keepNext/>
            </w:pPr>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9E7EFB">
            <w:pPr>
              <w:keepNext/>
            </w:pPr>
          </w:p>
        </w:tc>
        <w:tc>
          <w:tcPr>
            <w:tcW w:w="2977" w:type="dxa"/>
            <w:gridSpan w:val="2"/>
          </w:tcPr>
          <w:p w14:paraId="4C5C621B" w14:textId="77777777" w:rsidR="00D15D53" w:rsidRPr="00D15D53" w:rsidRDefault="00D15D53" w:rsidP="009E7EFB">
            <w:pPr>
              <w:keepNext/>
            </w:pPr>
            <w:r w:rsidRPr="00222643">
              <w:t>Hathaway and Officer (2004)</w:t>
            </w:r>
            <w:r w:rsidRPr="00D15D53">
              <w:rPr>
                <w:rStyle w:val="FootnoteReference"/>
              </w:rPr>
              <w:footnoteReference w:id="354"/>
            </w:r>
          </w:p>
        </w:tc>
        <w:tc>
          <w:tcPr>
            <w:tcW w:w="1346" w:type="dxa"/>
          </w:tcPr>
          <w:p w14:paraId="0F2C7F20" w14:textId="77777777" w:rsidR="00D15D53" w:rsidRPr="00D15D53" w:rsidRDefault="00D15D53" w:rsidP="009E7EFB">
            <w:pPr>
              <w:keepNext/>
            </w:pPr>
            <w:r w:rsidRPr="00222643">
              <w:t>0.49</w:t>
            </w:r>
            <w:r w:rsidRPr="00222643">
              <w:br/>
            </w:r>
            <w:r w:rsidRPr="00D15D53">
              <w:t>(1986–2004)</w:t>
            </w:r>
          </w:p>
        </w:tc>
        <w:tc>
          <w:tcPr>
            <w:tcW w:w="1347" w:type="dxa"/>
          </w:tcPr>
          <w:p w14:paraId="3915B5E2" w14:textId="77777777" w:rsidR="00D15D53" w:rsidRPr="00222643" w:rsidRDefault="00D15D53" w:rsidP="009E7EFB">
            <w:pPr>
              <w:keepNext/>
            </w:pPr>
          </w:p>
        </w:tc>
        <w:tc>
          <w:tcPr>
            <w:tcW w:w="3260" w:type="dxa"/>
          </w:tcPr>
          <w:p w14:paraId="10EF6EFA" w14:textId="77777777" w:rsidR="00D15D53" w:rsidRPr="00D15D53" w:rsidRDefault="00D15D53" w:rsidP="009E7EFB">
            <w:pPr>
              <w:keepNext/>
            </w:pPr>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9E7EFB">
            <w:pPr>
              <w:keepNext/>
            </w:pPr>
          </w:p>
        </w:tc>
        <w:tc>
          <w:tcPr>
            <w:tcW w:w="2977" w:type="dxa"/>
            <w:gridSpan w:val="2"/>
          </w:tcPr>
          <w:p w14:paraId="05543558" w14:textId="77777777" w:rsidR="00D15D53" w:rsidRPr="00D15D53" w:rsidRDefault="00D15D53" w:rsidP="009E7EFB">
            <w:pPr>
              <w:keepNext/>
            </w:pPr>
            <w:r w:rsidRPr="00222643">
              <w:t>Bellamy and Gray (2004)</w:t>
            </w:r>
            <w:r w:rsidRPr="00D15D53">
              <w:rPr>
                <w:rStyle w:val="FootnoteReference"/>
              </w:rPr>
              <w:footnoteReference w:id="355"/>
            </w:r>
          </w:p>
        </w:tc>
        <w:tc>
          <w:tcPr>
            <w:tcW w:w="1346" w:type="dxa"/>
          </w:tcPr>
          <w:p w14:paraId="0A8F1E61" w14:textId="77777777" w:rsidR="00D15D53" w:rsidRPr="00D15D53" w:rsidRDefault="00D15D53" w:rsidP="009E7EFB">
            <w:pPr>
              <w:keepNext/>
            </w:pPr>
            <w:r w:rsidRPr="00222643">
              <w:t>0.36</w:t>
            </w:r>
            <w:r w:rsidRPr="00222643">
              <w:br/>
              <w:t>(1995–2002)</w:t>
            </w:r>
          </w:p>
        </w:tc>
        <w:tc>
          <w:tcPr>
            <w:tcW w:w="1347" w:type="dxa"/>
          </w:tcPr>
          <w:p w14:paraId="2F8D2590" w14:textId="77777777" w:rsidR="00D15D53" w:rsidRPr="00222643" w:rsidRDefault="00D15D53" w:rsidP="009E7EFB">
            <w:pPr>
              <w:keepNext/>
            </w:pPr>
          </w:p>
        </w:tc>
        <w:tc>
          <w:tcPr>
            <w:tcW w:w="3260" w:type="dxa"/>
          </w:tcPr>
          <w:p w14:paraId="54E6D33D" w14:textId="77777777" w:rsidR="00D15D53" w:rsidRPr="00D15D53" w:rsidRDefault="00D15D53" w:rsidP="009E7EFB">
            <w:pPr>
              <w:keepNext/>
            </w:pPr>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9E7EFB">
            <w:pPr>
              <w:keepNext/>
            </w:pPr>
          </w:p>
        </w:tc>
        <w:tc>
          <w:tcPr>
            <w:tcW w:w="2977" w:type="dxa"/>
            <w:gridSpan w:val="2"/>
          </w:tcPr>
          <w:p w14:paraId="11C53F20" w14:textId="77777777" w:rsidR="00D15D53" w:rsidRPr="00D15D53" w:rsidRDefault="00D15D53" w:rsidP="009E7EFB">
            <w:pPr>
              <w:keepNext/>
            </w:pPr>
            <w:r w:rsidRPr="00222643">
              <w:t>Bruckner et al (1994)</w:t>
            </w:r>
            <w:r w:rsidRPr="00D15D53">
              <w:rPr>
                <w:rStyle w:val="FootnoteReference"/>
              </w:rPr>
              <w:footnoteReference w:id="356"/>
            </w:r>
          </w:p>
        </w:tc>
        <w:tc>
          <w:tcPr>
            <w:tcW w:w="1346" w:type="dxa"/>
          </w:tcPr>
          <w:p w14:paraId="57136ADE" w14:textId="77777777" w:rsidR="00D15D53" w:rsidRPr="00D15D53" w:rsidRDefault="00D15D53" w:rsidP="009E7EFB">
            <w:pPr>
              <w:keepNext/>
            </w:pPr>
            <w:r>
              <w:t>0.69</w:t>
            </w:r>
            <w:r>
              <w:br/>
              <w:t>(199</w:t>
            </w:r>
            <w:r w:rsidRPr="00D15D53">
              <w:t>1–1993)</w:t>
            </w:r>
          </w:p>
        </w:tc>
        <w:tc>
          <w:tcPr>
            <w:tcW w:w="1347" w:type="dxa"/>
          </w:tcPr>
          <w:p w14:paraId="1EF7A1FD" w14:textId="77777777" w:rsidR="00D15D53" w:rsidRPr="00222643" w:rsidRDefault="00D15D53" w:rsidP="009E7EFB">
            <w:pPr>
              <w:keepNext/>
            </w:pPr>
          </w:p>
        </w:tc>
        <w:tc>
          <w:tcPr>
            <w:tcW w:w="3260" w:type="dxa"/>
          </w:tcPr>
          <w:p w14:paraId="1D0E2A7F" w14:textId="77777777" w:rsidR="00D15D53" w:rsidRPr="00D15D53" w:rsidRDefault="00D15D53" w:rsidP="009E7EFB">
            <w:pPr>
              <w:keepNext/>
            </w:pPr>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9E7EFB">
            <w:pPr>
              <w:keepNext/>
            </w:pPr>
          </w:p>
        </w:tc>
        <w:tc>
          <w:tcPr>
            <w:tcW w:w="2977" w:type="dxa"/>
            <w:gridSpan w:val="2"/>
          </w:tcPr>
          <w:p w14:paraId="14C17322" w14:textId="77777777" w:rsidR="00D15D53" w:rsidRPr="00D15D53" w:rsidRDefault="00D15D53" w:rsidP="009E7EFB">
            <w:pPr>
              <w:keepNext/>
            </w:pPr>
            <w:r>
              <w:t xml:space="preserve">Brown and Clarke </w:t>
            </w:r>
            <w:r w:rsidRPr="00D15D53">
              <w:t>(1993)</w:t>
            </w:r>
            <w:r w:rsidRPr="00D15D53">
              <w:rPr>
                <w:rStyle w:val="FootnoteReference"/>
              </w:rPr>
              <w:footnoteReference w:id="357"/>
            </w:r>
          </w:p>
        </w:tc>
        <w:tc>
          <w:tcPr>
            <w:tcW w:w="1346" w:type="dxa"/>
          </w:tcPr>
          <w:p w14:paraId="5C6A8EDB" w14:textId="77777777" w:rsidR="00D15D53" w:rsidRPr="00D15D53" w:rsidRDefault="00D15D53" w:rsidP="009E7EFB">
            <w:pPr>
              <w:keepNext/>
            </w:pPr>
            <w:r w:rsidRPr="00222643">
              <w:t>0.80</w:t>
            </w:r>
            <w:r w:rsidRPr="00222643">
              <w:br/>
              <w:t>(1988–1991)</w:t>
            </w:r>
          </w:p>
        </w:tc>
        <w:tc>
          <w:tcPr>
            <w:tcW w:w="1347" w:type="dxa"/>
          </w:tcPr>
          <w:p w14:paraId="7EF7478A" w14:textId="77777777" w:rsidR="00D15D53" w:rsidRPr="00222643" w:rsidRDefault="00D15D53" w:rsidP="009E7EFB">
            <w:pPr>
              <w:keepNext/>
            </w:pPr>
          </w:p>
        </w:tc>
        <w:tc>
          <w:tcPr>
            <w:tcW w:w="3260" w:type="dxa"/>
          </w:tcPr>
          <w:p w14:paraId="6F806D1F" w14:textId="77777777" w:rsidR="00D15D53" w:rsidRPr="00222643" w:rsidRDefault="00D15D53" w:rsidP="009E7EFB">
            <w:pPr>
              <w:keepNext/>
            </w:pPr>
          </w:p>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77777777" w:rsidR="00D15D53" w:rsidRPr="00222643" w:rsidRDefault="00D15D53" w:rsidP="00D15D53">
      <w:pPr>
        <w:pStyle w:val="Caption"/>
      </w:pPr>
      <w:bookmarkStart w:id="96" w:name="_Ref401076250"/>
      <w:r>
        <w:lastRenderedPageBreak/>
        <w:t xml:space="preserve">Table </w:t>
      </w:r>
      <w:fldSimple w:instr=" STYLEREF 1 \s ">
        <w:r w:rsidR="001E2164">
          <w:rPr>
            <w:noProof/>
          </w:rPr>
          <w:t>4</w:t>
        </w:r>
      </w:fldSimple>
      <w:r w:rsidR="00257FBE">
        <w:noBreakHyphen/>
      </w:r>
      <w:fldSimple w:instr=" SEQ Table \* ARABIC \s 1 ">
        <w:r w:rsidR="001E2164">
          <w:rPr>
            <w:noProof/>
          </w:rPr>
          <w:t>11</w:t>
        </w:r>
      </w:fldSimple>
      <w:bookmarkEnd w:id="96"/>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9E7EFB">
            <w:pPr>
              <w:keepNext/>
            </w:pPr>
          </w:p>
        </w:tc>
        <w:tc>
          <w:tcPr>
            <w:tcW w:w="2835" w:type="dxa"/>
          </w:tcPr>
          <w:p w14:paraId="290B2814" w14:textId="77777777" w:rsidR="00D15D53" w:rsidRPr="00D15D53" w:rsidRDefault="00D15D53" w:rsidP="009E7EFB">
            <w:pPr>
              <w:keepNext/>
            </w:pPr>
            <w:r w:rsidRPr="00222643">
              <w:t>Authors</w:t>
            </w:r>
          </w:p>
        </w:tc>
        <w:tc>
          <w:tcPr>
            <w:tcW w:w="1346" w:type="dxa"/>
          </w:tcPr>
          <w:p w14:paraId="2C0D3FD7" w14:textId="77777777" w:rsidR="00D15D53" w:rsidRPr="00D15D53" w:rsidRDefault="00D15D53" w:rsidP="009E7EFB">
            <w:pPr>
              <w:keepNext/>
            </w:pPr>
            <w:r w:rsidRPr="00222643">
              <w:t>Pre-2000 results</w:t>
            </w:r>
          </w:p>
        </w:tc>
        <w:tc>
          <w:tcPr>
            <w:tcW w:w="1347" w:type="dxa"/>
          </w:tcPr>
          <w:p w14:paraId="1356D3E7" w14:textId="77777777" w:rsidR="00D15D53" w:rsidRPr="00D15D53" w:rsidRDefault="00D15D53" w:rsidP="009E7EFB">
            <w:pPr>
              <w:keepNext/>
            </w:pPr>
            <w:r w:rsidRPr="00222643">
              <w:t>Post-2000 results</w:t>
            </w:r>
          </w:p>
        </w:tc>
        <w:tc>
          <w:tcPr>
            <w:tcW w:w="3260" w:type="dxa"/>
          </w:tcPr>
          <w:p w14:paraId="050C129F" w14:textId="77777777" w:rsidR="00D15D53" w:rsidRPr="00D15D53" w:rsidRDefault="00D15D53" w:rsidP="009E7EFB">
            <w:pPr>
              <w:keepNext/>
            </w:pPr>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9E7EFB">
            <w:pPr>
              <w:keepNext/>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9E7EFB">
            <w:pPr>
              <w:keepNext/>
            </w:pPr>
          </w:p>
        </w:tc>
        <w:tc>
          <w:tcPr>
            <w:tcW w:w="1347" w:type="dxa"/>
          </w:tcPr>
          <w:p w14:paraId="57112F4D" w14:textId="77777777" w:rsidR="00D15D53" w:rsidRPr="00222643" w:rsidRDefault="00D15D53" w:rsidP="009E7EFB">
            <w:pPr>
              <w:keepNext/>
            </w:pPr>
          </w:p>
        </w:tc>
        <w:tc>
          <w:tcPr>
            <w:tcW w:w="3322" w:type="dxa"/>
            <w:gridSpan w:val="2"/>
          </w:tcPr>
          <w:p w14:paraId="49508FC3" w14:textId="77777777" w:rsidR="00D15D53" w:rsidRPr="00222643" w:rsidRDefault="00D15D53" w:rsidP="009E7EFB">
            <w:pPr>
              <w:keepNext/>
            </w:pPr>
          </w:p>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9E7EFB">
            <w:pPr>
              <w:keepNext/>
            </w:pPr>
          </w:p>
        </w:tc>
        <w:tc>
          <w:tcPr>
            <w:tcW w:w="2835" w:type="dxa"/>
          </w:tcPr>
          <w:p w14:paraId="19466130" w14:textId="77777777" w:rsidR="00D15D53" w:rsidRPr="00D15D53" w:rsidRDefault="00D15D53" w:rsidP="009E7EFB">
            <w:pPr>
              <w:keepNext/>
            </w:pPr>
            <w:r w:rsidRPr="00222643">
              <w:t xml:space="preserve">Feuerherdt, Gray and Hall </w:t>
            </w:r>
            <w:r w:rsidRPr="00D15D53">
              <w:t>(2010)</w:t>
            </w:r>
            <w:r w:rsidRPr="00D15D53">
              <w:rPr>
                <w:rStyle w:val="FootnoteReference"/>
              </w:rPr>
              <w:footnoteReference w:id="358"/>
            </w:r>
          </w:p>
        </w:tc>
        <w:tc>
          <w:tcPr>
            <w:tcW w:w="1346" w:type="dxa"/>
          </w:tcPr>
          <w:p w14:paraId="3C0B2476" w14:textId="77777777" w:rsidR="00D15D53" w:rsidRPr="00D15D53" w:rsidRDefault="00D15D53" w:rsidP="009E7EFB">
            <w:pPr>
              <w:keepNext/>
            </w:pPr>
            <w:r w:rsidRPr="00222643">
              <w:t>N/A</w:t>
            </w:r>
            <w:r w:rsidRPr="00222643">
              <w:br/>
              <w:t>(1995–2002)</w:t>
            </w:r>
          </w:p>
        </w:tc>
        <w:tc>
          <w:tcPr>
            <w:tcW w:w="1347" w:type="dxa"/>
          </w:tcPr>
          <w:p w14:paraId="12829B49" w14:textId="77777777" w:rsidR="00D15D53" w:rsidRPr="00222643" w:rsidRDefault="00D15D53" w:rsidP="009E7EFB">
            <w:pPr>
              <w:keepNext/>
            </w:pPr>
          </w:p>
        </w:tc>
        <w:tc>
          <w:tcPr>
            <w:tcW w:w="3322" w:type="dxa"/>
            <w:gridSpan w:val="2"/>
          </w:tcPr>
          <w:p w14:paraId="378BFFE2" w14:textId="77777777" w:rsidR="00D15D53" w:rsidRPr="00D15D53" w:rsidRDefault="00D15D53" w:rsidP="009E7EFB">
            <w:pPr>
              <w:keepNext/>
            </w:pPr>
            <w:r>
              <w:t>Combined drop off of 1.</w:t>
            </w:r>
            <w:r w:rsidRPr="00D15D53">
              <w:t xml:space="preserve">0. With dividends at full value, this is </w:t>
            </w:r>
            <w:proofErr w:type="gramStart"/>
            <w:r w:rsidRPr="00D15D53">
              <w:t>a</w:t>
            </w:r>
            <w:proofErr w:type="gramEnd"/>
            <w:r w:rsidRPr="00D15D53">
              <w:t xml:space="preserve">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9E7EFB">
            <w:pPr>
              <w:keepNext/>
              <w:rPr>
                <w:rStyle w:val="Strong"/>
              </w:rPr>
            </w:pPr>
            <w:r w:rsidRPr="00482215">
              <w:rPr>
                <w:rStyle w:val="Strong"/>
              </w:rPr>
              <w:t>Futures study (individual or index)</w:t>
            </w:r>
          </w:p>
        </w:tc>
        <w:tc>
          <w:tcPr>
            <w:tcW w:w="1346" w:type="dxa"/>
          </w:tcPr>
          <w:p w14:paraId="35331575" w14:textId="77777777" w:rsidR="00D15D53" w:rsidRPr="00482215" w:rsidRDefault="00D15D53" w:rsidP="009E7EFB">
            <w:pPr>
              <w:keepNext/>
              <w:rPr>
                <w:rStyle w:val="Strong"/>
              </w:rPr>
            </w:pPr>
          </w:p>
        </w:tc>
        <w:tc>
          <w:tcPr>
            <w:tcW w:w="1347" w:type="dxa"/>
          </w:tcPr>
          <w:p w14:paraId="03CAFD5A" w14:textId="77777777" w:rsidR="00D15D53" w:rsidRPr="00222643" w:rsidRDefault="00D15D53" w:rsidP="009E7EFB">
            <w:pPr>
              <w:keepNext/>
            </w:pPr>
          </w:p>
        </w:tc>
        <w:tc>
          <w:tcPr>
            <w:tcW w:w="3322" w:type="dxa"/>
            <w:gridSpan w:val="2"/>
          </w:tcPr>
          <w:p w14:paraId="1D6622FD" w14:textId="77777777" w:rsidR="00D15D53" w:rsidRPr="00222643" w:rsidRDefault="00D15D53" w:rsidP="009E7EFB">
            <w:pPr>
              <w:keepNext/>
            </w:pPr>
          </w:p>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9E7EFB">
            <w:pPr>
              <w:keepNext/>
            </w:pPr>
          </w:p>
        </w:tc>
        <w:tc>
          <w:tcPr>
            <w:tcW w:w="2835" w:type="dxa"/>
          </w:tcPr>
          <w:p w14:paraId="2C272406" w14:textId="77777777" w:rsidR="00D15D53" w:rsidRPr="00D15D53" w:rsidRDefault="00D15D53" w:rsidP="009E7EFB">
            <w:pPr>
              <w:keepNext/>
            </w:pPr>
            <w:r w:rsidRPr="00222643">
              <w:t>SFG (2013b)</w:t>
            </w:r>
            <w:r w:rsidRPr="00D15D53">
              <w:rPr>
                <w:rStyle w:val="FootnoteReference"/>
              </w:rPr>
              <w:footnoteReference w:id="359"/>
            </w:r>
          </w:p>
        </w:tc>
        <w:tc>
          <w:tcPr>
            <w:tcW w:w="1346" w:type="dxa"/>
          </w:tcPr>
          <w:p w14:paraId="749DC4F5" w14:textId="77777777" w:rsidR="00D15D53" w:rsidRPr="00222643" w:rsidRDefault="00D15D53" w:rsidP="009E7EFB">
            <w:pPr>
              <w:keepNext/>
            </w:pPr>
          </w:p>
        </w:tc>
        <w:tc>
          <w:tcPr>
            <w:tcW w:w="1347" w:type="dxa"/>
          </w:tcPr>
          <w:p w14:paraId="6399CF7B" w14:textId="77777777" w:rsidR="00D15D53" w:rsidRPr="00D15D53" w:rsidRDefault="00D15D53" w:rsidP="009E7EFB">
            <w:pPr>
              <w:keepNext/>
            </w:pPr>
            <w:r w:rsidRPr="00222643">
              <w:t>0.12</w:t>
            </w:r>
            <w:r w:rsidRPr="00222643">
              <w:br/>
              <w:t>(2000–2013)</w:t>
            </w:r>
          </w:p>
        </w:tc>
        <w:tc>
          <w:tcPr>
            <w:tcW w:w="3322" w:type="dxa"/>
            <w:gridSpan w:val="2"/>
          </w:tcPr>
          <w:p w14:paraId="1EB991DB" w14:textId="77777777" w:rsidR="00D15D53" w:rsidRPr="00D15D53" w:rsidRDefault="00D15D53" w:rsidP="009E7EFB">
            <w:pPr>
              <w:keepNext/>
            </w:pPr>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9E7EFB">
            <w:pPr>
              <w:keepNext/>
            </w:pPr>
          </w:p>
        </w:tc>
        <w:tc>
          <w:tcPr>
            <w:tcW w:w="2835" w:type="dxa"/>
          </w:tcPr>
          <w:p w14:paraId="4694B1A4" w14:textId="77777777" w:rsidR="00D15D53" w:rsidRPr="00D15D53" w:rsidRDefault="00D15D53" w:rsidP="009E7EFB">
            <w:pPr>
              <w:keepNext/>
            </w:pPr>
            <w:r w:rsidRPr="00222643">
              <w:t>Cannavan et al (2004)</w:t>
            </w:r>
            <w:r w:rsidRPr="00D15D53">
              <w:rPr>
                <w:rStyle w:val="FootnoteReference"/>
              </w:rPr>
              <w:footnoteReference w:id="360"/>
            </w:r>
          </w:p>
        </w:tc>
        <w:tc>
          <w:tcPr>
            <w:tcW w:w="1346" w:type="dxa"/>
          </w:tcPr>
          <w:p w14:paraId="516FC50E" w14:textId="77777777" w:rsidR="00D15D53" w:rsidRPr="00D15D53" w:rsidRDefault="00D15D53" w:rsidP="009E7EFB">
            <w:pPr>
              <w:keepNext/>
            </w:pPr>
            <w:r w:rsidRPr="00222643">
              <w:t>0–0.15</w:t>
            </w:r>
            <w:r w:rsidRPr="00222643">
              <w:br/>
              <w:t>(1994–1999)</w:t>
            </w:r>
          </w:p>
        </w:tc>
        <w:tc>
          <w:tcPr>
            <w:tcW w:w="1347" w:type="dxa"/>
          </w:tcPr>
          <w:p w14:paraId="47E79A2E" w14:textId="77777777" w:rsidR="00D15D53" w:rsidRPr="00222643" w:rsidRDefault="00D15D53" w:rsidP="009E7EFB">
            <w:pPr>
              <w:keepNext/>
            </w:pPr>
          </w:p>
        </w:tc>
        <w:tc>
          <w:tcPr>
            <w:tcW w:w="3322" w:type="dxa"/>
            <w:gridSpan w:val="2"/>
          </w:tcPr>
          <w:p w14:paraId="1B12A65D" w14:textId="77777777" w:rsidR="00D15D53" w:rsidRPr="00D15D53" w:rsidRDefault="00D15D53" w:rsidP="009E7EFB">
            <w:pPr>
              <w:keepNext/>
            </w:pPr>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9E7EFB">
            <w:pPr>
              <w:keepNext/>
            </w:pPr>
          </w:p>
        </w:tc>
        <w:tc>
          <w:tcPr>
            <w:tcW w:w="2835" w:type="dxa"/>
          </w:tcPr>
          <w:p w14:paraId="57253AC7" w14:textId="77777777" w:rsidR="00D15D53" w:rsidRPr="00D15D53" w:rsidRDefault="00D15D53" w:rsidP="009E7EFB">
            <w:pPr>
              <w:keepNext/>
            </w:pPr>
            <w:r w:rsidRPr="00222643">
              <w:t>Cummings and Frino (2008)</w:t>
            </w:r>
            <w:r w:rsidRPr="00D15D53">
              <w:rPr>
                <w:rStyle w:val="FootnoteReference"/>
              </w:rPr>
              <w:footnoteReference w:id="361"/>
            </w:r>
          </w:p>
        </w:tc>
        <w:tc>
          <w:tcPr>
            <w:tcW w:w="1346" w:type="dxa"/>
          </w:tcPr>
          <w:p w14:paraId="4A4CC2A1" w14:textId="77777777" w:rsidR="00D15D53" w:rsidRPr="00222643" w:rsidRDefault="00D15D53" w:rsidP="009E7EFB">
            <w:pPr>
              <w:keepNext/>
            </w:pPr>
          </w:p>
        </w:tc>
        <w:tc>
          <w:tcPr>
            <w:tcW w:w="1347" w:type="dxa"/>
          </w:tcPr>
          <w:p w14:paraId="7DD36843" w14:textId="77777777" w:rsidR="00D15D53" w:rsidRPr="00D15D53" w:rsidRDefault="00D15D53" w:rsidP="009E7EFB">
            <w:pPr>
              <w:keepNext/>
            </w:pPr>
            <w:r>
              <w:t>0.52</w:t>
            </w:r>
            <w:r w:rsidRPr="00D15D53">
              <w:br/>
              <w:t>(2002–2005)</w:t>
            </w:r>
          </w:p>
        </w:tc>
        <w:tc>
          <w:tcPr>
            <w:tcW w:w="3322" w:type="dxa"/>
            <w:gridSpan w:val="2"/>
          </w:tcPr>
          <w:p w14:paraId="3253C103" w14:textId="77777777" w:rsidR="00D15D53" w:rsidRPr="00D15D53" w:rsidRDefault="00D15D53" w:rsidP="009E7EFB">
            <w:pPr>
              <w:keepNext/>
            </w:pPr>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9E7EFB">
            <w:pPr>
              <w:keepNext/>
              <w:rPr>
                <w:rStyle w:val="Strong"/>
              </w:rPr>
            </w:pPr>
            <w:r w:rsidRPr="00482215">
              <w:rPr>
                <w:rStyle w:val="Strong"/>
              </w:rPr>
              <w:t>Rate of return study</w:t>
            </w:r>
          </w:p>
        </w:tc>
        <w:tc>
          <w:tcPr>
            <w:tcW w:w="1346" w:type="dxa"/>
          </w:tcPr>
          <w:p w14:paraId="45630AC2" w14:textId="77777777" w:rsidR="00D15D53" w:rsidRPr="00222643" w:rsidRDefault="00D15D53" w:rsidP="009E7EFB">
            <w:pPr>
              <w:keepNext/>
            </w:pPr>
          </w:p>
        </w:tc>
        <w:tc>
          <w:tcPr>
            <w:tcW w:w="1347" w:type="dxa"/>
          </w:tcPr>
          <w:p w14:paraId="03A0930A" w14:textId="77777777" w:rsidR="00D15D53" w:rsidRPr="00222643" w:rsidRDefault="00D15D53" w:rsidP="009E7EFB">
            <w:pPr>
              <w:keepNext/>
            </w:pPr>
          </w:p>
        </w:tc>
        <w:tc>
          <w:tcPr>
            <w:tcW w:w="3322" w:type="dxa"/>
            <w:gridSpan w:val="2"/>
          </w:tcPr>
          <w:p w14:paraId="4235A2F3" w14:textId="77777777" w:rsidR="00D15D53" w:rsidRPr="00222643" w:rsidRDefault="00D15D53" w:rsidP="009E7EFB">
            <w:pPr>
              <w:keepNext/>
            </w:pPr>
          </w:p>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9E7EFB">
            <w:pPr>
              <w:keepNext/>
            </w:pPr>
          </w:p>
        </w:tc>
        <w:tc>
          <w:tcPr>
            <w:tcW w:w="2835" w:type="dxa"/>
          </w:tcPr>
          <w:p w14:paraId="5BE01612" w14:textId="77777777" w:rsidR="00D15D53" w:rsidRPr="00D15D53" w:rsidRDefault="00D15D53" w:rsidP="009E7EFB">
            <w:pPr>
              <w:keepNext/>
            </w:pPr>
            <w:r w:rsidRPr="00222643">
              <w:t>NERA (2013b)</w:t>
            </w:r>
            <w:r w:rsidRPr="00D15D53">
              <w:rPr>
                <w:rStyle w:val="FootnoteReference"/>
              </w:rPr>
              <w:footnoteReference w:id="362"/>
            </w:r>
          </w:p>
        </w:tc>
        <w:tc>
          <w:tcPr>
            <w:tcW w:w="1346" w:type="dxa"/>
          </w:tcPr>
          <w:p w14:paraId="3EBBA919" w14:textId="77777777" w:rsidR="00D15D53" w:rsidRPr="00D15D53" w:rsidRDefault="00D15D53" w:rsidP="009E7EFB">
            <w:pPr>
              <w:keepNext/>
            </w:pPr>
            <w:r>
              <w:t>-1.57</w:t>
            </w:r>
            <w:r>
              <w:br/>
              <w:t>(1987</w:t>
            </w:r>
            <w:r w:rsidRPr="00D15D53">
              <w:t>–2000)</w:t>
            </w:r>
          </w:p>
        </w:tc>
        <w:tc>
          <w:tcPr>
            <w:tcW w:w="1347" w:type="dxa"/>
          </w:tcPr>
          <w:p w14:paraId="405307E3" w14:textId="77777777" w:rsidR="00D15D53" w:rsidRPr="00D15D53" w:rsidRDefault="00D15D53" w:rsidP="009E7EFB">
            <w:pPr>
              <w:keepNext/>
            </w:pPr>
            <w:r>
              <w:t>-1.90</w:t>
            </w:r>
            <w:r>
              <w:br/>
              <w:t>(2000–2012</w:t>
            </w:r>
            <w:r w:rsidRPr="00D15D53">
              <w:t>)</w:t>
            </w:r>
          </w:p>
        </w:tc>
        <w:tc>
          <w:tcPr>
            <w:tcW w:w="3322" w:type="dxa"/>
            <w:gridSpan w:val="2"/>
          </w:tcPr>
          <w:p w14:paraId="4C626735" w14:textId="77777777" w:rsidR="00D15D53" w:rsidRPr="00D15D53" w:rsidRDefault="00D15D53" w:rsidP="009E7EFB">
            <w:pPr>
              <w:keepNext/>
            </w:pPr>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9E7EFB">
            <w:pPr>
              <w:keepNext/>
            </w:pPr>
          </w:p>
        </w:tc>
        <w:tc>
          <w:tcPr>
            <w:tcW w:w="2835" w:type="dxa"/>
          </w:tcPr>
          <w:p w14:paraId="4D4F7485" w14:textId="77777777" w:rsidR="00D15D53" w:rsidRPr="00D15D53" w:rsidRDefault="00D15D53" w:rsidP="009E7EFB">
            <w:pPr>
              <w:keepNext/>
            </w:pPr>
            <w:r w:rsidRPr="00222643">
              <w:t>Lajbcygier and Wheatley (2012)</w:t>
            </w:r>
            <w:r w:rsidRPr="00D15D53">
              <w:rPr>
                <w:rStyle w:val="FootnoteReference"/>
              </w:rPr>
              <w:footnoteReference w:id="363"/>
            </w:r>
          </w:p>
        </w:tc>
        <w:tc>
          <w:tcPr>
            <w:tcW w:w="1346" w:type="dxa"/>
          </w:tcPr>
          <w:p w14:paraId="7C35FAFD" w14:textId="77777777" w:rsidR="00D15D53" w:rsidRPr="00D15D53" w:rsidRDefault="00D15D53" w:rsidP="009E7EFB">
            <w:pPr>
              <w:keepNext/>
            </w:pPr>
            <w:r>
              <w:t>-1.57</w:t>
            </w:r>
            <w:r>
              <w:br/>
              <w:t>(1987</w:t>
            </w:r>
            <w:r w:rsidRPr="00D15D53">
              <w:t>–2000)</w:t>
            </w:r>
          </w:p>
        </w:tc>
        <w:tc>
          <w:tcPr>
            <w:tcW w:w="1347" w:type="dxa"/>
          </w:tcPr>
          <w:p w14:paraId="3DEAB299" w14:textId="77777777" w:rsidR="00D15D53" w:rsidRPr="00D15D53" w:rsidRDefault="00D15D53" w:rsidP="009E7EFB">
            <w:pPr>
              <w:keepNext/>
            </w:pPr>
            <w:r w:rsidRPr="00222643">
              <w:t>-1.68</w:t>
            </w:r>
            <w:r w:rsidRPr="00222643">
              <w:br/>
              <w:t>(2000–2009)</w:t>
            </w:r>
          </w:p>
        </w:tc>
        <w:tc>
          <w:tcPr>
            <w:tcW w:w="3322" w:type="dxa"/>
            <w:gridSpan w:val="2"/>
          </w:tcPr>
          <w:p w14:paraId="6FD266A1" w14:textId="77777777" w:rsidR="00D15D53" w:rsidRPr="00D15D53" w:rsidRDefault="00D15D53" w:rsidP="009E7EFB">
            <w:pPr>
              <w:keepNext/>
            </w:pPr>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9E7EFB">
            <w:pPr>
              <w:keepNext/>
            </w:pPr>
          </w:p>
        </w:tc>
        <w:tc>
          <w:tcPr>
            <w:tcW w:w="2835" w:type="dxa"/>
          </w:tcPr>
          <w:p w14:paraId="1F027554" w14:textId="77777777" w:rsidR="00D15D53" w:rsidRPr="00D15D53" w:rsidRDefault="00D15D53" w:rsidP="009E7EFB">
            <w:pPr>
              <w:keepNext/>
            </w:pPr>
            <w:r w:rsidRPr="00222643">
              <w:t>Siau et al (2013)</w:t>
            </w:r>
            <w:r w:rsidRPr="00D15D53">
              <w:rPr>
                <w:rStyle w:val="FootnoteReference"/>
              </w:rPr>
              <w:footnoteReference w:id="364"/>
            </w:r>
          </w:p>
        </w:tc>
        <w:tc>
          <w:tcPr>
            <w:tcW w:w="1346" w:type="dxa"/>
          </w:tcPr>
          <w:p w14:paraId="3C5BEA63" w14:textId="77777777" w:rsidR="00D15D53" w:rsidRPr="00222643" w:rsidRDefault="00D15D53" w:rsidP="009E7EFB">
            <w:pPr>
              <w:keepNext/>
            </w:pPr>
          </w:p>
        </w:tc>
        <w:tc>
          <w:tcPr>
            <w:tcW w:w="1347" w:type="dxa"/>
          </w:tcPr>
          <w:p w14:paraId="2D3BADC2" w14:textId="77777777" w:rsidR="00D15D53" w:rsidRPr="00D15D53" w:rsidRDefault="00D15D53" w:rsidP="009E7EFB">
            <w:pPr>
              <w:keepNext/>
            </w:pPr>
            <w:r w:rsidRPr="00222643">
              <w:t>-0.29–0.30</w:t>
            </w:r>
            <w:r w:rsidRPr="00222643">
              <w:br/>
              <w:t>(1996–2011)</w:t>
            </w:r>
          </w:p>
        </w:tc>
        <w:tc>
          <w:tcPr>
            <w:tcW w:w="3322" w:type="dxa"/>
            <w:gridSpan w:val="2"/>
          </w:tcPr>
          <w:p w14:paraId="6585C47D" w14:textId="77777777" w:rsidR="00D15D53" w:rsidRPr="00D15D53" w:rsidRDefault="00D15D53" w:rsidP="009E7EFB">
            <w:pPr>
              <w:keepNext/>
            </w:pPr>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9E7EFB">
            <w:pPr>
              <w:keepNext/>
            </w:pPr>
          </w:p>
        </w:tc>
        <w:tc>
          <w:tcPr>
            <w:tcW w:w="2835" w:type="dxa"/>
          </w:tcPr>
          <w:p w14:paraId="7E54197A" w14:textId="5A2AE4B8" w:rsidR="005A6A8F" w:rsidRPr="00222643" w:rsidRDefault="005A6A8F" w:rsidP="009E7EFB">
            <w:pPr>
              <w:keepNext/>
            </w:pPr>
            <w:r>
              <w:t>Siau et al (2015</w:t>
            </w:r>
            <w:r w:rsidRPr="005A6A8F">
              <w:t>)</w:t>
            </w:r>
            <w:r w:rsidRPr="005A6A8F">
              <w:rPr>
                <w:rStyle w:val="FootnoteReference"/>
              </w:rPr>
              <w:footnoteReference w:id="365"/>
            </w:r>
          </w:p>
        </w:tc>
        <w:tc>
          <w:tcPr>
            <w:tcW w:w="1346" w:type="dxa"/>
          </w:tcPr>
          <w:p w14:paraId="7B62483D" w14:textId="77777777" w:rsidR="005A6A8F" w:rsidRPr="00222643" w:rsidRDefault="005A6A8F" w:rsidP="009E7EFB">
            <w:pPr>
              <w:keepNext/>
            </w:pPr>
          </w:p>
        </w:tc>
        <w:tc>
          <w:tcPr>
            <w:tcW w:w="1347" w:type="dxa"/>
          </w:tcPr>
          <w:p w14:paraId="047A5429" w14:textId="0329D35A" w:rsidR="005A6A8F" w:rsidRPr="00222643" w:rsidRDefault="0082160C" w:rsidP="009E7EFB">
            <w:pPr>
              <w:keepNext/>
            </w:pPr>
            <w:r w:rsidRPr="00222643">
              <w:t>-0.29–0.30</w:t>
            </w:r>
            <w:r w:rsidRPr="00222643">
              <w:br/>
              <w:t>(1996–2011)</w:t>
            </w:r>
          </w:p>
        </w:tc>
        <w:tc>
          <w:tcPr>
            <w:tcW w:w="3322" w:type="dxa"/>
            <w:gridSpan w:val="2"/>
          </w:tcPr>
          <w:p w14:paraId="63FB5015" w14:textId="3039F441" w:rsidR="005A6A8F" w:rsidRPr="00222643" w:rsidRDefault="005A6A8F" w:rsidP="009E7EFB">
            <w:pPr>
              <w:keepNext/>
            </w:pPr>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9E7EFB">
            <w:pPr>
              <w:keepNext/>
            </w:pPr>
          </w:p>
        </w:tc>
        <w:tc>
          <w:tcPr>
            <w:tcW w:w="2835" w:type="dxa"/>
          </w:tcPr>
          <w:p w14:paraId="6793CD54" w14:textId="2F139143" w:rsidR="005A6A8F" w:rsidRPr="00222643" w:rsidRDefault="005A6A8F" w:rsidP="009E7EFB">
            <w:pPr>
              <w:keepNext/>
            </w:pPr>
            <w:r>
              <w:t>NERA (2015)</w:t>
            </w:r>
            <w:r>
              <w:rPr>
                <w:rStyle w:val="FootnoteReference"/>
              </w:rPr>
              <w:footnoteReference w:id="366"/>
            </w:r>
          </w:p>
        </w:tc>
        <w:tc>
          <w:tcPr>
            <w:tcW w:w="1346" w:type="dxa"/>
          </w:tcPr>
          <w:p w14:paraId="2C38F01A" w14:textId="62C20F8D" w:rsidR="0082160C" w:rsidRPr="00222643" w:rsidRDefault="0082160C" w:rsidP="009E7EFB">
            <w:pPr>
              <w:keepNext/>
            </w:pPr>
            <w:r>
              <w:t>-0.90                         (1987-2000)</w:t>
            </w:r>
          </w:p>
        </w:tc>
        <w:tc>
          <w:tcPr>
            <w:tcW w:w="1347" w:type="dxa"/>
          </w:tcPr>
          <w:p w14:paraId="1F5FCE18" w14:textId="7375768B" w:rsidR="005A6A8F" w:rsidRPr="00222643" w:rsidRDefault="0082160C" w:rsidP="009E7EFB">
            <w:pPr>
              <w:keepNext/>
            </w:pPr>
            <w:r>
              <w:t>-3.18                    (</w:t>
            </w:r>
            <w:r w:rsidR="008D17D5">
              <w:t>2000-2013)</w:t>
            </w:r>
          </w:p>
        </w:tc>
        <w:tc>
          <w:tcPr>
            <w:tcW w:w="3322" w:type="dxa"/>
            <w:gridSpan w:val="2"/>
          </w:tcPr>
          <w:p w14:paraId="39722E7C" w14:textId="4D8C5735" w:rsidR="005A6A8F" w:rsidRPr="00222643" w:rsidRDefault="005A6A8F" w:rsidP="009E7EFB">
            <w:pPr>
              <w:keepNext/>
            </w:pPr>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9E7EFB">
            <w:pPr>
              <w:keepNext/>
              <w:rPr>
                <w:rStyle w:val="Strong"/>
              </w:rPr>
            </w:pPr>
            <w:r w:rsidRPr="00482215">
              <w:rPr>
                <w:rStyle w:val="Strong"/>
              </w:rPr>
              <w:lastRenderedPageBreak/>
              <w:t>Simultaneous share trades</w:t>
            </w:r>
          </w:p>
        </w:tc>
        <w:tc>
          <w:tcPr>
            <w:tcW w:w="1346" w:type="dxa"/>
          </w:tcPr>
          <w:p w14:paraId="1D6CEBF4" w14:textId="77777777" w:rsidR="00D15D53" w:rsidRPr="00222643" w:rsidRDefault="00D15D53" w:rsidP="009E7EFB">
            <w:pPr>
              <w:keepNext/>
            </w:pPr>
          </w:p>
        </w:tc>
        <w:tc>
          <w:tcPr>
            <w:tcW w:w="1347" w:type="dxa"/>
          </w:tcPr>
          <w:p w14:paraId="76A4BBC4" w14:textId="77777777" w:rsidR="00D15D53" w:rsidRPr="00222643" w:rsidRDefault="00D15D53" w:rsidP="009E7EFB">
            <w:pPr>
              <w:keepNext/>
            </w:pPr>
          </w:p>
        </w:tc>
        <w:tc>
          <w:tcPr>
            <w:tcW w:w="3322" w:type="dxa"/>
            <w:gridSpan w:val="2"/>
          </w:tcPr>
          <w:p w14:paraId="28C43D06" w14:textId="77777777" w:rsidR="00D15D53" w:rsidRPr="00222643" w:rsidRDefault="00D15D53" w:rsidP="009E7EFB">
            <w:pPr>
              <w:keepNext/>
            </w:pPr>
          </w:p>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9E7EFB">
            <w:pPr>
              <w:keepNext/>
            </w:pPr>
          </w:p>
        </w:tc>
        <w:tc>
          <w:tcPr>
            <w:tcW w:w="2835" w:type="dxa"/>
          </w:tcPr>
          <w:p w14:paraId="7019BE7A" w14:textId="77777777" w:rsidR="00D15D53" w:rsidRPr="00D15D53" w:rsidRDefault="00D15D53" w:rsidP="009E7EFB">
            <w:pPr>
              <w:keepNext/>
            </w:pPr>
            <w:r w:rsidRPr="00222643">
              <w:t xml:space="preserve">Chu and </w:t>
            </w:r>
            <w:r w:rsidRPr="00D15D53">
              <w:t>Partington (2008)</w:t>
            </w:r>
            <w:r w:rsidRPr="00D15D53">
              <w:rPr>
                <w:rStyle w:val="FootnoteReference"/>
              </w:rPr>
              <w:footnoteReference w:id="367"/>
            </w:r>
          </w:p>
        </w:tc>
        <w:tc>
          <w:tcPr>
            <w:tcW w:w="1346" w:type="dxa"/>
          </w:tcPr>
          <w:p w14:paraId="26AD4C34" w14:textId="77777777" w:rsidR="00D15D53" w:rsidRPr="00D15D53" w:rsidRDefault="00D15D53" w:rsidP="009E7EFB">
            <w:pPr>
              <w:keepNext/>
            </w:pPr>
            <w:r w:rsidRPr="00222643">
              <w:t>N/A</w:t>
            </w:r>
            <w:r w:rsidRPr="00222643">
              <w:br/>
              <w:t>(1996)</w:t>
            </w:r>
          </w:p>
        </w:tc>
        <w:tc>
          <w:tcPr>
            <w:tcW w:w="1347" w:type="dxa"/>
          </w:tcPr>
          <w:p w14:paraId="6151205C" w14:textId="77777777" w:rsidR="00D15D53" w:rsidRPr="00222643" w:rsidRDefault="00D15D53" w:rsidP="009E7EFB">
            <w:pPr>
              <w:keepNext/>
            </w:pPr>
          </w:p>
        </w:tc>
        <w:tc>
          <w:tcPr>
            <w:tcW w:w="3322" w:type="dxa"/>
            <w:gridSpan w:val="2"/>
          </w:tcPr>
          <w:p w14:paraId="00534F7A" w14:textId="77777777" w:rsidR="00D15D53" w:rsidRPr="00D15D53" w:rsidRDefault="00D15D53" w:rsidP="009E7EFB">
            <w:pPr>
              <w:keepNext/>
            </w:pPr>
            <w:r w:rsidRPr="00222643">
              <w:t xml:space="preserve">Combined drop off of 1.29. With dividends at full value, this is </w:t>
            </w:r>
            <w:proofErr w:type="gramStart"/>
            <w:r w:rsidRPr="00222643">
              <w:t>a</w:t>
            </w:r>
            <w:proofErr w:type="gramEnd"/>
            <w:r w:rsidRPr="00222643">
              <w:t xml:space="preserve">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9E7EFB">
            <w:pPr>
              <w:keepNext/>
            </w:pPr>
          </w:p>
        </w:tc>
        <w:tc>
          <w:tcPr>
            <w:tcW w:w="2835" w:type="dxa"/>
          </w:tcPr>
          <w:p w14:paraId="122A0355" w14:textId="77777777" w:rsidR="00D15D53" w:rsidRPr="00D15D53" w:rsidRDefault="00D15D53" w:rsidP="009E7EFB">
            <w:pPr>
              <w:keepNext/>
            </w:pPr>
            <w:r w:rsidRPr="00222643">
              <w:t>Walker and Partington (1999)</w:t>
            </w:r>
            <w:r w:rsidRPr="00D15D53">
              <w:rPr>
                <w:rStyle w:val="FootnoteReference"/>
              </w:rPr>
              <w:footnoteReference w:id="368"/>
            </w:r>
          </w:p>
        </w:tc>
        <w:tc>
          <w:tcPr>
            <w:tcW w:w="1346" w:type="dxa"/>
          </w:tcPr>
          <w:p w14:paraId="70CE7DC3" w14:textId="77777777" w:rsidR="00D15D53" w:rsidRPr="00D15D53" w:rsidRDefault="00D15D53" w:rsidP="009E7EFB">
            <w:pPr>
              <w:keepNext/>
            </w:pPr>
            <w:r w:rsidRPr="00222643">
              <w:t>0.88–0.96</w:t>
            </w:r>
            <w:r w:rsidRPr="00222643">
              <w:br/>
              <w:t>(1995–1997)</w:t>
            </w:r>
          </w:p>
        </w:tc>
        <w:tc>
          <w:tcPr>
            <w:tcW w:w="1347" w:type="dxa"/>
          </w:tcPr>
          <w:p w14:paraId="3CBB9049" w14:textId="77777777" w:rsidR="00D15D53" w:rsidRPr="00222643" w:rsidRDefault="00D15D53" w:rsidP="009E7EFB">
            <w:pPr>
              <w:keepNext/>
            </w:pPr>
          </w:p>
        </w:tc>
        <w:tc>
          <w:tcPr>
            <w:tcW w:w="3322" w:type="dxa"/>
            <w:gridSpan w:val="2"/>
          </w:tcPr>
          <w:p w14:paraId="029B1079" w14:textId="77777777" w:rsidR="00D15D53" w:rsidRPr="00222643" w:rsidDel="003D6627" w:rsidRDefault="00D15D53" w:rsidP="009E7EFB">
            <w:pPr>
              <w:keepNext/>
            </w:pPr>
          </w:p>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9E7EFB">
            <w:pPr>
              <w:keepNext/>
            </w:pPr>
          </w:p>
        </w:tc>
        <w:tc>
          <w:tcPr>
            <w:tcW w:w="2835" w:type="dxa"/>
          </w:tcPr>
          <w:p w14:paraId="66475BA2" w14:textId="77777777" w:rsidR="00D15D53" w:rsidRPr="00D15D53" w:rsidRDefault="00D15D53" w:rsidP="009E7EFB">
            <w:pPr>
              <w:keepNext/>
            </w:pPr>
            <w:r w:rsidRPr="00222643">
              <w:t xml:space="preserve">Chu and </w:t>
            </w:r>
            <w:r w:rsidRPr="00D15D53">
              <w:t>Partington (2001)</w:t>
            </w:r>
            <w:r w:rsidRPr="00D15D53">
              <w:rPr>
                <w:rStyle w:val="FootnoteReference"/>
              </w:rPr>
              <w:footnoteReference w:id="369"/>
            </w:r>
          </w:p>
        </w:tc>
        <w:tc>
          <w:tcPr>
            <w:tcW w:w="1346" w:type="dxa"/>
          </w:tcPr>
          <w:p w14:paraId="5A934378" w14:textId="77777777" w:rsidR="00D15D53" w:rsidRPr="00D15D53" w:rsidRDefault="00D15D53" w:rsidP="009E7EFB">
            <w:pPr>
              <w:keepNext/>
            </w:pPr>
            <w:r>
              <w:t>N/A</w:t>
            </w:r>
            <w:r>
              <w:br/>
              <w:t>(</w:t>
            </w:r>
            <w:r w:rsidRPr="00D15D53">
              <w:t>1991–1999)</w:t>
            </w:r>
          </w:p>
        </w:tc>
        <w:tc>
          <w:tcPr>
            <w:tcW w:w="1347" w:type="dxa"/>
          </w:tcPr>
          <w:p w14:paraId="5E9048D4" w14:textId="77777777" w:rsidR="00D15D53" w:rsidRPr="00222643" w:rsidRDefault="00D15D53" w:rsidP="009E7EFB">
            <w:pPr>
              <w:keepNext/>
            </w:pPr>
          </w:p>
        </w:tc>
        <w:tc>
          <w:tcPr>
            <w:tcW w:w="3322" w:type="dxa"/>
            <w:gridSpan w:val="2"/>
          </w:tcPr>
          <w:p w14:paraId="6046DEFB" w14:textId="77777777" w:rsidR="00D15D53" w:rsidRPr="00D15D53" w:rsidDel="003D6627" w:rsidRDefault="00D15D53" w:rsidP="009E7EFB">
            <w:pPr>
              <w:keepNext/>
            </w:pPr>
            <w:r w:rsidRPr="00222643">
              <w:t>Combined drop off of 1.5. With</w:t>
            </w:r>
            <w:r w:rsidRPr="00D15D53">
              <w:t xml:space="preserve"> dividends at full value, this is </w:t>
            </w:r>
            <w:proofErr w:type="gramStart"/>
            <w:r w:rsidRPr="00D15D53">
              <w:t>a</w:t>
            </w:r>
            <w:proofErr w:type="gramEnd"/>
            <w:r w:rsidRPr="00D15D53">
              <w:t xml:space="preserve">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4728A97F"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1C56D9">
        <w:t xml:space="preserve">has relatively minor editorial changes and </w:t>
      </w:r>
      <w:r>
        <w:t>gives us no cause to change our views.</w:t>
      </w:r>
      <w:r w:rsidR="00AE17FD">
        <w:rPr>
          <w:rStyle w:val="FootnoteReference"/>
        </w:rPr>
        <w:footnoteReference w:id="370"/>
      </w:r>
      <w:r>
        <w:t xml:space="preserve"> </w:t>
      </w:r>
    </w:p>
    <w:p w14:paraId="32DD9784" w14:textId="2CEFA730" w:rsidR="006D2F15" w:rsidRPr="006D2F15" w:rsidRDefault="006D2F15" w:rsidP="00913061">
      <w:r>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consider the results do not provide compelling evidence on the value of imputation credits, particularly given the large negative estimate for the value of imputation credits</w:t>
      </w:r>
      <w:r>
        <w:t>.</w:t>
      </w:r>
      <w:r w:rsidR="00B96ABE">
        <w:rPr>
          <w:rStyle w:val="FootnoteReference"/>
        </w:rPr>
        <w:footnoteReference w:id="371"/>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B96ABE">
        <w:rPr>
          <w:rStyle w:val="FootnoteReference"/>
        </w:rPr>
        <w:footnoteReference w:id="372"/>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3"/>
      </w:r>
      <w:r w:rsidR="00DE2065">
        <w:t xml:space="preserve"> </w:t>
      </w:r>
    </w:p>
    <w:p w14:paraId="5368172B" w14:textId="77777777" w:rsidR="00A7288F" w:rsidRDefault="00A7288F" w:rsidP="00FD5BE7">
      <w:pPr>
        <w:pStyle w:val="Heading9"/>
      </w:pPr>
      <w:r w:rsidRPr="00FD5BE7">
        <w:t>Comparison</w:t>
      </w:r>
      <w:r>
        <w:t xml:space="preserve"> with other market-based estimation approaches</w:t>
      </w:r>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w:t>
      </w:r>
      <w:r w:rsidRPr="007F230D">
        <w:lastRenderedPageBreak/>
        <w:t>rate of return parameters.</w:t>
      </w:r>
      <w:r>
        <w:rPr>
          <w:rStyle w:val="FootnoteReference"/>
        </w:rPr>
        <w:footnoteReference w:id="374"/>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5"/>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noted that we apply econometric techniques (that is, regression analysis) to observed market prices when estimating beta.</w:t>
      </w:r>
      <w:r w:rsidR="007F230D">
        <w:rPr>
          <w:rStyle w:val="FootnoteReference"/>
        </w:rPr>
        <w:footnoteReference w:id="376"/>
      </w:r>
      <w:r w:rsidR="007F230D" w:rsidRPr="00453BD1">
        <w:t xml:space="preserve"> This is correct, but beta </w:t>
      </w:r>
      <w:r w:rsidR="007F230D" w:rsidRPr="00B1492F">
        <w:t>is not a measure 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7"/>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8"/>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79"/>
      </w:r>
    </w:p>
    <w:p w14:paraId="0153939D" w14:textId="77777777" w:rsidR="00154821" w:rsidRDefault="00154821" w:rsidP="00154821">
      <w:pPr>
        <w:pStyle w:val="AERquote"/>
      </w:pPr>
      <w:r w:rsidRPr="00154821">
        <w:t xml:space="preserve">In other words, </w:t>
      </w:r>
      <w:proofErr w:type="gramStart"/>
      <w:r w:rsidRPr="00154821">
        <w:t>the per</w:t>
      </w:r>
      <w:proofErr w:type="gramEnd"/>
      <w:r w:rsidRPr="00154821">
        <w:t xml:space="preserve">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lastRenderedPageBreak/>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97" w:name="_Ref415065117"/>
      <w:r w:rsidRPr="00F93616">
        <w:t>Adjustment of estimates from implied market value studies</w:t>
      </w:r>
      <w:bookmarkEnd w:id="97"/>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80"/>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1E2164">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1"/>
      </w:r>
    </w:p>
    <w:p w14:paraId="14BB9640" w14:textId="77777777" w:rsidR="00D01050" w:rsidRDefault="00D01050" w:rsidP="00D01050">
      <w:pPr>
        <w:pStyle w:val="AERquote"/>
      </w:pPr>
      <w:r w:rsidRPr="00D01050">
        <w:t xml:space="preserve">…costs </w:t>
      </w:r>
      <w:proofErr w:type="gramStart"/>
      <w:r w:rsidRPr="00D01050">
        <w:t>that</w:t>
      </w:r>
      <w:proofErr w:type="gramEnd"/>
      <w:r w:rsidRPr="00D01050">
        <w:t xml:space="preserve"> reasonable, efficient investors would incur in relation to imputation credits, which do not apply to dividends or capital gains.</w:t>
      </w:r>
    </w:p>
    <w:p w14:paraId="7B7FD41D" w14:textId="7EEEB834" w:rsidR="00F27FC0" w:rsidRPr="00F27FC0" w:rsidRDefault="007F65BA" w:rsidP="00D01050">
      <w:r>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2"/>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98" w:name="_Ref414624721"/>
      <w:r w:rsidRPr="00F93616">
        <w:t>Limitations of SFG</w:t>
      </w:r>
      <w:r>
        <w:t>'s</w:t>
      </w:r>
      <w:r w:rsidRPr="00F93616">
        <w:t xml:space="preserve"> dividend drop off study</w:t>
      </w:r>
      <w:bookmarkEnd w:id="98"/>
    </w:p>
    <w:p w14:paraId="02EF5873" w14:textId="70DFF02C"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do not apply to the SFG study’.</w:t>
      </w:r>
      <w:r w:rsidR="00270CE0">
        <w:rPr>
          <w:rStyle w:val="FootnoteReference"/>
        </w:rPr>
        <w:footnoteReference w:id="383"/>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w:t>
      </w:r>
      <w:r w:rsidR="009206AF">
        <w:lastRenderedPageBreak/>
        <w:t xml:space="preserve">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4"/>
      </w:r>
      <w:r w:rsidR="00AC7B62">
        <w:t xml:space="preserve"> to warrant us changing our view on </w:t>
      </w:r>
      <w:r w:rsidR="007845BA">
        <w:t>any of the material below set out in our 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5"/>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6"/>
      </w:r>
    </w:p>
    <w:p w14:paraId="788A1096" w14:textId="77777777" w:rsidR="00270CE0" w:rsidRDefault="00270CE0" w:rsidP="00270CE0">
      <w:pPr>
        <w:pStyle w:val="AERquote"/>
      </w:pPr>
      <w:r>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7"/>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77777777" w:rsidR="00EB61EA" w:rsidRDefault="00EB61EA" w:rsidP="00EB61EA">
      <w:pPr>
        <w:pStyle w:val="AERquote"/>
      </w:pPr>
      <w:r w:rsidRPr="00EB61EA">
        <w:lastRenderedPageBreak/>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8"/>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89"/>
      </w:r>
    </w:p>
    <w:p w14:paraId="5C9D7F2B" w14:textId="77777777" w:rsidR="00EB61EA" w:rsidRDefault="0097527D" w:rsidP="0097527D">
      <w:pPr>
        <w:pStyle w:val="AERquote"/>
      </w:pPr>
      <w:r w:rsidRPr="0097527D">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90"/>
      </w:r>
    </w:p>
    <w:p w14:paraId="0E804D1A" w14:textId="77777777" w:rsidR="00FE1608" w:rsidRDefault="00FE1608" w:rsidP="00FE1608">
      <w:pPr>
        <w:pStyle w:val="AERquote"/>
      </w:pPr>
      <w:r w:rsidRPr="00FE1608">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14:paraId="6B1A978A" w14:textId="77777777" w:rsidR="00342F27" w:rsidRPr="00342F27" w:rsidRDefault="00342F27" w:rsidP="00342F27">
      <w:r w:rsidRPr="00342F27">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1"/>
      </w:r>
    </w:p>
    <w:p w14:paraId="5521610B" w14:textId="77777777" w:rsidR="00342F27" w:rsidRDefault="001C0549" w:rsidP="001C0549">
      <w:pPr>
        <w:pStyle w:val="AERquote"/>
      </w:pPr>
      <w:r w:rsidRPr="001C0549">
        <w:t xml:space="preserve">…there remains a residual concern as to whether the composition of investors around the ex-dividend date is reflective of the composition of (long term) investors in the benchmark market who supply capital to firms (including to the benchmark efficient </w:t>
      </w:r>
      <w:r w:rsidRPr="001C0549">
        <w:lastRenderedPageBreak/>
        <w:t>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2"/>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3"/>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14:paraId="64C79D24" w14:textId="77777777" w:rsidR="00A075FC" w:rsidRPr="00A075FC" w:rsidRDefault="00A075FC" w:rsidP="00A075FC">
      <w:pPr>
        <w:pStyle w:val="AERquote"/>
      </w:pPr>
      <w:r w:rsidRPr="00A075FC">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4"/>
      </w:r>
    </w:p>
    <w:p w14:paraId="2D3D269A" w14:textId="77777777" w:rsidR="000364F9" w:rsidRDefault="0019613E" w:rsidP="000364F9">
      <w:r>
        <w:lastRenderedPageBreak/>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1E2164">
        <w:t>A.14.6</w:t>
      </w:r>
      <w:r w:rsidR="000364F9">
        <w:fldChar w:fldCharType="end"/>
      </w:r>
      <w:r w:rsidR="000364F9">
        <w:t xml:space="preserve"> below. </w:t>
      </w:r>
      <w:r w:rsidR="004E3E86">
        <w:t>All but one of these</w:t>
      </w:r>
      <w:r w:rsidR="000364F9">
        <w:t xml:space="preserve"> views </w:t>
      </w:r>
      <w:proofErr w:type="gramStart"/>
      <w:r w:rsidR="000364F9">
        <w:t>were</w:t>
      </w:r>
      <w:proofErr w:type="gramEnd"/>
      <w:r w:rsidR="000364F9">
        <w:t xml:space="preserv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Pr="009650CC" w:rsidRDefault="00F13198" w:rsidP="009650CC">
      <w:r w:rsidRPr="009650CC">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77777777" w:rsidR="00F13198" w:rsidRPr="007E4FA2" w:rsidRDefault="00F13198" w:rsidP="00F13198">
      <w:r>
        <w:t xml:space="preserve">Firstly, we note that it </w:t>
      </w:r>
      <w:r w:rsidR="00BD7A68">
        <w:t>is</w:t>
      </w:r>
      <w:r>
        <w:t xml:space="preserve"> strictly incorrect to say that the value of the combined package of dividends and imputation credits can be 'observed'</w:t>
      </w:r>
      <w:r w:rsidR="00BD7A68">
        <w:t>. This is</w:t>
      </w:r>
      <w:r>
        <w:t xml:space="preserve"> because this value is actually estimated based on assumptions </w:t>
      </w:r>
      <w:r w:rsidR="00C468CA">
        <w:t>about what</w:t>
      </w:r>
      <w:r>
        <w:t xml:space="preserve"> the ex-dividend price change</w:t>
      </w:r>
      <w:r w:rsidR="00C468CA">
        <w:t xml:space="preserve"> represents</w:t>
      </w:r>
      <w:r>
        <w:t xml:space="preserve">. In any case, </w:t>
      </w:r>
      <w:r w:rsidR="00C468CA">
        <w:t xml:space="preserve">because imputation credits are only ever distributed with franked dividends, all dividend </w:t>
      </w:r>
      <w:proofErr w:type="gramStart"/>
      <w:r w:rsidR="00C468CA">
        <w:t>drop</w:t>
      </w:r>
      <w:proofErr w:type="gramEnd"/>
      <w:r w:rsidR="00C468CA">
        <w:t xml:space="preserve"> off studies must make this allocation/separation. Therefore this limitation applies to SFG's dividend drop off study.</w:t>
      </w:r>
    </w:p>
    <w:p w14:paraId="5A81B66B" w14:textId="77777777" w:rsidR="00EF42E6" w:rsidRDefault="00EF42E6" w:rsidP="00FD5BE7">
      <w:pPr>
        <w:pStyle w:val="Heading9"/>
      </w:pPr>
      <w:bookmarkStart w:id="99" w:name="_Ref402180002"/>
      <w:bookmarkStart w:id="100" w:name="_Ref414619467"/>
      <w:r>
        <w:t xml:space="preserve">The views of </w:t>
      </w:r>
      <w:r w:rsidRPr="00FD5BE7">
        <w:t>academics</w:t>
      </w:r>
      <w:r>
        <w:t xml:space="preserve"> and other regulators</w:t>
      </w:r>
      <w:bookmarkEnd w:id="99"/>
      <w:r w:rsidR="00F93616">
        <w:t xml:space="preserve"> on dividend drop off studies</w:t>
      </w:r>
      <w:bookmarkEnd w:id="100"/>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5"/>
      </w:r>
      <w:r>
        <w:t xml:space="preserve"> The comments of academics and other regulators </w:t>
      </w:r>
      <w:r w:rsidR="00FD5BE7">
        <w:t xml:space="preserve">support 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6"/>
      </w:r>
    </w:p>
    <w:p w14:paraId="3403774E" w14:textId="77777777" w:rsidR="00EF42E6" w:rsidRDefault="00EF42E6" w:rsidP="00EF42E6">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lastRenderedPageBreak/>
        <w:t>Siau, Sault and Warren (2013):</w:t>
      </w:r>
      <w:r w:rsidRPr="00EF42E6">
        <w:rPr>
          <w:rStyle w:val="FootnoteReference"/>
        </w:rPr>
        <w:footnoteReference w:id="397"/>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t>McKenzie and Partington (2013):</w:t>
      </w:r>
      <w:r w:rsidRPr="00EF42E6">
        <w:rPr>
          <w:rStyle w:val="FootnoteReference"/>
        </w:rPr>
        <w:footnoteReference w:id="398"/>
      </w:r>
    </w:p>
    <w:p w14:paraId="14572EB4" w14:textId="77777777" w:rsidR="00EF42E6" w:rsidRDefault="00EF42E6" w:rsidP="00EF42E6">
      <w:pPr>
        <w:pStyle w:val="AERquote"/>
      </w:pPr>
      <w:r w:rsidRPr="00FA5259">
        <w:lastRenderedPageBreak/>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77777777" w:rsidR="00EF42E6" w:rsidRDefault="00EF42E6" w:rsidP="00EF42E6">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t>Lally (2013):</w:t>
      </w:r>
      <w:r w:rsidRPr="00EF42E6">
        <w:rPr>
          <w:rStyle w:val="FootnoteReference"/>
        </w:rPr>
        <w:footnoteReference w:id="399"/>
      </w:r>
    </w:p>
    <w:p w14:paraId="3F6F758C" w14:textId="77777777" w:rsidR="00EF42E6" w:rsidRPr="00EE1293" w:rsidRDefault="00EF42E6" w:rsidP="00EF42E6">
      <w:pPr>
        <w:pStyle w:val="AERquote"/>
      </w:pPr>
      <w:r w:rsidRPr="00EE1293">
        <w:lastRenderedPageBreak/>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400"/>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t>South Australian Centre for Economic Studies</w:t>
      </w:r>
      <w:r w:rsidR="00AA493E">
        <w:t xml:space="preserve"> (2015)</w:t>
      </w:r>
      <w:r>
        <w:t>:</w:t>
      </w:r>
      <w:r w:rsidR="001A2B61">
        <w:rPr>
          <w:rStyle w:val="FootnoteReference"/>
        </w:rPr>
        <w:footnoteReference w:id="401"/>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t>We would contend that only the first of these three conditions is definitely met.</w:t>
      </w:r>
    </w:p>
    <w:p w14:paraId="60340144" w14:textId="77777777" w:rsidR="00FA2F53" w:rsidRPr="00FA2F53" w:rsidRDefault="00FA2F53" w:rsidP="00FA2F53">
      <w:pPr>
        <w:pStyle w:val="AERquote"/>
      </w:pPr>
      <w:r w:rsidRPr="00FA2F53">
        <w:lastRenderedPageBreak/>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comprised 44.5 per cent of the total value of shares in 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t>QCA (2014):</w:t>
      </w:r>
      <w:r w:rsidRPr="00EF42E6">
        <w:rPr>
          <w:rStyle w:val="FootnoteReference"/>
        </w:rPr>
        <w:footnoteReference w:id="402"/>
      </w:r>
    </w:p>
    <w:p w14:paraId="233DBB42" w14:textId="77777777" w:rsidR="0006207D" w:rsidRDefault="0006207D" w:rsidP="0006207D">
      <w:pPr>
        <w:pStyle w:val="AERquote"/>
      </w:pPr>
      <w:r>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3"/>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01" w:name="_Ref403481482"/>
      <w:bookmarkStart w:id="102" w:name="_Toc433445555"/>
      <w:r>
        <w:lastRenderedPageBreak/>
        <w:t xml:space="preserve">Revised consideration </w:t>
      </w:r>
      <w:r w:rsidRPr="00CD23CD">
        <w:t>of</w:t>
      </w:r>
      <w:r>
        <w:t xml:space="preserve"> the conceptual goalposts approach</w:t>
      </w:r>
      <w:bookmarkEnd w:id="101"/>
      <w:bookmarkEnd w:id="102"/>
    </w:p>
    <w:p w14:paraId="052F16B1" w14:textId="0447B7D2"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9A3ED2">
        <w:t>final</w:t>
      </w:r>
      <w:r>
        <w:t xml:space="preserve"> decision. This is mainly to be consistent with Handley's advice on the conceptual framework, which we have accepted in making this </w:t>
      </w:r>
      <w:r w:rsidR="009A3ED2">
        <w:t>final</w:t>
      </w:r>
      <w:r>
        <w:t xml:space="preserve"> 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the proposition that our conceptual analysis is confused and unsafe.</w:t>
      </w:r>
      <w:r w:rsidR="00DF722A">
        <w:rPr>
          <w:rStyle w:val="FootnoteReference"/>
        </w:rPr>
        <w:footnoteReference w:id="404"/>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r>
        <w:t>Description of the approach</w:t>
      </w:r>
    </w:p>
    <w:p w14:paraId="08B50EE0" w14:textId="77777777" w:rsidR="00CD23CD" w:rsidRDefault="00CD23CD" w:rsidP="00CD23CD">
      <w:pPr>
        <w:numPr>
          <w:ilvl w:val="0"/>
          <w:numId w:val="25"/>
        </w:numPr>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405"/>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6"/>
      </w:r>
    </w:p>
    <w:p w14:paraId="250862A5" w14:textId="77777777" w:rsidR="00CD23CD" w:rsidRDefault="00CD23CD" w:rsidP="00CD23CD">
      <w:pPr>
        <w:numPr>
          <w:ilvl w:val="0"/>
          <w:numId w:val="25"/>
        </w:numPr>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7"/>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8"/>
      </w:r>
    </w:p>
    <w:p w14:paraId="06FFE6F3" w14:textId="77777777" w:rsidR="00CD23CD" w:rsidRPr="002B01D6" w:rsidRDefault="00CD23CD" w:rsidP="00CD23CD">
      <w:pPr>
        <w:pStyle w:val="AERquote"/>
      </w:pPr>
      <w:r w:rsidRPr="002B01D6">
        <w:lastRenderedPageBreak/>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77777777" w:rsidR="00CD23CD" w:rsidRDefault="00CD23CD" w:rsidP="00CD23CD">
      <w:pPr>
        <w:numPr>
          <w:ilvl w:val="0"/>
          <w:numId w:val="25"/>
        </w:numPr>
      </w:pPr>
      <w:r>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14:paraId="4D07274A" w14:textId="77777777" w:rsidR="00CD23CD" w:rsidRDefault="00CD23CD" w:rsidP="00CD23CD">
      <w:pPr>
        <w:numPr>
          <w:ilvl w:val="0"/>
          <w:numId w:val="25"/>
        </w:numPr>
      </w:pPr>
      <w:r>
        <w:t xml:space="preserve">Both in the Guideline and in this </w:t>
      </w:r>
      <w:r w:rsidR="009A3ED2">
        <w:t>final</w:t>
      </w:r>
      <w:r>
        <w:t xml:space="preserve"> 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09"/>
      </w:r>
    </w:p>
    <w:p w14:paraId="267B3280" w14:textId="77777777" w:rsidR="00CD23CD" w:rsidRPr="002C135E" w:rsidRDefault="00CD23CD" w:rsidP="00CD23CD">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410"/>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w:t>
      </w:r>
      <w:r w:rsidRPr="002C135E">
        <w:lastRenderedPageBreak/>
        <w:t xml:space="preserve">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1"/>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w:t>
      </w:r>
      <w:proofErr w:type="gramStart"/>
      <w:r w:rsidRPr="002C135E">
        <w:t>a</w:t>
      </w:r>
      <w:proofErr w:type="gramEnd"/>
      <w:r w:rsidRPr="002C135E">
        <w:t xml:space="preserve">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w:t>
      </w:r>
      <w:proofErr w:type="gramStart"/>
      <w:r w:rsidRPr="002C135E">
        <w:t>a</w:t>
      </w:r>
      <w:proofErr w:type="gramEnd"/>
      <w:r w:rsidRPr="002C135E">
        <w:t xml:space="preserve">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w:t>
      </w:r>
      <w:proofErr w:type="gramStart"/>
      <w:r w:rsidRPr="002C135E">
        <w:t>CAPM,</w:t>
      </w:r>
      <w:proofErr w:type="gramEnd"/>
      <w:r w:rsidRPr="002C135E">
        <w:t xml:space="preserve"> populated with parameters that accord with </w:t>
      </w:r>
      <w:r w:rsidRPr="00CD23CD">
        <w:t xml:space="preserve">our 'partially integrated' market definition. That is, a market risk premium and 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412"/>
      </w:r>
      <w:r w:rsidRPr="00953733">
        <w:t xml:space="preserve"> </w:t>
      </w:r>
    </w:p>
    <w:p w14:paraId="52668688" w14:textId="77777777"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proofErr w:type="gramStart"/>
      <w:r w:rsidRPr="00953733">
        <w:t>that are</w:t>
      </w:r>
      <w:proofErr w:type="gramEnd"/>
      <w:r w:rsidRPr="00953733">
        <w:t xml:space="preserve"> significantly less than 1 fail this test in virtually every case examined, and are therefore deficient. In effect, combining Officer’s CAPM with </w:t>
      </w:r>
      <w:proofErr w:type="gramStart"/>
      <w:r w:rsidRPr="00953733">
        <w:t>a</w:t>
      </w:r>
      <w:proofErr w:type="gramEnd"/>
      <w:r w:rsidRPr="00953733">
        <w:t xml:space="preserve"> utilisation rate that is significantly less than 1 constitutes a defacto form of cherry-picking of parameter values and models that maximises the price or revenue cap for regulated businesses. By contrast, if the Officer model were combined with </w:t>
      </w:r>
      <w:proofErr w:type="gramStart"/>
      <w:r w:rsidRPr="00953733">
        <w:t>a</w:t>
      </w:r>
      <w:proofErr w:type="gramEnd"/>
      <w:r w:rsidRPr="00953733">
        <w:t xml:space="preserve"> </w:t>
      </w:r>
      <w:r w:rsidRPr="00953733">
        <w:lastRenderedPageBreak/>
        <w:t>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77777777"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xml:space="preserve">. </w:t>
      </w:r>
      <w:proofErr w:type="gramStart"/>
      <w:r w:rsidRPr="00953733">
        <w:t>A</w:t>
      </w:r>
      <w:proofErr w:type="gramEnd"/>
      <w:r w:rsidRPr="00953733">
        <w:t xml:space="preserve">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w:t>
      </w:r>
      <w:proofErr w:type="gramStart"/>
      <w:r w:rsidRPr="00953733">
        <w:t>a</w:t>
      </w:r>
      <w:proofErr w:type="gramEnd"/>
      <w:r w:rsidRPr="00953733">
        <w:t xml:space="preserve"> ut</w:t>
      </w:r>
      <w:r>
        <w:t>ilisation rate of 0.6 or below wa</w:t>
      </w:r>
      <w:r w:rsidRPr="00953733">
        <w:t>s unreasonable.</w:t>
      </w:r>
    </w:p>
    <w:p w14:paraId="4ADDA6A8" w14:textId="77777777" w:rsidR="00CD23CD" w:rsidRDefault="00CD23CD" w:rsidP="00CD23CD">
      <w:pPr>
        <w:pStyle w:val="Heading9"/>
      </w:pPr>
      <w:r>
        <w:t xml:space="preserve">Advice received since </w:t>
      </w:r>
      <w:r w:rsidRPr="00CD23CD">
        <w:t>the</w:t>
      </w:r>
      <w:r>
        <w:t xml:space="preserve"> Guideline</w:t>
      </w:r>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3"/>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4"/>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w:t>
      </w:r>
      <w:r>
        <w:lastRenderedPageBreak/>
        <w:t xml:space="preserve">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415"/>
      </w:r>
    </w:p>
    <w:p w14:paraId="47E0AB91" w14:textId="0CD8E76B" w:rsidR="00F467D0" w:rsidRPr="00FA6E29" w:rsidRDefault="00C9278D" w:rsidP="009650CC">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6"/>
      </w:r>
    </w:p>
    <w:sectPr w:rsidR="00F467D0" w:rsidRPr="00FA6E29"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CD1356" w:rsidRPr="00290C63" w:rsidRDefault="00CD1356" w:rsidP="00290C63">
      <w:r>
        <w:separator/>
      </w:r>
    </w:p>
    <w:p w14:paraId="56A58BED" w14:textId="77777777" w:rsidR="00CD1356" w:rsidRDefault="00CD1356"/>
  </w:endnote>
  <w:endnote w:type="continuationSeparator" w:id="0">
    <w:p w14:paraId="1E1B5582" w14:textId="77777777" w:rsidR="00CD1356" w:rsidRPr="00290C63" w:rsidRDefault="00CD1356" w:rsidP="00290C63">
      <w:r>
        <w:continuationSeparator/>
      </w:r>
    </w:p>
    <w:p w14:paraId="19AC23DC" w14:textId="77777777" w:rsidR="00CD1356" w:rsidRDefault="00CD1356"/>
  </w:endnote>
  <w:endnote w:type="continuationNotice" w:id="1">
    <w:p w14:paraId="20CE09CB" w14:textId="77777777" w:rsidR="00CD1356" w:rsidRDefault="00CD135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CD1356" w:rsidRPr="00290C63" w:rsidRDefault="00CD1356"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CD1356" w:rsidRDefault="00CD1356"/>
  <w:p w14:paraId="534BB993" w14:textId="77777777" w:rsidR="00CD1356" w:rsidRDefault="00CD1356"/>
  <w:p w14:paraId="1B1B2874" w14:textId="77777777" w:rsidR="00CD1356" w:rsidRDefault="00CD1356"/>
  <w:p w14:paraId="7BEB9AC4" w14:textId="77777777" w:rsidR="00CD1356" w:rsidRDefault="00CD1356"/>
  <w:p w14:paraId="189D4CFD" w14:textId="77777777" w:rsidR="00CD1356" w:rsidRDefault="00CD1356"/>
  <w:p w14:paraId="659F3C15" w14:textId="77777777" w:rsidR="00CD1356" w:rsidRDefault="00CD1356"/>
  <w:p w14:paraId="28D0D7FC" w14:textId="77777777" w:rsidR="00CD1356" w:rsidRDefault="00CD13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14:paraId="1E72F9D6" w14:textId="19F63E18" w:rsidR="00CD1356" w:rsidRPr="009B6F84" w:rsidRDefault="00CD1356">
        <w:pPr>
          <w:pStyle w:val="Footer"/>
          <w:rPr>
            <w:sz w:val="20"/>
          </w:rPr>
        </w:pPr>
        <w:r>
          <w:fldChar w:fldCharType="begin"/>
        </w:r>
        <w:r>
          <w:instrText xml:space="preserve"> PAGE   \* MERGEFORMAT </w:instrText>
        </w:r>
        <w:r>
          <w:fldChar w:fldCharType="separate"/>
        </w:r>
        <w:r w:rsidR="00FA54F1">
          <w:rPr>
            <w:noProof/>
          </w:rPr>
          <w:t>4-2</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t>Ergon Energy</w:t>
        </w:r>
        <w:r w:rsidRPr="00951318">
          <w:t xml:space="preserve"> </w:t>
        </w:r>
        <w:r>
          <w:t xml:space="preserve">determination </w:t>
        </w:r>
        <w:r w:rsidRPr="00951318">
          <w:t>2015–20</w:t>
        </w:r>
      </w:p>
    </w:sdtContent>
  </w:sdt>
  <w:p w14:paraId="3BE746CE" w14:textId="77777777" w:rsidR="00CD1356" w:rsidRDefault="00CD13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CD1356" w:rsidRPr="00290C63" w:rsidRDefault="00CD1356"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CD1356" w:rsidRDefault="00CD1356">
    <w:pPr>
      <w:pStyle w:val="Footer"/>
    </w:pPr>
  </w:p>
  <w:p w14:paraId="0D14B469" w14:textId="77777777" w:rsidR="00CD1356" w:rsidRDefault="00CD1356"/>
  <w:p w14:paraId="6E59E334" w14:textId="77777777" w:rsidR="00CD1356" w:rsidRDefault="00CD1356"/>
  <w:p w14:paraId="096E318A" w14:textId="77777777" w:rsidR="00CD1356" w:rsidRDefault="00CD1356"/>
  <w:p w14:paraId="636F211F" w14:textId="77777777" w:rsidR="00CD1356" w:rsidRDefault="00CD1356"/>
  <w:p w14:paraId="39567FA0" w14:textId="77777777" w:rsidR="00CD1356" w:rsidRDefault="00CD1356"/>
  <w:p w14:paraId="466ADD0A" w14:textId="77777777" w:rsidR="00CD1356" w:rsidRDefault="00CD1356"/>
  <w:p w14:paraId="0CAEA027" w14:textId="77777777" w:rsidR="00CD1356" w:rsidRDefault="00CD135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55972"/>
      <w:docPartObj>
        <w:docPartGallery w:val="Page Numbers (Bottom of Page)"/>
        <w:docPartUnique/>
      </w:docPartObj>
    </w:sdtPr>
    <w:sdtEndPr/>
    <w:sdtContent>
      <w:p w14:paraId="73A5A044" w14:textId="77777777" w:rsidR="00CD1356" w:rsidRPr="00824CC8" w:rsidRDefault="00CD1356"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8E1E" w14:textId="1611129A" w:rsidR="00CD1356" w:rsidRPr="00824CC8" w:rsidRDefault="00CD1356" w:rsidP="009E2088">
    <w:pPr>
      <w:pStyle w:val="Footer"/>
      <w:rPr>
        <w:rStyle w:val="AERbody"/>
      </w:rPr>
    </w:pPr>
    <w:r w:rsidRPr="000A7330">
      <w:rPr>
        <w:rStyle w:val="AERbody"/>
      </w:rPr>
      <w:t xml:space="preserve">Attachment </w:t>
    </w:r>
    <w:r>
      <w:rPr>
        <w:rStyle w:val="AERbody"/>
      </w:rPr>
      <w:t>4 - Value of imputation credits</w:t>
    </w:r>
    <w:r w:rsidRPr="00305E37">
      <w:rPr>
        <w:rStyle w:val="AERbody"/>
      </w:rPr>
      <w:t xml:space="preserve"> | </w:t>
    </w:r>
    <w:r>
      <w:rPr>
        <w:rStyle w:val="AERbody"/>
      </w:rPr>
      <w:t xml:space="preserve">Ergon </w:t>
    </w:r>
    <w:proofErr w:type="gramStart"/>
    <w:r>
      <w:rPr>
        <w:rStyle w:val="AERbody"/>
      </w:rPr>
      <w:t xml:space="preserve">Energy </w:t>
    </w:r>
    <w:r w:rsidRPr="00305E37">
      <w:rPr>
        <w:rStyle w:val="AERbody"/>
      </w:rPr>
      <w:t xml:space="preserve"> </w:t>
    </w:r>
    <w:r>
      <w:rPr>
        <w:rStyle w:val="AERbody"/>
      </w:rPr>
      <w:t>determination</w:t>
    </w:r>
    <w:proofErr w:type="gramEnd"/>
    <w:r>
      <w:rPr>
        <w:rStyle w:val="AERbody"/>
      </w:rPr>
      <w:t xml:space="preserve"> 2015-20</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A54F1">
      <w:rPr>
        <w:rStyle w:val="AERbody"/>
        <w:noProof/>
      </w:rPr>
      <w:t>4-77</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CD1356" w:rsidRPr="00290C63" w:rsidRDefault="00CD1356" w:rsidP="00290C63">
      <w:r>
        <w:separator/>
      </w:r>
    </w:p>
    <w:p w14:paraId="4D603AE2" w14:textId="77777777" w:rsidR="00CD1356" w:rsidRDefault="00CD1356"/>
  </w:footnote>
  <w:footnote w:type="continuationSeparator" w:id="0">
    <w:p w14:paraId="7A5443FF" w14:textId="77777777" w:rsidR="00CD1356" w:rsidRPr="00290C63" w:rsidRDefault="00CD1356" w:rsidP="00290C63">
      <w:r>
        <w:continuationSeparator/>
      </w:r>
    </w:p>
    <w:p w14:paraId="0DC19170" w14:textId="77777777" w:rsidR="00CD1356" w:rsidRDefault="00CD1356"/>
  </w:footnote>
  <w:footnote w:type="continuationNotice" w:id="1">
    <w:p w14:paraId="3C24604E" w14:textId="77777777" w:rsidR="00CD1356" w:rsidRDefault="00CD1356">
      <w:pPr>
        <w:spacing w:before="0" w:line="240" w:lineRule="auto"/>
      </w:pPr>
    </w:p>
  </w:footnote>
  <w:footnote w:id="2">
    <w:p w14:paraId="524D37EB" w14:textId="77777777" w:rsidR="00CD1356" w:rsidRDefault="00CD1356"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CD1356" w:rsidRDefault="00CD1356">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1A6D370C" w:rsidR="00CD1356" w:rsidRDefault="00CD1356" w:rsidP="00E356F9">
      <w:pPr>
        <w:pStyle w:val="FootnoteText"/>
      </w:pPr>
      <w:r>
        <w:rPr>
          <w:rStyle w:val="FootnoteReference"/>
        </w:rPr>
        <w:footnoteRef/>
      </w:r>
      <w:r>
        <w:t xml:space="preserve"> </w:t>
      </w:r>
      <w:r>
        <w:tab/>
      </w:r>
      <w:proofErr w:type="gramStart"/>
      <w:r>
        <w:t>NER, cll.</w:t>
      </w:r>
      <w:proofErr w:type="gramEnd"/>
      <w:r>
        <w:t xml:space="preserve"> 6.4.3(</w:t>
      </w:r>
      <w:proofErr w:type="gramStart"/>
      <w:r>
        <w:t>a</w:t>
      </w:r>
      <w:proofErr w:type="gramEnd"/>
      <w:r>
        <w:t xml:space="preserve">)(4), 6.4.3(b)(4), 6.5.3, 6A.5.4(a)(4), 6A.5.4(b)(4) and 6A.6.4; NGR, rr. </w:t>
      </w:r>
      <w:proofErr w:type="gramStart"/>
      <w:r>
        <w:t>76(c) and 87A.</w:t>
      </w:r>
      <w:proofErr w:type="gramEnd"/>
    </w:p>
  </w:footnote>
  <w:footnote w:id="5">
    <w:p w14:paraId="0731C26F" w14:textId="77777777" w:rsidR="00CD1356" w:rsidRDefault="00CD1356"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t>A.1</w:t>
      </w:r>
      <w:r>
        <w:fldChar w:fldCharType="end"/>
      </w:r>
      <w:r>
        <w:t xml:space="preserve"> of appendix A.</w:t>
      </w:r>
    </w:p>
  </w:footnote>
  <w:footnote w:id="6">
    <w:p w14:paraId="1AFCCDEE" w14:textId="77777777" w:rsidR="00CD1356" w:rsidRDefault="00CD1356"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CD1356" w:rsidRDefault="00CD1356"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t>4.4</w:t>
      </w:r>
      <w:r>
        <w:fldChar w:fldCharType="end"/>
      </w:r>
      <w:r>
        <w:t>.</w:t>
      </w:r>
    </w:p>
  </w:footnote>
  <w:footnote w:id="8">
    <w:p w14:paraId="71D0B690" w14:textId="28034C8D" w:rsidR="00CD1356" w:rsidRDefault="00CD1356">
      <w:pPr>
        <w:pStyle w:val="FootnoteText"/>
      </w:pPr>
      <w:r>
        <w:rPr>
          <w:rStyle w:val="FootnoteReference"/>
        </w:rPr>
        <w:footnoteRef/>
      </w:r>
      <w:r>
        <w:t xml:space="preserve"> </w:t>
      </w:r>
      <w:r>
        <w:tab/>
        <w:t xml:space="preserve">Ergon </w:t>
      </w:r>
      <w:proofErr w:type="gramStart"/>
      <w:r>
        <w:t>Energy,</w:t>
      </w:r>
      <w:proofErr w:type="gramEnd"/>
      <w:r>
        <w:t xml:space="preserve"> </w:t>
      </w:r>
      <w:r>
        <w:rPr>
          <w:rStyle w:val="AERtextitalic"/>
        </w:rPr>
        <w:t>Revised regulatory proposal 2015-20</w:t>
      </w:r>
      <w:r>
        <w:t>, July 2015.</w:t>
      </w:r>
    </w:p>
  </w:footnote>
  <w:footnote w:id="9">
    <w:p w14:paraId="6EF89D88" w14:textId="219C9651" w:rsidR="00CD1356" w:rsidRDefault="00CD1356" w:rsidP="006F0FAC">
      <w:pPr>
        <w:pStyle w:val="FootnoteText"/>
      </w:pPr>
      <w:r>
        <w:rPr>
          <w:rStyle w:val="FootnoteReference"/>
        </w:rPr>
        <w:footnoteRef/>
      </w:r>
      <w:r>
        <w:t xml:space="preserve"> </w:t>
      </w:r>
      <w:r>
        <w:tab/>
        <w:t xml:space="preserve">Ergon Energy actually referred to the utilisation rate as the Greek letter 'theta'. The labelling and interpretations of the utilisation rate are discussed in sections </w:t>
      </w:r>
      <w:r>
        <w:fldChar w:fldCharType="begin"/>
      </w:r>
      <w:r>
        <w:instrText xml:space="preserve"> REF _Ref400965182 \r \h </w:instrText>
      </w:r>
      <w:r>
        <w:fldChar w:fldCharType="separate"/>
      </w:r>
      <w:r>
        <w:t>A.6</w:t>
      </w:r>
      <w:r>
        <w:fldChar w:fldCharType="end"/>
      </w:r>
      <w:r>
        <w:t xml:space="preserve"> and </w:t>
      </w:r>
      <w:r>
        <w:fldChar w:fldCharType="begin"/>
      </w:r>
      <w:r>
        <w:instrText xml:space="preserve"> REF _Ref414282622 \r \h </w:instrText>
      </w:r>
      <w:r>
        <w:fldChar w:fldCharType="separate"/>
      </w:r>
      <w:r>
        <w:t>A.7</w:t>
      </w:r>
      <w:r>
        <w:fldChar w:fldCharType="end"/>
      </w:r>
      <w:r>
        <w:t xml:space="preserve"> of appendix A. </w:t>
      </w:r>
    </w:p>
  </w:footnote>
  <w:footnote w:id="10">
    <w:p w14:paraId="52C067E9" w14:textId="77777777"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6.</w:t>
      </w:r>
      <w:proofErr w:type="gramEnd"/>
    </w:p>
  </w:footnote>
  <w:footnote w:id="11">
    <w:p w14:paraId="3A5F3913" w14:textId="360FBDAB" w:rsidR="00CD1356" w:rsidRDefault="00CD1356">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t>A.14.1</w:t>
      </w:r>
      <w:r>
        <w:fldChar w:fldCharType="end"/>
      </w:r>
      <w:r>
        <w:t>.</w:t>
      </w:r>
    </w:p>
  </w:footnote>
  <w:footnote w:id="12">
    <w:p w14:paraId="444D5AC0" w14:textId="2D798F1F" w:rsidR="00CD1356" w:rsidRDefault="00CD135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3">
    <w:p w14:paraId="48EE2BEA" w14:textId="2B7460A5" w:rsidR="00CD1356" w:rsidRDefault="00CD1356">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4">
    <w:p w14:paraId="721D692A" w14:textId="77777777" w:rsidR="00CD1356" w:rsidRDefault="00CD1356">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t>4.4</w:t>
      </w:r>
      <w:r>
        <w:fldChar w:fldCharType="end"/>
      </w:r>
      <w:r>
        <w:t xml:space="preserve"> for more detail.</w:t>
      </w:r>
    </w:p>
  </w:footnote>
  <w:footnote w:id="15">
    <w:p w14:paraId="3A328102" w14:textId="2AAC5F40" w:rsidR="00CD1356" w:rsidRDefault="00CD1356"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6">
    <w:p w14:paraId="78DAD982" w14:textId="77599455" w:rsidR="00CD1356" w:rsidRDefault="00CD1356">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7">
    <w:p w14:paraId="6D58533C" w14:textId="77777777" w:rsidR="00CD1356" w:rsidRDefault="00CD1356" w:rsidP="00A90D90">
      <w:pPr>
        <w:pStyle w:val="FootnoteText"/>
      </w:pPr>
      <w:r>
        <w:rPr>
          <w:rStyle w:val="FootnoteReference"/>
        </w:rPr>
        <w:footnoteRef/>
      </w:r>
      <w:r>
        <w:t xml:space="preserve"> </w:t>
      </w:r>
      <w:r>
        <w:tab/>
      </w:r>
      <w:proofErr w:type="gramStart"/>
      <w:r>
        <w:t>NER, cll.</w:t>
      </w:r>
      <w:proofErr w:type="gramEnd"/>
      <w:r>
        <w:t xml:space="preserve"> 6.5.3 </w:t>
      </w:r>
      <w:proofErr w:type="gramStart"/>
      <w:r>
        <w:t>and</w:t>
      </w:r>
      <w:proofErr w:type="gramEnd"/>
      <w:r>
        <w:t xml:space="preserve"> 6A.6.4; NGR, r. 87A.</w:t>
      </w:r>
    </w:p>
  </w:footnote>
  <w:footnote w:id="18">
    <w:p w14:paraId="707E230C" w14:textId="77777777" w:rsidR="00CD1356" w:rsidRDefault="00CD1356" w:rsidP="00A90D90">
      <w:pPr>
        <w:pStyle w:val="FootnoteText"/>
      </w:pPr>
      <w:r>
        <w:rPr>
          <w:rStyle w:val="FootnoteReference"/>
        </w:rPr>
        <w:footnoteRef/>
      </w:r>
      <w:r>
        <w:t xml:space="preserve"> </w:t>
      </w:r>
      <w:r>
        <w:tab/>
      </w:r>
      <w:proofErr w:type="gramStart"/>
      <w:r>
        <w:t>NER, cll.</w:t>
      </w:r>
      <w:proofErr w:type="gramEnd"/>
      <w:r>
        <w:t xml:space="preserve"> 6.5.2(</w:t>
      </w:r>
      <w:proofErr w:type="gramStart"/>
      <w:r>
        <w:t>d</w:t>
      </w:r>
      <w:proofErr w:type="gramEnd"/>
      <w:r>
        <w:t>)(2) and 6A.6.2(d)(2); NGR, r. 87(4)(b).</w:t>
      </w:r>
    </w:p>
  </w:footnote>
  <w:footnote w:id="19">
    <w:p w14:paraId="3213861C" w14:textId="77777777" w:rsidR="00CD1356" w:rsidRDefault="00CD1356"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20">
    <w:p w14:paraId="320CB8AA" w14:textId="0B86D306" w:rsidR="00CD1356" w:rsidRDefault="00CD1356" w:rsidP="008C1870">
      <w:pPr>
        <w:pStyle w:val="FootnoteText"/>
      </w:pPr>
      <w:r>
        <w:rPr>
          <w:rStyle w:val="FootnoteReference"/>
        </w:rPr>
        <w:footnoteRef/>
      </w:r>
      <w:r>
        <w:t xml:space="preserve"> </w:t>
      </w:r>
      <w:r>
        <w:tab/>
      </w:r>
      <w:proofErr w:type="gramStart"/>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roofErr w:type="gramEnd"/>
    </w:p>
  </w:footnote>
  <w:footnote w:id="21">
    <w:p w14:paraId="2D151917" w14:textId="77777777" w:rsidR="00CD1356" w:rsidRDefault="00CD1356"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2">
    <w:p w14:paraId="1D705E33" w14:textId="77777777" w:rsidR="00CD1356" w:rsidRDefault="00CD1356"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3">
    <w:p w14:paraId="7ADA9201" w14:textId="77777777" w:rsidR="00CD1356" w:rsidRDefault="00CD1356">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4">
    <w:p w14:paraId="2E203B82" w14:textId="77777777" w:rsidR="00CD1356" w:rsidRDefault="00CD1356" w:rsidP="008C1870">
      <w:pPr>
        <w:pStyle w:val="FootnoteText"/>
      </w:pPr>
      <w:r>
        <w:rPr>
          <w:rStyle w:val="FootnoteReference"/>
        </w:rPr>
        <w:footnoteRef/>
      </w:r>
      <w:r>
        <w:t xml:space="preserve"> </w:t>
      </w:r>
      <w:r>
        <w:tab/>
      </w:r>
      <w:proofErr w:type="gramStart"/>
      <w:r>
        <w:t>NER, cll.</w:t>
      </w:r>
      <w:proofErr w:type="gramEnd"/>
      <w:r>
        <w:t xml:space="preserve"> 6.5.2 </w:t>
      </w:r>
      <w:proofErr w:type="gramStart"/>
      <w:r>
        <w:t>and</w:t>
      </w:r>
      <w:proofErr w:type="gramEnd"/>
      <w:r>
        <w:t xml:space="preserve"> 6A.6.2;</w:t>
      </w:r>
      <w:r w:rsidRPr="0042735A">
        <w:t xml:space="preserve"> </w:t>
      </w:r>
      <w:r>
        <w:t>NGR, r. 87.</w:t>
      </w:r>
    </w:p>
  </w:footnote>
  <w:footnote w:id="25">
    <w:p w14:paraId="2597A98B" w14:textId="77777777" w:rsidR="00CD1356" w:rsidRDefault="00CD1356">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6">
    <w:p w14:paraId="464FFFA1" w14:textId="77777777" w:rsidR="00CD1356" w:rsidRDefault="00CD1356"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7">
    <w:p w14:paraId="060E9DEE"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8">
    <w:p w14:paraId="79CD7026" w14:textId="77777777" w:rsidR="00CD1356" w:rsidRDefault="00CD1356" w:rsidP="00A90D90">
      <w:pPr>
        <w:pStyle w:val="FootnoteText"/>
      </w:pPr>
      <w:r>
        <w:rPr>
          <w:rStyle w:val="FootnoteReference"/>
        </w:rPr>
        <w:footnoteRef/>
      </w:r>
      <w:r>
        <w:tab/>
        <w:t>NEL, s. 16(1</w:t>
      </w:r>
      <w:proofErr w:type="gramStart"/>
      <w:r>
        <w:t>)(</w:t>
      </w:r>
      <w:proofErr w:type="gramEnd"/>
      <w:r>
        <w:t xml:space="preserve">a); NGL, s. 28(1)(a). </w:t>
      </w:r>
    </w:p>
  </w:footnote>
  <w:footnote w:id="29">
    <w:p w14:paraId="595466F3" w14:textId="77777777" w:rsidR="00CD1356" w:rsidRDefault="00CD1356" w:rsidP="00A90D90">
      <w:pPr>
        <w:pStyle w:val="FootnoteText"/>
      </w:pPr>
      <w:r>
        <w:rPr>
          <w:rStyle w:val="FootnoteReference"/>
        </w:rPr>
        <w:footnoteRef/>
      </w:r>
      <w:r>
        <w:t xml:space="preserve"> </w:t>
      </w:r>
      <w:r>
        <w:tab/>
        <w:t>NEL, s. 16(2</w:t>
      </w:r>
      <w:proofErr w:type="gramStart"/>
      <w:r>
        <w:t>)(</w:t>
      </w:r>
      <w:proofErr w:type="gramEnd"/>
      <w:r>
        <w:t>a)(i); NGL, s. 28(2)(a)(i).</w:t>
      </w:r>
    </w:p>
  </w:footnote>
  <w:footnote w:id="30">
    <w:p w14:paraId="15FE6FF1" w14:textId="77777777" w:rsidR="00CD1356" w:rsidRDefault="00CD1356" w:rsidP="00112FED">
      <w:pPr>
        <w:pStyle w:val="FootnoteText"/>
      </w:pPr>
      <w:r>
        <w:rPr>
          <w:rStyle w:val="FootnoteReference"/>
        </w:rPr>
        <w:footnoteRef/>
      </w:r>
      <w:r>
        <w:t xml:space="preserve"> </w:t>
      </w:r>
      <w:r>
        <w:tab/>
        <w:t xml:space="preserve">NEL, ss. </w:t>
      </w:r>
      <w:proofErr w:type="gramStart"/>
      <w:r>
        <w:t>7A(</w:t>
      </w:r>
      <w:proofErr w:type="gramEnd"/>
      <w:r>
        <w:t>2)–(7); NGL, ss. 24(2)–(7).</w:t>
      </w:r>
    </w:p>
  </w:footnote>
  <w:footnote w:id="31">
    <w:p w14:paraId="5D192719" w14:textId="77777777" w:rsidR="00CD1356" w:rsidRDefault="00CD1356" w:rsidP="00A90D90">
      <w:pPr>
        <w:pStyle w:val="FootnoteText"/>
      </w:pPr>
      <w:r>
        <w:rPr>
          <w:rStyle w:val="FootnoteReference"/>
        </w:rPr>
        <w:footnoteRef/>
      </w:r>
      <w:r>
        <w:t xml:space="preserve"> </w:t>
      </w:r>
      <w:r>
        <w:tab/>
        <w:t>The requirements to make and publish the Guideline are set out in: NER, cls. 6.5.2(</w:t>
      </w:r>
      <w:proofErr w:type="gramStart"/>
      <w:r>
        <w:t>m</w:t>
      </w:r>
      <w:proofErr w:type="gramEnd"/>
      <w:r>
        <w:t xml:space="preserve">) and 6A.6.2(m); NGR, r. 87(13). </w:t>
      </w:r>
      <w:r w:rsidRPr="004B0617">
        <w:t xml:space="preserve">The </w:t>
      </w:r>
      <w:r>
        <w:t>Guideline</w:t>
      </w:r>
      <w:r w:rsidRPr="004B0617">
        <w:t xml:space="preserve"> is available at: </w:t>
      </w:r>
      <w:r w:rsidRPr="00F8556F">
        <w:t>http://www.aer.gov.au/node/18859</w:t>
      </w:r>
      <w:r>
        <w:t>.</w:t>
      </w:r>
    </w:p>
  </w:footnote>
  <w:footnote w:id="32">
    <w:p w14:paraId="28FDCCEA" w14:textId="77777777" w:rsidR="00CD1356" w:rsidRDefault="00CD1356" w:rsidP="00A90D90">
      <w:pPr>
        <w:pStyle w:val="FootnoteText"/>
      </w:pPr>
      <w:r>
        <w:rPr>
          <w:rStyle w:val="FootnoteReference"/>
        </w:rPr>
        <w:footnoteRef/>
      </w:r>
      <w:r>
        <w:t xml:space="preserve"> </w:t>
      </w:r>
      <w:r>
        <w:tab/>
      </w:r>
      <w:proofErr w:type="gramStart"/>
      <w:r>
        <w:t>NER, cll.</w:t>
      </w:r>
      <w:proofErr w:type="gramEnd"/>
      <w:r>
        <w:t xml:space="preserve"> 6.5.2(</w:t>
      </w:r>
      <w:proofErr w:type="gramStart"/>
      <w:r>
        <w:t>n</w:t>
      </w:r>
      <w:proofErr w:type="gramEnd"/>
      <w:r w:rsidRPr="0090536E">
        <w:t xml:space="preserve">) and </w:t>
      </w:r>
      <w:r>
        <w:t>6A.6.2(n); NGR, r. 87(14).</w:t>
      </w:r>
    </w:p>
  </w:footnote>
  <w:footnote w:id="33">
    <w:p w14:paraId="2BAAF6E4" w14:textId="77777777" w:rsidR="00CD1356" w:rsidRDefault="00CD1356" w:rsidP="00A90D90">
      <w:pPr>
        <w:pStyle w:val="FootnoteText"/>
      </w:pPr>
      <w:r>
        <w:rPr>
          <w:rStyle w:val="FootnoteReference"/>
        </w:rPr>
        <w:footnoteRef/>
      </w:r>
      <w:r>
        <w:t xml:space="preserve"> </w:t>
      </w:r>
      <w:r>
        <w:tab/>
      </w:r>
      <w:proofErr w:type="gramStart"/>
      <w:r>
        <w:t>NER, cll.</w:t>
      </w:r>
      <w:proofErr w:type="gramEnd"/>
      <w:r>
        <w:t xml:space="preserve"> </w:t>
      </w:r>
      <w:r w:rsidRPr="001E5B06">
        <w:t>6.5.2(</w:t>
      </w:r>
      <w:proofErr w:type="gramStart"/>
      <w:r w:rsidRPr="001E5B06">
        <w:t>n</w:t>
      </w:r>
      <w:proofErr w:type="gramEnd"/>
      <w:r w:rsidRPr="001E5B06">
        <w:t>)</w:t>
      </w:r>
      <w:r>
        <w:t>(2) and 6.A.6.2(n)(2); NGR, r. 87(14)(b).</w:t>
      </w:r>
    </w:p>
  </w:footnote>
  <w:footnote w:id="34">
    <w:p w14:paraId="58CE400D" w14:textId="77777777" w:rsidR="00CD1356" w:rsidRDefault="00CD1356" w:rsidP="00A90D90">
      <w:pPr>
        <w:pStyle w:val="FootnoteText"/>
      </w:pPr>
      <w:r>
        <w:rPr>
          <w:rStyle w:val="FootnoteReference"/>
        </w:rPr>
        <w:footnoteRef/>
      </w:r>
      <w:r>
        <w:t xml:space="preserve"> </w:t>
      </w:r>
      <w:r>
        <w:tab/>
      </w:r>
      <w:proofErr w:type="gramStart"/>
      <w:r>
        <w:t>NER, cll.</w:t>
      </w:r>
      <w:proofErr w:type="gramEnd"/>
      <w:r>
        <w:t xml:space="preserve"> 6.2.8</w:t>
      </w:r>
      <w:proofErr w:type="gramStart"/>
      <w:r>
        <w:t>(c)</w:t>
      </w:r>
      <w:proofErr w:type="gramEnd"/>
      <w:r>
        <w:t xml:space="preserve"> and 6A.2.3(c); NGR, r. 87(18).</w:t>
      </w:r>
    </w:p>
  </w:footnote>
  <w:footnote w:id="35">
    <w:p w14:paraId="7B7C078A" w14:textId="77777777" w:rsidR="00CD1356" w:rsidRDefault="00CD1356" w:rsidP="00A90D90">
      <w:pPr>
        <w:pStyle w:val="FootnoteText"/>
      </w:pPr>
      <w:r>
        <w:rPr>
          <w:rStyle w:val="FootnoteReference"/>
        </w:rPr>
        <w:footnoteRef/>
      </w:r>
      <w:r>
        <w:t xml:space="preserve"> </w:t>
      </w:r>
      <w:r>
        <w:tab/>
        <w:t xml:space="preserve">NER, ss. </w:t>
      </w:r>
      <w:proofErr w:type="gramStart"/>
      <w:r w:rsidRPr="00A609E3">
        <w:t>S6.1.3</w:t>
      </w:r>
      <w:r>
        <w:t>(</w:t>
      </w:r>
      <w:proofErr w:type="gramEnd"/>
      <w:r>
        <w:t>9)–(9B) and S6A.1.3(4)(vi),(4A)–(4C); NGR, r. 72(1)(g).</w:t>
      </w:r>
    </w:p>
  </w:footnote>
  <w:footnote w:id="36">
    <w:p w14:paraId="603A2AA6" w14:textId="77777777" w:rsidR="00CD1356" w:rsidRDefault="00CD1356"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7">
    <w:p w14:paraId="32830357" w14:textId="77777777" w:rsidR="00CD1356" w:rsidRDefault="00CD1356">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8">
    <w:p w14:paraId="6723DCB2" w14:textId="77777777" w:rsidR="00CD1356" w:rsidRDefault="00CD1356">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9">
    <w:p w14:paraId="65D68C6D" w14:textId="77777777" w:rsidR="00CD1356" w:rsidRDefault="00CD1356" w:rsidP="009661BA">
      <w:pPr>
        <w:pStyle w:val="FootnoteText"/>
      </w:pPr>
      <w:r>
        <w:rPr>
          <w:rStyle w:val="FootnoteReference"/>
        </w:rPr>
        <w:footnoteRef/>
      </w:r>
      <w:r>
        <w:t xml:space="preserve"> </w:t>
      </w:r>
      <w:r>
        <w:tab/>
      </w:r>
      <w:proofErr w:type="gramStart"/>
      <w:r>
        <w:t>NER, cll.</w:t>
      </w:r>
      <w:proofErr w:type="gramEnd"/>
      <w:r>
        <w:t xml:space="preserve"> 6.5.2(</w:t>
      </w:r>
      <w:proofErr w:type="gramStart"/>
      <w:r>
        <w:t>d</w:t>
      </w:r>
      <w:proofErr w:type="gramEnd"/>
      <w:r>
        <w:t>)(2) and 6A.6.2(d)(2); NGR, r. 87(4)(b).</w:t>
      </w:r>
    </w:p>
  </w:footnote>
  <w:footnote w:id="40">
    <w:p w14:paraId="72D623C9" w14:textId="77777777" w:rsidR="00CD1356" w:rsidRDefault="00CD1356"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1">
    <w:p w14:paraId="1C27CF55" w14:textId="77777777" w:rsidR="00CD1356" w:rsidRDefault="00CD1356"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2">
    <w:p w14:paraId="3E49A65A" w14:textId="77777777" w:rsidR="00CD1356" w:rsidRDefault="00CD1356" w:rsidP="00A90D90">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xml:space="preserve">, 21 May 2014; SFG, </w:t>
      </w:r>
      <w:r>
        <w:rPr>
          <w:rStyle w:val="AERtextitalic"/>
        </w:rPr>
        <w:t>Estimating gamma for regulatory purposes</w:t>
      </w:r>
      <w:r>
        <w:t>, 6 February 2015.</w:t>
      </w:r>
      <w:proofErr w:type="gramEnd"/>
      <w:r>
        <w:t xml:space="preserve"> </w:t>
      </w:r>
      <w:proofErr w:type="gramStart"/>
      <w:r>
        <w:t xml:space="preserve">Frontier Economics, </w:t>
      </w:r>
      <w:r w:rsidRPr="00D14DE4">
        <w:rPr>
          <w:rStyle w:val="AERtextitalic"/>
        </w:rPr>
        <w:t>An appropriate regulatory estimate of gamma</w:t>
      </w:r>
      <w:r>
        <w:t>, June 2015.</w:t>
      </w:r>
      <w:proofErr w:type="gramEnd"/>
    </w:p>
  </w:footnote>
  <w:footnote w:id="43">
    <w:p w14:paraId="2A7FA68F" w14:textId="77777777" w:rsidR="00CD1356" w:rsidRDefault="00CD1356">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proofErr w:type="gramStart"/>
      <w:r w:rsidRPr="00906B59">
        <w:rPr>
          <w:rStyle w:val="AERtextitalic"/>
        </w:rPr>
        <w:t>Do</w:t>
      </w:r>
      <w:proofErr w:type="gramEnd"/>
      <w:r w:rsidRPr="00906B59">
        <w:rPr>
          <w:rStyle w:val="AERtextitalic"/>
        </w:rPr>
        <w:t xml:space="preserve"> imputation credits lower the cost of equity? </w:t>
      </w:r>
      <w:proofErr w:type="gramStart"/>
      <w:r w:rsidRPr="00906B59">
        <w:rPr>
          <w:rStyle w:val="AERtextitalic"/>
        </w:rPr>
        <w:t>Cross-sectional tests</w:t>
      </w:r>
      <w:r>
        <w:t>, April 2015.</w:t>
      </w:r>
      <w:proofErr w:type="gramEnd"/>
      <w:r>
        <w:t xml:space="preserve"> 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w:t>
      </w:r>
    </w:p>
  </w:footnote>
  <w:footnote w:id="44">
    <w:p w14:paraId="7E2589F2" w14:textId="14EC0C56" w:rsidR="00CD1356" w:rsidRDefault="00CD1356"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5">
    <w:p w14:paraId="012A0C7E" w14:textId="77777777" w:rsidR="00CD1356" w:rsidRDefault="00CD1356"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6">
    <w:p w14:paraId="452DEFC0" w14:textId="77777777" w:rsidR="00CD1356" w:rsidRDefault="00CD1356"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rsidRPr="00DF6BAC">
        <w:t>,</w:t>
      </w:r>
      <w:proofErr w:type="gramEnd"/>
      <w:r w:rsidRPr="00DF6BAC">
        <w:t xml:space="preserve"> September 2013.</w:t>
      </w:r>
    </w:p>
  </w:footnote>
  <w:footnote w:id="47">
    <w:p w14:paraId="0E537883" w14:textId="77777777" w:rsidR="00CD1356" w:rsidRDefault="00CD1356"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8">
    <w:p w14:paraId="3342FDC7" w14:textId="77777777" w:rsidR="00CD1356" w:rsidRDefault="00CD1356"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t>A.1</w:t>
      </w:r>
      <w:r>
        <w:fldChar w:fldCharType="end"/>
      </w:r>
      <w:r>
        <w:t xml:space="preserve"> and </w:t>
      </w:r>
      <w:r>
        <w:fldChar w:fldCharType="begin"/>
      </w:r>
      <w:r>
        <w:instrText xml:space="preserve"> REF _Ref414621875 \r \h </w:instrText>
      </w:r>
      <w:r>
        <w:fldChar w:fldCharType="separate"/>
      </w:r>
      <w:r>
        <w:t>A.2</w:t>
      </w:r>
      <w:r>
        <w:fldChar w:fldCharType="end"/>
      </w:r>
      <w:r>
        <w:t xml:space="preserve"> of appendix A.</w:t>
      </w:r>
    </w:p>
  </w:footnote>
  <w:footnote w:id="49">
    <w:p w14:paraId="2C0E7A02" w14:textId="77777777" w:rsidR="00CD1356" w:rsidRDefault="00CD1356"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t>A.5</w:t>
      </w:r>
      <w:r>
        <w:fldChar w:fldCharType="end"/>
      </w:r>
      <w:r>
        <w:t xml:space="preserve"> of appendix A.</w:t>
      </w:r>
    </w:p>
  </w:footnote>
  <w:footnote w:id="50">
    <w:p w14:paraId="426B79D7" w14:textId="77777777" w:rsidR="00CD1356" w:rsidRDefault="00CD1356"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t>4.3.1</w:t>
      </w:r>
      <w:r>
        <w:fldChar w:fldCharType="end"/>
      </w:r>
      <w:r>
        <w:t xml:space="preserve"> and </w:t>
      </w:r>
      <w:r>
        <w:fldChar w:fldCharType="begin"/>
      </w:r>
      <w:r>
        <w:instrText xml:space="preserve"> REF _Ref400965182 \r \h </w:instrText>
      </w:r>
      <w:r>
        <w:fldChar w:fldCharType="separate"/>
      </w:r>
      <w:r>
        <w:t>A.6</w:t>
      </w:r>
      <w:r>
        <w:fldChar w:fldCharType="end"/>
      </w:r>
      <w:r>
        <w:t xml:space="preserve"> of appendix A.</w:t>
      </w:r>
    </w:p>
  </w:footnote>
  <w:footnote w:id="51">
    <w:p w14:paraId="302E0226" w14:textId="77777777" w:rsidR="00CD1356" w:rsidRDefault="00CD1356"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t>A.6</w:t>
      </w:r>
      <w:r>
        <w:fldChar w:fldCharType="end"/>
      </w:r>
      <w:r>
        <w:t xml:space="preserve"> of appendix A.</w:t>
      </w:r>
    </w:p>
  </w:footnote>
  <w:footnote w:id="52">
    <w:p w14:paraId="70154BDC" w14:textId="77777777" w:rsidR="00CD1356" w:rsidRDefault="00CD1356" w:rsidP="00A90D90">
      <w:pPr>
        <w:pStyle w:val="FootnoteText"/>
      </w:pPr>
      <w:r>
        <w:rPr>
          <w:rStyle w:val="FootnoteReference"/>
        </w:rPr>
        <w:footnoteRef/>
      </w:r>
      <w:r>
        <w:t xml:space="preserve"> </w:t>
      </w:r>
      <w:r>
        <w:tab/>
        <w:t xml:space="preserve">For instance, some experts advocate use of evidence on just listed companies and their </w:t>
      </w:r>
      <w:proofErr w:type="gramStart"/>
      <w:r>
        <w:t>investors because this is considered to be more reflective of the benchmark efficient entity and its investors, and/or this is</w:t>
      </w:r>
      <w:proofErr w:type="gramEnd"/>
      <w:r>
        <w:t xml:space="preserve"> consistent with the use of evidence from just listed companies when estimating the market risk premium. See section </w:t>
      </w:r>
      <w:r>
        <w:fldChar w:fldCharType="begin"/>
      </w:r>
      <w:r>
        <w:instrText xml:space="preserve"> REF _Ref401048631 \r \h </w:instrText>
      </w:r>
      <w:r>
        <w:fldChar w:fldCharType="separate"/>
      </w:r>
      <w:r>
        <w:t>A.9.1</w:t>
      </w:r>
      <w:r>
        <w:fldChar w:fldCharType="end"/>
      </w:r>
      <w:r>
        <w:t xml:space="preserve"> of appendix A for more discussion. </w:t>
      </w:r>
    </w:p>
  </w:footnote>
  <w:footnote w:id="53">
    <w:p w14:paraId="7C0C31E0" w14:textId="77777777" w:rsidR="00CD1356" w:rsidRDefault="00CD1356"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4">
    <w:p w14:paraId="7AE2616C" w14:textId="77777777" w:rsidR="00CD1356" w:rsidRDefault="00CD1356"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w:t>
      </w:r>
      <w:proofErr w:type="gramStart"/>
      <w:r>
        <w:t>a</w:t>
      </w:r>
      <w:proofErr w:type="gramEnd"/>
      <w:r>
        <w:t xml:space="preserve"> utilisation rate of 1 is based on his consideration that, because we use a domestic rate of return framework, we should assume that all investors in the market are domestic (and therefore eligible to make full use of imputation credits).</w:t>
      </w:r>
    </w:p>
  </w:footnote>
  <w:footnote w:id="55">
    <w:p w14:paraId="59C06099" w14:textId="77777777" w:rsidR="00CD1356" w:rsidRDefault="00CD1356"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6">
    <w:p w14:paraId="4446AADE" w14:textId="77777777" w:rsidR="00CD1356" w:rsidRDefault="00CD1356"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t>A.1</w:t>
      </w:r>
      <w:r>
        <w:fldChar w:fldCharType="end"/>
      </w:r>
      <w:r>
        <w:t xml:space="preserve"> of appendix A.</w:t>
      </w:r>
    </w:p>
  </w:footnote>
  <w:footnote w:id="57">
    <w:p w14:paraId="6615E5F5" w14:textId="77777777" w:rsidR="00CD1356" w:rsidRDefault="00CD1356"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8">
    <w:p w14:paraId="7123C3A3" w14:textId="77777777" w:rsidR="00CD1356" w:rsidRDefault="00CD1356">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9">
    <w:p w14:paraId="04154A0A" w14:textId="77777777" w:rsidR="00CD1356" w:rsidRDefault="00CD1356"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60">
    <w:p w14:paraId="3FC624FE" w14:textId="77777777" w:rsidR="00CD1356" w:rsidRDefault="00CD1356"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t>4.4.2</w:t>
      </w:r>
      <w:r>
        <w:fldChar w:fldCharType="end"/>
      </w:r>
      <w:r>
        <w:t>.</w:t>
      </w:r>
    </w:p>
  </w:footnote>
  <w:footnote w:id="61">
    <w:p w14:paraId="2F86096E" w14:textId="77777777" w:rsidR="00CD1356" w:rsidRDefault="00CD1356"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2">
    <w:p w14:paraId="44247CAE" w14:textId="77777777" w:rsidR="00CD1356" w:rsidRDefault="00CD1356">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3">
    <w:p w14:paraId="46CFF022" w14:textId="77777777" w:rsidR="00CD1356" w:rsidRDefault="00CD1356"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t>4.4.2</w:t>
      </w:r>
      <w:r>
        <w:fldChar w:fldCharType="end"/>
      </w:r>
      <w:r>
        <w:t>.</w:t>
      </w:r>
    </w:p>
  </w:footnote>
  <w:footnote w:id="64">
    <w:p w14:paraId="323C28C9" w14:textId="77777777" w:rsidR="00CD1356" w:rsidRDefault="00CD1356">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5">
    <w:p w14:paraId="48F57817" w14:textId="77777777" w:rsidR="00CD1356" w:rsidRPr="001966E3" w:rsidRDefault="00CD1356"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6">
    <w:p w14:paraId="0C0CF8BA" w14:textId="77777777" w:rsidR="00CD1356" w:rsidRDefault="00CD1356" w:rsidP="005401BC">
      <w:pPr>
        <w:pStyle w:val="FootnoteText"/>
      </w:pPr>
      <w:r>
        <w:rPr>
          <w:rStyle w:val="FootnoteReference"/>
        </w:rPr>
        <w:footnoteRef/>
      </w:r>
      <w:r>
        <w:t xml:space="preserve"> </w:t>
      </w:r>
      <w:r>
        <w:tab/>
      </w:r>
      <w:proofErr w:type="gramStart"/>
      <w:r w:rsidRPr="0074446C">
        <w:t xml:space="preserve">Australian Competition Tribunal, </w:t>
      </w:r>
      <w:r w:rsidRPr="008A03DA">
        <w:rPr>
          <w:rStyle w:val="AERtextitalic"/>
        </w:rPr>
        <w:t>Application by Energex Limited (Gamma) (No 5) [2011] ACompT 9</w:t>
      </w:r>
      <w:r>
        <w:t>, 12 May 2011, para.</w:t>
      </w:r>
      <w:proofErr w:type="gramEnd"/>
      <w:r>
        <w:t xml:space="preserve"> 45.</w:t>
      </w:r>
    </w:p>
  </w:footnote>
  <w:footnote w:id="67">
    <w:p w14:paraId="68AEC066" w14:textId="77777777" w:rsidR="00CD1356" w:rsidRDefault="00CD1356">
      <w:pPr>
        <w:pStyle w:val="FootnoteText"/>
      </w:pPr>
      <w:r>
        <w:rPr>
          <w:rStyle w:val="FootnoteReference"/>
        </w:rPr>
        <w:footnoteRef/>
      </w:r>
      <w:r>
        <w:t xml:space="preserve"> </w:t>
      </w:r>
      <w:r>
        <w:tab/>
      </w:r>
      <w:proofErr w:type="gramStart"/>
      <w:r>
        <w:t xml:space="preserve">PIAC, </w:t>
      </w:r>
      <w:r w:rsidRPr="001966E3">
        <w:rPr>
          <w:rStyle w:val="AERtextitalic"/>
        </w:rPr>
        <w:t>A missed opportunity?</w:t>
      </w:r>
      <w:proofErr w:type="gramEnd"/>
      <w:r w:rsidRPr="001966E3">
        <w:rPr>
          <w:rStyle w:val="AERtextitalic"/>
        </w:rPr>
        <w:t xml:space="preserve"> Submission to the Australian Energy Regulator’s draft determination for Ausgrid, Endeavour Energy and Essential Energy</w:t>
      </w:r>
      <w:r>
        <w:t>, 13 February 2015, pp. 19–20.</w:t>
      </w:r>
    </w:p>
  </w:footnote>
  <w:footnote w:id="68">
    <w:p w14:paraId="1317F82D" w14:textId="77777777" w:rsidR="00CD1356" w:rsidRDefault="00CD1356"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69">
    <w:p w14:paraId="19989823" w14:textId="77777777" w:rsidR="00CD1356" w:rsidRDefault="00CD1356" w:rsidP="001B6BD3">
      <w:pPr>
        <w:pStyle w:val="FootnoteText"/>
      </w:pPr>
      <w:r>
        <w:rPr>
          <w:rStyle w:val="FootnoteReference"/>
        </w:rPr>
        <w:footnoteRef/>
      </w:r>
      <w:r>
        <w:t xml:space="preserve"> </w:t>
      </w:r>
      <w:r>
        <w:tab/>
      </w:r>
      <w:proofErr w:type="gramStart"/>
      <w:r>
        <w:t xml:space="preserve">EMRF, </w:t>
      </w:r>
      <w:r w:rsidRPr="001B6BD3">
        <w:rPr>
          <w:rStyle w:val="AERtextitalic"/>
        </w:rPr>
        <w:t>NSW gas distribution revenue reset, Draft decision by the Australian Energy Regulator on Jemena’s Gas Networks Access Arrangement, A response</w:t>
      </w:r>
      <w:r>
        <w:t>, March 2015, p. 71.</w:t>
      </w:r>
      <w:proofErr w:type="gramEnd"/>
    </w:p>
  </w:footnote>
  <w:footnote w:id="70">
    <w:p w14:paraId="0E113CA0" w14:textId="77777777" w:rsidR="00CD1356" w:rsidRDefault="00CD1356">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1">
    <w:p w14:paraId="464F8BA9" w14:textId="77777777" w:rsidR="00CD1356" w:rsidRDefault="00CD1356" w:rsidP="00B36753">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Regulatory </w:t>
      </w:r>
      <w:proofErr w:type="gramStart"/>
      <w:r w:rsidRPr="00B36753">
        <w:rPr>
          <w:rStyle w:val="AERtextitalic"/>
        </w:rPr>
        <w:t>Proposal</w:t>
      </w:r>
      <w:proofErr w:type="gramEnd"/>
      <w:r>
        <w:t>, January 2015, p. 21.</w:t>
      </w:r>
    </w:p>
  </w:footnote>
  <w:footnote w:id="72">
    <w:p w14:paraId="3CBDF6D9" w14:textId="205CD6F4" w:rsidR="00CD1356" w:rsidRDefault="00CD1356">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73">
    <w:p w14:paraId="74AD9B72" w14:textId="77777777" w:rsidR="00CD1356" w:rsidRDefault="00CD1356" w:rsidP="003504FC">
      <w:pPr>
        <w:pStyle w:val="FootnoteText"/>
      </w:pPr>
      <w:r>
        <w:rPr>
          <w:rStyle w:val="FootnoteReference"/>
        </w:rPr>
        <w:footnoteRef/>
      </w:r>
      <w:r>
        <w:t xml:space="preserve"> </w:t>
      </w:r>
      <w:r>
        <w:tab/>
      </w:r>
      <w:proofErr w:type="gramStart"/>
      <w:r>
        <w:t xml:space="preserve">ECCSA, </w:t>
      </w:r>
      <w:r w:rsidRPr="003504FC">
        <w:rPr>
          <w:rStyle w:val="AERtextitalic"/>
        </w:rPr>
        <w:t>SA Electricity Distribution Revenue Reset, SA PowerNetworks Application, A response</w:t>
      </w:r>
      <w:r>
        <w:t>, December 2014, pp. 80–81.</w:t>
      </w:r>
      <w:proofErr w:type="gramEnd"/>
    </w:p>
  </w:footnote>
  <w:footnote w:id="74">
    <w:p w14:paraId="0A639FE5" w14:textId="638AB9BC" w:rsidR="00CD1356" w:rsidRDefault="00CD1356"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xml:space="preserve">, </w:t>
      </w:r>
      <w:proofErr w:type="gramStart"/>
      <w:r w:rsidRPr="003504FC">
        <w:rPr>
          <w:rStyle w:val="AERtextitalic"/>
        </w:rPr>
        <w:t>A</w:t>
      </w:r>
      <w:proofErr w:type="gramEnd"/>
      <w:r w:rsidRPr="003504FC">
        <w:rPr>
          <w:rStyle w:val="AERtextitalic"/>
        </w:rPr>
        <w:t xml:space="preserve"> response</w:t>
      </w:r>
      <w:r>
        <w:t>, June 2015, p 42.</w:t>
      </w:r>
    </w:p>
  </w:footnote>
  <w:footnote w:id="75">
    <w:p w14:paraId="43316870" w14:textId="77777777" w:rsidR="00CD1356" w:rsidRDefault="00CD1356" w:rsidP="0014196F">
      <w:pPr>
        <w:pStyle w:val="FootnoteText"/>
      </w:pPr>
      <w:r>
        <w:rPr>
          <w:rStyle w:val="FootnoteReference"/>
        </w:rPr>
        <w:footnoteRef/>
      </w:r>
      <w:r>
        <w:t xml:space="preserve"> </w:t>
      </w:r>
      <w:r>
        <w:tab/>
      </w:r>
      <w:proofErr w:type="gramStart"/>
      <w:r>
        <w:t xml:space="preserve">QCOSS, </w:t>
      </w:r>
      <w:r w:rsidRPr="0014196F">
        <w:rPr>
          <w:rStyle w:val="AERtextitalic"/>
        </w:rPr>
        <w:t>Understanding the long term interests of electricity customers, Submission to the AER’s Queensland electricity distribution determination 2015-2020</w:t>
      </w:r>
      <w:r>
        <w:t>, 30 January 2015, p. 81.</w:t>
      </w:r>
      <w:proofErr w:type="gramEnd"/>
    </w:p>
  </w:footnote>
  <w:footnote w:id="76">
    <w:p w14:paraId="59806CA0" w14:textId="77777777" w:rsidR="00CD1356" w:rsidRDefault="00CD1356"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w:t>
      </w:r>
      <w:r w:rsidRPr="00F31D12">
        <w:rPr>
          <w:rStyle w:val="AERtextitalic"/>
          <w:rFonts w:ascii="Cambria Math" w:hAnsi="Cambria Math" w:cs="Cambria Math"/>
        </w:rPr>
        <w:t>‐</w:t>
      </w:r>
      <w:r w:rsidRPr="00F31D12">
        <w:rPr>
          <w:rStyle w:val="AERtextitalic"/>
        </w:rPr>
        <w:t>2020</w:t>
      </w:r>
      <w:r>
        <w:t>, 30 January 2015, p. 24.</w:t>
      </w:r>
    </w:p>
  </w:footnote>
  <w:footnote w:id="77">
    <w:p w14:paraId="522A8DCE" w14:textId="4B391BE5" w:rsidR="00CD1356" w:rsidRDefault="00CD1356" w:rsidP="00B239C6">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2015-20 from SA Power Networks, and AER Preliminary Determination, July 2015, p. 29.</w:t>
      </w:r>
    </w:p>
  </w:footnote>
  <w:footnote w:id="78">
    <w:p w14:paraId="2ED40B18" w14:textId="77777777" w:rsidR="00CD1356" w:rsidRDefault="00CD1356"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79">
    <w:p w14:paraId="17BA70D0" w14:textId="77777777" w:rsidR="00CD1356" w:rsidRDefault="00CD1356"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t>A.10</w:t>
      </w:r>
      <w:r>
        <w:fldChar w:fldCharType="end"/>
      </w:r>
      <w:r w:rsidRPr="007F4E38">
        <w:t xml:space="preserve"> of </w:t>
      </w:r>
      <w:r>
        <w:t>appendix A.</w:t>
      </w:r>
    </w:p>
  </w:footnote>
  <w:footnote w:id="80">
    <w:p w14:paraId="66868DEA" w14:textId="77777777" w:rsidR="00CD1356" w:rsidRDefault="00CD1356"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1">
    <w:p w14:paraId="52FF263E" w14:textId="77777777" w:rsidR="00CD1356" w:rsidRDefault="00CD1356"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rsidRPr="00DF6BAC">
        <w:t>,</w:t>
      </w:r>
      <w:proofErr w:type="gramEnd"/>
      <w:r w:rsidRPr="00DF6BAC">
        <w:t xml:space="preserve"> September 2013.</w:t>
      </w:r>
    </w:p>
  </w:footnote>
  <w:footnote w:id="82">
    <w:p w14:paraId="216B095E" w14:textId="77777777" w:rsidR="00CD1356" w:rsidRDefault="00CD1356">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3">
    <w:p w14:paraId="225323C2" w14:textId="77777777" w:rsidR="00CD1356" w:rsidRDefault="00CD1356" w:rsidP="009B2ABF">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paras.</w:t>
      </w:r>
      <w:proofErr w:type="gramEnd"/>
      <w:r>
        <w:t xml:space="preserve">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84">
    <w:p w14:paraId="6A8F7D53" w14:textId="77777777" w:rsidR="00CD1356" w:rsidRDefault="00CD1356"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5">
    <w:p w14:paraId="1DC7CDAB" w14:textId="77777777" w:rsidR="00CD1356" w:rsidRDefault="00CD1356">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86">
    <w:p w14:paraId="1529DDE9" w14:textId="77777777" w:rsidR="00CD1356" w:rsidRDefault="00CD1356"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w:t>
      </w:r>
    </w:p>
  </w:footnote>
  <w:footnote w:id="87">
    <w:p w14:paraId="0232DD62" w14:textId="4050C0F9"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February 2015, p. 4; AusNet Services, 2016-20 Regulatory Proposal, April 2015, p354; United Energy, Assessment of the Value of Imputation Credits - Gamma, Proposal for 2016 to 2020, April 2015, pp2, 6-8; CitiPower - Appendix J - Gamma, April 2015, pp6-7; Powercor, Appendix J - Gamma, April 2015, pp6-7; Jemena Electricity, Attachment 06-06 Gamma proposal, April 2015, p2; SA Power Networks, 2015-20 Revised Regulatory Proposal, pp376-379, July 2015; Energex, Revised Regulatory Proposal, pp124-125, July 2015; Ergon, Revised Regulatory Proposal, p153, July 2015; ActewAGL Distribution, Attachment 8 Detailed gamma proposal, pp 4-6, June 2015; Australian Gas Networks, Access Arrangement Information for Australian Gas Networks' South Australian Natural Gas Distribution Network, pp 183-184, July 2015; Amadeus Gas Pipeline, Access Arrangement revision submission, August 2015, p. 153.</w:t>
      </w:r>
    </w:p>
  </w:footnote>
  <w:footnote w:id="88">
    <w:p w14:paraId="7463B2BE" w14:textId="77777777" w:rsidR="00CD1356" w:rsidRDefault="00CD1356"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t>A.8.1</w:t>
      </w:r>
      <w:r>
        <w:fldChar w:fldCharType="end"/>
      </w:r>
      <w:r>
        <w:t xml:space="preserve"> of appendix A.</w:t>
      </w:r>
    </w:p>
  </w:footnote>
  <w:footnote w:id="89">
    <w:p w14:paraId="2FCD216E" w14:textId="77777777" w:rsidR="00CD1356" w:rsidRDefault="00CD1356"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90">
    <w:p w14:paraId="6B8853D9" w14:textId="77777777" w:rsidR="00CD1356" w:rsidRDefault="00CD1356"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t>A.11</w:t>
      </w:r>
      <w:r>
        <w:fldChar w:fldCharType="end"/>
      </w:r>
      <w:r>
        <w:t xml:space="preserve"> of appendix A.</w:t>
      </w:r>
    </w:p>
  </w:footnote>
  <w:footnote w:id="91">
    <w:p w14:paraId="68059255" w14:textId="77777777" w:rsidR="00CD1356" w:rsidRDefault="00CD1356"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2">
    <w:p w14:paraId="38CBB34D" w14:textId="464742CE" w:rsidR="00CD1356" w:rsidRDefault="00CD1356"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r w:rsidRPr="00261628">
        <w:t xml:space="preserve"> </w:t>
      </w:r>
      <w:r>
        <w:t xml:space="preserve">AusNet Services, </w:t>
      </w:r>
      <w:r w:rsidRPr="00CD1356">
        <w:rPr>
          <w:rStyle w:val="AERtextitalic"/>
        </w:rPr>
        <w:t>2016-20 Regulatory Proposal</w:t>
      </w:r>
      <w:r>
        <w:t xml:space="preserve">, April 2015, p. 364; United Energy, </w:t>
      </w:r>
      <w:r w:rsidRPr="00CD1356">
        <w:rPr>
          <w:rStyle w:val="AERtextitalic"/>
        </w:rPr>
        <w:t>Assessment of the Value of Imputation Credits - Gamma, Proposal for 2016 to 2020</w:t>
      </w:r>
      <w:r>
        <w:t xml:space="preserve">, April 2015, p. 10; CitiPower, </w:t>
      </w:r>
      <w:r w:rsidRPr="00CD1356">
        <w:rPr>
          <w:rStyle w:val="AERtextitalic"/>
        </w:rPr>
        <w:t>Appendix J - Gamma</w:t>
      </w:r>
      <w:r>
        <w:t xml:space="preserve">, April 2015, p. 10; Powercor, </w:t>
      </w:r>
      <w:r w:rsidRPr="00CD1356">
        <w:rPr>
          <w:rStyle w:val="AERtextitalic"/>
        </w:rPr>
        <w:t>Appendix J - Gamma</w:t>
      </w:r>
      <w:r>
        <w:t xml:space="preserve">, April 2015, p. 10; Jemena Electricity, </w:t>
      </w:r>
      <w:r w:rsidRPr="00CD1356">
        <w:rPr>
          <w:rStyle w:val="AERtextitalic"/>
        </w:rPr>
        <w:t>Attachment 06-06 Gamma proposal</w:t>
      </w:r>
      <w:r>
        <w:t xml:space="preserve">, April 2015, p. 11; Energex, </w:t>
      </w:r>
      <w:r w:rsidRPr="00CD1356">
        <w:rPr>
          <w:rStyle w:val="AERtextitalic"/>
        </w:rPr>
        <w:t>Revised Regulatory Proposal</w:t>
      </w:r>
      <w:r>
        <w:t xml:space="preserve">, July 2015, p. 118;  ActewAGL Distribution, </w:t>
      </w:r>
      <w:r w:rsidRPr="00CD1356">
        <w:rPr>
          <w:rStyle w:val="AERtextitalic"/>
        </w:rPr>
        <w:t>Attachment 8 Detailed gamma proposal</w:t>
      </w:r>
      <w:r>
        <w:t xml:space="preserve">, June 2015, p. 13; Australian Gas Networks, Access </w:t>
      </w:r>
      <w:r w:rsidRPr="00CD1356">
        <w:rPr>
          <w:rStyle w:val="AERtextitalic"/>
        </w:rPr>
        <w:t>Arrangement Information for Australian Gas Networks' South Australian Natural Gas Distribution Network</w:t>
      </w:r>
      <w:r>
        <w:t>, July 2015, p. 184.</w:t>
      </w:r>
    </w:p>
  </w:footnote>
  <w:footnote w:id="93">
    <w:p w14:paraId="79AA6471" w14:textId="77777777" w:rsidR="00CD1356" w:rsidRDefault="00CD1356"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xml:space="preserve">. </w:t>
      </w:r>
      <w:proofErr w:type="gramStart"/>
      <w:r>
        <w:t>Accessed 9 April 2015.</w:t>
      </w:r>
      <w:proofErr w:type="gramEnd"/>
    </w:p>
  </w:footnote>
  <w:footnote w:id="94">
    <w:p w14:paraId="18DC2A3B" w14:textId="77777777" w:rsidR="00CD1356" w:rsidRDefault="00CD1356"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5">
    <w:p w14:paraId="514CD18E" w14:textId="77777777" w:rsidR="00CD1356" w:rsidRDefault="00CD1356"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6">
    <w:p w14:paraId="0B10104D" w14:textId="129DA3A0" w:rsidR="00CD1356" w:rsidRDefault="00CD135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7">
    <w:p w14:paraId="024E1A0A" w14:textId="77777777" w:rsidR="00CD1356" w:rsidRDefault="00CD1356"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paras. 9 and 99–100.</w:t>
      </w:r>
    </w:p>
  </w:footnote>
  <w:footnote w:id="98">
    <w:p w14:paraId="0949B0BA" w14:textId="77777777" w:rsidR="00CD1356" w:rsidRDefault="00CD1356"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xml:space="preserve">. </w:t>
      </w:r>
      <w:proofErr w:type="gramStart"/>
      <w:r>
        <w:t>Accessed 9 April 2015.</w:t>
      </w:r>
      <w:proofErr w:type="gramEnd"/>
    </w:p>
  </w:footnote>
  <w:footnote w:id="99">
    <w:p w14:paraId="6B0D80CC" w14:textId="77777777" w:rsidR="00CD1356" w:rsidRDefault="00CD1356"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t>A.9.1</w:t>
      </w:r>
      <w:r>
        <w:fldChar w:fldCharType="end"/>
      </w:r>
      <w:r>
        <w:t xml:space="preserve"> of appendix A.</w:t>
      </w:r>
    </w:p>
  </w:footnote>
  <w:footnote w:id="100">
    <w:p w14:paraId="00130FE9" w14:textId="77777777" w:rsidR="00CD1356" w:rsidRDefault="00CD1356"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w:t>
      </w:r>
    </w:p>
  </w:footnote>
  <w:footnote w:id="101">
    <w:p w14:paraId="765600EF" w14:textId="77777777" w:rsidR="00CD1356" w:rsidRDefault="00CD1356"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para. 32.</w:t>
      </w:r>
    </w:p>
  </w:footnote>
  <w:footnote w:id="102">
    <w:p w14:paraId="5C6EBFDE" w14:textId="77777777" w:rsidR="00CD1356" w:rsidRDefault="00CD1356">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3">
    <w:p w14:paraId="1FC3969F" w14:textId="060C57E0" w:rsidR="00CD1356" w:rsidRDefault="00CD1356" w:rsidP="00CD1356">
      <w:pPr>
        <w:pStyle w:val="FootnoteText"/>
        <w:ind w:left="284" w:hanging="284"/>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xml:space="preserve">, February 2015, pp. 8–9; AusNet Services, </w:t>
      </w:r>
      <w:r w:rsidRPr="00CD1356">
        <w:rPr>
          <w:rStyle w:val="AERtextitalic"/>
        </w:rPr>
        <w:t>2016-20 Regulatory Proposal</w:t>
      </w:r>
      <w:r>
        <w:t xml:space="preserve">, April 2015, p. 364; United Energy, </w:t>
      </w:r>
      <w:r w:rsidRPr="00CD1356">
        <w:rPr>
          <w:rStyle w:val="AERtextitalic"/>
        </w:rPr>
        <w:t>Assessment of the Value of Imputation Credits - Gamma, Proposal for 2016 to 2020</w:t>
      </w:r>
      <w:r>
        <w:t xml:space="preserve">, April 2015, p. 10; CitiPower, </w:t>
      </w:r>
      <w:r w:rsidRPr="00CD1356">
        <w:rPr>
          <w:rStyle w:val="AERtextitalic"/>
        </w:rPr>
        <w:t>Appendix J - Gamma</w:t>
      </w:r>
      <w:r>
        <w:t xml:space="preserve">, April 2015, p. 10; Powercor, </w:t>
      </w:r>
      <w:r w:rsidRPr="00CD1356">
        <w:rPr>
          <w:rStyle w:val="AERtextitalic"/>
        </w:rPr>
        <w:t>Appendix J - Gamma</w:t>
      </w:r>
      <w:r>
        <w:t xml:space="preserve">, April 2015, p. 10; Jemena Electricity, </w:t>
      </w:r>
      <w:r w:rsidRPr="00CD1356">
        <w:rPr>
          <w:rStyle w:val="AERtextitalic"/>
        </w:rPr>
        <w:t>Attachment 06-06 Gamma proposal</w:t>
      </w:r>
      <w:r>
        <w:t xml:space="preserve">, April 2015, p. 11; Energex, </w:t>
      </w:r>
      <w:r w:rsidRPr="00CD1356">
        <w:rPr>
          <w:rStyle w:val="AERtextitalic"/>
        </w:rPr>
        <w:t>Revised Regulatory Proposal,</w:t>
      </w:r>
      <w:r>
        <w:t xml:space="preserve"> July 2015, p. 118; ActewAGL Distribution, </w:t>
      </w:r>
      <w:r w:rsidRPr="00CD1356">
        <w:rPr>
          <w:rStyle w:val="AERtextitalic"/>
        </w:rPr>
        <w:t>Attachment 8 Detailed gamma proposal</w:t>
      </w:r>
      <w:r>
        <w:t xml:space="preserve">, June 2015, p. 13; Australian Gas Networks, Access </w:t>
      </w:r>
      <w:r w:rsidRPr="00CD1356">
        <w:rPr>
          <w:rStyle w:val="AERtextitalic"/>
        </w:rPr>
        <w:t>Arrangement Information for Australian Gas Networks' South Australian Natural Gas Distribution Network</w:t>
      </w:r>
      <w:r>
        <w:t>, July 2015, p.184.</w:t>
      </w:r>
    </w:p>
  </w:footnote>
  <w:footnote w:id="104">
    <w:p w14:paraId="2D76059D" w14:textId="77777777" w:rsidR="00CD1356" w:rsidRDefault="00CD1356"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5">
    <w:p w14:paraId="23C22630" w14:textId="77777777" w:rsidR="00CD1356" w:rsidRDefault="00CD1356"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6">
    <w:p w14:paraId="6A3FC438" w14:textId="77777777" w:rsidR="00CD1356" w:rsidRDefault="00CD1356" w:rsidP="008D1665">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paras.</w:t>
      </w:r>
      <w:proofErr w:type="gramEnd"/>
      <w:r>
        <w:t xml:space="preserve"> </w:t>
      </w:r>
      <w:proofErr w:type="gramStart"/>
      <w:r>
        <w:t>17 and 20.</w:t>
      </w:r>
      <w:proofErr w:type="gramEnd"/>
    </w:p>
  </w:footnote>
  <w:footnote w:id="107">
    <w:p w14:paraId="2B578ECF" w14:textId="77777777" w:rsidR="00CD1356" w:rsidRDefault="00CD1356" w:rsidP="008D1665">
      <w:pPr>
        <w:pStyle w:val="FootnoteText"/>
      </w:pPr>
      <w:r>
        <w:rPr>
          <w:rStyle w:val="FootnoteReference"/>
        </w:rPr>
        <w:footnoteRef/>
      </w:r>
      <w:r>
        <w:t xml:space="preserve"> </w:t>
      </w:r>
      <w:r>
        <w:tab/>
      </w:r>
      <w:proofErr w:type="gramStart"/>
      <w:r>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w:t>
      </w:r>
      <w:proofErr w:type="gramEnd"/>
      <w:r>
        <w:t xml:space="preserve"> 921.</w:t>
      </w:r>
    </w:p>
  </w:footnote>
  <w:footnote w:id="108">
    <w:p w14:paraId="590E5558" w14:textId="77777777" w:rsidR="00CD1356" w:rsidRDefault="00CD1356"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09">
    <w:p w14:paraId="15ECE903" w14:textId="77777777" w:rsidR="00CD1356" w:rsidRDefault="00CD135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10">
    <w:p w14:paraId="3CB3DBFA" w14:textId="77777777" w:rsidR="00CD1356" w:rsidRDefault="00CD1356"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1">
    <w:p w14:paraId="2F540AF3" w14:textId="2293E506"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35.</w:t>
      </w:r>
      <w:proofErr w:type="gramEnd"/>
    </w:p>
  </w:footnote>
  <w:footnote w:id="112">
    <w:p w14:paraId="5B0ACF06" w14:textId="77777777" w:rsidR="00CD1356" w:rsidRDefault="00CD135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p.16; </w:t>
      </w:r>
      <w:r w:rsidRPr="00582678">
        <w:t xml:space="preserve">M. Lally, </w:t>
      </w:r>
      <w:r w:rsidRPr="00582678">
        <w:rPr>
          <w:rStyle w:val="AERtextitalic"/>
        </w:rPr>
        <w:t>The estimation of gamma</w:t>
      </w:r>
      <w:r w:rsidRPr="00582678">
        <w:t>, 23 November 2013</w:t>
      </w:r>
      <w:r>
        <w:t xml:space="preserve">, p. 21. </w:t>
      </w:r>
    </w:p>
  </w:footnote>
  <w:footnote w:id="113">
    <w:p w14:paraId="48B504C7" w14:textId="77777777" w:rsidR="00CD1356" w:rsidRDefault="00CD1356"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4">
    <w:p w14:paraId="18DE4297" w14:textId="1EC5D6F2"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37-38.</w:t>
      </w:r>
      <w:proofErr w:type="gramEnd"/>
    </w:p>
  </w:footnote>
  <w:footnote w:id="115">
    <w:p w14:paraId="638519D6" w14:textId="77777777" w:rsidR="00CD1356" w:rsidRDefault="00CD1356">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6">
    <w:p w14:paraId="043D14E4" w14:textId="77777777" w:rsidR="00CD1356" w:rsidRDefault="00CD1356">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paras.</w:t>
      </w:r>
      <w:proofErr w:type="gramEnd"/>
      <w:r>
        <w:t xml:space="preserve"> </w:t>
      </w:r>
      <w:proofErr w:type="gramStart"/>
      <w:r>
        <w:t>17 and 20.</w:t>
      </w:r>
      <w:proofErr w:type="gramEnd"/>
      <w:r>
        <w:t xml:space="preserve"> </w:t>
      </w:r>
    </w:p>
  </w:footnote>
  <w:footnote w:id="117">
    <w:p w14:paraId="69CDD191" w14:textId="26D3CB7F"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33.</w:t>
      </w:r>
      <w:proofErr w:type="gramEnd"/>
    </w:p>
  </w:footnote>
  <w:footnote w:id="118">
    <w:p w14:paraId="786BC8C6" w14:textId="263288DA"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35.</w:t>
      </w:r>
      <w:proofErr w:type="gramEnd"/>
    </w:p>
  </w:footnote>
  <w:footnote w:id="119">
    <w:p w14:paraId="365722C1" w14:textId="2BA96906"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January 2015, pp. 8</w:t>
      </w:r>
      <w:r>
        <w:softHyphen/>
        <w:t xml:space="preserve">–9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w:t>
      </w:r>
      <w:r w:rsidRPr="00CD1356">
        <w:rPr>
          <w:rStyle w:val="AERtextitalic"/>
        </w:rPr>
        <w:t>2016-20 Regulatory Proposal</w:t>
      </w:r>
      <w:r>
        <w:t xml:space="preserve">, April 2015, pp. 363-367; United Energy, </w:t>
      </w:r>
      <w:r w:rsidRPr="00CD1356">
        <w:rPr>
          <w:rStyle w:val="AERtextitalic"/>
        </w:rPr>
        <w:t>Assessment of the Value of Imputation Credits - Gamma, Proposal for 2016 to 2020</w:t>
      </w:r>
      <w:r>
        <w:t xml:space="preserve">, April 2015, p. 13; CitiPower, </w:t>
      </w:r>
      <w:r w:rsidRPr="00CD1356">
        <w:rPr>
          <w:rStyle w:val="AERtextitalic"/>
        </w:rPr>
        <w:t>Appendix J - Gamma</w:t>
      </w:r>
      <w:r>
        <w:t xml:space="preserve">, April 2015, p. 16; Powercor, </w:t>
      </w:r>
      <w:r w:rsidRPr="00CD1356">
        <w:rPr>
          <w:rStyle w:val="AERtextitalic"/>
        </w:rPr>
        <w:t>Appendix J - Gamma</w:t>
      </w:r>
      <w:r>
        <w:t xml:space="preserve">, April 2015, p. 16; Jemena Electricity, </w:t>
      </w:r>
      <w:r w:rsidRPr="00CD1356">
        <w:rPr>
          <w:rStyle w:val="AERtextitalic"/>
        </w:rPr>
        <w:t>Attachment 06-06 Gamma proposal</w:t>
      </w:r>
      <w:r>
        <w:t xml:space="preserve">, April 2015, pp. 12-16; Energex, </w:t>
      </w:r>
      <w:r w:rsidRPr="00CD1356">
        <w:rPr>
          <w:rStyle w:val="AERtextitalic"/>
        </w:rPr>
        <w:t>Revised Regulatory Proposal</w:t>
      </w:r>
      <w:r>
        <w:t xml:space="preserve">, July 2015, pp. 118-119; ActewAGL Distribution, </w:t>
      </w:r>
      <w:r w:rsidRPr="00CD1356">
        <w:rPr>
          <w:rStyle w:val="AERtextitalic"/>
        </w:rPr>
        <w:t>Attachment 8 Detailed gamma proposal,</w:t>
      </w:r>
      <w:r>
        <w:t xml:space="preserve"> June 2015, pp. 12-15; Australian Gas Networks, </w:t>
      </w:r>
      <w:r w:rsidRPr="00CD1356">
        <w:rPr>
          <w:rStyle w:val="AERtextitalic"/>
        </w:rPr>
        <w:t>Access Arrangement Information for Australian Gas Networks' South Australian Natural Gas Distribution Network</w:t>
      </w:r>
      <w:r>
        <w:t>, July 2015, p.184.</w:t>
      </w:r>
    </w:p>
  </w:footnote>
  <w:footnote w:id="120">
    <w:p w14:paraId="09327938" w14:textId="2CFFC510" w:rsidR="00CD1356" w:rsidRDefault="00CD1356"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w:t>
      </w:r>
      <w:r w:rsidRPr="00CD1356">
        <w:rPr>
          <w:rStyle w:val="AERtextitalic"/>
        </w:rPr>
        <w:t>2016-20 Regulatory Proposal, April 2015</w:t>
      </w:r>
      <w:r>
        <w:t xml:space="preserve">, p. 364; United Energy, </w:t>
      </w:r>
      <w:r w:rsidRPr="00CD1356">
        <w:rPr>
          <w:rStyle w:val="AERtextitalic"/>
        </w:rPr>
        <w:t>Assessment of the Value of Imputation Credits - Gamma, Proposal for 2016 to 2020</w:t>
      </w:r>
      <w:r>
        <w:t xml:space="preserve">, April 2015, p. 14; CitiPower, </w:t>
      </w:r>
      <w:r w:rsidRPr="00CD1356">
        <w:rPr>
          <w:rStyle w:val="AERtextitalic"/>
        </w:rPr>
        <w:t>Appendix J - Gamma</w:t>
      </w:r>
      <w:r>
        <w:t xml:space="preserve">, April 2015, p. 13; Powercor, </w:t>
      </w:r>
      <w:r w:rsidRPr="00CD1356">
        <w:rPr>
          <w:rStyle w:val="AERtextitalic"/>
        </w:rPr>
        <w:t>Appendix J - Gamma</w:t>
      </w:r>
      <w:r>
        <w:t xml:space="preserve">, April 2015, p. 13; Jemena Electricity, </w:t>
      </w:r>
      <w:r w:rsidRPr="00CD1356">
        <w:rPr>
          <w:rStyle w:val="AERtextitalic"/>
        </w:rPr>
        <w:t>Attachment 06-06 Gamma proposal</w:t>
      </w:r>
      <w:r>
        <w:t xml:space="preserve">, April 2015, p. 13; ActewAGL Distribution, </w:t>
      </w:r>
      <w:r w:rsidRPr="00CD1356">
        <w:rPr>
          <w:rStyle w:val="AERtextitalic"/>
        </w:rPr>
        <w:t>Attachment 8 Detailed gamma proposal</w:t>
      </w:r>
      <w:r>
        <w:t>, June 2015, p. 13.</w:t>
      </w:r>
    </w:p>
  </w:footnote>
  <w:footnote w:id="121">
    <w:p w14:paraId="0C334F48" w14:textId="53082B25"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2">
    <w:p w14:paraId="1CDE8AEF" w14:textId="233EDC30"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3">
    <w:p w14:paraId="47DD1B3B" w14:textId="553640AA" w:rsidR="00CD1356" w:rsidRDefault="00CD1356">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w:t>
      </w:r>
      <w:proofErr w:type="gramStart"/>
      <w:r>
        <w:t>To</w:t>
      </w:r>
      <w:proofErr w:type="gramEnd"/>
      <w:r>
        <w:t xml:space="preserve">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4">
    <w:p w14:paraId="38BA94AB" w14:textId="27E06BD5" w:rsidR="00CD1356" w:rsidRDefault="00CD1356">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125">
    <w:p w14:paraId="086A8D77" w14:textId="77777777" w:rsidR="00CD1356" w:rsidRDefault="00CD1356"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6">
    <w:p w14:paraId="7AC1B856" w14:textId="77777777" w:rsidR="00CD1356" w:rsidRDefault="00CD1356"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7">
    <w:p w14:paraId="74C9BE97" w14:textId="77777777" w:rsidR="00CD1356" w:rsidRDefault="00CD1356"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8">
    <w:p w14:paraId="7AA190BA" w14:textId="77777777" w:rsidR="00CD1356" w:rsidRPr="00EB47DF" w:rsidRDefault="00CD1356"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29">
    <w:p w14:paraId="233A22BD" w14:textId="77777777" w:rsidR="00CD1356" w:rsidRDefault="00CD1356"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30">
    <w:p w14:paraId="0853672F" w14:textId="77777777" w:rsidR="00CD1356" w:rsidRDefault="00CD1356" w:rsidP="00A36459">
      <w:pPr>
        <w:pStyle w:val="FootnoteText"/>
      </w:pPr>
      <w:r>
        <w:rPr>
          <w:rStyle w:val="FootnoteReference"/>
        </w:rPr>
        <w:footnoteRef/>
      </w:r>
      <w:r>
        <w:t xml:space="preserve"> </w:t>
      </w:r>
      <w:r>
        <w:tab/>
      </w:r>
      <w:r w:rsidRPr="00712BC2">
        <w:t xml:space="preserve">SFG, </w:t>
      </w:r>
      <w:proofErr w:type="gramStart"/>
      <w:r>
        <w:rPr>
          <w:rStyle w:val="AERtextitalic"/>
        </w:rPr>
        <w:t>Estimating</w:t>
      </w:r>
      <w:proofErr w:type="gramEnd"/>
      <w:r>
        <w:rPr>
          <w:rStyle w:val="AERtextitalic"/>
        </w:rPr>
        <w:t xml:space="preserve"> gamma for regulatory purposes</w:t>
      </w:r>
      <w:r>
        <w:t>, February 2015.</w:t>
      </w:r>
    </w:p>
  </w:footnote>
  <w:footnote w:id="131">
    <w:p w14:paraId="1ABA4E76" w14:textId="61397836"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w:t>
      </w:r>
      <w:proofErr w:type="gramEnd"/>
    </w:p>
  </w:footnote>
  <w:footnote w:id="132">
    <w:p w14:paraId="02AA243C" w14:textId="77777777" w:rsidR="00CD1356" w:rsidRDefault="00CD1356" w:rsidP="000B65E0">
      <w:pPr>
        <w:pStyle w:val="FootnoteText"/>
      </w:pPr>
      <w:r>
        <w:rPr>
          <w:rStyle w:val="FootnoteReference"/>
        </w:rPr>
        <w:footnoteRef/>
      </w:r>
      <w:r>
        <w:t xml:space="preserve"> </w:t>
      </w:r>
      <w:r>
        <w:tab/>
      </w:r>
      <w:proofErr w:type="gramStart"/>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roofErr w:type="gramEnd"/>
    </w:p>
  </w:footnote>
  <w:footnote w:id="133">
    <w:p w14:paraId="543CC113" w14:textId="77777777" w:rsidR="00CD1356" w:rsidRDefault="00CD1356"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4">
    <w:p w14:paraId="39C7E759" w14:textId="77777777" w:rsidR="00CD1356" w:rsidRDefault="00CD1356"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5">
    <w:p w14:paraId="45030BF6" w14:textId="77777777" w:rsidR="00CD1356" w:rsidRDefault="00CD1356" w:rsidP="000B65E0">
      <w:pPr>
        <w:pStyle w:val="FootnoteText"/>
      </w:pPr>
      <w:r>
        <w:rPr>
          <w:rStyle w:val="FootnoteReference"/>
        </w:rPr>
        <w:footnoteRef/>
      </w:r>
      <w:r>
        <w:t xml:space="preserve"> </w:t>
      </w:r>
      <w:r>
        <w:tab/>
        <w:t xml:space="preserve">Queensland Competition </w:t>
      </w:r>
      <w:proofErr w:type="gramStart"/>
      <w:r>
        <w:t>Authority,</w:t>
      </w:r>
      <w:proofErr w:type="gramEnd"/>
      <w:r>
        <w:t xml:space="preserve"> </w:t>
      </w:r>
      <w:r w:rsidRPr="009A7392">
        <w:rPr>
          <w:rStyle w:val="AERtextitalic"/>
        </w:rPr>
        <w:t>Cost of ca</w:t>
      </w:r>
      <w:r>
        <w:rPr>
          <w:rStyle w:val="AERtextitalic"/>
        </w:rPr>
        <w:t>pital: M</w:t>
      </w:r>
      <w:r w:rsidRPr="009A7392">
        <w:rPr>
          <w:rStyle w:val="AERtextitalic"/>
        </w:rPr>
        <w:t>arket parameters</w:t>
      </w:r>
      <w:r>
        <w:t>, August 2014.</w:t>
      </w:r>
    </w:p>
  </w:footnote>
  <w:footnote w:id="136">
    <w:p w14:paraId="20EEB2E9" w14:textId="77777777" w:rsidR="00CD1356" w:rsidRDefault="00CD1356"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proofErr w:type="gramStart"/>
      <w:r>
        <w:rPr>
          <w:rStyle w:val="AERtextitalic"/>
        </w:rPr>
        <w:t>Revised</w:t>
      </w:r>
      <w:proofErr w:type="gramEnd"/>
      <w:r>
        <w:rPr>
          <w:rStyle w:val="AERtextitalic"/>
        </w:rPr>
        <w:t xml:space="preserve"> d</w:t>
      </w:r>
      <w:r w:rsidRPr="00792648">
        <w:rPr>
          <w:rStyle w:val="AERtextitalic"/>
        </w:rPr>
        <w:t xml:space="preserve">raft </w:t>
      </w:r>
      <w:r>
        <w:rPr>
          <w:rStyle w:val="AERtextitalic"/>
        </w:rPr>
        <w:t>decision</w:t>
      </w:r>
      <w:r>
        <w:t>, 28 November 2014.</w:t>
      </w:r>
    </w:p>
  </w:footnote>
  <w:footnote w:id="137">
    <w:p w14:paraId="0052669F" w14:textId="6B37B35A" w:rsidR="00CD1356" w:rsidRDefault="00CD1356" w:rsidP="00656B47">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footnote>
  <w:footnote w:id="138">
    <w:p w14:paraId="4825C632" w14:textId="55A440A0" w:rsidR="00CD1356" w:rsidRDefault="00CD1356">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39">
    <w:p w14:paraId="74378A4C" w14:textId="77777777" w:rsidR="00CD1356" w:rsidRDefault="00CD1356"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40">
    <w:p w14:paraId="11C169B8" w14:textId="77777777" w:rsidR="00CD1356" w:rsidRDefault="00CD1356" w:rsidP="008B661B">
      <w:pPr>
        <w:pStyle w:val="FootnoteText"/>
      </w:pPr>
      <w:r>
        <w:rPr>
          <w:rStyle w:val="FootnoteReference"/>
        </w:rPr>
        <w:footnoteRef/>
      </w:r>
      <w:r>
        <w:t xml:space="preserve"> </w:t>
      </w:r>
      <w:r>
        <w:tab/>
      </w:r>
      <w:proofErr w:type="gramStart"/>
      <w:r>
        <w:t xml:space="preserve">Australian Competition Tribunal, </w:t>
      </w:r>
      <w:r w:rsidRPr="000F2066">
        <w:rPr>
          <w:rStyle w:val="AERtextitalic"/>
        </w:rPr>
        <w:t>Application by Energex Limited (No 2) [2010] ACompT 7</w:t>
      </w:r>
      <w:r>
        <w:t>, October 2010, paras.</w:t>
      </w:r>
      <w:proofErr w:type="gramEnd"/>
      <w:r>
        <w:t xml:space="preserve"> </w:t>
      </w:r>
      <w:proofErr w:type="gramStart"/>
      <w:r>
        <w:t>149–150.</w:t>
      </w:r>
      <w:proofErr w:type="gramEnd"/>
    </w:p>
  </w:footnote>
  <w:footnote w:id="141">
    <w:p w14:paraId="44016D1E" w14:textId="77777777" w:rsidR="00CD1356" w:rsidRDefault="00CD1356" w:rsidP="008B661B">
      <w:pPr>
        <w:pStyle w:val="FootnoteText"/>
      </w:pPr>
      <w:r>
        <w:rPr>
          <w:rStyle w:val="FootnoteReference"/>
        </w:rPr>
        <w:footnoteRef/>
      </w:r>
      <w:r>
        <w:t xml:space="preserve"> </w:t>
      </w:r>
      <w:r>
        <w:tab/>
      </w:r>
      <w:proofErr w:type="gramStart"/>
      <w:r>
        <w:t xml:space="preserve">Australian Competition Tribunal, </w:t>
      </w:r>
      <w:r w:rsidRPr="004D5073">
        <w:rPr>
          <w:rStyle w:val="AERtextitalic"/>
        </w:rPr>
        <w:t>Application by Energex Limited (Distribution Ratio (Gamma)) (No 3) [2010] ACompT 9</w:t>
      </w:r>
      <w:r>
        <w:t>, December 2010, para.</w:t>
      </w:r>
      <w:proofErr w:type="gramEnd"/>
      <w:r>
        <w:t xml:space="preserve"> 2.</w:t>
      </w:r>
    </w:p>
  </w:footnote>
  <w:footnote w:id="142">
    <w:p w14:paraId="05C3F75C" w14:textId="77777777" w:rsidR="00CD1356" w:rsidRDefault="00CD1356" w:rsidP="008B661B">
      <w:pPr>
        <w:pStyle w:val="FootnoteText"/>
      </w:pPr>
      <w:r>
        <w:rPr>
          <w:rStyle w:val="FootnoteReference"/>
        </w:rPr>
        <w:footnoteRef/>
      </w:r>
      <w:r>
        <w:t xml:space="preserve"> </w:t>
      </w:r>
      <w:r>
        <w:tab/>
      </w:r>
      <w:proofErr w:type="gramStart"/>
      <w:r>
        <w:t xml:space="preserve">Australian Competition Tribunal, </w:t>
      </w:r>
      <w:r w:rsidRPr="001619BA">
        <w:rPr>
          <w:rStyle w:val="AERtextitalic"/>
        </w:rPr>
        <w:t>Application by Energex Limited (No 2) [2010] ACompT 7</w:t>
      </w:r>
      <w:r>
        <w:t>, October 2010, para.</w:t>
      </w:r>
      <w:proofErr w:type="gramEnd"/>
      <w:r w:rsidRPr="0077656B">
        <w:t xml:space="preserve"> 91.</w:t>
      </w:r>
    </w:p>
  </w:footnote>
  <w:footnote w:id="143">
    <w:p w14:paraId="49F547A2" w14:textId="77777777" w:rsidR="00CD1356" w:rsidRDefault="00CD1356" w:rsidP="008B661B">
      <w:pPr>
        <w:pStyle w:val="FootnoteText"/>
      </w:pPr>
      <w:r>
        <w:rPr>
          <w:rStyle w:val="FootnoteReference"/>
        </w:rPr>
        <w:footnoteRef/>
      </w:r>
      <w:r>
        <w:t xml:space="preserve"> </w:t>
      </w:r>
      <w:r>
        <w:tab/>
      </w:r>
      <w:proofErr w:type="gramStart"/>
      <w:r>
        <w:t xml:space="preserve">Australian Competition Tribunal, </w:t>
      </w:r>
      <w:r w:rsidRPr="00F5364E">
        <w:rPr>
          <w:rStyle w:val="AERtextitalic"/>
        </w:rPr>
        <w:t>Application by Energex Limited (Gamma) (No 5) [2011] ACompT 9</w:t>
      </w:r>
      <w:r>
        <w:t>, May 2011, paras.</w:t>
      </w:r>
      <w:proofErr w:type="gramEnd"/>
      <w:r>
        <w:t xml:space="preserve"> </w:t>
      </w:r>
      <w:proofErr w:type="gramStart"/>
      <w:r>
        <w:t>32–34.</w:t>
      </w:r>
      <w:proofErr w:type="gramEnd"/>
    </w:p>
  </w:footnote>
  <w:footnote w:id="144">
    <w:p w14:paraId="61C9E911" w14:textId="77777777" w:rsidR="00CD1356" w:rsidRDefault="00CD1356" w:rsidP="008B661B">
      <w:pPr>
        <w:pStyle w:val="FootnoteText"/>
      </w:pPr>
      <w:r>
        <w:rPr>
          <w:rStyle w:val="FootnoteReference"/>
        </w:rPr>
        <w:footnoteRef/>
      </w:r>
      <w:r>
        <w:t xml:space="preserve"> </w:t>
      </w:r>
      <w:r>
        <w:tab/>
      </w:r>
      <w:proofErr w:type="gramStart"/>
      <w:r>
        <w:t xml:space="preserve">Australian Competition Tribunal, </w:t>
      </w:r>
      <w:r w:rsidRPr="00F5364E">
        <w:rPr>
          <w:rStyle w:val="AERtextitalic"/>
        </w:rPr>
        <w:t>Application by Energex Limited (Gamma) (No 5) [2011] ACompT 9</w:t>
      </w:r>
      <w:r>
        <w:t>, May 2011, paras.</w:t>
      </w:r>
      <w:proofErr w:type="gramEnd"/>
      <w:r>
        <w:t xml:space="preserve"> </w:t>
      </w:r>
      <w:proofErr w:type="gramStart"/>
      <w:r>
        <w:t>40–41.</w:t>
      </w:r>
      <w:proofErr w:type="gramEnd"/>
    </w:p>
  </w:footnote>
  <w:footnote w:id="145">
    <w:p w14:paraId="19FF1B80" w14:textId="77777777" w:rsidR="00CD1356" w:rsidRDefault="00CD1356" w:rsidP="008B661B">
      <w:pPr>
        <w:pStyle w:val="FootnoteText"/>
      </w:pPr>
      <w:r>
        <w:rPr>
          <w:rStyle w:val="FootnoteReference"/>
        </w:rPr>
        <w:footnoteRef/>
      </w:r>
      <w:r>
        <w:t xml:space="preserve">  </w:t>
      </w:r>
      <w:r>
        <w:tab/>
      </w:r>
      <w:proofErr w:type="gramStart"/>
      <w:r>
        <w:t xml:space="preserve">Australian Competition Tribunal, </w:t>
      </w:r>
      <w:r w:rsidRPr="00F5364E">
        <w:rPr>
          <w:rStyle w:val="AERtextitalic"/>
        </w:rPr>
        <w:t>Application by Energex Limited (Gamma) (No 5) [2011] ACompT 9</w:t>
      </w:r>
      <w:r>
        <w:t>, May 2011, para.</w:t>
      </w:r>
      <w:proofErr w:type="gramEnd"/>
      <w:r>
        <w:t xml:space="preserve"> 45.</w:t>
      </w:r>
    </w:p>
  </w:footnote>
  <w:footnote w:id="146">
    <w:p w14:paraId="6ACECDAC" w14:textId="77777777" w:rsidR="00CD1356" w:rsidRDefault="00CD1356"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7">
    <w:p w14:paraId="1AB526F7" w14:textId="77777777" w:rsidR="00CD1356" w:rsidRDefault="00CD1356"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8">
    <w:p w14:paraId="32A47F5D" w14:textId="77777777" w:rsidR="00CD1356" w:rsidRDefault="00CD1356" w:rsidP="00055B09">
      <w:pPr>
        <w:pStyle w:val="FootnoteText"/>
      </w:pPr>
      <w:r>
        <w:rPr>
          <w:rStyle w:val="FootnoteReference"/>
        </w:rPr>
        <w:footnoteRef/>
      </w:r>
      <w:r>
        <w:t xml:space="preserve"> </w:t>
      </w:r>
      <w:r>
        <w:tab/>
      </w:r>
      <w:proofErr w:type="gramStart"/>
      <w:r>
        <w:t xml:space="preserve">Australian Competition Tribunal, </w:t>
      </w:r>
      <w:r w:rsidRPr="003D0DF0">
        <w:rPr>
          <w:rStyle w:val="AERtextitalic"/>
        </w:rPr>
        <w:t>Application by WA Gas Networks Pty Ltd (No 3) [2012] ACompT 12</w:t>
      </w:r>
      <w:r>
        <w:t>, June 2012, paras.</w:t>
      </w:r>
      <w:proofErr w:type="gramEnd"/>
      <w:r>
        <w:t xml:space="preserve"> </w:t>
      </w:r>
      <w:proofErr w:type="gramStart"/>
      <w:r>
        <w:t>119 and 125.</w:t>
      </w:r>
      <w:proofErr w:type="gramEnd"/>
    </w:p>
  </w:footnote>
  <w:footnote w:id="149">
    <w:p w14:paraId="6BB6DE03" w14:textId="77777777" w:rsidR="00CD1356" w:rsidRDefault="00CD1356">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pp. 1</w:t>
      </w:r>
      <w:r>
        <w:softHyphen/>
        <w:t xml:space="preserve">–2;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150">
    <w:p w14:paraId="67680047" w14:textId="0F3F53C8" w:rsidR="00CD1356" w:rsidRDefault="00CD1356" w:rsidP="0060266A">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 Gray did not explicitly identify these as the key issues in dispute, although they featured prominently in his report. </w:t>
      </w:r>
    </w:p>
    <w:p w14:paraId="27E0D6E8" w14:textId="312EB1CE" w:rsidR="00CD1356" w:rsidRDefault="00CD1356">
      <w:pPr>
        <w:pStyle w:val="FootnoteText"/>
      </w:pPr>
    </w:p>
  </w:footnote>
  <w:footnote w:id="151">
    <w:p w14:paraId="4C96CF06" w14:textId="76596A99" w:rsidR="00CD1356" w:rsidRDefault="00CD1356">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w:t>
      </w:r>
      <w:proofErr w:type="gramStart"/>
      <w:r>
        <w:t>pp .</w:t>
      </w:r>
      <w:proofErr w:type="gramEnd"/>
      <w:r>
        <w:t xml:space="preserve"> 370-371; Ergon, </w:t>
      </w:r>
      <w:r w:rsidRPr="00CD1356">
        <w:rPr>
          <w:rStyle w:val="AERtextitalic"/>
        </w:rPr>
        <w:t>Submission on value of imputation credits (gamma),</w:t>
      </w:r>
      <w:r>
        <w:t xml:space="preserve"> July 2015, p. 7; Frontier Economics, </w:t>
      </w:r>
      <w:r w:rsidRPr="00CD1356">
        <w:rPr>
          <w:rStyle w:val="AERtextitalic"/>
        </w:rPr>
        <w:t>An appropriate regulatory estimate of gamma</w:t>
      </w:r>
      <w:r>
        <w:t xml:space="preserve">, June 2015, p. 8; Australian Gas Networks, </w:t>
      </w:r>
      <w:r w:rsidRPr="00CD1356">
        <w:rPr>
          <w:rStyle w:val="AERtextitalic"/>
        </w:rPr>
        <w:t>Attachment 11.2 Value of Imputation Credits</w:t>
      </w:r>
      <w:r>
        <w:t xml:space="preserve">, . </w:t>
      </w:r>
      <w:proofErr w:type="gramStart"/>
      <w:r>
        <w:t xml:space="preserve">p3, July 2015; ActewAGL Distribution, </w:t>
      </w:r>
      <w:r w:rsidRPr="00CD1356">
        <w:rPr>
          <w:rStyle w:val="AERtextitalic"/>
        </w:rPr>
        <w:t>Attachment 8 Detailed gamma proposal</w:t>
      </w:r>
      <w:r>
        <w:t>, pp. 2-3.</w:t>
      </w:r>
      <w:proofErr w:type="gramEnd"/>
    </w:p>
  </w:footnote>
  <w:footnote w:id="152">
    <w:p w14:paraId="0E91DD89" w14:textId="223A2C4B" w:rsidR="00CD1356" w:rsidRDefault="00CD1356">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xml:space="preserve">, July 2015, pp. 370-371; Ergon, </w:t>
      </w:r>
      <w:r w:rsidRPr="00CD1356">
        <w:rPr>
          <w:rStyle w:val="AERtextitalic"/>
        </w:rPr>
        <w:t xml:space="preserve">Submission on value of imputation credits (gamma), </w:t>
      </w:r>
      <w:r>
        <w:t xml:space="preserve">July 2015, p. 7; Frontier Economics, </w:t>
      </w:r>
      <w:r w:rsidRPr="00CD1356">
        <w:rPr>
          <w:rStyle w:val="AERtextitalic"/>
        </w:rPr>
        <w:t>An appropriate regulatory estimate of gamma</w:t>
      </w:r>
      <w:r>
        <w:t>, June 2015,</w:t>
      </w:r>
      <w:r w:rsidRPr="00CD1356">
        <w:t xml:space="preserve"> </w:t>
      </w:r>
      <w:r>
        <w:t xml:space="preserve">pp. 26-30; Australian Gas Networks, </w:t>
      </w:r>
      <w:r w:rsidRPr="00CD1356">
        <w:rPr>
          <w:rStyle w:val="AERtextitalic"/>
        </w:rPr>
        <w:t>Attachment 11.2 Value of Imputation Credits</w:t>
      </w:r>
      <w:r>
        <w:t>, July 2015, p. 3.</w:t>
      </w:r>
    </w:p>
  </w:footnote>
  <w:footnote w:id="153">
    <w:p w14:paraId="5153D67A" w14:textId="38922B32" w:rsidR="00CD1356" w:rsidRDefault="00CD1356">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4">
    <w:p w14:paraId="33F99EC6" w14:textId="5D4B83E7" w:rsidR="00CD1356" w:rsidRDefault="00CD1356">
      <w:pPr>
        <w:pStyle w:val="FootnoteText"/>
      </w:pPr>
      <w:r>
        <w:rPr>
          <w:rStyle w:val="FootnoteReference"/>
        </w:rPr>
        <w:footnoteRef/>
      </w:r>
      <w:r>
        <w:t xml:space="preserve"> </w:t>
      </w:r>
      <w:r>
        <w:tab/>
        <w:t xml:space="preserve">AusNet Services, </w:t>
      </w:r>
      <w:r w:rsidRPr="00CD1356">
        <w:rPr>
          <w:rStyle w:val="AERtextitalic"/>
        </w:rPr>
        <w:t>2016-20 Regulatory Proposal</w:t>
      </w:r>
      <w:r>
        <w:t xml:space="preserve">, April 2015, p. 354; United Energy, </w:t>
      </w:r>
      <w:r w:rsidRPr="00CD1356">
        <w:rPr>
          <w:rStyle w:val="AERtextitalic"/>
        </w:rPr>
        <w:t>Assessment of the Value of Imputation Credits - Gamma, Proposal for 2016 to 2020</w:t>
      </w:r>
      <w:r>
        <w:t xml:space="preserve">, April 2015, p. 2; CitiPower, </w:t>
      </w:r>
      <w:r w:rsidRPr="00CD1356">
        <w:rPr>
          <w:rStyle w:val="AERtextitalic"/>
        </w:rPr>
        <w:t>Appendix J - Gamma</w:t>
      </w:r>
      <w:r>
        <w:t xml:space="preserve">, April 2015, p. 4; Powercor, </w:t>
      </w:r>
      <w:r w:rsidRPr="00CD1356">
        <w:rPr>
          <w:rStyle w:val="AERtextitalic"/>
        </w:rPr>
        <w:t>Appendix J - Gamma</w:t>
      </w:r>
      <w:r>
        <w:t xml:space="preserve">, April 2015, p. 4; Jemena Electricity, </w:t>
      </w:r>
      <w:r w:rsidRPr="00CD1356">
        <w:rPr>
          <w:rStyle w:val="AERtextitalic"/>
        </w:rPr>
        <w:t>Attachment 06-06 Gamma proposal</w:t>
      </w:r>
      <w:r>
        <w:t xml:space="preserve">, April 2015, p. 5; SA Power Networks, </w:t>
      </w:r>
      <w:r>
        <w:rPr>
          <w:rStyle w:val="AERtextitalic"/>
        </w:rPr>
        <w:t>Revised regulatory proposal 2015-20</w:t>
      </w:r>
      <w:r>
        <w:t xml:space="preserve">, July 2015, pp. 370-371; Ergon, </w:t>
      </w:r>
      <w:r w:rsidRPr="00CD1356">
        <w:rPr>
          <w:rStyle w:val="AERtextitalic"/>
        </w:rPr>
        <w:t>Submission on value of imputation credits (gamma)</w:t>
      </w:r>
      <w:r>
        <w:t xml:space="preserve">, July 2015, p. 7; ActewAGL Distribution, </w:t>
      </w:r>
      <w:r w:rsidRPr="00CD1356">
        <w:rPr>
          <w:rStyle w:val="AERtextitalic"/>
        </w:rPr>
        <w:t>Attachment 8 Detailed gamma proposal</w:t>
      </w:r>
      <w:r>
        <w:t xml:space="preserve">, p. 2; Australian Gas Networks, </w:t>
      </w:r>
      <w:r w:rsidRPr="00CD1356">
        <w:rPr>
          <w:rStyle w:val="AERtextitalic"/>
        </w:rPr>
        <w:t>Attachment 11.2 Value of Imputation Credits</w:t>
      </w:r>
      <w:r>
        <w:t xml:space="preserve">, pp. 9-10, July 2015; Amadeus Gas Pipeline, </w:t>
      </w:r>
      <w:r w:rsidRPr="00CD1356">
        <w:rPr>
          <w:rStyle w:val="AERtextitalic"/>
        </w:rPr>
        <w:t>Access Arrangement revision submission</w:t>
      </w:r>
      <w:r>
        <w:t>, August 2015, p. 151.</w:t>
      </w:r>
    </w:p>
  </w:footnote>
  <w:footnote w:id="155">
    <w:p w14:paraId="3CBB78E1" w14:textId="30B17567" w:rsidR="00CD1356" w:rsidRDefault="00CD1356">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July 2015, pp</w:t>
      </w:r>
      <w:r w:rsidR="00A353B1">
        <w:t>.</w:t>
      </w:r>
      <w:r>
        <w:t xml:space="preserve"> 370-371; Ergon</w:t>
      </w:r>
      <w:r w:rsidRPr="00A353B1">
        <w:rPr>
          <w:rStyle w:val="AERtextitalic"/>
        </w:rPr>
        <w:t>, Submission on value of imputation credits (gamma),</w:t>
      </w:r>
      <w:r>
        <w:t xml:space="preserve"> July 2015, p</w:t>
      </w:r>
      <w:r w:rsidR="00A353B1">
        <w:t xml:space="preserve">. </w:t>
      </w:r>
      <w:r>
        <w:t xml:space="preserve">7; Australian Gas Networks, </w:t>
      </w:r>
      <w:r w:rsidRPr="00A353B1">
        <w:rPr>
          <w:rStyle w:val="AERtextitalic"/>
        </w:rPr>
        <w:t>Attachment 11.2 Value of Imputation Credits</w:t>
      </w:r>
      <w:r>
        <w:t>, July 2015</w:t>
      </w:r>
      <w:r w:rsidR="00A353B1">
        <w:t>, p. 3</w:t>
      </w:r>
      <w:r>
        <w:t>.</w:t>
      </w:r>
    </w:p>
  </w:footnote>
  <w:footnote w:id="156">
    <w:p w14:paraId="10C837D4" w14:textId="2BB86D73" w:rsidR="00CD1356" w:rsidRDefault="00CD1356">
      <w:pPr>
        <w:pStyle w:val="FootnoteText"/>
      </w:pPr>
      <w:r>
        <w:rPr>
          <w:rStyle w:val="FootnoteReference"/>
        </w:rPr>
        <w:footnoteRef/>
      </w:r>
      <w:r>
        <w:t xml:space="preserve"> </w:t>
      </w:r>
      <w:r>
        <w:tab/>
        <w:t xml:space="preserve">AusNet Services, </w:t>
      </w:r>
      <w:r w:rsidRPr="00A353B1">
        <w:rPr>
          <w:rStyle w:val="AERtextitalic"/>
        </w:rPr>
        <w:t>2016-20 Regulatory Proposal</w:t>
      </w:r>
      <w:r>
        <w:t>, April 2015, p</w:t>
      </w:r>
      <w:r w:rsidR="00A353B1">
        <w:t xml:space="preserve">. </w:t>
      </w:r>
      <w:r>
        <w:t xml:space="preserve">367; United Energy, </w:t>
      </w:r>
      <w:r w:rsidRPr="00A353B1">
        <w:rPr>
          <w:rStyle w:val="AERtextitalic"/>
        </w:rPr>
        <w:t>Assessment of the Value of Imputation Credits - Gamma, Proposal for 2016 to 2020</w:t>
      </w:r>
      <w:r>
        <w:t>, April 2015, p</w:t>
      </w:r>
      <w:r w:rsidR="00A353B1">
        <w:t xml:space="preserve">. </w:t>
      </w:r>
      <w:r>
        <w:t>18; CitiPower</w:t>
      </w:r>
      <w:r w:rsidR="00A353B1">
        <w:t>,</w:t>
      </w:r>
      <w:r>
        <w:t xml:space="preserve"> </w:t>
      </w:r>
      <w:r w:rsidRPr="00A353B1">
        <w:rPr>
          <w:rStyle w:val="AERtextitalic"/>
        </w:rPr>
        <w:t>Appendix J - Gamma</w:t>
      </w:r>
      <w:r>
        <w:t>, April 2015, p</w:t>
      </w:r>
      <w:r w:rsidR="00A353B1">
        <w:t xml:space="preserve">. </w:t>
      </w:r>
      <w:r>
        <w:t xml:space="preserve">16; Powercor, </w:t>
      </w:r>
      <w:r w:rsidRPr="00A353B1">
        <w:rPr>
          <w:rStyle w:val="AERtextitalic"/>
        </w:rPr>
        <w:t>Appendix J - Gamma</w:t>
      </w:r>
      <w:r>
        <w:t>, April 2015, p</w:t>
      </w:r>
      <w:r w:rsidR="00A353B1">
        <w:t xml:space="preserve">. </w:t>
      </w:r>
      <w:r>
        <w:t xml:space="preserve">16; Jemena Electricity, </w:t>
      </w:r>
      <w:r w:rsidRPr="00A353B1">
        <w:rPr>
          <w:rStyle w:val="AERtextitalic"/>
        </w:rPr>
        <w:t>Attachment 06-06 Gamma proposal</w:t>
      </w:r>
      <w:r>
        <w:t>, April 2015, p</w:t>
      </w:r>
      <w:r w:rsidR="00A353B1">
        <w:t>. 7</w:t>
      </w:r>
      <w:r>
        <w:t xml:space="preserve">; SA Power Networks, </w:t>
      </w:r>
      <w:r>
        <w:rPr>
          <w:rStyle w:val="AERtextitalic"/>
        </w:rPr>
        <w:t>Revised regulatory proposal 2015-20</w:t>
      </w:r>
      <w:r>
        <w:t>, July 2015, pp</w:t>
      </w:r>
      <w:r w:rsidR="00A353B1">
        <w:t>.</w:t>
      </w:r>
      <w:r>
        <w:t xml:space="preserve"> 370-371; Ergon, </w:t>
      </w:r>
      <w:r w:rsidRPr="00A353B1">
        <w:rPr>
          <w:rStyle w:val="AERtextitalic"/>
        </w:rPr>
        <w:t>Submission on value of imputation credits (gamma)</w:t>
      </w:r>
      <w:r>
        <w:t>, July 2015, p</w:t>
      </w:r>
      <w:r w:rsidR="00A353B1">
        <w:t xml:space="preserve">. </w:t>
      </w:r>
      <w:r>
        <w:t xml:space="preserve">8; ActewAGL Distribution, </w:t>
      </w:r>
      <w:r w:rsidRPr="00A353B1">
        <w:rPr>
          <w:rStyle w:val="AERtextitalic"/>
        </w:rPr>
        <w:t>Attachment 8 Detailed gamma proposal</w:t>
      </w:r>
      <w:r>
        <w:t>, p</w:t>
      </w:r>
      <w:r w:rsidR="00A353B1">
        <w:t xml:space="preserve">. </w:t>
      </w:r>
      <w:r>
        <w:t xml:space="preserve">15; Australian Gas Networks, </w:t>
      </w:r>
      <w:r w:rsidRPr="00A353B1">
        <w:rPr>
          <w:rStyle w:val="AERtextitalic"/>
        </w:rPr>
        <w:t>Attachment 11.2 Value of Imputation Credits</w:t>
      </w:r>
      <w:r>
        <w:t>, p</w:t>
      </w:r>
      <w:r w:rsidR="00A353B1">
        <w:t xml:space="preserve">. </w:t>
      </w:r>
      <w:r>
        <w:t>3, July 2015.</w:t>
      </w:r>
    </w:p>
  </w:footnote>
  <w:footnote w:id="157">
    <w:p w14:paraId="61700104" w14:textId="77777777" w:rsidR="00CD1356" w:rsidRDefault="00CD1356" w:rsidP="00615CE6">
      <w:pPr>
        <w:pStyle w:val="FootnoteText"/>
      </w:pPr>
      <w:r>
        <w:rPr>
          <w:rStyle w:val="FootnoteReference"/>
        </w:rPr>
        <w:footnoteRef/>
      </w:r>
      <w:r>
        <w:t xml:space="preserve"> </w:t>
      </w:r>
      <w:r>
        <w:tab/>
      </w:r>
      <w:proofErr w:type="gramStart"/>
      <w:r w:rsidRPr="00FF5DB5">
        <w:t>NER, cl</w:t>
      </w:r>
      <w:r>
        <w:t>l.</w:t>
      </w:r>
      <w:proofErr w:type="gramEnd"/>
      <w:r>
        <w:t xml:space="preserve"> 6.4.3 </w:t>
      </w:r>
      <w:proofErr w:type="gramStart"/>
      <w:r>
        <w:t>and</w:t>
      </w:r>
      <w:proofErr w:type="gramEnd"/>
      <w:r w:rsidRPr="00FF5DB5">
        <w:t xml:space="preserve"> 6A.5.4; NGR, r. 76.</w:t>
      </w:r>
    </w:p>
  </w:footnote>
  <w:footnote w:id="158">
    <w:p w14:paraId="20E3CDE6" w14:textId="77777777" w:rsidR="00CD1356" w:rsidRDefault="00CD1356"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59">
    <w:p w14:paraId="1C89B2F9" w14:textId="7C0ABE28" w:rsidR="00CD1356" w:rsidRDefault="00CD1356">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60">
    <w:p w14:paraId="0C358B4D" w14:textId="49B6DEC5" w:rsidR="00CD1356" w:rsidRDefault="00CD1356">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161">
    <w:p w14:paraId="4F974B60" w14:textId="4489576D" w:rsidR="00CD1356" w:rsidRDefault="00CD135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2">
    <w:p w14:paraId="5E5EA30E" w14:textId="77777777" w:rsidR="00CD1356" w:rsidRDefault="00CD1356" w:rsidP="00615CE6">
      <w:pPr>
        <w:pStyle w:val="FootnoteText"/>
      </w:pPr>
      <w:r>
        <w:rPr>
          <w:rStyle w:val="FootnoteReference"/>
        </w:rPr>
        <w:footnoteRef/>
      </w:r>
      <w:r>
        <w:t xml:space="preserve"> </w:t>
      </w:r>
      <w:r>
        <w:tab/>
      </w:r>
      <w:proofErr w:type="gramStart"/>
      <w:r>
        <w:t>NER, cll.</w:t>
      </w:r>
      <w:proofErr w:type="gramEnd"/>
      <w:r>
        <w:t xml:space="preserve"> 6.5.2 </w:t>
      </w:r>
      <w:proofErr w:type="gramStart"/>
      <w:r>
        <w:t>and</w:t>
      </w:r>
      <w:proofErr w:type="gramEnd"/>
      <w:r>
        <w:t xml:space="preserve"> 6A.6.2;</w:t>
      </w:r>
      <w:r w:rsidRPr="0042735A">
        <w:t xml:space="preserve"> </w:t>
      </w:r>
      <w:r>
        <w:t>NGR, r. 87.</w:t>
      </w:r>
    </w:p>
  </w:footnote>
  <w:footnote w:id="163">
    <w:p w14:paraId="6FA23A42" w14:textId="77777777" w:rsidR="00CD1356" w:rsidRDefault="00CD1356">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4">
    <w:p w14:paraId="3DA1DE94" w14:textId="77777777" w:rsidR="00CD1356" w:rsidRDefault="00CD1356"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5">
    <w:p w14:paraId="05E49D20" w14:textId="77777777" w:rsidR="00CD1356" w:rsidRDefault="00CD1356" w:rsidP="00A3557D">
      <w:pPr>
        <w:pStyle w:val="FootnoteText"/>
      </w:pPr>
      <w:r>
        <w:rPr>
          <w:rStyle w:val="FootnoteReference"/>
        </w:rPr>
        <w:footnoteRef/>
      </w:r>
      <w:r>
        <w:t xml:space="preserve"> </w:t>
      </w:r>
      <w:r>
        <w:tab/>
      </w:r>
      <w:proofErr w:type="gramStart"/>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roofErr w:type="gramEnd"/>
    </w:p>
  </w:footnote>
  <w:footnote w:id="166">
    <w:p w14:paraId="2E6C816F" w14:textId="77777777" w:rsidR="00CD1356" w:rsidRDefault="00CD1356"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7">
    <w:p w14:paraId="13AE4AA1" w14:textId="77777777" w:rsidR="00CD1356" w:rsidRDefault="00CD1356" w:rsidP="00A3557D">
      <w:pPr>
        <w:pStyle w:val="FootnoteText"/>
      </w:pPr>
      <w:r>
        <w:rPr>
          <w:rStyle w:val="FootnoteReference"/>
        </w:rPr>
        <w:footnoteRef/>
      </w:r>
      <w:r>
        <w:t xml:space="preserve"> </w:t>
      </w:r>
      <w:r>
        <w:tab/>
      </w:r>
      <w:proofErr w:type="gramStart"/>
      <w:r>
        <w:t>NER, cll.</w:t>
      </w:r>
      <w:proofErr w:type="gramEnd"/>
      <w:r>
        <w:t xml:space="preserve"> 6.5.2 </w:t>
      </w:r>
      <w:proofErr w:type="gramStart"/>
      <w:r>
        <w:t>and</w:t>
      </w:r>
      <w:proofErr w:type="gramEnd"/>
      <w:r>
        <w:t xml:space="preserve"> 6A.6.2;</w:t>
      </w:r>
      <w:r w:rsidRPr="0042735A">
        <w:t xml:space="preserve"> </w:t>
      </w:r>
      <w:r>
        <w:t>NGR, r. 87.</w:t>
      </w:r>
    </w:p>
  </w:footnote>
  <w:footnote w:id="168">
    <w:p w14:paraId="2071CB05" w14:textId="77777777" w:rsidR="00CD1356" w:rsidRDefault="00CD1356"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69">
    <w:p w14:paraId="48865210" w14:textId="77777777" w:rsidR="00CD1356" w:rsidRDefault="00CD1356" w:rsidP="00A3557D">
      <w:pPr>
        <w:pStyle w:val="FootnoteText"/>
      </w:pPr>
      <w:r>
        <w:rPr>
          <w:rStyle w:val="FootnoteReference"/>
        </w:rPr>
        <w:footnoteRef/>
      </w:r>
      <w:r>
        <w:t xml:space="preserve"> </w:t>
      </w:r>
      <w:r>
        <w:tab/>
        <w:t>This is evident in companies having positive franking account balances in aggregate.</w:t>
      </w:r>
    </w:p>
  </w:footnote>
  <w:footnote w:id="170">
    <w:p w14:paraId="64070215" w14:textId="77777777" w:rsidR="00CD1356" w:rsidRDefault="00CD1356"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1">
    <w:p w14:paraId="7BE7CA66" w14:textId="77777777" w:rsidR="00CD1356" w:rsidRDefault="00CD1356"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2">
    <w:p w14:paraId="064CA50B" w14:textId="77777777" w:rsidR="00CD1356" w:rsidRDefault="00CD1356"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3">
    <w:p w14:paraId="45643F62" w14:textId="77777777" w:rsidR="00CD1356" w:rsidRDefault="00CD1356"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4">
    <w:p w14:paraId="31E068C5" w14:textId="77777777" w:rsidR="00CD1356" w:rsidRDefault="00CD135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5">
    <w:p w14:paraId="09D3253C" w14:textId="4FEF218C" w:rsidR="00CD1356" w:rsidRDefault="00CD1356">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6">
    <w:p w14:paraId="037BD821" w14:textId="3030E66A" w:rsidR="00CD1356" w:rsidRDefault="00CD1356">
      <w:pPr>
        <w:pStyle w:val="FootnoteText"/>
      </w:pPr>
      <w:r>
        <w:rPr>
          <w:rStyle w:val="FootnoteReference"/>
        </w:rPr>
        <w:footnoteRef/>
      </w:r>
      <w:r>
        <w:t xml:space="preserve"> </w:t>
      </w:r>
      <w:r>
        <w:tab/>
        <w:t xml:space="preserve">SA Power Networks, </w:t>
      </w:r>
      <w:r>
        <w:rPr>
          <w:rStyle w:val="AERtextitalic"/>
        </w:rPr>
        <w:t>Revised regulatory proposal 2015-20</w:t>
      </w:r>
      <w:r>
        <w:t>, July 2015, p</w:t>
      </w:r>
      <w:r w:rsidR="00262F60">
        <w:t xml:space="preserve">. </w:t>
      </w:r>
      <w:r>
        <w:t xml:space="preserve">373; </w:t>
      </w:r>
    </w:p>
  </w:footnote>
  <w:footnote w:id="177">
    <w:p w14:paraId="09202310"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42.</w:t>
      </w:r>
    </w:p>
  </w:footnote>
  <w:footnote w:id="178">
    <w:p w14:paraId="30EDD9F5"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42.</w:t>
      </w:r>
    </w:p>
  </w:footnote>
  <w:footnote w:id="179">
    <w:p w14:paraId="2FCF47DF"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53.</w:t>
      </w:r>
    </w:p>
  </w:footnote>
  <w:footnote w:id="180">
    <w:p w14:paraId="3E0514DF" w14:textId="77777777" w:rsidR="00CD1356" w:rsidRDefault="00CD1356">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paras.</w:t>
      </w:r>
      <w:proofErr w:type="gramEnd"/>
      <w:r>
        <w:t xml:space="preserve"> </w:t>
      </w:r>
      <w:proofErr w:type="gramStart"/>
      <w:r>
        <w:t>294–313, 331–334 and 341(b).</w:t>
      </w:r>
      <w:proofErr w:type="gramEnd"/>
    </w:p>
  </w:footnote>
  <w:footnote w:id="181">
    <w:p w14:paraId="63FE8733" w14:textId="77777777" w:rsidR="00CD1356" w:rsidRDefault="00CD1356">
      <w:pPr>
        <w:pStyle w:val="FootnoteText"/>
      </w:pPr>
      <w:r>
        <w:rPr>
          <w:rStyle w:val="FootnoteReference"/>
        </w:rPr>
        <w:footnoteRef/>
      </w:r>
      <w:r>
        <w:t xml:space="preserve"> </w:t>
      </w:r>
      <w:r>
        <w:tab/>
        <w:t>See section A.6.1 of the draft decisions.</w:t>
      </w:r>
    </w:p>
  </w:footnote>
  <w:footnote w:id="182">
    <w:p w14:paraId="3695A7B7" w14:textId="77777777" w:rsidR="00CD1356" w:rsidRDefault="00CD1356">
      <w:pPr>
        <w:pStyle w:val="FootnoteText"/>
      </w:pPr>
      <w:r>
        <w:rPr>
          <w:rStyle w:val="FootnoteReference"/>
        </w:rPr>
        <w:footnoteRef/>
      </w:r>
      <w:r>
        <w:t xml:space="preserve"> </w:t>
      </w:r>
      <w:r>
        <w:tab/>
      </w:r>
      <w:proofErr w:type="gramStart"/>
      <w:r>
        <w:t xml:space="preserve">SFG, </w:t>
      </w:r>
      <w:r>
        <w:rPr>
          <w:rStyle w:val="AERtextitalic"/>
        </w:rPr>
        <w:t>Estimating gamma for regulatory purposes</w:t>
      </w:r>
      <w:r>
        <w:t>, 6 February 2015, paras.</w:t>
      </w:r>
      <w:proofErr w:type="gramEnd"/>
      <w:r>
        <w:t xml:space="preserve"> 111–121 and 136–137.</w:t>
      </w:r>
    </w:p>
  </w:footnote>
  <w:footnote w:id="183">
    <w:p w14:paraId="264FD872" w14:textId="77777777" w:rsidR="00CD1356" w:rsidRDefault="00CD1356">
      <w:pPr>
        <w:pStyle w:val="FootnoteText"/>
      </w:pPr>
      <w:r>
        <w:rPr>
          <w:rStyle w:val="FootnoteReference"/>
        </w:rPr>
        <w:footnoteRef/>
      </w:r>
      <w:r>
        <w:t xml:space="preserve"> </w:t>
      </w:r>
      <w:r>
        <w:tab/>
      </w:r>
      <w:proofErr w:type="gramStart"/>
      <w:r>
        <w:t xml:space="preserve">SFG, </w:t>
      </w:r>
      <w:r>
        <w:rPr>
          <w:rStyle w:val="AERtextitalic"/>
        </w:rPr>
        <w:t>Estimating gamma for regulatory purposes</w:t>
      </w:r>
      <w:r>
        <w:t>, 6 February 2015, paras.</w:t>
      </w:r>
      <w:proofErr w:type="gramEnd"/>
      <w:r>
        <w:t xml:space="preserve"> </w:t>
      </w:r>
      <w:proofErr w:type="gramStart"/>
      <w:r>
        <w:t>122–123.</w:t>
      </w:r>
      <w:proofErr w:type="gramEnd"/>
    </w:p>
  </w:footnote>
  <w:footnote w:id="184">
    <w:p w14:paraId="602F5365" w14:textId="77777777" w:rsidR="00CD1356" w:rsidRDefault="00CD135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5">
    <w:p w14:paraId="129F3C8F"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6">
    <w:p w14:paraId="01E2FEE3" w14:textId="77777777" w:rsidR="00CD1356" w:rsidRDefault="00CD1356">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7">
    <w:p w14:paraId="7C590222"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8">
    <w:p w14:paraId="7DB3D0FB" w14:textId="77777777" w:rsidR="00CD1356" w:rsidRDefault="00CD1356" w:rsidP="00C7355B">
      <w:pPr>
        <w:pStyle w:val="FootnoteText"/>
      </w:pPr>
      <w:r>
        <w:rPr>
          <w:rStyle w:val="FootnoteReference"/>
        </w:rPr>
        <w:footnoteRef/>
      </w:r>
      <w:r>
        <w:t xml:space="preserve"> </w:t>
      </w:r>
      <w:r>
        <w:tab/>
        <w:t>Recall that the utilisation rate equals gamma under Officer's perpetuity framework.</w:t>
      </w:r>
    </w:p>
  </w:footnote>
  <w:footnote w:id="189">
    <w:p w14:paraId="76651D0C" w14:textId="77777777" w:rsidR="00CD1356" w:rsidRDefault="00CD1356">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w:t>
      </w:r>
      <w:proofErr w:type="gramEnd"/>
      <w:r>
        <w:t xml:space="preserve"> 319.</w:t>
      </w:r>
    </w:p>
  </w:footnote>
  <w:footnote w:id="190">
    <w:p w14:paraId="20185CE8" w14:textId="77777777" w:rsidR="00CD1356" w:rsidRDefault="00CD1356">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1">
    <w:p w14:paraId="61B0FA62" w14:textId="77777777" w:rsidR="00CD1356" w:rsidRDefault="00CD1356">
      <w:pPr>
        <w:pStyle w:val="FootnoteText"/>
      </w:pPr>
      <w:r>
        <w:rPr>
          <w:rStyle w:val="FootnoteReference"/>
        </w:rPr>
        <w:footnoteRef/>
      </w:r>
      <w:r>
        <w:t xml:space="preserve"> </w:t>
      </w:r>
      <w:r>
        <w:tab/>
      </w:r>
      <w:proofErr w:type="gramStart"/>
      <w:r>
        <w:t xml:space="preserve">SFG, </w:t>
      </w:r>
      <w:r>
        <w:rPr>
          <w:rStyle w:val="AERtextitalic"/>
        </w:rPr>
        <w:t>Estimating gamma for regulatory purposes</w:t>
      </w:r>
      <w:r>
        <w:t>, 6 February 2015, paras.</w:t>
      </w:r>
      <w:proofErr w:type="gramEnd"/>
      <w:r>
        <w:t xml:space="preserve"> </w:t>
      </w:r>
      <w:proofErr w:type="gramStart"/>
      <w:r>
        <w:t>126–127.</w:t>
      </w:r>
      <w:proofErr w:type="gramEnd"/>
    </w:p>
  </w:footnote>
  <w:footnote w:id="192">
    <w:p w14:paraId="5D827417"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3">
    <w:p w14:paraId="70AC852C" w14:textId="77777777"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24.</w:t>
      </w:r>
      <w:proofErr w:type="gramEnd"/>
    </w:p>
  </w:footnote>
  <w:footnote w:id="194">
    <w:p w14:paraId="257DDBA0" w14:textId="77777777" w:rsidR="00CD1356" w:rsidRDefault="00CD1356">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5">
    <w:p w14:paraId="685F5FAA" w14:textId="77777777" w:rsidR="00CD1356" w:rsidRDefault="00CD1356">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6">
    <w:p w14:paraId="2DE5F518" w14:textId="77777777" w:rsidR="00CD1356" w:rsidRDefault="00CD1356">
      <w:pPr>
        <w:pStyle w:val="FootnoteText"/>
      </w:pPr>
      <w:r>
        <w:rPr>
          <w:rStyle w:val="FootnoteReference"/>
        </w:rPr>
        <w:footnoteRef/>
      </w:r>
      <w:r>
        <w:t xml:space="preserve"> </w:t>
      </w:r>
      <w:r>
        <w:tab/>
        <w:t>L. Gitman, R. Juchau and J. Flanagan, Principles of Managerial Finance, 6th Edition, 2011, pp. 543 and 546.</w:t>
      </w:r>
    </w:p>
  </w:footnote>
  <w:footnote w:id="197">
    <w:p w14:paraId="69F8689E" w14:textId="77777777" w:rsidR="00CD1356" w:rsidRDefault="00CD1356" w:rsidP="00800C8B">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24.</w:t>
      </w:r>
      <w:proofErr w:type="gramEnd"/>
    </w:p>
  </w:footnote>
  <w:footnote w:id="198">
    <w:p w14:paraId="79D25980" w14:textId="77777777" w:rsidR="00CD1356" w:rsidRDefault="00CD135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199">
    <w:p w14:paraId="15C0771E" w14:textId="77777777" w:rsidR="00CD1356" w:rsidRDefault="00CD1356">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200">
    <w:p w14:paraId="13A677DE" w14:textId="77777777" w:rsidR="00CD1356" w:rsidRDefault="00CD1356"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1">
    <w:p w14:paraId="74513B70" w14:textId="77777777" w:rsidR="00CD1356" w:rsidRDefault="00CD1356" w:rsidP="00800C8B">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25.</w:t>
      </w:r>
      <w:proofErr w:type="gramEnd"/>
    </w:p>
  </w:footnote>
  <w:footnote w:id="202">
    <w:p w14:paraId="6B6235F0" w14:textId="77777777"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25.</w:t>
      </w:r>
      <w:proofErr w:type="gramEnd"/>
    </w:p>
  </w:footnote>
  <w:footnote w:id="203">
    <w:p w14:paraId="31BC3AF0" w14:textId="77777777"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6.</w:t>
      </w:r>
      <w:proofErr w:type="gramEnd"/>
    </w:p>
  </w:footnote>
  <w:footnote w:id="204">
    <w:p w14:paraId="1D2DE1AE" w14:textId="77777777" w:rsidR="00CD1356" w:rsidRDefault="00CD1356">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w:t>
      </w:r>
      <w:proofErr w:type="gramEnd"/>
    </w:p>
  </w:footnote>
  <w:footnote w:id="205">
    <w:p w14:paraId="52A180DB" w14:textId="556B83D5" w:rsidR="00CD1356" w:rsidRDefault="00CD1356">
      <w:pPr>
        <w:pStyle w:val="FootnoteText"/>
      </w:pPr>
      <w:r>
        <w:rPr>
          <w:rStyle w:val="FootnoteReference"/>
        </w:rPr>
        <w:footnoteRef/>
      </w:r>
      <w:r>
        <w:t xml:space="preserve"> </w:t>
      </w:r>
      <w:r>
        <w:tab/>
        <w:t xml:space="preserve">Access Arrangement Information for Australian Gas Networks' South Australian Natural Gas Distribution Network, p11, July 2015; Frontier Economics, </w:t>
      </w:r>
      <w:r w:rsidRPr="00D14DE4">
        <w:rPr>
          <w:rStyle w:val="AERtextitalic"/>
        </w:rPr>
        <w:t>An appropriate regulatory estimate of gamma</w:t>
      </w:r>
      <w:r>
        <w:t>, June 2015, pp 45-48.</w:t>
      </w:r>
    </w:p>
  </w:footnote>
  <w:footnote w:id="206">
    <w:p w14:paraId="40622068" w14:textId="5EF5F76C" w:rsidR="00CD1356" w:rsidRDefault="00CD1356">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p3.</w:t>
      </w:r>
      <w:proofErr w:type="gramEnd"/>
    </w:p>
  </w:footnote>
  <w:footnote w:id="207">
    <w:p w14:paraId="77655950" w14:textId="1D21E412" w:rsidR="00CD1356" w:rsidRDefault="00CD1356">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p14.</w:t>
      </w:r>
      <w:proofErr w:type="gramEnd"/>
    </w:p>
  </w:footnote>
  <w:footnote w:id="208">
    <w:p w14:paraId="33CF4CC3" w14:textId="238EB9E3"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 46.</w:t>
      </w:r>
      <w:proofErr w:type="gramEnd"/>
    </w:p>
  </w:footnote>
  <w:footnote w:id="209">
    <w:p w14:paraId="78E86F5B" w14:textId="1FB9D970" w:rsidR="00CD1356" w:rsidRDefault="00CD1356">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p17.</w:t>
      </w:r>
      <w:proofErr w:type="gramEnd"/>
    </w:p>
  </w:footnote>
  <w:footnote w:id="210">
    <w:p w14:paraId="43A6CCB6" w14:textId="1E4E29BE" w:rsidR="00CD1356" w:rsidRDefault="00CD1356">
      <w:pPr>
        <w:pStyle w:val="FootnoteText"/>
      </w:pPr>
      <w:r>
        <w:rPr>
          <w:rStyle w:val="FootnoteReference"/>
        </w:rPr>
        <w:footnoteRef/>
      </w:r>
      <w:r>
        <w:t xml:space="preserve"> </w:t>
      </w:r>
      <w:r>
        <w:tab/>
        <w:t xml:space="preserve">A. Ainsworth, G. Partington and G. Warren, </w:t>
      </w:r>
      <w:r w:rsidRPr="00814197">
        <w:rPr>
          <w:rStyle w:val="AERtextitalic"/>
        </w:rPr>
        <w:t xml:space="preserve">Do franking credits matter? </w:t>
      </w:r>
      <w:proofErr w:type="gramStart"/>
      <w:r w:rsidRPr="00814197">
        <w:rPr>
          <w:rStyle w:val="AERtextitalic"/>
        </w:rPr>
        <w:t>Exploring the financial implications of dividend imputation</w:t>
      </w:r>
      <w:r>
        <w:t>, May 2015, p17.</w:t>
      </w:r>
      <w:proofErr w:type="gramEnd"/>
    </w:p>
  </w:footnote>
  <w:footnote w:id="211">
    <w:p w14:paraId="0437978C" w14:textId="77777777" w:rsidR="00CD1356" w:rsidRDefault="00CD1356">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roofErr w:type="gramEnd"/>
    </w:p>
  </w:footnote>
  <w:footnote w:id="212">
    <w:p w14:paraId="2B4D0686" w14:textId="347488D7"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pp17-18.</w:t>
      </w:r>
      <w:proofErr w:type="gramEnd"/>
    </w:p>
  </w:footnote>
  <w:footnote w:id="213">
    <w:p w14:paraId="63BD8656" w14:textId="77777777" w:rsidR="00CD1356" w:rsidRDefault="00CD135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4">
    <w:p w14:paraId="78D77F15"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89.</w:t>
      </w:r>
    </w:p>
  </w:footnote>
  <w:footnote w:id="215">
    <w:p w14:paraId="7E3353C4"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6">
    <w:p w14:paraId="1221923F" w14:textId="77777777" w:rsidR="00CD1356" w:rsidRDefault="00CD1356">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w:t>
      </w:r>
      <w:proofErr w:type="gramEnd"/>
      <w:r>
        <w:t xml:space="preserve"> </w:t>
      </w:r>
      <w:proofErr w:type="gramStart"/>
      <w:r>
        <w:t>103–105.</w:t>
      </w:r>
      <w:proofErr w:type="gramEnd"/>
    </w:p>
  </w:footnote>
  <w:footnote w:id="217">
    <w:p w14:paraId="2CF44119"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8">
    <w:p w14:paraId="31721720" w14:textId="77777777" w:rsidR="00CD1356" w:rsidRDefault="00CD135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9">
    <w:p w14:paraId="00EE0590" w14:textId="77777777" w:rsidR="00CD1356" w:rsidRDefault="00CD1356"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20">
    <w:p w14:paraId="46581E1C" w14:textId="77777777" w:rsidR="00CD1356" w:rsidRDefault="00CD1356"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1">
    <w:p w14:paraId="3D87E5E0" w14:textId="0C6650B4" w:rsidR="00CD1356" w:rsidRDefault="00CD1356">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AusNet Services, </w:t>
      </w:r>
      <w:r w:rsidRPr="00262F60">
        <w:rPr>
          <w:rStyle w:val="AERtextitalic"/>
        </w:rPr>
        <w:t>2016-20 Regulatory Proposal</w:t>
      </w:r>
      <w:r>
        <w:t>, April 2015, p</w:t>
      </w:r>
      <w:r w:rsidR="00262F60">
        <w:t xml:space="preserve">. </w:t>
      </w:r>
      <w:r>
        <w:t xml:space="preserve">354; United Energy, </w:t>
      </w:r>
      <w:r w:rsidRPr="00262F60">
        <w:rPr>
          <w:rStyle w:val="AERtextitalic"/>
        </w:rPr>
        <w:t>Assessment of the Value of Imputation Credits - Gamma, Proposal for 2016 to 2020</w:t>
      </w:r>
      <w:r>
        <w:t>, April 2015, p</w:t>
      </w:r>
      <w:r w:rsidR="00262F60">
        <w:t xml:space="preserve">. </w:t>
      </w:r>
      <w:r>
        <w:t>9; CitiPower</w:t>
      </w:r>
      <w:r w:rsidR="00262F60">
        <w:t>,</w:t>
      </w:r>
      <w:r>
        <w:t xml:space="preserve"> </w:t>
      </w:r>
      <w:r w:rsidRPr="00262F60">
        <w:rPr>
          <w:rStyle w:val="AERtextitalic"/>
        </w:rPr>
        <w:t>Appendix J - Gamma</w:t>
      </w:r>
      <w:r>
        <w:t>, April 2015, p</w:t>
      </w:r>
      <w:r w:rsidR="00262F60">
        <w:t xml:space="preserve">. </w:t>
      </w:r>
      <w:r>
        <w:t xml:space="preserve">241; Powercor, </w:t>
      </w:r>
      <w:r w:rsidRPr="00262F60">
        <w:rPr>
          <w:rStyle w:val="AERtextitalic"/>
        </w:rPr>
        <w:t>Regulatory Proposal 2016-20</w:t>
      </w:r>
      <w:r>
        <w:t xml:space="preserve">, April 2015, </w:t>
      </w:r>
      <w:r w:rsidR="00262F60">
        <w:t xml:space="preserve">. </w:t>
      </w:r>
      <w:r>
        <w:t xml:space="preserve">p249; Jemena Electricity, </w:t>
      </w:r>
      <w:r w:rsidRPr="00262F60">
        <w:rPr>
          <w:rStyle w:val="AERtextitalic"/>
        </w:rPr>
        <w:t>Attachment 06-06 Gamma proposal</w:t>
      </w:r>
      <w:r>
        <w:t xml:space="preserve">, April 2015, p. 2; Energex, </w:t>
      </w:r>
      <w:r w:rsidRPr="00262F60">
        <w:rPr>
          <w:rStyle w:val="AERtextitalic"/>
        </w:rPr>
        <w:t>Revised Regulatory Proposal</w:t>
      </w:r>
      <w:r>
        <w:t>, July 2015, p</w:t>
      </w:r>
      <w:r w:rsidR="00262F60">
        <w:t xml:space="preserve">. </w:t>
      </w:r>
      <w:r>
        <w:t xml:space="preserve">13; Ergon Energy, </w:t>
      </w:r>
      <w:r w:rsidRPr="00262F60">
        <w:rPr>
          <w:rStyle w:val="AERtextitalic"/>
        </w:rPr>
        <w:t>Submission on draft decision NSW &amp; ACT DNSPs &amp; Ors</w:t>
      </w:r>
      <w:r>
        <w:t xml:space="preserve">, February 2015, p. 8. ActewAGL Distribution, </w:t>
      </w:r>
      <w:r w:rsidRPr="00262F60">
        <w:rPr>
          <w:rStyle w:val="AERtextitalic"/>
        </w:rPr>
        <w:t>Attachment 8 Detailed gamma proposal</w:t>
      </w:r>
      <w:r>
        <w:t xml:space="preserve">, June 2015, p. </w:t>
      </w:r>
      <w:r w:rsidR="00262F60">
        <w:t>7.</w:t>
      </w:r>
    </w:p>
  </w:footnote>
  <w:footnote w:id="222">
    <w:p w14:paraId="218A8F2E" w14:textId="4F22A670"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262F60">
        <w:rPr>
          <w:rStyle w:val="AERtextitalic"/>
        </w:rPr>
        <w:t>2016-20 Regulatory Proposal</w:t>
      </w:r>
      <w:r>
        <w:t xml:space="preserve">, April 2015, p. 360; United Energy, </w:t>
      </w:r>
      <w:r w:rsidRPr="00262F60">
        <w:rPr>
          <w:rStyle w:val="AERtextitalic"/>
        </w:rPr>
        <w:t>Assessment of the Value of Imputation Credits - Gamma, Proposal for 2016 to 2020</w:t>
      </w:r>
      <w:r>
        <w:t>, April 2015, p</w:t>
      </w:r>
      <w:r w:rsidR="00262F60">
        <w:t xml:space="preserve">. </w:t>
      </w:r>
      <w:r>
        <w:t>9; CitiPower</w:t>
      </w:r>
      <w:r w:rsidR="00262F60">
        <w:t>,</w:t>
      </w:r>
      <w:r>
        <w:t xml:space="preserve"> Appendix J - Gamma, April 2015, p</w:t>
      </w:r>
      <w:r w:rsidR="00262F60">
        <w:t xml:space="preserve">. </w:t>
      </w:r>
      <w:r>
        <w:t xml:space="preserve">9; Powercor, </w:t>
      </w:r>
      <w:r w:rsidRPr="00262F60">
        <w:rPr>
          <w:rStyle w:val="AERtextitalic"/>
        </w:rPr>
        <w:t>Appendix J - Gamma</w:t>
      </w:r>
      <w:r>
        <w:t xml:space="preserve">, April 2015, </w:t>
      </w:r>
      <w:r w:rsidR="00262F60">
        <w:t xml:space="preserve">. </w:t>
      </w:r>
      <w:r>
        <w:t xml:space="preserve">p9; Jemena Electricity, </w:t>
      </w:r>
      <w:r w:rsidRPr="00262F60">
        <w:rPr>
          <w:rStyle w:val="AERtextitalic"/>
        </w:rPr>
        <w:t>Attachment 06-06 Gamma proposal</w:t>
      </w:r>
      <w:r>
        <w:t xml:space="preserve">, April 2015, p. 9 ; Energex, </w:t>
      </w:r>
      <w:r w:rsidRPr="00262F60">
        <w:rPr>
          <w:rStyle w:val="AERtextitalic"/>
        </w:rPr>
        <w:t>Submission on Energex's regulatory proposal 2015-20 and AER issues paper - attachment 2</w:t>
      </w:r>
      <w:r>
        <w:t>, January 2015, p</w:t>
      </w:r>
      <w:r w:rsidR="00262F60">
        <w:t xml:space="preserve">. </w:t>
      </w:r>
      <w:r>
        <w:t xml:space="preserve">6. ; ActewAGL Distribution, </w:t>
      </w:r>
      <w:r w:rsidRPr="00262F60">
        <w:rPr>
          <w:rStyle w:val="AERtextitalic"/>
        </w:rPr>
        <w:t>Attachment 8 Detailed gamma proposal</w:t>
      </w:r>
      <w:r>
        <w:t xml:space="preserve">, June 2015, p. 7.  </w:t>
      </w:r>
    </w:p>
  </w:footnote>
  <w:footnote w:id="223">
    <w:p w14:paraId="5BA39227" w14:textId="77777777" w:rsidR="00CD1356" w:rsidRDefault="00CD1356">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p.138.</w:t>
      </w:r>
    </w:p>
  </w:footnote>
  <w:footnote w:id="224">
    <w:p w14:paraId="7ACD1DA1" w14:textId="7F57E462"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w:t>
      </w:r>
      <w:r w:rsidR="00262F60">
        <w:t xml:space="preserve">. </w:t>
      </w:r>
      <w:r>
        <w:t>3-4.</w:t>
      </w:r>
    </w:p>
  </w:footnote>
  <w:footnote w:id="225">
    <w:p w14:paraId="590C5BFD" w14:textId="69E191AA"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262F60">
        <w:t xml:space="preserve">. </w:t>
      </w:r>
      <w:r>
        <w:t>23.</w:t>
      </w:r>
    </w:p>
  </w:footnote>
  <w:footnote w:id="226">
    <w:p w14:paraId="53ABBE8C" w14:textId="0D9E0F96"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262F60">
        <w:t xml:space="preserve">. </w:t>
      </w:r>
      <w:r>
        <w:t>7.</w:t>
      </w:r>
    </w:p>
  </w:footnote>
  <w:footnote w:id="227">
    <w:p w14:paraId="2D2AD615" w14:textId="77777777"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8">
    <w:p w14:paraId="5F63BD64" w14:textId="77777777" w:rsidR="00CD1356" w:rsidRDefault="00CD1356"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xml:space="preserve">. </w:t>
      </w:r>
      <w:proofErr w:type="gramStart"/>
      <w:r>
        <w:t>Accessed 9 April 2015.</w:t>
      </w:r>
      <w:proofErr w:type="gramEnd"/>
    </w:p>
  </w:footnote>
  <w:footnote w:id="229">
    <w:p w14:paraId="10659666" w14:textId="77777777" w:rsidR="00CD1356" w:rsidRDefault="00CD1356"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30">
    <w:p w14:paraId="24477E34" w14:textId="77777777" w:rsidR="00CD1356" w:rsidRDefault="00CD1356"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1">
    <w:p w14:paraId="65C15EBD" w14:textId="77777777" w:rsidR="00CD1356" w:rsidRDefault="00CD1356"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2">
    <w:p w14:paraId="465C6E4C"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3">
    <w:p w14:paraId="63003A31" w14:textId="77777777" w:rsidR="00CD1356" w:rsidRDefault="00CD1356"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xml:space="preserve">. </w:t>
      </w:r>
      <w:proofErr w:type="gramStart"/>
      <w:r>
        <w:t>Accessed 9 April 2015.</w:t>
      </w:r>
      <w:proofErr w:type="gramEnd"/>
    </w:p>
  </w:footnote>
  <w:footnote w:id="234">
    <w:p w14:paraId="1AC548D0" w14:textId="77777777" w:rsidR="00CD1356" w:rsidRDefault="00CD1356">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5">
    <w:p w14:paraId="1D871354" w14:textId="77777777" w:rsidR="00CD1356" w:rsidRDefault="00CD1356"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t>4.4.2</w:t>
      </w:r>
      <w:r>
        <w:fldChar w:fldCharType="end"/>
      </w:r>
      <w:r>
        <w:t xml:space="preserve"> of attachment 4.  </w:t>
      </w:r>
    </w:p>
  </w:footnote>
  <w:footnote w:id="236">
    <w:p w14:paraId="61FD4718" w14:textId="77777777"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7">
    <w:p w14:paraId="4C9D4BCB" w14:textId="77777777" w:rsidR="00CD1356" w:rsidRDefault="00CD1356"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8">
    <w:p w14:paraId="7B96560C" w14:textId="44708614" w:rsidR="00CD1356" w:rsidRDefault="00CD1356">
      <w:pPr>
        <w:pStyle w:val="FootnoteText"/>
      </w:pPr>
      <w:r>
        <w:rPr>
          <w:rStyle w:val="FootnoteReference"/>
        </w:rPr>
        <w:footnoteRef/>
      </w:r>
      <w:r>
        <w:t xml:space="preserve"> </w:t>
      </w:r>
      <w:r>
        <w:tab/>
        <w:t xml:space="preserve">AusNet Services, </w:t>
      </w:r>
      <w:r w:rsidRPr="00262F60">
        <w:rPr>
          <w:rStyle w:val="AERtextitalic"/>
        </w:rPr>
        <w:t>2016-20 Regulatory Proposal</w:t>
      </w:r>
      <w:r>
        <w:t xml:space="preserve">, April 2015, p. 374; United Energy, </w:t>
      </w:r>
      <w:r w:rsidRPr="00262F60">
        <w:rPr>
          <w:rStyle w:val="AERtextitalic"/>
        </w:rPr>
        <w:t>Assessment of the Value of Imputation Credits - Gamma, Proposal for 2016 to 2020</w:t>
      </w:r>
      <w:r>
        <w:t xml:space="preserve">, April 2015, p. 24; Jemena Electricity, </w:t>
      </w:r>
      <w:r w:rsidRPr="00262F60">
        <w:rPr>
          <w:rStyle w:val="AERtextitalic"/>
        </w:rPr>
        <w:t>Attachment 06-06 Gamma proposal</w:t>
      </w:r>
      <w:r>
        <w:t xml:space="preserve">, April 2015, p. 4; CitiPower </w:t>
      </w:r>
      <w:r w:rsidR="00262F60" w:rsidRPr="00262F60">
        <w:rPr>
          <w:rStyle w:val="AERtextitalic"/>
        </w:rPr>
        <w:t xml:space="preserve">, </w:t>
      </w:r>
      <w:r w:rsidRPr="00262F60">
        <w:rPr>
          <w:rStyle w:val="AERtextitalic"/>
        </w:rPr>
        <w:t>Appendix J - Gamma</w:t>
      </w:r>
      <w:r>
        <w:t xml:space="preserve">, April 2015, p. 20; Powercor, </w:t>
      </w:r>
      <w:r w:rsidRPr="00262F60">
        <w:rPr>
          <w:rStyle w:val="AERtextitalic"/>
        </w:rPr>
        <w:t>Appendix J - Gamma</w:t>
      </w:r>
      <w:r>
        <w:t xml:space="preserve">, April 2015, p. 20; Energex, </w:t>
      </w:r>
      <w:r w:rsidR="00262F60" w:rsidRPr="00262F60">
        <w:rPr>
          <w:rStyle w:val="AERtextitalic"/>
        </w:rPr>
        <w:t>S</w:t>
      </w:r>
      <w:r w:rsidRPr="00262F60">
        <w:rPr>
          <w:rStyle w:val="AERtextitalic"/>
        </w:rPr>
        <w:t>ubmission  on Energex's regulatory proposal 2015-20 and AER issues paper - attachment 2,</w:t>
      </w:r>
      <w:r>
        <w:t xml:space="preserve"> January 2015, p. 18.</w:t>
      </w:r>
    </w:p>
  </w:footnote>
  <w:footnote w:id="239">
    <w:p w14:paraId="1E5FBF9A" w14:textId="1BBC46E6"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w:t>
      </w:r>
      <w:r w:rsidR="00262F60">
        <w:t xml:space="preserve">. </w:t>
      </w:r>
      <w:r>
        <w:t>41.</w:t>
      </w:r>
      <w:proofErr w:type="gramEnd"/>
      <w:r>
        <w:t xml:space="preserve">  </w:t>
      </w:r>
    </w:p>
  </w:footnote>
  <w:footnote w:id="240">
    <w:p w14:paraId="4971900D" w14:textId="77777777" w:rsidR="00CD1356" w:rsidRDefault="00CD1356"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1">
    <w:p w14:paraId="24B00C61" w14:textId="77777777" w:rsidR="00CD1356" w:rsidRDefault="00CD1356"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2">
    <w:p w14:paraId="10D7ADEC" w14:textId="77777777" w:rsidR="00CD1356" w:rsidRDefault="00CD1356"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xml:space="preserve">. </w:t>
      </w:r>
      <w:proofErr w:type="gramStart"/>
      <w:r>
        <w:t>Accessed 9 April 2015.</w:t>
      </w:r>
      <w:proofErr w:type="gramEnd"/>
    </w:p>
  </w:footnote>
  <w:footnote w:id="243">
    <w:p w14:paraId="3D37F18E" w14:textId="77777777" w:rsidR="00CD1356" w:rsidRDefault="00CD1356"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w:t>
      </w:r>
      <w:proofErr w:type="gramStart"/>
      <w:r>
        <w:t>Accessed 9 April 2015.</w:t>
      </w:r>
      <w:proofErr w:type="gramEnd"/>
      <w:r>
        <w:t xml:space="preserve"> We consider that the form is quite straightforward, and therefore the cost of filling it out and submitting it is unlikely to outweigh the benefit of any material amount of imputation credits.  </w:t>
      </w:r>
    </w:p>
  </w:footnote>
  <w:footnote w:id="244">
    <w:p w14:paraId="263A9E9E" w14:textId="20F8AE2A" w:rsidR="00CD1356" w:rsidRDefault="00CD1356"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9; Access Arrangement Information for Australian Gas Networks' South Australian Natural Gas Distribution Network, p</w:t>
      </w:r>
      <w:r w:rsidR="00262F60">
        <w:t xml:space="preserve">. </w:t>
      </w:r>
      <w:r>
        <w:t xml:space="preserve">9, July 2015; </w:t>
      </w:r>
    </w:p>
  </w:footnote>
  <w:footnote w:id="245">
    <w:p w14:paraId="31E3D88F" w14:textId="77777777" w:rsidR="00CD1356" w:rsidRDefault="00CD1356"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6">
    <w:p w14:paraId="0CF7B288" w14:textId="1CC674D3" w:rsidR="00CD1356" w:rsidRPr="006C07EA" w:rsidRDefault="00CD1356"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t xml:space="preserve">, February 2015, p. 9.; </w:t>
      </w:r>
    </w:p>
  </w:footnote>
  <w:footnote w:id="247">
    <w:p w14:paraId="1588B0F3" w14:textId="77777777" w:rsidR="00CD1356" w:rsidRDefault="00CD1356" w:rsidP="005A184F">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w:t>
      </w:r>
      <w:proofErr w:type="gramEnd"/>
      <w:r>
        <w:t xml:space="preserve"> </w:t>
      </w:r>
      <w:proofErr w:type="gramStart"/>
      <w:r>
        <w:t>65(e).</w:t>
      </w:r>
      <w:proofErr w:type="gramEnd"/>
    </w:p>
  </w:footnote>
  <w:footnote w:id="248">
    <w:p w14:paraId="37F90DD4" w14:textId="77777777"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49">
    <w:p w14:paraId="689456A7"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216.</w:t>
      </w:r>
    </w:p>
  </w:footnote>
  <w:footnote w:id="250">
    <w:p w14:paraId="1DCD404D" w14:textId="77777777" w:rsidR="00CD1356" w:rsidRDefault="00CD1356">
      <w:pPr>
        <w:pStyle w:val="FootnoteText"/>
      </w:pPr>
      <w:r>
        <w:rPr>
          <w:rStyle w:val="FootnoteReference"/>
        </w:rPr>
        <w:footnoteRef/>
      </w:r>
      <w:r>
        <w:t xml:space="preserve"> </w:t>
      </w:r>
      <w:r>
        <w:tab/>
        <w:t>The refined foreign ownership share of all equity between June 2001 and December 2012 was 0.39 on average.</w:t>
      </w:r>
    </w:p>
  </w:footnote>
  <w:footnote w:id="251">
    <w:p w14:paraId="66289892" w14:textId="77777777" w:rsidR="00CD1356" w:rsidRDefault="00CD135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2">
    <w:p w14:paraId="393AAC8D" w14:textId="221F5823" w:rsidR="00CD1356" w:rsidRDefault="00CD1356">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253">
    <w:p w14:paraId="1BCCE722" w14:textId="6BC8CE56"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 6-7.</w:t>
      </w:r>
      <w:proofErr w:type="gramEnd"/>
    </w:p>
  </w:footnote>
  <w:footnote w:id="254">
    <w:p w14:paraId="42B65BDD" w14:textId="7F3E351B" w:rsidR="00CD1356" w:rsidRDefault="00CD1356">
      <w:pPr>
        <w:pStyle w:val="FootnoteText"/>
      </w:pPr>
      <w:r>
        <w:rPr>
          <w:rStyle w:val="FootnoteReference"/>
        </w:rPr>
        <w:footnoteRef/>
      </w:r>
      <w:r>
        <w:t xml:space="preserve"> </w:t>
      </w:r>
      <w:r>
        <w:tab/>
        <w:t>Neville Hathaway, Imputation Credit Redemption ATO data 1988-2011 Where have all the credits gone</w:t>
      </w:r>
      <w:proofErr w:type="gramStart"/>
      <w:r>
        <w:t>?,</w:t>
      </w:r>
      <w:proofErr w:type="gramEnd"/>
      <w:r>
        <w:t xml:space="preserve"> September 2013, p</w:t>
      </w:r>
      <w:r w:rsidR="00262F60">
        <w:t xml:space="preserve">. </w:t>
      </w:r>
      <w:r>
        <w:t xml:space="preserve"> 25.</w:t>
      </w:r>
    </w:p>
  </w:footnote>
  <w:footnote w:id="255">
    <w:p w14:paraId="6EF60F68" w14:textId="34BAA174" w:rsidR="00CD1356" w:rsidRDefault="00CD1356">
      <w:pPr>
        <w:pStyle w:val="FootnoteText"/>
      </w:pPr>
      <w:r>
        <w:rPr>
          <w:rStyle w:val="FootnoteReference"/>
        </w:rPr>
        <w:footnoteRef/>
      </w:r>
      <w:r>
        <w:t xml:space="preserve"> </w:t>
      </w:r>
      <w:r>
        <w:tab/>
        <w:t xml:space="preserve">Neville Hathaway, Franking Credit Redemption ATO data 1988-2012 Where </w:t>
      </w:r>
      <w:proofErr w:type="gramStart"/>
      <w:r>
        <w:t>have</w:t>
      </w:r>
      <w:proofErr w:type="gramEnd"/>
      <w:r>
        <w:t xml:space="preserve"> all the credits gone? Draft only comments welcome, October 2014.</w:t>
      </w:r>
    </w:p>
  </w:footnote>
  <w:footnote w:id="256">
    <w:p w14:paraId="032549B1" w14:textId="563ED203" w:rsidR="00CD1356" w:rsidRDefault="00CD1356" w:rsidP="00DC6340">
      <w:pPr>
        <w:pStyle w:val="FootnoteText"/>
      </w:pPr>
      <w:r>
        <w:rPr>
          <w:rStyle w:val="FootnoteReference"/>
        </w:rPr>
        <w:footnoteRef/>
      </w:r>
      <w:r>
        <w:t xml:space="preserve"> </w:t>
      </w:r>
      <w:r>
        <w:tab/>
        <w:t xml:space="preserve">SA Power Networks, </w:t>
      </w:r>
      <w:r>
        <w:rPr>
          <w:rStyle w:val="AERtextitalic"/>
        </w:rPr>
        <w:t>Revised regulatory proposal 2015-20</w:t>
      </w:r>
      <w:r>
        <w:t>, July 2015, p</w:t>
      </w:r>
      <w:r w:rsidR="00262F60">
        <w:t xml:space="preserve">. </w:t>
      </w:r>
      <w:r>
        <w:t xml:space="preserve">373; </w:t>
      </w:r>
      <w:r w:rsidRPr="0022220C">
        <w:t xml:space="preserve"> </w:t>
      </w:r>
      <w:r>
        <w:t>Access Arrangement Information for Australian Gas Networks' South Australian Natural Gas Distribution Network, p</w:t>
      </w:r>
      <w:r w:rsidR="00262F60">
        <w:t xml:space="preserve">. </w:t>
      </w:r>
      <w:r>
        <w:t>10, July 2015;</w:t>
      </w:r>
    </w:p>
  </w:footnote>
  <w:footnote w:id="257">
    <w:p w14:paraId="0106CD72" w14:textId="104DE9D5" w:rsidR="00CD1356" w:rsidRDefault="00CD1356">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w:t>
      </w:r>
      <w:proofErr w:type="gramStart"/>
      <w:r>
        <w:t>39.;</w:t>
      </w:r>
      <w:proofErr w:type="gramEnd"/>
      <w:r>
        <w:t xml:space="preserve">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8">
    <w:p w14:paraId="3E7207A2" w14:textId="77777777" w:rsidR="00CD1356" w:rsidRDefault="00CD1356">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59">
    <w:p w14:paraId="379BAF96" w14:textId="77777777" w:rsidR="00CD1356" w:rsidRDefault="00CD1356">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60">
    <w:p w14:paraId="6AABF03F" w14:textId="77777777" w:rsidR="00CD1356" w:rsidRDefault="00CD1356">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1">
    <w:p w14:paraId="612C8A29" w14:textId="77777777" w:rsidR="00CD1356" w:rsidRDefault="00CD135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2">
    <w:p w14:paraId="5CB4B5F5" w14:textId="430B9428" w:rsidR="00CD1356" w:rsidRDefault="00CD1356">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w:t>
      </w:r>
      <w:r w:rsidR="00262F60">
        <w:t>.</w:t>
      </w:r>
    </w:p>
  </w:footnote>
  <w:footnote w:id="263">
    <w:p w14:paraId="36DE6F5D" w14:textId="2E3F9EEB" w:rsidR="00CD1356" w:rsidRDefault="00CD1356">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pp</w:t>
      </w:r>
      <w:r w:rsidR="00262F60">
        <w:t xml:space="preserve">. </w:t>
      </w:r>
      <w:r>
        <w:t xml:space="preserve"> 6-7.</w:t>
      </w:r>
    </w:p>
  </w:footnote>
  <w:footnote w:id="264">
    <w:p w14:paraId="66ECC352" w14:textId="7EE9CBCC" w:rsidR="00CD1356" w:rsidRDefault="00CD135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w:t>
      </w:r>
      <w:r w:rsidR="00262F60">
        <w:t xml:space="preserve">. </w:t>
      </w:r>
      <w:r>
        <w:t>6</w:t>
      </w:r>
      <w:r w:rsidR="00262F60">
        <w:t>.</w:t>
      </w:r>
    </w:p>
  </w:footnote>
  <w:footnote w:id="265">
    <w:p w14:paraId="1C3BA924" w14:textId="6A3C5FC5" w:rsidR="00CD1356" w:rsidRDefault="00CD135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w:t>
      </w:r>
      <w:r w:rsidR="00262F60">
        <w:t>.</w:t>
      </w:r>
      <w:r>
        <w:t xml:space="preserve"> 6-7.</w:t>
      </w:r>
    </w:p>
  </w:footnote>
  <w:footnote w:id="266">
    <w:p w14:paraId="51C9548D" w14:textId="718C3F39" w:rsidR="00CD1356" w:rsidRDefault="00CD1356" w:rsidP="00740380">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xml:space="preserve">, June 2015, </w:t>
      </w:r>
      <w:r w:rsidR="00262F60">
        <w:t xml:space="preserve">p. </w:t>
      </w:r>
      <w:r>
        <w:t>7.</w:t>
      </w:r>
    </w:p>
  </w:footnote>
  <w:footnote w:id="267">
    <w:p w14:paraId="091F7E4D" w14:textId="2C626D03" w:rsidR="00CD1356" w:rsidRDefault="00CD135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w:t>
      </w:r>
      <w:r w:rsidR="00262F60">
        <w:t xml:space="preserve">. </w:t>
      </w:r>
      <w:r>
        <w:t>6.</w:t>
      </w:r>
    </w:p>
  </w:footnote>
  <w:footnote w:id="268">
    <w:p w14:paraId="524C13CD" w14:textId="56FCD6F1" w:rsidR="00CD1356" w:rsidRDefault="00CD1356">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w:t>
      </w:r>
      <w:r w:rsidR="00262F60">
        <w:t>.</w:t>
      </w:r>
      <w:r>
        <w:t xml:space="preserve"> 79.</w:t>
      </w:r>
    </w:p>
  </w:footnote>
  <w:footnote w:id="269">
    <w:p w14:paraId="29E91CAD" w14:textId="3CCEC700" w:rsidR="00CD1356" w:rsidRDefault="00CD1356">
      <w:pPr>
        <w:pStyle w:val="FootnoteText"/>
      </w:pPr>
      <w:r>
        <w:rPr>
          <w:rStyle w:val="FootnoteReference"/>
        </w:rPr>
        <w:footnoteRef/>
      </w:r>
      <w:r>
        <w:t xml:space="preserve"> </w:t>
      </w:r>
      <w:r>
        <w:tab/>
        <w:t>Koedijk, K</w:t>
      </w:r>
      <w:proofErr w:type="gramStart"/>
      <w:r>
        <w:t>,G</w:t>
      </w:r>
      <w:proofErr w:type="gramEnd"/>
      <w:r>
        <w:t>,, and van Dijk, M, A., 2004, Global risk factors and the cost of capital, Financial analysts journal, March/April 2004, p</w:t>
      </w:r>
      <w:r w:rsidR="00262F60">
        <w:t xml:space="preserve">. </w:t>
      </w:r>
      <w:r>
        <w:t xml:space="preserve">33.  </w:t>
      </w:r>
    </w:p>
  </w:footnote>
  <w:footnote w:id="270">
    <w:p w14:paraId="30F92847" w14:textId="64208411" w:rsidR="00CD1356" w:rsidRDefault="00CD1356">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pp. 8-10.</w:t>
      </w:r>
    </w:p>
  </w:footnote>
  <w:footnote w:id="271">
    <w:p w14:paraId="02925FFC" w14:textId="63B5109B" w:rsidR="00CD1356" w:rsidRDefault="00CD1356">
      <w:pPr>
        <w:pStyle w:val="FootnoteText"/>
      </w:pPr>
      <w:r>
        <w:rPr>
          <w:rStyle w:val="FootnoteReference"/>
        </w:rPr>
        <w:footnoteRef/>
      </w:r>
      <w:r>
        <w:t xml:space="preserve"> </w:t>
      </w:r>
      <w:r>
        <w:tab/>
        <w:t>Koedijk, K</w:t>
      </w:r>
      <w:proofErr w:type="gramStart"/>
      <w:r>
        <w:t>,G</w:t>
      </w:r>
      <w:proofErr w:type="gramEnd"/>
      <w:r>
        <w:t>,, and van Dijk, M, A., 2004, Global risk factors and the cost of capital, Financial analysts journal, March/April 2004, p</w:t>
      </w:r>
      <w:r w:rsidR="00262F60">
        <w:t xml:space="preserve">. </w:t>
      </w:r>
      <w:r>
        <w:t xml:space="preserve">33.  </w:t>
      </w:r>
    </w:p>
  </w:footnote>
  <w:footnote w:id="272">
    <w:p w14:paraId="178279DB" w14:textId="4BE21976" w:rsidR="00CD1356" w:rsidRDefault="00CD1356">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 3.</w:t>
      </w:r>
    </w:p>
  </w:footnote>
  <w:footnote w:id="273">
    <w:p w14:paraId="4C4BD5F0" w14:textId="344B00B2" w:rsidR="00CD1356" w:rsidRDefault="00CD1356" w:rsidP="00507D00">
      <w:pPr>
        <w:pStyle w:val="FootnoteText"/>
      </w:pPr>
      <w:r>
        <w:rPr>
          <w:rStyle w:val="FootnoteReference"/>
        </w:rPr>
        <w:footnoteRef/>
      </w:r>
      <w:r>
        <w:t xml:space="preserve"> </w:t>
      </w:r>
      <w:r>
        <w:tab/>
      </w:r>
      <w:proofErr w:type="gramStart"/>
      <w:r>
        <w:t>Lally, The estimation of gamma, November 2013, pp</w:t>
      </w:r>
      <w:r w:rsidR="00262F60">
        <w:t>.</w:t>
      </w:r>
      <w:r>
        <w:t xml:space="preserve"> 39-43.</w:t>
      </w:r>
      <w:proofErr w:type="gramEnd"/>
    </w:p>
  </w:footnote>
  <w:footnote w:id="274">
    <w:p w14:paraId="04BD289B" w14:textId="77777777" w:rsidR="00CD1356" w:rsidRDefault="00CD1356"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5">
    <w:p w14:paraId="67CB7063" w14:textId="77777777" w:rsidR="00CD1356" w:rsidRDefault="00CD1356"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6">
    <w:p w14:paraId="02A37B02" w14:textId="77777777" w:rsidR="00CD1356" w:rsidRDefault="00CD1356" w:rsidP="00B67C84">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w:t>
      </w:r>
      <w:proofErr w:type="gramEnd"/>
      <w:r>
        <w:t xml:space="preserve"> 412.</w:t>
      </w:r>
    </w:p>
  </w:footnote>
  <w:footnote w:id="277">
    <w:p w14:paraId="54B2A490"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222.</w:t>
      </w:r>
    </w:p>
  </w:footnote>
  <w:footnote w:id="278">
    <w:p w14:paraId="646001ED" w14:textId="1E222AE2"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February 2015, p. 4; CitiPower</w:t>
      </w:r>
      <w:r w:rsidR="00262F60">
        <w:t>,</w:t>
      </w:r>
      <w:r>
        <w:t xml:space="preserve"> </w:t>
      </w:r>
      <w:r w:rsidRPr="00262F60">
        <w:rPr>
          <w:rStyle w:val="AERtextitalic"/>
        </w:rPr>
        <w:t>Appendix J - Gamma</w:t>
      </w:r>
      <w:r>
        <w:t>, April 2015, p</w:t>
      </w:r>
      <w:r w:rsidR="00262F60">
        <w:t xml:space="preserve">. </w:t>
      </w:r>
      <w:r>
        <w:t xml:space="preserve">6; Powercor, </w:t>
      </w:r>
      <w:r w:rsidRPr="00262F60">
        <w:rPr>
          <w:rStyle w:val="AERtextitalic"/>
        </w:rPr>
        <w:t>Regulatory Proposal 2016-20</w:t>
      </w:r>
      <w:r>
        <w:t>, April 2015, p</w:t>
      </w:r>
      <w:r w:rsidR="00262F60">
        <w:t xml:space="preserve">. </w:t>
      </w:r>
      <w:r>
        <w:t>6; Energex, S</w:t>
      </w:r>
      <w:r w:rsidRPr="00262F60">
        <w:rPr>
          <w:rStyle w:val="AERtextitalic"/>
        </w:rPr>
        <w:t>ubmission on Energex's regulatory proposal 2015-20 and the AER issues paper</w:t>
      </w:r>
      <w:r>
        <w:t>, January 2015, p</w:t>
      </w:r>
      <w:r w:rsidR="00262F60">
        <w:t xml:space="preserve">. </w:t>
      </w:r>
      <w:r>
        <w:t>4.</w:t>
      </w:r>
    </w:p>
  </w:footnote>
  <w:footnote w:id="279">
    <w:p w14:paraId="5236DB3B" w14:textId="64873F21"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and JGN, </w:t>
      </w:r>
      <w:r w:rsidRPr="000E181F">
        <w:rPr>
          <w:rStyle w:val="AERtextitalic"/>
        </w:rPr>
        <w:t>Gamma - response to the draft decision</w:t>
      </w:r>
      <w:r>
        <w:t>, February 2015, p. 17; CitiPower</w:t>
      </w:r>
      <w:r w:rsidR="00262F60">
        <w:t>,</w:t>
      </w:r>
      <w:r>
        <w:t xml:space="preserve"> </w:t>
      </w:r>
      <w:r w:rsidRPr="00262F60">
        <w:rPr>
          <w:rStyle w:val="AERtextitalic"/>
        </w:rPr>
        <w:t>Appendix J - Gamma</w:t>
      </w:r>
      <w:r>
        <w:t xml:space="preserve">, April 2015, pp. 4-5; Powercor, </w:t>
      </w:r>
      <w:r w:rsidRPr="00262F60">
        <w:rPr>
          <w:rStyle w:val="AERtextitalic"/>
        </w:rPr>
        <w:t>Regulatory Proposal 2016-20</w:t>
      </w:r>
      <w:r>
        <w:t xml:space="preserve">, April 2015, pp. 4-5; Energex, </w:t>
      </w:r>
      <w:r w:rsidRPr="00262F60">
        <w:rPr>
          <w:rStyle w:val="AERtextitalic"/>
        </w:rPr>
        <w:t>Revised regulatory proposal 2015-20</w:t>
      </w:r>
      <w:r>
        <w:t>, July 2015, p</w:t>
      </w:r>
      <w:r w:rsidR="00262F60">
        <w:t xml:space="preserve">. </w:t>
      </w:r>
      <w:r>
        <w:t xml:space="preserve">13. </w:t>
      </w:r>
    </w:p>
  </w:footnote>
  <w:footnote w:id="280">
    <w:p w14:paraId="67A08E1B" w14:textId="01A2A908" w:rsidR="00CD1356" w:rsidRDefault="00CD135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262F60">
        <w:t>.</w:t>
      </w:r>
      <w:r>
        <w:t xml:space="preserve">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1">
    <w:p w14:paraId="460FCF1B" w14:textId="613321C0" w:rsidR="00CD1356" w:rsidRDefault="00CD135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w:t>
      </w:r>
      <w:r w:rsidR="00262F60">
        <w:t>.</w:t>
      </w:r>
      <w:r>
        <w:t xml:space="preserve"> 28-30; NERA, </w:t>
      </w:r>
      <w:r w:rsidRPr="00D54762">
        <w:rPr>
          <w:rStyle w:val="AERtextitalic"/>
        </w:rPr>
        <w:t>Estimating distribution and redemption rates: Response to the AER's final decisions for the NSW and ACT electricity distributors, and for Jemena Gas Networks</w:t>
      </w:r>
      <w:r>
        <w:t>, June 2015, pp.17-18.</w:t>
      </w:r>
    </w:p>
  </w:footnote>
  <w:footnote w:id="282">
    <w:p w14:paraId="77D876D6" w14:textId="5AF44DDA" w:rsidR="00CD1356" w:rsidRDefault="00CD135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283">
    <w:p w14:paraId="7F0C7153" w14:textId="338DC7B4"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w:t>
      </w:r>
      <w:r w:rsidR="00262F60">
        <w:t xml:space="preserve">. </w:t>
      </w:r>
      <w:r>
        <w:t>21.</w:t>
      </w:r>
    </w:p>
  </w:footnote>
  <w:footnote w:id="284">
    <w:p w14:paraId="1D85431F" w14:textId="77777777" w:rsidR="00CD1356" w:rsidRDefault="00CD1356"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5">
    <w:p w14:paraId="1C6CCA31" w14:textId="77777777" w:rsidR="00CD1356" w:rsidRDefault="00CD1356"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rsidRPr="00DF6BAC">
        <w:t>,</w:t>
      </w:r>
      <w:proofErr w:type="gramEnd"/>
      <w:r w:rsidRPr="00DF6BAC">
        <w:t xml:space="preserve"> September 2013.</w:t>
      </w:r>
    </w:p>
  </w:footnote>
  <w:footnote w:id="286">
    <w:p w14:paraId="149569AF" w14:textId="77777777" w:rsidR="00CD1356" w:rsidRDefault="00CD1356"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7">
    <w:p w14:paraId="430414AC" w14:textId="77777777" w:rsidR="00CD1356" w:rsidRDefault="00CD1356"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8">
    <w:p w14:paraId="0E99E9DF" w14:textId="77777777" w:rsidR="00CD1356" w:rsidRDefault="00CD135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89">
    <w:p w14:paraId="41ADCC41" w14:textId="77777777" w:rsidR="00CD1356" w:rsidRDefault="00CD1356">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t>A.13</w:t>
      </w:r>
      <w:r>
        <w:fldChar w:fldCharType="end"/>
      </w:r>
      <w:r>
        <w:t xml:space="preserve">, we have regard to </w:t>
      </w:r>
      <w:r w:rsidRPr="007938F1">
        <w:t>Hathaway's finding that the ATO statistics are subject to a number of issues prior to 2004</w:t>
      </w:r>
      <w:r>
        <w:t>.</w:t>
      </w:r>
    </w:p>
  </w:footnote>
  <w:footnote w:id="290">
    <w:p w14:paraId="4381B4F3" w14:textId="7AEC5DC0" w:rsidR="00CD1356" w:rsidRDefault="00CD1356"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February 2015, p. 4; CitiPower</w:t>
      </w:r>
      <w:r w:rsidR="00262F60">
        <w:t>,</w:t>
      </w:r>
      <w:r>
        <w:t xml:space="preserve"> </w:t>
      </w:r>
      <w:r w:rsidRPr="00262F60">
        <w:rPr>
          <w:rStyle w:val="AERtextitalic"/>
        </w:rPr>
        <w:t>Appendix J - Gamma</w:t>
      </w:r>
      <w:r>
        <w:t>, April 2015, p</w:t>
      </w:r>
      <w:r w:rsidR="00262F60">
        <w:t xml:space="preserve">. </w:t>
      </w:r>
      <w:r>
        <w:t xml:space="preserve">6; Powercor, </w:t>
      </w:r>
      <w:r w:rsidRPr="00262F60">
        <w:rPr>
          <w:rStyle w:val="AERtextitalic"/>
        </w:rPr>
        <w:t>Regulatory Proposal 2016-20</w:t>
      </w:r>
      <w:r>
        <w:t>, April 2015, p</w:t>
      </w:r>
      <w:r w:rsidR="00262F60">
        <w:t xml:space="preserve">. </w:t>
      </w:r>
      <w:r>
        <w:t xml:space="preserve">6; Energex, </w:t>
      </w:r>
      <w:r w:rsidRPr="00262F60">
        <w:rPr>
          <w:rStyle w:val="AERtextitalic"/>
        </w:rPr>
        <w:t>Submission on Energex's regulatory proposal 2015-20 and the AER issues paper</w:t>
      </w:r>
      <w:r>
        <w:t>, January 2015, p</w:t>
      </w:r>
      <w:r w:rsidR="00262F60">
        <w:t xml:space="preserve">. </w:t>
      </w:r>
      <w:r>
        <w:t>4.</w:t>
      </w:r>
    </w:p>
  </w:footnote>
  <w:footnote w:id="291">
    <w:p w14:paraId="6207B839" w14:textId="77777777" w:rsidR="00CD1356" w:rsidRDefault="00CD1356" w:rsidP="00B56451">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211.</w:t>
      </w:r>
    </w:p>
  </w:footnote>
  <w:footnote w:id="292">
    <w:p w14:paraId="5D335CC4"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222.</w:t>
      </w:r>
    </w:p>
  </w:footnote>
  <w:footnote w:id="293">
    <w:p w14:paraId="167AA0ED" w14:textId="77777777" w:rsidR="00CD1356" w:rsidRDefault="00CD1356">
      <w:pPr>
        <w:pStyle w:val="FootnoteText"/>
      </w:pPr>
      <w:r>
        <w:rPr>
          <w:rStyle w:val="FootnoteReference"/>
        </w:rPr>
        <w:footnoteRef/>
      </w:r>
      <w:r>
        <w:t xml:space="preserve">  </w:t>
      </w:r>
      <w:r>
        <w:tab/>
      </w:r>
      <w:proofErr w:type="gramStart"/>
      <w:r>
        <w:t xml:space="preserve">SFG, </w:t>
      </w:r>
      <w:r>
        <w:rPr>
          <w:rStyle w:val="AERtextitalic"/>
        </w:rPr>
        <w:t>Estimating gamma for regulatory purposes</w:t>
      </w:r>
      <w:r>
        <w:t>, 6 February 2015, paras.</w:t>
      </w:r>
      <w:proofErr w:type="gramEnd"/>
      <w:r>
        <w:t xml:space="preserve"> 215 and 217–218.</w:t>
      </w:r>
    </w:p>
  </w:footnote>
  <w:footnote w:id="294">
    <w:p w14:paraId="797C4FC7"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223.</w:t>
      </w:r>
    </w:p>
  </w:footnote>
  <w:footnote w:id="295">
    <w:p w14:paraId="310D8186"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6">
    <w:p w14:paraId="6E2ED1CF"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209.</w:t>
      </w:r>
    </w:p>
  </w:footnote>
  <w:footnote w:id="297">
    <w:p w14:paraId="1533F421" w14:textId="77777777" w:rsidR="00CD1356" w:rsidRDefault="00CD1356">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8">
    <w:p w14:paraId="32C050D2" w14:textId="66A50D03"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w:t>
      </w:r>
      <w:r w:rsidR="00262F60">
        <w:t>. 28.</w:t>
      </w:r>
      <w:proofErr w:type="gramEnd"/>
    </w:p>
  </w:footnote>
  <w:footnote w:id="299">
    <w:p w14:paraId="5FF691DD" w14:textId="58D58DC1" w:rsidR="00CD1356" w:rsidRDefault="00CD1356" w:rsidP="00C627BA">
      <w:pPr>
        <w:pStyle w:val="FootnoteText"/>
      </w:pPr>
      <w:r>
        <w:rPr>
          <w:rStyle w:val="FootnoteReference"/>
        </w:rPr>
        <w:footnoteRef/>
      </w:r>
      <w:r>
        <w:t xml:space="preserve"> </w:t>
      </w:r>
      <w:r>
        <w:tab/>
        <w:t xml:space="preserve">NERA, </w:t>
      </w:r>
      <w:proofErr w:type="gramStart"/>
      <w:r w:rsidRPr="00D54762">
        <w:rPr>
          <w:rStyle w:val="AERtextitalic"/>
        </w:rPr>
        <w:t>Estimating</w:t>
      </w:r>
      <w:proofErr w:type="gramEnd"/>
      <w:r w:rsidRPr="00D54762">
        <w:rPr>
          <w:rStyle w:val="AERtextitalic"/>
        </w:rPr>
        <w:t xml:space="preserve"> distribution and redemption rates: Response to the AER's final decisions for the NSW and ACT electricity distributors, and for Jemena Gas Networks</w:t>
      </w:r>
      <w:r>
        <w:t>, June 2015, p.18.</w:t>
      </w:r>
    </w:p>
  </w:footnote>
  <w:footnote w:id="300">
    <w:p w14:paraId="018F358A" w14:textId="2D0C23F1" w:rsidR="00CD1356" w:rsidRDefault="00CD1356">
      <w:pPr>
        <w:pStyle w:val="FootnoteText"/>
      </w:pPr>
      <w:r>
        <w:rPr>
          <w:rStyle w:val="FootnoteReference"/>
        </w:rPr>
        <w:footnoteRef/>
      </w:r>
      <w:r>
        <w:t xml:space="preserve"> </w:t>
      </w:r>
      <w:r>
        <w:tab/>
        <w:t xml:space="preserve">AusNet Services, </w:t>
      </w:r>
      <w:r w:rsidRPr="00262F60">
        <w:rPr>
          <w:rStyle w:val="AERtextitalic"/>
        </w:rPr>
        <w:t>2016-20 Regulatory Proposal</w:t>
      </w:r>
      <w:r>
        <w:t xml:space="preserve">, April 2015, pp. 353-354; United Energy, </w:t>
      </w:r>
      <w:r w:rsidRPr="00262F60">
        <w:rPr>
          <w:rStyle w:val="AERtextitalic"/>
        </w:rPr>
        <w:t>Assessment of the Value of Imputation Credits - Gamma, Proposal for 2016 to 2020</w:t>
      </w:r>
      <w:r>
        <w:t>, April 2015, pp. 1-4.; CitiPower</w:t>
      </w:r>
      <w:r w:rsidR="00262F60">
        <w:t>,</w:t>
      </w:r>
      <w:r>
        <w:t xml:space="preserve"> </w:t>
      </w:r>
      <w:r w:rsidRPr="00262F60">
        <w:rPr>
          <w:rStyle w:val="AERtextitalic"/>
        </w:rPr>
        <w:t>Appendix J - Gamma</w:t>
      </w:r>
      <w:r>
        <w:t xml:space="preserve">, April 2015, pp. 4-7.; Powercor, </w:t>
      </w:r>
      <w:r w:rsidRPr="00262F60">
        <w:rPr>
          <w:rStyle w:val="AERtextitalic"/>
        </w:rPr>
        <w:t>Appendix J - Gamma</w:t>
      </w:r>
      <w:r>
        <w:t xml:space="preserve">, April 2015, pp. 4-7; Jemena Electricity, </w:t>
      </w:r>
      <w:r w:rsidRPr="00262F60">
        <w:rPr>
          <w:rStyle w:val="AERtextitalic"/>
        </w:rPr>
        <w:t>Attachment 06-06 Gamma proposal</w:t>
      </w:r>
      <w:r>
        <w:t>, April 2015, pp. 6-8;</w:t>
      </w:r>
      <w:r w:rsidRPr="00A427FF">
        <w:t xml:space="preserve"> </w:t>
      </w:r>
      <w:r>
        <w:t xml:space="preserve">SA Power Networks, </w:t>
      </w:r>
      <w:r>
        <w:rPr>
          <w:rStyle w:val="AERtextitalic"/>
        </w:rPr>
        <w:t>Revised regulatory proposal 2015-20</w:t>
      </w:r>
      <w:r>
        <w:t xml:space="preserve">, July 2015, p. 378; Energex, </w:t>
      </w:r>
      <w:r w:rsidRPr="00262F60">
        <w:rPr>
          <w:rStyle w:val="AERtextitalic"/>
        </w:rPr>
        <w:t>Revised Regulatory Proposal</w:t>
      </w:r>
      <w:r>
        <w:t xml:space="preserve">, July 2015, pp. 124-125; Ergon, </w:t>
      </w:r>
      <w:r w:rsidRPr="00262F60">
        <w:rPr>
          <w:rStyle w:val="AERtextitalic"/>
        </w:rPr>
        <w:t>Revised Regulatory Proposal</w:t>
      </w:r>
      <w:r w:rsidR="00262F60">
        <w:t xml:space="preserve">, </w:t>
      </w:r>
      <w:r>
        <w:t>July 2015, p</w:t>
      </w:r>
      <w:r w:rsidR="00262F60">
        <w:t xml:space="preserve">. </w:t>
      </w:r>
      <w:r>
        <w:t xml:space="preserve">153; ActewAGL </w:t>
      </w:r>
      <w:r w:rsidRPr="00262F60">
        <w:rPr>
          <w:rStyle w:val="AERtextitalic"/>
        </w:rPr>
        <w:t>Distribution, Attachment 8 Detailed gamma proposal</w:t>
      </w:r>
      <w:r>
        <w:t xml:space="preserve">, June 2015, pp. 4-6; Australian Gas Networks, </w:t>
      </w:r>
      <w:r w:rsidRPr="000F267C">
        <w:rPr>
          <w:rStyle w:val="AERtextitalic"/>
        </w:rPr>
        <w:t>Access Arrangement Information - Attachment 11.2 Value of Imputation Credits</w:t>
      </w:r>
      <w:r>
        <w:t>,  July 2015; pp. 3-6</w:t>
      </w:r>
      <w:r w:rsidR="000F267C">
        <w:t>;</w:t>
      </w:r>
      <w:r>
        <w:t xml:space="preserve"> Amadeus Gas Pipeline</w:t>
      </w:r>
      <w:r w:rsidR="000F267C">
        <w:t xml:space="preserve">, </w:t>
      </w:r>
      <w:r w:rsidRPr="000F267C">
        <w:rPr>
          <w:rStyle w:val="AERtextitalic"/>
        </w:rPr>
        <w:t>Access Arrangement Revision Proposal Submission,</w:t>
      </w:r>
      <w:r>
        <w:t xml:space="preserve"> August 2015, p. 153.</w:t>
      </w:r>
    </w:p>
  </w:footnote>
  <w:footnote w:id="301">
    <w:p w14:paraId="05294845"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216.</w:t>
      </w:r>
    </w:p>
  </w:footnote>
  <w:footnote w:id="302">
    <w:p w14:paraId="1BC62DF9" w14:textId="77777777" w:rsidR="00CD1356" w:rsidRDefault="00CD135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3">
    <w:p w14:paraId="5A28E871" w14:textId="77F4E04C" w:rsidR="00CD1356" w:rsidRDefault="00CD1356">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4">
    <w:p w14:paraId="5CB4EBE7" w14:textId="397EB824" w:rsidR="00CD1356" w:rsidRDefault="00CD1356">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5">
    <w:p w14:paraId="1CDE780F" w14:textId="77777777" w:rsidR="00CD1356" w:rsidRDefault="00CD1356"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w:t>
      </w:r>
      <w:proofErr w:type="gramStart"/>
      <w:r>
        <w:t>Accessed 9 April 2015.</w:t>
      </w:r>
      <w:proofErr w:type="gramEnd"/>
      <w:r>
        <w:t xml:space="preserve">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6">
    <w:p w14:paraId="1DB09FAF" w14:textId="77777777" w:rsidR="00CD1356" w:rsidRDefault="00CD1356"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7">
    <w:p w14:paraId="1BEAB3F3" w14:textId="77777777" w:rsidR="00CD1356" w:rsidRDefault="00CD1356"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8">
    <w:p w14:paraId="16062DAC" w14:textId="77777777" w:rsidR="00CD1356" w:rsidRDefault="00CD1356"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para. 99.</w:t>
      </w:r>
    </w:p>
  </w:footnote>
  <w:footnote w:id="309">
    <w:p w14:paraId="0612E266" w14:textId="77777777" w:rsidR="00CD1356" w:rsidRDefault="00CD1356"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10">
    <w:p w14:paraId="1D841E66" w14:textId="77777777" w:rsidR="00CD1356" w:rsidRDefault="00CD1356"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w:t>
      </w:r>
      <w:proofErr w:type="gramStart"/>
      <w:r>
        <w:rPr>
          <w:rStyle w:val="AERtextitalic"/>
        </w:rPr>
        <w:t>draft</w:t>
      </w:r>
      <w:proofErr w:type="gramEnd"/>
      <w:r>
        <w:rPr>
          <w:rStyle w:val="AERtextitalic"/>
        </w:rPr>
        <w:t>)</w:t>
      </w:r>
      <w:r>
        <w:t>, October 2014.</w:t>
      </w:r>
    </w:p>
  </w:footnote>
  <w:footnote w:id="311">
    <w:p w14:paraId="708F037F" w14:textId="3FAD695A" w:rsidR="00CD1356" w:rsidRDefault="00CD1356">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w:t>
      </w:r>
      <w:proofErr w:type="gramStart"/>
      <w:r>
        <w:rPr>
          <w:rStyle w:val="AERtextitalic"/>
        </w:rPr>
        <w:t>draft</w:t>
      </w:r>
      <w:proofErr w:type="gramEnd"/>
      <w:r>
        <w:rPr>
          <w:rStyle w:val="AERtextitalic"/>
        </w:rPr>
        <w:t>)</w:t>
      </w:r>
      <w:r w:rsidR="000F267C">
        <w:t>, October 2014.</w:t>
      </w:r>
    </w:p>
  </w:footnote>
  <w:footnote w:id="312">
    <w:p w14:paraId="3986142D" w14:textId="77777777" w:rsidR="00CD1356" w:rsidRDefault="00CD1356"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3">
    <w:p w14:paraId="67C0D1B2" w14:textId="77777777" w:rsidR="00CD1356" w:rsidRDefault="00CD1356"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4">
    <w:p w14:paraId="6B398136" w14:textId="77777777" w:rsidR="00CD1356" w:rsidRDefault="00CD1356"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xml:space="preserve">. </w:t>
      </w:r>
      <w:proofErr w:type="gramStart"/>
      <w:r>
        <w:t>Accessed 9 April 2015.</w:t>
      </w:r>
      <w:proofErr w:type="gramEnd"/>
    </w:p>
  </w:footnote>
  <w:footnote w:id="315">
    <w:p w14:paraId="181EF5DF" w14:textId="77777777" w:rsidR="00CD1356" w:rsidRDefault="00CD1356"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proofErr w:type="gramStart"/>
      <w:r w:rsidRPr="00DF6BAC">
        <w:rPr>
          <w:rStyle w:val="AERtextitalic"/>
        </w:rPr>
        <w:t>?</w:t>
      </w:r>
      <w:r>
        <w:t>,</w:t>
      </w:r>
      <w:proofErr w:type="gramEnd"/>
      <w:r>
        <w:t xml:space="preserve"> September 2013, figure 5.</w:t>
      </w:r>
    </w:p>
  </w:footnote>
  <w:footnote w:id="316">
    <w:p w14:paraId="76CB2C39" w14:textId="77777777" w:rsidR="00CD1356" w:rsidRDefault="00CD1356">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7">
    <w:p w14:paraId="6B6C7A18" w14:textId="0F03CBBB" w:rsidR="00CD1356" w:rsidRDefault="00CD1356">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xml:space="preserve">, February 2015, p. 1; Jemena Electricity, </w:t>
      </w:r>
      <w:r w:rsidRPr="000F267C">
        <w:rPr>
          <w:rStyle w:val="AERtextitalic"/>
        </w:rPr>
        <w:t>Attachment 06-06 Gamma proposal</w:t>
      </w:r>
      <w:r>
        <w:t>, April 2015, p</w:t>
      </w:r>
      <w:r w:rsidR="000F267C">
        <w:t>. 1</w:t>
      </w:r>
      <w:r>
        <w:t xml:space="preserve">; Energex, </w:t>
      </w:r>
      <w:r w:rsidRPr="000F267C">
        <w:rPr>
          <w:rStyle w:val="AERtextitalic"/>
        </w:rPr>
        <w:t>Revised Regulatory Proposal</w:t>
      </w:r>
      <w:r>
        <w:t xml:space="preserve">, July 2015, p. 13;  Powercor, </w:t>
      </w:r>
      <w:r w:rsidRPr="000F267C">
        <w:rPr>
          <w:rStyle w:val="AERtextitalic"/>
        </w:rPr>
        <w:t>Regulatory Proposal 2016-20</w:t>
      </w:r>
      <w:r>
        <w:t xml:space="preserve">, April 2015, p. 249; CitiPower, </w:t>
      </w:r>
      <w:r w:rsidRPr="000F267C">
        <w:rPr>
          <w:rStyle w:val="AERtextitalic"/>
        </w:rPr>
        <w:t>Regulatory Proposal</w:t>
      </w:r>
      <w:r>
        <w:t xml:space="preserve">, April 2015, p. 241; AusNet Services, </w:t>
      </w:r>
      <w:r w:rsidRPr="000F267C">
        <w:rPr>
          <w:rStyle w:val="AERtextitalic"/>
        </w:rPr>
        <w:t>2016-20 Regulatory Proposal</w:t>
      </w:r>
      <w:r>
        <w:t xml:space="preserve">, April 2015, pp. 367-368; United Energy, </w:t>
      </w:r>
      <w:r w:rsidRPr="000F267C">
        <w:rPr>
          <w:rStyle w:val="AERtextitalic"/>
        </w:rPr>
        <w:t>Assessment of the Value of Imputation Credits - Gamma, Proposal for 2016 to 2020</w:t>
      </w:r>
      <w:r>
        <w:t xml:space="preserve">, April 2015, pp. 19-20.  </w:t>
      </w:r>
    </w:p>
  </w:footnote>
  <w:footnote w:id="318">
    <w:p w14:paraId="3B94E06F"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p.12.</w:t>
      </w:r>
    </w:p>
  </w:footnote>
  <w:footnote w:id="319">
    <w:p w14:paraId="5972C396" w14:textId="76629D60"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JGN, </w:t>
      </w:r>
      <w:r w:rsidRPr="000E181F">
        <w:rPr>
          <w:rStyle w:val="AERtextitalic"/>
        </w:rPr>
        <w:t>Gamma - response to the draft decision</w:t>
      </w:r>
      <w:r>
        <w:t xml:space="preserve">, February 2015, p. 14; Access Arrangement Information for Australian Gas Networks' South Australian Natural Gas Distribution Network, July 2015, p14; Jemena Electricity, </w:t>
      </w:r>
      <w:r w:rsidRPr="000F267C">
        <w:rPr>
          <w:rStyle w:val="AERtextitalic"/>
        </w:rPr>
        <w:t>Attachment 06-06 Gamma proposal</w:t>
      </w:r>
      <w:r>
        <w:t>, April 2015, p.17</w:t>
      </w:r>
      <w:r w:rsidRPr="00080933">
        <w:t xml:space="preserve"> </w:t>
      </w:r>
      <w:r>
        <w:t xml:space="preserve"> ;   Powercor, </w:t>
      </w:r>
      <w:r w:rsidRPr="000F267C">
        <w:rPr>
          <w:rStyle w:val="AERtextitalic"/>
        </w:rPr>
        <w:t>Regulatory Proposal 2016-20</w:t>
      </w:r>
      <w:r>
        <w:t xml:space="preserve">, April 2015, p. 17 ; CitiPower, </w:t>
      </w:r>
      <w:r w:rsidRPr="000F267C">
        <w:rPr>
          <w:rStyle w:val="AERtextitalic"/>
        </w:rPr>
        <w:t>Regulatory Proposal</w:t>
      </w:r>
      <w:r>
        <w:t xml:space="preserve">, April 2015, p. 17; AusNet Services, </w:t>
      </w:r>
      <w:r w:rsidRPr="000F267C">
        <w:rPr>
          <w:rStyle w:val="AERtextitalic"/>
        </w:rPr>
        <w:t>2016-20 Regulatory Proposal</w:t>
      </w:r>
      <w:r>
        <w:t xml:space="preserve">, April 2015, p. 368; United Energy, </w:t>
      </w:r>
      <w:r w:rsidRPr="000F267C">
        <w:rPr>
          <w:rStyle w:val="AERtextitalic"/>
        </w:rPr>
        <w:t>Assessment of the Value of Imputation Credits - Gamma, Proposal for 2016 to 2020</w:t>
      </w:r>
      <w:r>
        <w:t>, April 2015, p. 20;</w:t>
      </w:r>
      <w:r w:rsidRPr="0066139F">
        <w:t xml:space="preserve"> </w:t>
      </w:r>
      <w:r>
        <w:t xml:space="preserve">ActewAGL Distribution, </w:t>
      </w:r>
      <w:r w:rsidRPr="000F267C">
        <w:rPr>
          <w:rStyle w:val="AERtextitalic"/>
        </w:rPr>
        <w:t>Attachment 8 Detailed gamma proposal, June 2015</w:t>
      </w:r>
      <w:r w:rsidR="000F267C">
        <w:t>, p. 16.</w:t>
      </w:r>
    </w:p>
  </w:footnote>
  <w:footnote w:id="320">
    <w:p w14:paraId="22C6335A"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1">
    <w:p w14:paraId="28ACBFB7"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xml:space="preserve">, 6 February 2015, para. </w:t>
      </w:r>
      <w:proofErr w:type="gramStart"/>
      <w:r>
        <w:t>147(a).</w:t>
      </w:r>
      <w:proofErr w:type="gramEnd"/>
    </w:p>
  </w:footnote>
  <w:footnote w:id="322">
    <w:p w14:paraId="064395EB"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3">
    <w:p w14:paraId="01839D67" w14:textId="403C5646"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w:t>
      </w:r>
      <w:r w:rsidR="000F267C">
        <w:t>.</w:t>
      </w:r>
      <w:r>
        <w:t xml:space="preserve"> 31-32.</w:t>
      </w:r>
      <w:proofErr w:type="gramEnd"/>
    </w:p>
  </w:footnote>
  <w:footnote w:id="324">
    <w:p w14:paraId="69DB01F4" w14:textId="77777777" w:rsidR="00CD1356" w:rsidRDefault="00CD1356"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xml:space="preserve">. </w:t>
      </w:r>
      <w:proofErr w:type="gramStart"/>
      <w:r>
        <w:t>Accessed 9 April 2015.</w:t>
      </w:r>
      <w:proofErr w:type="gramEnd"/>
    </w:p>
  </w:footnote>
  <w:footnote w:id="325">
    <w:p w14:paraId="11E6E694" w14:textId="77777777" w:rsidR="00CD1356" w:rsidRDefault="00CD1356"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proofErr w:type="gramStart"/>
      <w:r w:rsidRPr="000A5FAF">
        <w:rPr>
          <w:rStyle w:val="AERtextitalic"/>
        </w:rPr>
        <w:t>?</w:t>
      </w:r>
      <w:r w:rsidRPr="000A5FAF">
        <w:t>,</w:t>
      </w:r>
      <w:proofErr w:type="gramEnd"/>
      <w:r w:rsidRPr="000A5FAF">
        <w:t xml:space="preserve">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6">
    <w:p w14:paraId="622875AF" w14:textId="77777777" w:rsidR="00CD1356" w:rsidRDefault="00CD1356"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proofErr w:type="gramStart"/>
      <w:r w:rsidRPr="009A018E">
        <w:rPr>
          <w:rStyle w:val="AERtextitalic"/>
        </w:rPr>
        <w:t>?</w:t>
      </w:r>
      <w:r>
        <w:t>,</w:t>
      </w:r>
      <w:proofErr w:type="gramEnd"/>
      <w:r>
        <w:t xml:space="preserve"> September 2013, para. 32.</w:t>
      </w:r>
    </w:p>
  </w:footnote>
  <w:footnote w:id="327">
    <w:p w14:paraId="4537A413" w14:textId="77777777" w:rsidR="00CD1356" w:rsidRDefault="00CD1356"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8">
    <w:p w14:paraId="029E3D28" w14:textId="77777777" w:rsidR="00CD1356" w:rsidRDefault="00CD1356" w:rsidP="00292ECF">
      <w:pPr>
        <w:pStyle w:val="FootnoteText"/>
      </w:pPr>
      <w:r>
        <w:rPr>
          <w:rStyle w:val="FootnoteReference"/>
        </w:rPr>
        <w:footnoteRef/>
      </w:r>
      <w:r>
        <w:t xml:space="preserve"> </w:t>
      </w:r>
      <w:r>
        <w:tab/>
      </w:r>
      <w:proofErr w:type="gramStart"/>
      <w:r w:rsidRPr="00913229">
        <w:t>D. Vo</w:t>
      </w:r>
      <w:proofErr w:type="gramEnd"/>
      <w:r w:rsidRPr="00913229">
        <w:t xml:space="preserve">, B. Gellard and S. Mero, 'Estimating the market value of franking credits: Empirical evidence from Australia', </w:t>
      </w:r>
      <w:r w:rsidRPr="00913229">
        <w:rPr>
          <w:rStyle w:val="AERtextitalic"/>
        </w:rPr>
        <w:t>ERA working paper</w:t>
      </w:r>
      <w:r w:rsidRPr="00913229">
        <w:t>, April 2013.</w:t>
      </w:r>
    </w:p>
  </w:footnote>
  <w:footnote w:id="329">
    <w:p w14:paraId="0B9CC941" w14:textId="77777777" w:rsidR="00CD1356" w:rsidRDefault="00CD1356"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30">
    <w:p w14:paraId="18E16C0E" w14:textId="77777777" w:rsidR="00CD1356" w:rsidRDefault="00CD1356" w:rsidP="00292ECF">
      <w:pPr>
        <w:pStyle w:val="FootnoteText"/>
      </w:pPr>
      <w:r>
        <w:rPr>
          <w:rStyle w:val="FootnoteReference"/>
        </w:rPr>
        <w:footnoteRef/>
      </w:r>
      <w:r>
        <w:t xml:space="preserve"> </w:t>
      </w:r>
      <w:r>
        <w:tab/>
      </w:r>
      <w:proofErr w:type="gramStart"/>
      <w:r>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roofErr w:type="gramEnd"/>
    </w:p>
  </w:footnote>
  <w:footnote w:id="331">
    <w:p w14:paraId="1AFB0A5A" w14:textId="77777777" w:rsidR="00CD1356" w:rsidRDefault="00CD1356"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2">
    <w:p w14:paraId="2BC8EEE8" w14:textId="77777777" w:rsidR="00CD1356" w:rsidRDefault="00CD1356"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3">
    <w:p w14:paraId="5682120F" w14:textId="77777777" w:rsidR="00CD1356" w:rsidRDefault="00CD1356"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4">
    <w:p w14:paraId="56FBAE7D" w14:textId="77777777" w:rsidR="00CD1356" w:rsidRDefault="00CD1356"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5">
    <w:p w14:paraId="1061DC43" w14:textId="77777777" w:rsidR="00CD1356" w:rsidRDefault="00CD1356"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6">
    <w:p w14:paraId="154BAA91" w14:textId="77777777" w:rsidR="00CD1356" w:rsidRDefault="00CD1356"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7">
    <w:p w14:paraId="12DB474F" w14:textId="77777777" w:rsidR="00CD1356" w:rsidRDefault="00CD1356"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8">
    <w:p w14:paraId="014B51E2" w14:textId="77777777" w:rsidR="00CD1356" w:rsidRDefault="00CD1356" w:rsidP="00292ECF">
      <w:pPr>
        <w:pStyle w:val="FootnoteText"/>
      </w:pPr>
      <w:r>
        <w:rPr>
          <w:rStyle w:val="FootnoteReference"/>
        </w:rPr>
        <w:footnoteRef/>
      </w:r>
      <w:r>
        <w:t xml:space="preserve"> </w:t>
      </w:r>
      <w:r>
        <w:tab/>
        <w:t xml:space="preserve">SFG, </w:t>
      </w:r>
      <w:proofErr w:type="gramStart"/>
      <w:r w:rsidRPr="005E70ED">
        <w:rPr>
          <w:rStyle w:val="AERtextitalic"/>
        </w:rPr>
        <w:t>Using</w:t>
      </w:r>
      <w:proofErr w:type="gramEnd"/>
      <w:r w:rsidRPr="005E70ED">
        <w:rPr>
          <w:rStyle w:val="AERtextitalic"/>
        </w:rPr>
        <w:t xml:space="preserve"> market data to estimate the equilibrium value of distributed imputation tax credits, Report for the Energy Networks Association</w:t>
      </w:r>
      <w:r>
        <w:t>, 3 October 2013.</w:t>
      </w:r>
    </w:p>
  </w:footnote>
  <w:footnote w:id="339">
    <w:p w14:paraId="4190F6B6" w14:textId="77777777" w:rsidR="00CD1356" w:rsidRDefault="00CD1356"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40">
    <w:p w14:paraId="71557304" w14:textId="77777777" w:rsidR="00CD1356" w:rsidRDefault="00CD1356"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1">
    <w:p w14:paraId="762A5005" w14:textId="77777777" w:rsidR="00CD1356" w:rsidRDefault="00CD1356" w:rsidP="00292ECF">
      <w:pPr>
        <w:pStyle w:val="FootnoteText"/>
      </w:pPr>
      <w:r>
        <w:rPr>
          <w:rStyle w:val="FootnoteReference"/>
        </w:rPr>
        <w:footnoteRef/>
      </w:r>
      <w:r>
        <w:t xml:space="preserve"> </w:t>
      </w:r>
      <w:r>
        <w:tab/>
        <w:t xml:space="preserve">NERA, </w:t>
      </w:r>
      <w:r w:rsidRPr="004A02F9">
        <w:rPr>
          <w:rStyle w:val="AERtextitalic"/>
        </w:rPr>
        <w:t xml:space="preserve">Imputation credits and equity prices and returns, </w:t>
      </w:r>
      <w:proofErr w:type="gramStart"/>
      <w:r w:rsidRPr="004A02F9">
        <w:rPr>
          <w:rStyle w:val="AERtextitalic"/>
        </w:rPr>
        <w:t>A</w:t>
      </w:r>
      <w:proofErr w:type="gramEnd"/>
      <w:r w:rsidRPr="004A02F9">
        <w:rPr>
          <w:rStyle w:val="AERtextitalic"/>
        </w:rPr>
        <w:t xml:space="preserve"> report for the Energy Networks Association</w:t>
      </w:r>
      <w:r>
        <w:t xml:space="preserve">, October 2013. </w:t>
      </w:r>
    </w:p>
  </w:footnote>
  <w:footnote w:id="342">
    <w:p w14:paraId="504CBB7D" w14:textId="77777777" w:rsidR="00CD1356" w:rsidRDefault="00CD1356" w:rsidP="00292ECF">
      <w:pPr>
        <w:pStyle w:val="FootnoteText"/>
      </w:pPr>
      <w:r>
        <w:rPr>
          <w:rStyle w:val="FootnoteReference"/>
        </w:rPr>
        <w:footnoteRef/>
      </w:r>
      <w:r>
        <w:t xml:space="preserve"> </w:t>
      </w:r>
      <w:r>
        <w:tab/>
        <w:t xml:space="preserve">P. Lajbcygier and S. Wheatley, 'Imputation credits and equity returns', </w:t>
      </w:r>
      <w:proofErr w:type="gramStart"/>
      <w:r w:rsidRPr="00336C79">
        <w:rPr>
          <w:rStyle w:val="AERtextitalic"/>
        </w:rPr>
        <w:t>The</w:t>
      </w:r>
      <w:proofErr w:type="gramEnd"/>
      <w:r w:rsidRPr="00336C79">
        <w:rPr>
          <w:rStyle w:val="AERtextitalic"/>
        </w:rPr>
        <w:t xml:space="preserve"> economic record</w:t>
      </w:r>
      <w:r>
        <w:t>, vol. 88 (283), December 2012, pp. 476–494.</w:t>
      </w:r>
    </w:p>
  </w:footnote>
  <w:footnote w:id="343">
    <w:p w14:paraId="2AC18500" w14:textId="77777777" w:rsidR="00CD1356" w:rsidRDefault="00CD1356"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4">
    <w:p w14:paraId="43F47671" w14:textId="13B6BD60" w:rsidR="00CD1356" w:rsidRDefault="00CD1356"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45">
    <w:p w14:paraId="710A0648" w14:textId="3ACAF405" w:rsidR="00CD1356" w:rsidRDefault="00CD1356">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w:t>
      </w:r>
    </w:p>
  </w:footnote>
  <w:footnote w:id="346">
    <w:p w14:paraId="5D181BA1" w14:textId="77777777" w:rsidR="00CD1356" w:rsidRDefault="00CD1356"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7">
    <w:p w14:paraId="00E8C609" w14:textId="77777777" w:rsidR="00CD1356" w:rsidRDefault="00CD1356" w:rsidP="00292ECF">
      <w:pPr>
        <w:pStyle w:val="FootnoteText"/>
      </w:pPr>
      <w:r>
        <w:rPr>
          <w:rStyle w:val="FootnoteReference"/>
        </w:rPr>
        <w:footnoteRef/>
      </w:r>
      <w:r>
        <w:t xml:space="preserve"> </w:t>
      </w:r>
      <w:r>
        <w:tab/>
      </w:r>
      <w:r w:rsidRPr="009C64A5">
        <w:t>H. Chu and G. Partington, '</w:t>
      </w:r>
      <w:proofErr w:type="gramStart"/>
      <w:r w:rsidRPr="009C64A5">
        <w:t>The</w:t>
      </w:r>
      <w:proofErr w:type="gramEnd"/>
      <w:r w:rsidRPr="009C64A5">
        <w:t xml:space="preserv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8">
    <w:p w14:paraId="7D01F2E0" w14:textId="77777777" w:rsidR="00CD1356" w:rsidRDefault="00CD1356" w:rsidP="00292ECF">
      <w:pPr>
        <w:pStyle w:val="FootnoteText"/>
      </w:pPr>
      <w:r>
        <w:rPr>
          <w:rStyle w:val="FootnoteReference"/>
        </w:rPr>
        <w:footnoteRef/>
      </w:r>
      <w:r>
        <w:t xml:space="preserve"> </w:t>
      </w:r>
      <w:r>
        <w:tab/>
        <w:t>S. Walker and G. Partington, '</w:t>
      </w:r>
      <w:proofErr w:type="gramStart"/>
      <w:r>
        <w:t>The</w:t>
      </w:r>
      <w:proofErr w:type="gramEnd"/>
      <w:r>
        <w:t xml:space="preserv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49">
    <w:p w14:paraId="4ECF70A3" w14:textId="77777777" w:rsidR="00CD1356" w:rsidRDefault="00CD1356" w:rsidP="00D15D53">
      <w:pPr>
        <w:pStyle w:val="FootnoteText"/>
      </w:pPr>
      <w:r>
        <w:rPr>
          <w:rStyle w:val="FootnoteReference"/>
        </w:rPr>
        <w:footnoteRef/>
      </w:r>
      <w:r>
        <w:t xml:space="preserve"> </w:t>
      </w:r>
      <w:r>
        <w:tab/>
      </w:r>
      <w:proofErr w:type="gramStart"/>
      <w:r w:rsidRPr="00913229">
        <w:t>D. Vo</w:t>
      </w:r>
      <w:proofErr w:type="gramEnd"/>
      <w:r w:rsidRPr="00913229">
        <w:t xml:space="preserve">, B. Gellard and S. Mero, 'Estimating the market value of franking credits: Empirical evidence from Australia', </w:t>
      </w:r>
      <w:r w:rsidRPr="00913229">
        <w:rPr>
          <w:rStyle w:val="AERtextitalic"/>
        </w:rPr>
        <w:t>ERA working paper</w:t>
      </w:r>
      <w:r w:rsidRPr="00913229">
        <w:t>, April 2013.</w:t>
      </w:r>
    </w:p>
  </w:footnote>
  <w:footnote w:id="350">
    <w:p w14:paraId="07210CF0" w14:textId="77777777" w:rsidR="00CD1356" w:rsidRDefault="00CD1356"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1">
    <w:p w14:paraId="19F9FFFF" w14:textId="77777777" w:rsidR="00CD1356" w:rsidRDefault="00CD1356" w:rsidP="00D15D53">
      <w:pPr>
        <w:pStyle w:val="FootnoteText"/>
      </w:pPr>
      <w:r>
        <w:rPr>
          <w:rStyle w:val="FootnoteReference"/>
        </w:rPr>
        <w:footnoteRef/>
      </w:r>
      <w:r>
        <w:t xml:space="preserve"> </w:t>
      </w:r>
      <w:r>
        <w:tab/>
      </w:r>
      <w:proofErr w:type="gramStart"/>
      <w:r>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roofErr w:type="gramEnd"/>
    </w:p>
  </w:footnote>
  <w:footnote w:id="352">
    <w:p w14:paraId="26DEA4F1" w14:textId="77777777" w:rsidR="00CD1356" w:rsidRDefault="00CD1356"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3">
    <w:p w14:paraId="466A7A15" w14:textId="77777777" w:rsidR="00CD1356" w:rsidRDefault="00CD1356"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4">
    <w:p w14:paraId="7DDA4ADF" w14:textId="77777777" w:rsidR="00CD1356" w:rsidRDefault="00CD1356"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5">
    <w:p w14:paraId="3A7745A6" w14:textId="77777777" w:rsidR="00CD1356" w:rsidRDefault="00CD1356"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6">
    <w:p w14:paraId="0CB7B5DE" w14:textId="77777777" w:rsidR="00CD1356" w:rsidRDefault="00CD1356"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7">
    <w:p w14:paraId="7EC8C0D7" w14:textId="77777777" w:rsidR="00CD1356" w:rsidRDefault="00CD1356"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8">
    <w:p w14:paraId="769AE4F9" w14:textId="77777777" w:rsidR="00CD1356" w:rsidRDefault="00CD1356"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59">
    <w:p w14:paraId="2F4F21D0" w14:textId="77777777" w:rsidR="00CD1356" w:rsidRDefault="00CD1356"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60">
    <w:p w14:paraId="09D0FE0F" w14:textId="77777777" w:rsidR="00CD1356" w:rsidRDefault="00CD1356"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1">
    <w:p w14:paraId="31AF4298" w14:textId="77777777" w:rsidR="00CD1356" w:rsidRDefault="00CD1356"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2">
    <w:p w14:paraId="2B9A7D17" w14:textId="77777777" w:rsidR="00CD1356" w:rsidRDefault="00CD1356" w:rsidP="00D15D53">
      <w:pPr>
        <w:pStyle w:val="FootnoteText"/>
      </w:pPr>
      <w:r>
        <w:rPr>
          <w:rStyle w:val="FootnoteReference"/>
        </w:rPr>
        <w:footnoteRef/>
      </w:r>
      <w:r>
        <w:t xml:space="preserve"> </w:t>
      </w:r>
      <w:r>
        <w:tab/>
        <w:t xml:space="preserve">NERA, </w:t>
      </w:r>
      <w:r w:rsidRPr="004A02F9">
        <w:rPr>
          <w:rStyle w:val="AERtextitalic"/>
        </w:rPr>
        <w:t xml:space="preserve">Imputation credits and equity prices and returns, </w:t>
      </w:r>
      <w:proofErr w:type="gramStart"/>
      <w:r w:rsidRPr="004A02F9">
        <w:rPr>
          <w:rStyle w:val="AERtextitalic"/>
        </w:rPr>
        <w:t>A</w:t>
      </w:r>
      <w:proofErr w:type="gramEnd"/>
      <w:r w:rsidRPr="004A02F9">
        <w:rPr>
          <w:rStyle w:val="AERtextitalic"/>
        </w:rPr>
        <w:t xml:space="preserve"> report for the Energy Networks Association</w:t>
      </w:r>
      <w:r>
        <w:t>, October 2013, p. 22.</w:t>
      </w:r>
    </w:p>
  </w:footnote>
  <w:footnote w:id="363">
    <w:p w14:paraId="60BD93DA" w14:textId="77777777" w:rsidR="00CD1356" w:rsidRDefault="00CD1356" w:rsidP="00D15D53">
      <w:pPr>
        <w:pStyle w:val="FootnoteText"/>
      </w:pPr>
      <w:r>
        <w:rPr>
          <w:rStyle w:val="FootnoteReference"/>
        </w:rPr>
        <w:footnoteRef/>
      </w:r>
      <w:r>
        <w:t xml:space="preserve"> </w:t>
      </w:r>
      <w:r>
        <w:tab/>
        <w:t xml:space="preserve">P. Lajbcygier and S. Wheatley, 'Imputation credits and equity returns', </w:t>
      </w:r>
      <w:proofErr w:type="gramStart"/>
      <w:r w:rsidRPr="00336C79">
        <w:rPr>
          <w:rStyle w:val="AERtextitalic"/>
        </w:rPr>
        <w:t>The</w:t>
      </w:r>
      <w:proofErr w:type="gramEnd"/>
      <w:r w:rsidRPr="00336C79">
        <w:rPr>
          <w:rStyle w:val="AERtextitalic"/>
        </w:rPr>
        <w:t xml:space="preserve"> economic record</w:t>
      </w:r>
      <w:r>
        <w:t>, vol. 88 (283), December 2012, p. 490.</w:t>
      </w:r>
    </w:p>
  </w:footnote>
  <w:footnote w:id="364">
    <w:p w14:paraId="63DDEA62" w14:textId="77777777" w:rsidR="00CD1356" w:rsidRDefault="00CD1356"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5">
    <w:p w14:paraId="3A95487A" w14:textId="77777777" w:rsidR="00CD1356" w:rsidRDefault="00CD1356"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66">
    <w:p w14:paraId="1CB87336" w14:textId="78846E40" w:rsidR="00CD1356" w:rsidRDefault="00CD1356" w:rsidP="009650C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w:t>
      </w:r>
      <w:proofErr w:type="gramStart"/>
      <w:r>
        <w:t>,23</w:t>
      </w:r>
      <w:proofErr w:type="gramEnd"/>
      <w:r>
        <w:t>.</w:t>
      </w:r>
    </w:p>
  </w:footnote>
  <w:footnote w:id="367">
    <w:p w14:paraId="5375A9C9" w14:textId="77777777" w:rsidR="00CD1356" w:rsidRDefault="00CD1356"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8">
    <w:p w14:paraId="63FF6B58" w14:textId="77777777" w:rsidR="00CD1356" w:rsidRDefault="00CD1356" w:rsidP="00D15D53">
      <w:pPr>
        <w:pStyle w:val="FootnoteText"/>
      </w:pPr>
      <w:r>
        <w:rPr>
          <w:rStyle w:val="FootnoteReference"/>
        </w:rPr>
        <w:footnoteRef/>
      </w:r>
      <w:r>
        <w:t xml:space="preserve"> </w:t>
      </w:r>
      <w:r>
        <w:tab/>
        <w:t>S. Walker and G. Partington, '</w:t>
      </w:r>
      <w:proofErr w:type="gramStart"/>
      <w:r>
        <w:t>The</w:t>
      </w:r>
      <w:proofErr w:type="gramEnd"/>
      <w:r>
        <w:t xml:space="preserve"> value of dividends: Evidence from cum-dividend trading in the ex-dividend period', </w:t>
      </w:r>
      <w:r w:rsidRPr="007D37C7">
        <w:rPr>
          <w:rStyle w:val="AERtextitalic"/>
        </w:rPr>
        <w:t>Accounting and Finance</w:t>
      </w:r>
      <w:r>
        <w:t>, vol. 39(3), November 1999, p. 293.</w:t>
      </w:r>
    </w:p>
  </w:footnote>
  <w:footnote w:id="369">
    <w:p w14:paraId="58C5FB50" w14:textId="77777777" w:rsidR="00CD1356" w:rsidRDefault="00CD1356" w:rsidP="00D15D53">
      <w:pPr>
        <w:pStyle w:val="FootnoteText"/>
      </w:pPr>
      <w:r>
        <w:rPr>
          <w:rStyle w:val="FootnoteReference"/>
        </w:rPr>
        <w:footnoteRef/>
      </w:r>
      <w:r>
        <w:t xml:space="preserve"> </w:t>
      </w:r>
      <w:r>
        <w:tab/>
        <w:t>H. Chu and G. Partington</w:t>
      </w:r>
      <w:r w:rsidRPr="00623152">
        <w:t>, '</w:t>
      </w:r>
      <w:proofErr w:type="gramStart"/>
      <w:r w:rsidRPr="00623152">
        <w:t>The</w:t>
      </w:r>
      <w:proofErr w:type="gramEnd"/>
      <w:r w:rsidRPr="00623152">
        <w:t xml:space="preserv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70">
    <w:p w14:paraId="48E5C1C2" w14:textId="64842105" w:rsidR="00CD1356" w:rsidRDefault="00CD1356">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1">
    <w:p w14:paraId="0AA284AB" w14:textId="0B867EEB" w:rsidR="00CD1356" w:rsidRDefault="00CD1356" w:rsidP="007E4A0C">
      <w:pPr>
        <w:pStyle w:val="FootnoteText"/>
      </w:pPr>
      <w:r>
        <w:rPr>
          <w:rStyle w:val="FootnoteReference"/>
        </w:rPr>
        <w:footnoteRef/>
      </w:r>
      <w:r>
        <w:t xml:space="preserve"> </w:t>
      </w:r>
      <w:r>
        <w:tab/>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w:t>
      </w:r>
      <w:r w:rsidR="009650CC">
        <w:t>.</w:t>
      </w:r>
      <w:r>
        <w:t xml:space="preserve"> vii; </w:t>
      </w:r>
      <w:r w:rsidRPr="00582678">
        <w:t xml:space="preserve">M. Lally, </w:t>
      </w:r>
      <w:r w:rsidRPr="00582678">
        <w:rPr>
          <w:rStyle w:val="AERtextitalic"/>
        </w:rPr>
        <w:t>The estimation of gamma</w:t>
      </w:r>
      <w:r w:rsidRPr="00582678">
        <w:t>, 23 November 2013</w:t>
      </w:r>
      <w:r>
        <w:t>, p. 25.</w:t>
      </w:r>
    </w:p>
  </w:footnote>
  <w:footnote w:id="372">
    <w:p w14:paraId="22F545ED" w14:textId="751AE208" w:rsidR="00CD1356" w:rsidRDefault="00CD1356" w:rsidP="009650CC">
      <w:pPr>
        <w:pStyle w:val="FootnoteText"/>
        <w:ind w:left="284" w:hanging="284"/>
      </w:pPr>
      <w:r>
        <w:rPr>
          <w:rStyle w:val="FootnoteReference"/>
        </w:rPr>
        <w:footnoteRef/>
      </w:r>
      <w:r>
        <w:t xml:space="preserve"> </w:t>
      </w:r>
      <w:r>
        <w:tab/>
      </w:r>
      <w:r w:rsidR="009650CC">
        <w:t xml:space="preserve"> </w:t>
      </w:r>
      <w:r>
        <w:t xml:space="preserve">NERA, </w:t>
      </w:r>
      <w:r>
        <w:rPr>
          <w:rStyle w:val="AERtextitalic"/>
        </w:rPr>
        <w:t xml:space="preserve">Do Imputation Credits Lower the Cost of Equity? Cross-Sectional Tests </w:t>
      </w:r>
      <w:proofErr w:type="gramStart"/>
      <w:r>
        <w:rPr>
          <w:rStyle w:val="AERtextitalic"/>
        </w:rPr>
        <w:t>A</w:t>
      </w:r>
      <w:proofErr w:type="gramEnd"/>
      <w:r>
        <w:rPr>
          <w:rStyle w:val="AERtextitalic"/>
        </w:rPr>
        <w:t xml:space="preserve"> report for United Energy</w:t>
      </w:r>
      <w:r>
        <w:t>, April 2015, p</w:t>
      </w:r>
      <w:r w:rsidR="009650CC">
        <w:t>.</w:t>
      </w:r>
      <w:r>
        <w:t xml:space="preserve"> vii.</w:t>
      </w:r>
    </w:p>
  </w:footnote>
  <w:footnote w:id="373">
    <w:p w14:paraId="6BF69D87" w14:textId="235E416C" w:rsidR="00CD1356" w:rsidRDefault="00CD1356">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r w:rsidR="009650CC">
        <w:t>.</w:t>
      </w:r>
    </w:p>
  </w:footnote>
  <w:footnote w:id="374">
    <w:p w14:paraId="3E471EEE" w14:textId="0E2FFCF3"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JGN, </w:t>
      </w:r>
      <w:r w:rsidRPr="000E181F">
        <w:rPr>
          <w:rStyle w:val="AERtextitalic"/>
        </w:rPr>
        <w:t>Gamma - response to the draft decision</w:t>
      </w:r>
      <w:r>
        <w:t>, February 2015, p. 10; AusNet Services</w:t>
      </w:r>
      <w:r w:rsidRPr="009650CC">
        <w:rPr>
          <w:rStyle w:val="AERtextitalic"/>
        </w:rPr>
        <w:t>, 2016-20 Regulatory Proposal</w:t>
      </w:r>
      <w:r>
        <w:t>, April 2015, p</w:t>
      </w:r>
      <w:r w:rsidR="009650CC">
        <w:t xml:space="preserve">. </w:t>
      </w:r>
      <w:r>
        <w:t xml:space="preserve">364; United Energy, </w:t>
      </w:r>
      <w:r w:rsidRPr="009650CC">
        <w:rPr>
          <w:rStyle w:val="AERtextitalic"/>
        </w:rPr>
        <w:t>Assessment of the Value of Imputation Credits - Gamma, Proposal for 2016 to 2020</w:t>
      </w:r>
      <w:r>
        <w:t>, April 2015, p</w:t>
      </w:r>
      <w:r w:rsidR="009650CC">
        <w:t xml:space="preserve">. </w:t>
      </w:r>
      <w:r>
        <w:t>14; CitiPower</w:t>
      </w:r>
      <w:r w:rsidR="009650CC">
        <w:t>,</w:t>
      </w:r>
      <w:r>
        <w:t xml:space="preserve"> </w:t>
      </w:r>
      <w:r w:rsidRPr="009650CC">
        <w:rPr>
          <w:rStyle w:val="AERtextitalic"/>
        </w:rPr>
        <w:t>Appendix J - Gamma</w:t>
      </w:r>
      <w:r>
        <w:t>, April 2015, p</w:t>
      </w:r>
      <w:r w:rsidR="009650CC">
        <w:t xml:space="preserve">. </w:t>
      </w:r>
      <w:r>
        <w:t xml:space="preserve">13; Powercor, </w:t>
      </w:r>
      <w:r w:rsidRPr="009650CC">
        <w:rPr>
          <w:rStyle w:val="AERtextitalic"/>
        </w:rPr>
        <w:t>Appendix J - Gamma</w:t>
      </w:r>
      <w:r>
        <w:t>, April 2015, p</w:t>
      </w:r>
      <w:r w:rsidR="009650CC">
        <w:t xml:space="preserve">. </w:t>
      </w:r>
      <w:r>
        <w:t>13; Jemena Electricity</w:t>
      </w:r>
      <w:r w:rsidRPr="009650CC">
        <w:rPr>
          <w:rStyle w:val="AERtextitalic"/>
        </w:rPr>
        <w:t>, Attachment 06-06 Gamma proposal</w:t>
      </w:r>
      <w:r>
        <w:t>, April 2015, p</w:t>
      </w:r>
      <w:r w:rsidR="009650CC">
        <w:t xml:space="preserve">. </w:t>
      </w:r>
      <w:r>
        <w:t xml:space="preserve">13; ActewAGL Distribution, </w:t>
      </w:r>
      <w:r w:rsidRPr="009650CC">
        <w:rPr>
          <w:rStyle w:val="AERtextitalic"/>
        </w:rPr>
        <w:t>Attachment 8 Detailed g</w:t>
      </w:r>
      <w:r w:rsidR="009650CC" w:rsidRPr="009650CC">
        <w:rPr>
          <w:rStyle w:val="AERtextitalic"/>
        </w:rPr>
        <w:t>amma proposal</w:t>
      </w:r>
      <w:r w:rsidR="009650CC">
        <w:t>, June 2015, p. 13.</w:t>
      </w:r>
    </w:p>
  </w:footnote>
  <w:footnote w:id="375">
    <w:p w14:paraId="497A5565"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79.</w:t>
      </w:r>
    </w:p>
  </w:footnote>
  <w:footnote w:id="376">
    <w:p w14:paraId="752AE1B9" w14:textId="7FF3F79B" w:rsidR="00CD1356" w:rsidRDefault="00CD1356" w:rsidP="007F230D">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xml:space="preserve">, 6 February 2015, para. </w:t>
      </w:r>
      <w:proofErr w:type="gramStart"/>
      <w:r>
        <w:t xml:space="preserve">78; Frontier Economics, </w:t>
      </w:r>
      <w:r w:rsidRPr="00D14DE4">
        <w:rPr>
          <w:rStyle w:val="AERtextitalic"/>
        </w:rPr>
        <w:t>An appropriate regulatory estimate of gamma</w:t>
      </w:r>
      <w:r>
        <w:t>, June 2015, p. 36.</w:t>
      </w:r>
      <w:proofErr w:type="gramEnd"/>
    </w:p>
  </w:footnote>
  <w:footnote w:id="377">
    <w:p w14:paraId="092274D7" w14:textId="77777777" w:rsidR="00CD1356" w:rsidRDefault="00CD1356" w:rsidP="007F230D">
      <w:pPr>
        <w:pStyle w:val="FootnoteText"/>
      </w:pPr>
      <w:r>
        <w:rPr>
          <w:rStyle w:val="FootnoteReference"/>
        </w:rPr>
        <w:footnoteRef/>
      </w:r>
      <w:r>
        <w:t xml:space="preserve"> </w:t>
      </w:r>
      <w:r>
        <w:tab/>
      </w:r>
      <w:proofErr w:type="gramStart"/>
      <w:r>
        <w:t>SFG</w:t>
      </w:r>
      <w:r w:rsidRPr="007C38AD">
        <w:rPr>
          <w:rStyle w:val="AERtextitalic"/>
        </w:rPr>
        <w:t>, Equity beta</w:t>
      </w:r>
      <w:r>
        <w:t>, 12 May 2014, para.</w:t>
      </w:r>
      <w:proofErr w:type="gramEnd"/>
      <w:r>
        <w:t xml:space="preserve"> 15.</w:t>
      </w:r>
    </w:p>
  </w:footnote>
  <w:footnote w:id="378">
    <w:p w14:paraId="09E90EB0"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para. 52.</w:t>
      </w:r>
    </w:p>
  </w:footnote>
  <w:footnote w:id="379">
    <w:p w14:paraId="4CE51A5A" w14:textId="77777777" w:rsidR="00CD1356" w:rsidRDefault="00CD1356"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80">
    <w:p w14:paraId="0C30D32D" w14:textId="1C9B9978" w:rsidR="00CD1356" w:rsidRDefault="00CD1356"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rsidR="009650CC">
        <w:t>, February 2015, p. 10.</w:t>
      </w:r>
    </w:p>
  </w:footnote>
  <w:footnote w:id="381">
    <w:p w14:paraId="48222F14"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6 February 2015, p</w:t>
      </w:r>
      <w:r w:rsidRPr="00D01050">
        <w:t>ara</w:t>
      </w:r>
      <w:r>
        <w:t>.</w:t>
      </w:r>
      <w:r w:rsidRPr="00D01050">
        <w:t xml:space="preserve"> 50</w:t>
      </w:r>
      <w:r>
        <w:t>.</w:t>
      </w:r>
    </w:p>
  </w:footnote>
  <w:footnote w:id="382">
    <w:p w14:paraId="6274E1EA" w14:textId="77777777" w:rsidR="00CD1356" w:rsidRDefault="00CD1356">
      <w:pPr>
        <w:pStyle w:val="FootnoteText"/>
      </w:pPr>
      <w:r>
        <w:rPr>
          <w:rStyle w:val="FootnoteReference"/>
        </w:rPr>
        <w:footnoteRef/>
      </w:r>
      <w:r>
        <w:t xml:space="preserve"> </w:t>
      </w:r>
      <w:r>
        <w:tab/>
      </w:r>
      <w:proofErr w:type="gramStart"/>
      <w:r>
        <w:t xml:space="preserve">SFG, </w:t>
      </w:r>
      <w:r w:rsidRPr="00C014CC">
        <w:rPr>
          <w:rStyle w:val="AERtextitalic"/>
        </w:rPr>
        <w:t>An appropriate regulatory estimate of gamma</w:t>
      </w:r>
      <w:r>
        <w:t>, 21 May 2014, para.</w:t>
      </w:r>
      <w:proofErr w:type="gramEnd"/>
      <w:r>
        <w:t xml:space="preserve"> 65.</w:t>
      </w:r>
    </w:p>
  </w:footnote>
  <w:footnote w:id="383">
    <w:p w14:paraId="390BAB12" w14:textId="313FEF66"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w:t>
      </w:r>
      <w:r w:rsidR="009650CC">
        <w:t xml:space="preserve">January 2015, p. 10; </w:t>
      </w:r>
      <w:r>
        <w:t xml:space="preserve">JGN, </w:t>
      </w:r>
      <w:r w:rsidRPr="000E181F">
        <w:rPr>
          <w:rStyle w:val="AERtextitalic"/>
        </w:rPr>
        <w:t>Gamma - response to the draft decision</w:t>
      </w:r>
      <w:r>
        <w:t>, February 2015, p. 13.</w:t>
      </w:r>
    </w:p>
  </w:footnote>
  <w:footnote w:id="384">
    <w:p w14:paraId="4EF8B945" w14:textId="7CCFF6A4" w:rsidR="00CD1356" w:rsidRDefault="00CD1356">
      <w:pPr>
        <w:pStyle w:val="FootnoteText"/>
      </w:pPr>
      <w:r>
        <w:rPr>
          <w:rStyle w:val="FootnoteReference"/>
        </w:rPr>
        <w:footnoteRef/>
      </w:r>
      <w:r>
        <w:t xml:space="preserve"> </w:t>
      </w:r>
      <w:r>
        <w:tab/>
      </w:r>
      <w:proofErr w:type="gramStart"/>
      <w:r>
        <w:t xml:space="preserve">Frontier Economics, </w:t>
      </w:r>
      <w:r w:rsidRPr="00D14DE4">
        <w:rPr>
          <w:rStyle w:val="AERtextitalic"/>
        </w:rPr>
        <w:t>An appropriate regulatory estimate of gamma</w:t>
      </w:r>
      <w:r>
        <w:t>, June 2015, pp</w:t>
      </w:r>
      <w:r w:rsidR="009650CC">
        <w:t>.</w:t>
      </w:r>
      <w:r>
        <w:t xml:space="preserve"> 35-38.</w:t>
      </w:r>
      <w:proofErr w:type="gramEnd"/>
    </w:p>
  </w:footnote>
  <w:footnote w:id="385">
    <w:p w14:paraId="0FAE9BF2" w14:textId="77777777" w:rsidR="00CD1356" w:rsidRDefault="00CD135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p.16; </w:t>
      </w:r>
      <w:r w:rsidRPr="00582678">
        <w:t xml:space="preserve">M. Lally, </w:t>
      </w:r>
      <w:r w:rsidRPr="00582678">
        <w:rPr>
          <w:rStyle w:val="AERtextitalic"/>
        </w:rPr>
        <w:t>The estimation of gamma</w:t>
      </w:r>
      <w:r w:rsidRPr="00582678">
        <w:t>, 23 November 2013</w:t>
      </w:r>
      <w:r>
        <w:t>, p. 21.</w:t>
      </w:r>
    </w:p>
  </w:footnote>
  <w:footnote w:id="386">
    <w:p w14:paraId="38A1548D" w14:textId="77777777" w:rsidR="00CD1356" w:rsidRDefault="00CD135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7">
    <w:p w14:paraId="2035838F" w14:textId="77777777" w:rsidR="00CD1356" w:rsidRDefault="00CD1356">
      <w:pPr>
        <w:pStyle w:val="FootnoteText"/>
      </w:pPr>
      <w:r>
        <w:rPr>
          <w:rStyle w:val="FootnoteReference"/>
        </w:rPr>
        <w:footnoteRef/>
      </w:r>
      <w:r>
        <w:t xml:space="preserve"> </w:t>
      </w:r>
      <w:r>
        <w:tab/>
        <w:t xml:space="preserve">SFG, </w:t>
      </w:r>
      <w:proofErr w:type="gramStart"/>
      <w:r>
        <w:rPr>
          <w:rStyle w:val="AERtextitalic"/>
        </w:rPr>
        <w:t>Estimating</w:t>
      </w:r>
      <w:proofErr w:type="gramEnd"/>
      <w:r>
        <w:rPr>
          <w:rStyle w:val="AERtextitalic"/>
        </w:rPr>
        <w:t xml:space="preserve"> gamma for regulatory purposes</w:t>
      </w:r>
      <w:r>
        <w:t xml:space="preserve">, 6 February 2015, para. </w:t>
      </w:r>
      <w:proofErr w:type="gramStart"/>
      <w:r>
        <w:t>185(c).</w:t>
      </w:r>
      <w:proofErr w:type="gramEnd"/>
    </w:p>
  </w:footnote>
  <w:footnote w:id="388">
    <w:p w14:paraId="4004D2BA" w14:textId="77777777" w:rsidR="00CD1356" w:rsidRDefault="00CD135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89">
    <w:p w14:paraId="1414F1E1" w14:textId="77777777" w:rsidR="00CD1356" w:rsidRDefault="00CD135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90">
    <w:p w14:paraId="02900315" w14:textId="77777777" w:rsidR="00CD1356" w:rsidRDefault="00CD135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1">
    <w:p w14:paraId="69D2F4E6" w14:textId="77777777" w:rsidR="00CD1356" w:rsidRDefault="00CD135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2">
    <w:p w14:paraId="5D0A0534" w14:textId="77777777" w:rsidR="00CD1356" w:rsidRDefault="00CD135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3">
    <w:p w14:paraId="64769114" w14:textId="77777777" w:rsidR="00CD1356" w:rsidRDefault="00CD1356">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4">
    <w:p w14:paraId="33A88967" w14:textId="77777777" w:rsidR="00CD1356" w:rsidRDefault="00CD1356">
      <w:pPr>
        <w:pStyle w:val="FootnoteText"/>
      </w:pPr>
      <w:r>
        <w:rPr>
          <w:rStyle w:val="FootnoteReference"/>
        </w:rPr>
        <w:footnoteRef/>
      </w:r>
      <w:r>
        <w:t xml:space="preserve"> </w:t>
      </w:r>
      <w:r>
        <w:tab/>
      </w:r>
      <w:proofErr w:type="gramStart"/>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proofErr w:type="gramEnd"/>
      <w:r>
        <w:t xml:space="preserve"> </w:t>
      </w:r>
    </w:p>
  </w:footnote>
  <w:footnote w:id="395">
    <w:p w14:paraId="63AC05CA" w14:textId="77777777" w:rsidR="00CD1356" w:rsidRDefault="00CD1356" w:rsidP="00EF42E6">
      <w:pPr>
        <w:pStyle w:val="FootnoteText"/>
      </w:pPr>
      <w:r>
        <w:rPr>
          <w:rStyle w:val="FootnoteReference"/>
        </w:rPr>
        <w:footnoteRef/>
      </w:r>
      <w:r>
        <w:t xml:space="preserve"> </w:t>
      </w:r>
      <w:r>
        <w:tab/>
      </w:r>
      <w:proofErr w:type="gramStart"/>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para.</w:t>
      </w:r>
      <w:proofErr w:type="gramEnd"/>
      <w:r>
        <w:t xml:space="preserve"> 38; </w:t>
      </w:r>
      <w:r w:rsidRPr="00B04480">
        <w:t xml:space="preserve">SFG, </w:t>
      </w:r>
      <w:r w:rsidRPr="00B04480">
        <w:rPr>
          <w:rStyle w:val="AERtextitalic"/>
        </w:rPr>
        <w:t>Updated dividend drop-off estimate of theta: Report for the Energy Networks Association</w:t>
      </w:r>
      <w:r w:rsidRPr="00B04480">
        <w:t>, 7 June 2013.</w:t>
      </w:r>
    </w:p>
  </w:footnote>
  <w:footnote w:id="396">
    <w:p w14:paraId="5966FA43" w14:textId="77777777" w:rsidR="00CD1356" w:rsidRDefault="00CD1356"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7">
    <w:p w14:paraId="5E9BBB0C" w14:textId="51863702" w:rsidR="00CD1356" w:rsidRDefault="00CD1356"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398">
    <w:p w14:paraId="1763ABFB" w14:textId="77777777" w:rsidR="00CD1356" w:rsidRDefault="00CD1356"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399">
    <w:p w14:paraId="65C96FE2" w14:textId="77777777" w:rsidR="00CD1356" w:rsidRDefault="00CD1356"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400">
    <w:p w14:paraId="7BD617AD" w14:textId="77777777" w:rsidR="00CD1356" w:rsidRDefault="00CD1356"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1">
    <w:p w14:paraId="5F573B3C" w14:textId="77777777" w:rsidR="00CD1356" w:rsidRDefault="00CD1356">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2">
    <w:p w14:paraId="30886283" w14:textId="77777777" w:rsidR="00CD1356" w:rsidRDefault="00CD1356" w:rsidP="0006207D">
      <w:pPr>
        <w:pStyle w:val="FootnoteText"/>
      </w:pPr>
      <w:r>
        <w:rPr>
          <w:rStyle w:val="FootnoteReference"/>
        </w:rPr>
        <w:footnoteRef/>
      </w:r>
      <w:r>
        <w:t xml:space="preserve"> </w:t>
      </w:r>
      <w:r>
        <w:tab/>
      </w:r>
      <w:r w:rsidRPr="00A403E6">
        <w:t xml:space="preserve">Queensland Competition </w:t>
      </w:r>
      <w:proofErr w:type="gramStart"/>
      <w:r w:rsidRPr="00A403E6">
        <w:t>Authority,</w:t>
      </w:r>
      <w:proofErr w:type="gramEnd"/>
      <w:r w:rsidRPr="00A403E6">
        <w:t xml:space="preserve"> </w:t>
      </w:r>
      <w:r w:rsidRPr="00A403E6">
        <w:rPr>
          <w:rStyle w:val="AERtextitalic"/>
        </w:rPr>
        <w:t>Cost of capital: Market parameters</w:t>
      </w:r>
      <w:r>
        <w:t>, August 2014,</w:t>
      </w:r>
      <w:r w:rsidRPr="00A403E6">
        <w:t xml:space="preserve"> </w:t>
      </w:r>
      <w:r>
        <w:t>pp. 27</w:t>
      </w:r>
      <w:r w:rsidRPr="00A403E6">
        <w:t>–</w:t>
      </w:r>
      <w:r>
        <w:t>28.</w:t>
      </w:r>
    </w:p>
  </w:footnote>
  <w:footnote w:id="403">
    <w:p w14:paraId="7B37FCC6" w14:textId="77777777" w:rsidR="00CD1356" w:rsidRDefault="00CD1356" w:rsidP="0006207D">
      <w:pPr>
        <w:pStyle w:val="FootnoteText"/>
      </w:pPr>
      <w:r>
        <w:rPr>
          <w:rStyle w:val="FootnoteReference"/>
        </w:rPr>
        <w:footnoteRef/>
      </w:r>
      <w:r>
        <w:t xml:space="preserve"> </w:t>
      </w:r>
      <w:r>
        <w:tab/>
      </w:r>
      <w:proofErr w:type="gramStart"/>
      <w:r w:rsidRPr="00E443A3">
        <w:t xml:space="preserve">Economic Regulation Authority, </w:t>
      </w:r>
      <w:r w:rsidRPr="00E443A3">
        <w:rPr>
          <w:rStyle w:val="AERtextitalic"/>
        </w:rPr>
        <w:t>Explanatory Statement for the Rate of Return Guidelines</w:t>
      </w:r>
      <w:r>
        <w:t xml:space="preserve">, December </w:t>
      </w:r>
      <w:r w:rsidRPr="00E443A3">
        <w:t>2013</w:t>
      </w:r>
      <w:r>
        <w:t>, para.</w:t>
      </w:r>
      <w:proofErr w:type="gramEnd"/>
      <w:r>
        <w:t xml:space="preserve">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proofErr w:type="gramStart"/>
      <w:r>
        <w:rPr>
          <w:rStyle w:val="AERtextitalic"/>
        </w:rPr>
        <w:t>Revised</w:t>
      </w:r>
      <w:proofErr w:type="gramEnd"/>
      <w:r>
        <w:rPr>
          <w:rStyle w:val="AERtextitalic"/>
        </w:rPr>
        <w:t xml:space="preserve"> d</w:t>
      </w:r>
      <w:r w:rsidRPr="00792648">
        <w:rPr>
          <w:rStyle w:val="AERtextitalic"/>
        </w:rPr>
        <w:t xml:space="preserve">raft </w:t>
      </w:r>
      <w:r>
        <w:rPr>
          <w:rStyle w:val="AERtextitalic"/>
        </w:rPr>
        <w:t>decision</w:t>
      </w:r>
      <w:r>
        <w:t>, 28 November 2014.</w:t>
      </w:r>
    </w:p>
  </w:footnote>
  <w:footnote w:id="404">
    <w:p w14:paraId="71988926" w14:textId="5135EE12" w:rsidR="00CD1356" w:rsidRDefault="00CD1356">
      <w:pPr>
        <w:pStyle w:val="FootnoteText"/>
      </w:pPr>
      <w:r>
        <w:rPr>
          <w:rStyle w:val="FootnoteReference"/>
        </w:rPr>
        <w:footnoteRef/>
      </w:r>
      <w:r>
        <w:t xml:space="preserve"> </w:t>
      </w:r>
      <w:r>
        <w:tab/>
        <w:t xml:space="preserve">SA Power </w:t>
      </w:r>
      <w:proofErr w:type="gramStart"/>
      <w:r>
        <w:t>Networks,</w:t>
      </w:r>
      <w:proofErr w:type="gramEnd"/>
      <w:r>
        <w:t xml:space="preserve"> </w:t>
      </w:r>
      <w:r>
        <w:rPr>
          <w:rStyle w:val="AERtextitalic"/>
        </w:rPr>
        <w:t>Revised regulatory proposal 2015-20</w:t>
      </w:r>
      <w:r>
        <w:t>, July 2015, p</w:t>
      </w:r>
      <w:r w:rsidR="009650CC">
        <w:t>.</w:t>
      </w:r>
      <w:r>
        <w:t xml:space="preserve"> 373.</w:t>
      </w:r>
    </w:p>
  </w:footnote>
  <w:footnote w:id="405">
    <w:p w14:paraId="2DE9392F" w14:textId="77777777" w:rsidR="00CD1356" w:rsidRDefault="00CD1356"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6">
    <w:p w14:paraId="67438049" w14:textId="77777777" w:rsidR="00CD1356" w:rsidRDefault="00CD1356"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7">
    <w:p w14:paraId="239D63E9" w14:textId="77777777" w:rsidR="00CD1356" w:rsidRDefault="00CD1356"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 3.</w:t>
      </w:r>
      <w:proofErr w:type="gramEnd"/>
    </w:p>
  </w:footnote>
  <w:footnote w:id="408">
    <w:p w14:paraId="680EB0FE" w14:textId="77777777" w:rsidR="00CD1356" w:rsidRDefault="00CD1356" w:rsidP="00CD23CD">
      <w:pPr>
        <w:pStyle w:val="FootnoteText"/>
      </w:pPr>
      <w:r>
        <w:rPr>
          <w:rStyle w:val="FootnoteReference"/>
        </w:rPr>
        <w:footnoteRef/>
      </w:r>
      <w:r>
        <w:t xml:space="preserve"> </w:t>
      </w:r>
      <w:r>
        <w:tab/>
      </w:r>
      <w:proofErr w:type="gramStart"/>
      <w:r w:rsidRPr="002B01D6">
        <w:t xml:space="preserve">Lally, </w:t>
      </w:r>
      <w:r w:rsidRPr="00A70E2C">
        <w:rPr>
          <w:rStyle w:val="AERtextitalic"/>
        </w:rPr>
        <w:t>The estimation of gamma</w:t>
      </w:r>
      <w:r>
        <w:t>, 23 November 2013, pp. 3 and 4.</w:t>
      </w:r>
      <w:proofErr w:type="gramEnd"/>
    </w:p>
  </w:footnote>
  <w:footnote w:id="409">
    <w:p w14:paraId="16A8E7D4" w14:textId="77777777" w:rsidR="00CD1356" w:rsidRDefault="00CD1356"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 14.</w:t>
      </w:r>
      <w:proofErr w:type="gramEnd"/>
    </w:p>
  </w:footnote>
  <w:footnote w:id="410">
    <w:p w14:paraId="68D2648A" w14:textId="77777777" w:rsidR="00CD1356" w:rsidRDefault="00CD1356"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 38.</w:t>
      </w:r>
      <w:proofErr w:type="gramEnd"/>
    </w:p>
  </w:footnote>
  <w:footnote w:id="411">
    <w:p w14:paraId="6A67E8A2" w14:textId="77777777" w:rsidR="00CD1356" w:rsidRDefault="00CD1356"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pp. 38–47.</w:t>
      </w:r>
      <w:proofErr w:type="gramEnd"/>
    </w:p>
  </w:footnote>
  <w:footnote w:id="412">
    <w:p w14:paraId="2F547B46" w14:textId="77777777" w:rsidR="00CD1356" w:rsidRDefault="00CD1356" w:rsidP="00CD23CD">
      <w:pPr>
        <w:pStyle w:val="FootnoteText"/>
      </w:pPr>
      <w:r>
        <w:rPr>
          <w:rStyle w:val="FootnoteReference"/>
        </w:rPr>
        <w:footnoteRef/>
      </w:r>
      <w:r>
        <w:t xml:space="preserve"> </w:t>
      </w:r>
      <w:r>
        <w:tab/>
      </w:r>
      <w:proofErr w:type="gramStart"/>
      <w:r w:rsidRPr="002B01D6">
        <w:t xml:space="preserve">Lally, </w:t>
      </w:r>
      <w:r w:rsidRPr="002B01D6">
        <w:rPr>
          <w:rStyle w:val="AERtextitalic"/>
        </w:rPr>
        <w:t>The estimation of gamma</w:t>
      </w:r>
      <w:r>
        <w:t>, 23 November 2013, pp. 46–47.</w:t>
      </w:r>
      <w:proofErr w:type="gramEnd"/>
    </w:p>
  </w:footnote>
  <w:footnote w:id="413">
    <w:p w14:paraId="5709FFE6" w14:textId="77777777" w:rsidR="00CD1356" w:rsidRDefault="00CD1356"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4">
    <w:p w14:paraId="35AB01BB" w14:textId="77777777" w:rsidR="00CD1356" w:rsidRDefault="00CD1356"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5">
    <w:p w14:paraId="7C6E4157" w14:textId="77777777" w:rsidR="00CD1356" w:rsidRDefault="00CD1356"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6">
    <w:p w14:paraId="2CCDA1B7" w14:textId="77777777" w:rsidR="00CD1356" w:rsidRDefault="00CD1356"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grsu4JxY1FJMhk6DH2bCaljIMRzWmwcoDTIqq0JCf48=" w:saltValue="uItmc5/uuqRgdy9nQOVyMQ==" w:algorithmName="SHA-256"/>
  <w:defaultTabStop w:val="34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Offline Records (AC)\Energex final decision October 2015 - attachment 4 - value of imputation credits.docx"/>
  </w:docVars>
  <w:rsids>
    <w:rsidRoot w:val="00961A4A"/>
    <w:rsid w:val="00000225"/>
    <w:rsid w:val="00005796"/>
    <w:rsid w:val="000066F6"/>
    <w:rsid w:val="00006EFD"/>
    <w:rsid w:val="0000771B"/>
    <w:rsid w:val="0000799A"/>
    <w:rsid w:val="00011245"/>
    <w:rsid w:val="0001233B"/>
    <w:rsid w:val="00013714"/>
    <w:rsid w:val="00014D1C"/>
    <w:rsid w:val="00014EAB"/>
    <w:rsid w:val="00016F8E"/>
    <w:rsid w:val="00021202"/>
    <w:rsid w:val="00021C02"/>
    <w:rsid w:val="00021C2B"/>
    <w:rsid w:val="000222ED"/>
    <w:rsid w:val="00022375"/>
    <w:rsid w:val="000228A2"/>
    <w:rsid w:val="0002303C"/>
    <w:rsid w:val="00024EA4"/>
    <w:rsid w:val="0002517F"/>
    <w:rsid w:val="00025203"/>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9D"/>
    <w:rsid w:val="00045C83"/>
    <w:rsid w:val="00045DD9"/>
    <w:rsid w:val="00047615"/>
    <w:rsid w:val="00050D76"/>
    <w:rsid w:val="00051598"/>
    <w:rsid w:val="000515FE"/>
    <w:rsid w:val="0005360D"/>
    <w:rsid w:val="0005367F"/>
    <w:rsid w:val="00053F84"/>
    <w:rsid w:val="00055B09"/>
    <w:rsid w:val="00056E10"/>
    <w:rsid w:val="00057160"/>
    <w:rsid w:val="00057D4F"/>
    <w:rsid w:val="00057E61"/>
    <w:rsid w:val="0006055D"/>
    <w:rsid w:val="00060B47"/>
    <w:rsid w:val="00060BA5"/>
    <w:rsid w:val="00060F5E"/>
    <w:rsid w:val="0006168A"/>
    <w:rsid w:val="0006207D"/>
    <w:rsid w:val="00062164"/>
    <w:rsid w:val="0006219D"/>
    <w:rsid w:val="00062777"/>
    <w:rsid w:val="0006280F"/>
    <w:rsid w:val="000628AA"/>
    <w:rsid w:val="00062AC8"/>
    <w:rsid w:val="00063247"/>
    <w:rsid w:val="00063611"/>
    <w:rsid w:val="000637AF"/>
    <w:rsid w:val="00064FE8"/>
    <w:rsid w:val="00065075"/>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905E4"/>
    <w:rsid w:val="00090D47"/>
    <w:rsid w:val="00090E98"/>
    <w:rsid w:val="00091B15"/>
    <w:rsid w:val="00092473"/>
    <w:rsid w:val="000926C0"/>
    <w:rsid w:val="0009456D"/>
    <w:rsid w:val="00094AA1"/>
    <w:rsid w:val="000950A5"/>
    <w:rsid w:val="000950EE"/>
    <w:rsid w:val="000957E9"/>
    <w:rsid w:val="000968C4"/>
    <w:rsid w:val="000A247D"/>
    <w:rsid w:val="000A26C4"/>
    <w:rsid w:val="000A3020"/>
    <w:rsid w:val="000A331E"/>
    <w:rsid w:val="000A442D"/>
    <w:rsid w:val="000A4A5A"/>
    <w:rsid w:val="000A539A"/>
    <w:rsid w:val="000A6351"/>
    <w:rsid w:val="000A65E3"/>
    <w:rsid w:val="000A6BA0"/>
    <w:rsid w:val="000A6C7B"/>
    <w:rsid w:val="000A75BE"/>
    <w:rsid w:val="000B0043"/>
    <w:rsid w:val="000B1FB9"/>
    <w:rsid w:val="000B5240"/>
    <w:rsid w:val="000B5C47"/>
    <w:rsid w:val="000B65E0"/>
    <w:rsid w:val="000B7BB5"/>
    <w:rsid w:val="000C07D1"/>
    <w:rsid w:val="000C2A56"/>
    <w:rsid w:val="000C2B40"/>
    <w:rsid w:val="000C2FAB"/>
    <w:rsid w:val="000C33D0"/>
    <w:rsid w:val="000C3752"/>
    <w:rsid w:val="000C394C"/>
    <w:rsid w:val="000C3E94"/>
    <w:rsid w:val="000C4F1E"/>
    <w:rsid w:val="000C7128"/>
    <w:rsid w:val="000D0BA1"/>
    <w:rsid w:val="000D1220"/>
    <w:rsid w:val="000D122C"/>
    <w:rsid w:val="000D1E3A"/>
    <w:rsid w:val="000D21E6"/>
    <w:rsid w:val="000D24AE"/>
    <w:rsid w:val="000D2DBF"/>
    <w:rsid w:val="000D40E3"/>
    <w:rsid w:val="000D5ED8"/>
    <w:rsid w:val="000D6352"/>
    <w:rsid w:val="000D67D1"/>
    <w:rsid w:val="000D6A3C"/>
    <w:rsid w:val="000D7365"/>
    <w:rsid w:val="000D7B2D"/>
    <w:rsid w:val="000D7C93"/>
    <w:rsid w:val="000E0997"/>
    <w:rsid w:val="000E1819"/>
    <w:rsid w:val="000E181F"/>
    <w:rsid w:val="000E3BA4"/>
    <w:rsid w:val="000E4821"/>
    <w:rsid w:val="000E5AD5"/>
    <w:rsid w:val="000E66D8"/>
    <w:rsid w:val="000E6C72"/>
    <w:rsid w:val="000E79B3"/>
    <w:rsid w:val="000F0BB8"/>
    <w:rsid w:val="000F2352"/>
    <w:rsid w:val="000F267C"/>
    <w:rsid w:val="000F2CE8"/>
    <w:rsid w:val="000F3267"/>
    <w:rsid w:val="000F5162"/>
    <w:rsid w:val="000F6CD8"/>
    <w:rsid w:val="000F793A"/>
    <w:rsid w:val="000F79D6"/>
    <w:rsid w:val="001029F3"/>
    <w:rsid w:val="00103C71"/>
    <w:rsid w:val="0010455B"/>
    <w:rsid w:val="00106C16"/>
    <w:rsid w:val="00107FC5"/>
    <w:rsid w:val="00112FED"/>
    <w:rsid w:val="0011590A"/>
    <w:rsid w:val="0011669D"/>
    <w:rsid w:val="001169CA"/>
    <w:rsid w:val="00116EB2"/>
    <w:rsid w:val="00116F0B"/>
    <w:rsid w:val="00117D8D"/>
    <w:rsid w:val="001208C3"/>
    <w:rsid w:val="00120980"/>
    <w:rsid w:val="00120E2C"/>
    <w:rsid w:val="00121190"/>
    <w:rsid w:val="00122745"/>
    <w:rsid w:val="00123C40"/>
    <w:rsid w:val="00124609"/>
    <w:rsid w:val="001246EA"/>
    <w:rsid w:val="00125A4B"/>
    <w:rsid w:val="00126528"/>
    <w:rsid w:val="0012691B"/>
    <w:rsid w:val="00126A4C"/>
    <w:rsid w:val="001272D5"/>
    <w:rsid w:val="001311D0"/>
    <w:rsid w:val="001315AD"/>
    <w:rsid w:val="00131F1D"/>
    <w:rsid w:val="00133DB9"/>
    <w:rsid w:val="001345D0"/>
    <w:rsid w:val="00134C81"/>
    <w:rsid w:val="00135513"/>
    <w:rsid w:val="001365AD"/>
    <w:rsid w:val="001379E9"/>
    <w:rsid w:val="00140344"/>
    <w:rsid w:val="0014196F"/>
    <w:rsid w:val="001434F7"/>
    <w:rsid w:val="00144841"/>
    <w:rsid w:val="00144963"/>
    <w:rsid w:val="00144D81"/>
    <w:rsid w:val="0014573B"/>
    <w:rsid w:val="001460E5"/>
    <w:rsid w:val="001463BC"/>
    <w:rsid w:val="00146C6B"/>
    <w:rsid w:val="00146FCD"/>
    <w:rsid w:val="00147F8E"/>
    <w:rsid w:val="00150117"/>
    <w:rsid w:val="00150BF7"/>
    <w:rsid w:val="00150E76"/>
    <w:rsid w:val="00151FE7"/>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54EE"/>
    <w:rsid w:val="00177488"/>
    <w:rsid w:val="001776CA"/>
    <w:rsid w:val="00177F0B"/>
    <w:rsid w:val="00180157"/>
    <w:rsid w:val="00180297"/>
    <w:rsid w:val="00181D6F"/>
    <w:rsid w:val="00182E64"/>
    <w:rsid w:val="00182FCB"/>
    <w:rsid w:val="001830C5"/>
    <w:rsid w:val="00183CBF"/>
    <w:rsid w:val="00184B67"/>
    <w:rsid w:val="001853F1"/>
    <w:rsid w:val="00185CB9"/>
    <w:rsid w:val="00186F77"/>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B69"/>
    <w:rsid w:val="00197FE3"/>
    <w:rsid w:val="001A0AD5"/>
    <w:rsid w:val="001A233B"/>
    <w:rsid w:val="001A2498"/>
    <w:rsid w:val="001A29C8"/>
    <w:rsid w:val="001A2B61"/>
    <w:rsid w:val="001A3A0B"/>
    <w:rsid w:val="001A4F7C"/>
    <w:rsid w:val="001A7E18"/>
    <w:rsid w:val="001B0396"/>
    <w:rsid w:val="001B054B"/>
    <w:rsid w:val="001B05B4"/>
    <w:rsid w:val="001B1D7E"/>
    <w:rsid w:val="001B1D8E"/>
    <w:rsid w:val="001B45A0"/>
    <w:rsid w:val="001B5324"/>
    <w:rsid w:val="001B5415"/>
    <w:rsid w:val="001B6BD3"/>
    <w:rsid w:val="001B77CE"/>
    <w:rsid w:val="001C0460"/>
    <w:rsid w:val="001C0549"/>
    <w:rsid w:val="001C1CFF"/>
    <w:rsid w:val="001C1EBE"/>
    <w:rsid w:val="001C24A0"/>
    <w:rsid w:val="001C274C"/>
    <w:rsid w:val="001C3E2B"/>
    <w:rsid w:val="001C56D9"/>
    <w:rsid w:val="001C5CFF"/>
    <w:rsid w:val="001C72D6"/>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2850"/>
    <w:rsid w:val="00212CFB"/>
    <w:rsid w:val="002155A2"/>
    <w:rsid w:val="0021566A"/>
    <w:rsid w:val="002157C2"/>
    <w:rsid w:val="00215D70"/>
    <w:rsid w:val="00217066"/>
    <w:rsid w:val="002207E5"/>
    <w:rsid w:val="00220FF2"/>
    <w:rsid w:val="002212D2"/>
    <w:rsid w:val="00221D7D"/>
    <w:rsid w:val="0022220C"/>
    <w:rsid w:val="002231B2"/>
    <w:rsid w:val="00223316"/>
    <w:rsid w:val="00223923"/>
    <w:rsid w:val="00224B56"/>
    <w:rsid w:val="00224DB9"/>
    <w:rsid w:val="00225435"/>
    <w:rsid w:val="0023002F"/>
    <w:rsid w:val="0023004F"/>
    <w:rsid w:val="00230165"/>
    <w:rsid w:val="0023068C"/>
    <w:rsid w:val="00231B23"/>
    <w:rsid w:val="00231C11"/>
    <w:rsid w:val="00232176"/>
    <w:rsid w:val="00233775"/>
    <w:rsid w:val="002339AE"/>
    <w:rsid w:val="002344B4"/>
    <w:rsid w:val="002345E2"/>
    <w:rsid w:val="00234EDA"/>
    <w:rsid w:val="002356A3"/>
    <w:rsid w:val="002370AA"/>
    <w:rsid w:val="00237419"/>
    <w:rsid w:val="002379AA"/>
    <w:rsid w:val="00240132"/>
    <w:rsid w:val="00240569"/>
    <w:rsid w:val="00240C12"/>
    <w:rsid w:val="002418EF"/>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745"/>
    <w:rsid w:val="002519FD"/>
    <w:rsid w:val="00252549"/>
    <w:rsid w:val="00253C46"/>
    <w:rsid w:val="00254F30"/>
    <w:rsid w:val="00256041"/>
    <w:rsid w:val="002564C1"/>
    <w:rsid w:val="00256619"/>
    <w:rsid w:val="00257FBE"/>
    <w:rsid w:val="00261628"/>
    <w:rsid w:val="00262F60"/>
    <w:rsid w:val="002630C5"/>
    <w:rsid w:val="00263AC0"/>
    <w:rsid w:val="00264264"/>
    <w:rsid w:val="0026524C"/>
    <w:rsid w:val="00265983"/>
    <w:rsid w:val="002671BD"/>
    <w:rsid w:val="00267663"/>
    <w:rsid w:val="0026772D"/>
    <w:rsid w:val="00270474"/>
    <w:rsid w:val="0027049E"/>
    <w:rsid w:val="00270CE0"/>
    <w:rsid w:val="00270E6E"/>
    <w:rsid w:val="002711F2"/>
    <w:rsid w:val="00271E09"/>
    <w:rsid w:val="00271F25"/>
    <w:rsid w:val="0027315E"/>
    <w:rsid w:val="002742BA"/>
    <w:rsid w:val="00277D14"/>
    <w:rsid w:val="00280044"/>
    <w:rsid w:val="002805E2"/>
    <w:rsid w:val="002829F1"/>
    <w:rsid w:val="0028481C"/>
    <w:rsid w:val="00284A7F"/>
    <w:rsid w:val="00284D6A"/>
    <w:rsid w:val="00286874"/>
    <w:rsid w:val="00286B3E"/>
    <w:rsid w:val="002877E9"/>
    <w:rsid w:val="00287969"/>
    <w:rsid w:val="00290201"/>
    <w:rsid w:val="00290879"/>
    <w:rsid w:val="00290A02"/>
    <w:rsid w:val="00290C63"/>
    <w:rsid w:val="00291E95"/>
    <w:rsid w:val="002928A4"/>
    <w:rsid w:val="00292ECF"/>
    <w:rsid w:val="002939DB"/>
    <w:rsid w:val="00293B86"/>
    <w:rsid w:val="00293DF3"/>
    <w:rsid w:val="00296B65"/>
    <w:rsid w:val="00297C4E"/>
    <w:rsid w:val="00297CB4"/>
    <w:rsid w:val="002A0549"/>
    <w:rsid w:val="002A0FA0"/>
    <w:rsid w:val="002A17A7"/>
    <w:rsid w:val="002A458B"/>
    <w:rsid w:val="002A4ED6"/>
    <w:rsid w:val="002A51CC"/>
    <w:rsid w:val="002A5BA9"/>
    <w:rsid w:val="002A5D7C"/>
    <w:rsid w:val="002A5F9A"/>
    <w:rsid w:val="002A6968"/>
    <w:rsid w:val="002A7DEF"/>
    <w:rsid w:val="002B0240"/>
    <w:rsid w:val="002B0A70"/>
    <w:rsid w:val="002B0F5E"/>
    <w:rsid w:val="002B1173"/>
    <w:rsid w:val="002B1F73"/>
    <w:rsid w:val="002B23F7"/>
    <w:rsid w:val="002B24B7"/>
    <w:rsid w:val="002B2AC7"/>
    <w:rsid w:val="002B2B81"/>
    <w:rsid w:val="002B2C56"/>
    <w:rsid w:val="002B6B6D"/>
    <w:rsid w:val="002B72E9"/>
    <w:rsid w:val="002C0A37"/>
    <w:rsid w:val="002C0E99"/>
    <w:rsid w:val="002C1CFB"/>
    <w:rsid w:val="002C233C"/>
    <w:rsid w:val="002C25C3"/>
    <w:rsid w:val="002C25CF"/>
    <w:rsid w:val="002C2610"/>
    <w:rsid w:val="002C28FE"/>
    <w:rsid w:val="002C2D1A"/>
    <w:rsid w:val="002C3021"/>
    <w:rsid w:val="002C45CC"/>
    <w:rsid w:val="002C46E3"/>
    <w:rsid w:val="002C640C"/>
    <w:rsid w:val="002C6AF7"/>
    <w:rsid w:val="002C7412"/>
    <w:rsid w:val="002C75FE"/>
    <w:rsid w:val="002D23E3"/>
    <w:rsid w:val="002D2DE1"/>
    <w:rsid w:val="002D3EB3"/>
    <w:rsid w:val="002D42E1"/>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77D"/>
    <w:rsid w:val="00307F6D"/>
    <w:rsid w:val="00310914"/>
    <w:rsid w:val="0031160A"/>
    <w:rsid w:val="0031164D"/>
    <w:rsid w:val="00311850"/>
    <w:rsid w:val="00311927"/>
    <w:rsid w:val="00311C26"/>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249A"/>
    <w:rsid w:val="00342F27"/>
    <w:rsid w:val="0034337A"/>
    <w:rsid w:val="00343A18"/>
    <w:rsid w:val="00343B1C"/>
    <w:rsid w:val="003443F7"/>
    <w:rsid w:val="00344F8E"/>
    <w:rsid w:val="003504FC"/>
    <w:rsid w:val="003518B3"/>
    <w:rsid w:val="00351C95"/>
    <w:rsid w:val="0035243C"/>
    <w:rsid w:val="00352736"/>
    <w:rsid w:val="00352983"/>
    <w:rsid w:val="00352DBF"/>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DBB"/>
    <w:rsid w:val="00375483"/>
    <w:rsid w:val="00376B16"/>
    <w:rsid w:val="0037770A"/>
    <w:rsid w:val="0038032B"/>
    <w:rsid w:val="003803A3"/>
    <w:rsid w:val="00380B80"/>
    <w:rsid w:val="003817F2"/>
    <w:rsid w:val="003822C4"/>
    <w:rsid w:val="00384402"/>
    <w:rsid w:val="003846F1"/>
    <w:rsid w:val="00384981"/>
    <w:rsid w:val="00386FCB"/>
    <w:rsid w:val="003873C7"/>
    <w:rsid w:val="00391221"/>
    <w:rsid w:val="00391493"/>
    <w:rsid w:val="003914B5"/>
    <w:rsid w:val="0039184D"/>
    <w:rsid w:val="003918B4"/>
    <w:rsid w:val="00392C0E"/>
    <w:rsid w:val="00392DDE"/>
    <w:rsid w:val="0039342E"/>
    <w:rsid w:val="003940CD"/>
    <w:rsid w:val="00394553"/>
    <w:rsid w:val="00394590"/>
    <w:rsid w:val="00394742"/>
    <w:rsid w:val="00396D7C"/>
    <w:rsid w:val="003972DD"/>
    <w:rsid w:val="00397527"/>
    <w:rsid w:val="003A079E"/>
    <w:rsid w:val="003A0A60"/>
    <w:rsid w:val="003A381F"/>
    <w:rsid w:val="003A4060"/>
    <w:rsid w:val="003A41F1"/>
    <w:rsid w:val="003A4A61"/>
    <w:rsid w:val="003A55CA"/>
    <w:rsid w:val="003A55DC"/>
    <w:rsid w:val="003A5A7F"/>
    <w:rsid w:val="003A5CF8"/>
    <w:rsid w:val="003A769D"/>
    <w:rsid w:val="003B0C3D"/>
    <w:rsid w:val="003B16C3"/>
    <w:rsid w:val="003B1A41"/>
    <w:rsid w:val="003B1F07"/>
    <w:rsid w:val="003B29E9"/>
    <w:rsid w:val="003B2FA1"/>
    <w:rsid w:val="003B3322"/>
    <w:rsid w:val="003B3BB6"/>
    <w:rsid w:val="003B4139"/>
    <w:rsid w:val="003B484F"/>
    <w:rsid w:val="003B66B5"/>
    <w:rsid w:val="003B6A25"/>
    <w:rsid w:val="003B771F"/>
    <w:rsid w:val="003B7BA4"/>
    <w:rsid w:val="003B7FBA"/>
    <w:rsid w:val="003C0026"/>
    <w:rsid w:val="003C19B5"/>
    <w:rsid w:val="003C23B4"/>
    <w:rsid w:val="003C2C75"/>
    <w:rsid w:val="003C38FE"/>
    <w:rsid w:val="003C53A9"/>
    <w:rsid w:val="003C7914"/>
    <w:rsid w:val="003C7B9C"/>
    <w:rsid w:val="003D0809"/>
    <w:rsid w:val="003D173A"/>
    <w:rsid w:val="003D1DC3"/>
    <w:rsid w:val="003D1F3A"/>
    <w:rsid w:val="003D2313"/>
    <w:rsid w:val="003D29A2"/>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8A3"/>
    <w:rsid w:val="003E4445"/>
    <w:rsid w:val="003E4F74"/>
    <w:rsid w:val="003E6B35"/>
    <w:rsid w:val="003E6B36"/>
    <w:rsid w:val="003E7CEB"/>
    <w:rsid w:val="003F04C0"/>
    <w:rsid w:val="003F174D"/>
    <w:rsid w:val="003F1C59"/>
    <w:rsid w:val="003F2309"/>
    <w:rsid w:val="003F30E2"/>
    <w:rsid w:val="003F34C6"/>
    <w:rsid w:val="003F3788"/>
    <w:rsid w:val="003F4E76"/>
    <w:rsid w:val="003F5B81"/>
    <w:rsid w:val="003F7E3A"/>
    <w:rsid w:val="00402335"/>
    <w:rsid w:val="00402A80"/>
    <w:rsid w:val="00405040"/>
    <w:rsid w:val="0040548D"/>
    <w:rsid w:val="004056F3"/>
    <w:rsid w:val="004060BE"/>
    <w:rsid w:val="00406B74"/>
    <w:rsid w:val="00406E58"/>
    <w:rsid w:val="00407BEB"/>
    <w:rsid w:val="00412ED4"/>
    <w:rsid w:val="0041319C"/>
    <w:rsid w:val="004136CE"/>
    <w:rsid w:val="00413AC3"/>
    <w:rsid w:val="004144BF"/>
    <w:rsid w:val="004145CB"/>
    <w:rsid w:val="004152B3"/>
    <w:rsid w:val="00415BFD"/>
    <w:rsid w:val="00415DA8"/>
    <w:rsid w:val="00415F31"/>
    <w:rsid w:val="00416B6D"/>
    <w:rsid w:val="00417647"/>
    <w:rsid w:val="004179E8"/>
    <w:rsid w:val="00420456"/>
    <w:rsid w:val="004224A2"/>
    <w:rsid w:val="004224DB"/>
    <w:rsid w:val="00422781"/>
    <w:rsid w:val="004235C1"/>
    <w:rsid w:val="00423A77"/>
    <w:rsid w:val="0042476A"/>
    <w:rsid w:val="00424E33"/>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4CFA"/>
    <w:rsid w:val="0044559A"/>
    <w:rsid w:val="00445966"/>
    <w:rsid w:val="004459E3"/>
    <w:rsid w:val="00446098"/>
    <w:rsid w:val="0044623D"/>
    <w:rsid w:val="00446536"/>
    <w:rsid w:val="00446B6C"/>
    <w:rsid w:val="004478BB"/>
    <w:rsid w:val="004510F7"/>
    <w:rsid w:val="004510FE"/>
    <w:rsid w:val="004516D5"/>
    <w:rsid w:val="0045219F"/>
    <w:rsid w:val="00452573"/>
    <w:rsid w:val="00453364"/>
    <w:rsid w:val="00453BD1"/>
    <w:rsid w:val="00455715"/>
    <w:rsid w:val="004569D9"/>
    <w:rsid w:val="0045743A"/>
    <w:rsid w:val="0045777E"/>
    <w:rsid w:val="004604E6"/>
    <w:rsid w:val="004614D0"/>
    <w:rsid w:val="00461725"/>
    <w:rsid w:val="00462E01"/>
    <w:rsid w:val="00463243"/>
    <w:rsid w:val="00463624"/>
    <w:rsid w:val="0046390C"/>
    <w:rsid w:val="004643C3"/>
    <w:rsid w:val="0046783C"/>
    <w:rsid w:val="00467CCF"/>
    <w:rsid w:val="0047186A"/>
    <w:rsid w:val="00471920"/>
    <w:rsid w:val="00472DCE"/>
    <w:rsid w:val="00473169"/>
    <w:rsid w:val="00473E0B"/>
    <w:rsid w:val="004749DC"/>
    <w:rsid w:val="00474BFD"/>
    <w:rsid w:val="0048014E"/>
    <w:rsid w:val="004807E2"/>
    <w:rsid w:val="00480B4B"/>
    <w:rsid w:val="00480E3F"/>
    <w:rsid w:val="00481511"/>
    <w:rsid w:val="00481B0E"/>
    <w:rsid w:val="00481B86"/>
    <w:rsid w:val="0048512F"/>
    <w:rsid w:val="00485DC4"/>
    <w:rsid w:val="00485FF7"/>
    <w:rsid w:val="00486A2F"/>
    <w:rsid w:val="00486FC1"/>
    <w:rsid w:val="00490637"/>
    <w:rsid w:val="00490C29"/>
    <w:rsid w:val="00491828"/>
    <w:rsid w:val="00494584"/>
    <w:rsid w:val="00494C30"/>
    <w:rsid w:val="00495EA5"/>
    <w:rsid w:val="004A0169"/>
    <w:rsid w:val="004A21A8"/>
    <w:rsid w:val="004A2574"/>
    <w:rsid w:val="004A2B49"/>
    <w:rsid w:val="004A345B"/>
    <w:rsid w:val="004A38D4"/>
    <w:rsid w:val="004A3BA8"/>
    <w:rsid w:val="004A43D1"/>
    <w:rsid w:val="004A4790"/>
    <w:rsid w:val="004A4E86"/>
    <w:rsid w:val="004A53D2"/>
    <w:rsid w:val="004A56A1"/>
    <w:rsid w:val="004A6D94"/>
    <w:rsid w:val="004A70E0"/>
    <w:rsid w:val="004A726F"/>
    <w:rsid w:val="004B0FAE"/>
    <w:rsid w:val="004B1338"/>
    <w:rsid w:val="004B182E"/>
    <w:rsid w:val="004B2373"/>
    <w:rsid w:val="004B343B"/>
    <w:rsid w:val="004B3DBD"/>
    <w:rsid w:val="004B4412"/>
    <w:rsid w:val="004B6775"/>
    <w:rsid w:val="004B6D07"/>
    <w:rsid w:val="004B6FED"/>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30F8"/>
    <w:rsid w:val="004E3E86"/>
    <w:rsid w:val="004E4BF6"/>
    <w:rsid w:val="004E4F29"/>
    <w:rsid w:val="004E5A52"/>
    <w:rsid w:val="004F0A01"/>
    <w:rsid w:val="004F15DE"/>
    <w:rsid w:val="004F290A"/>
    <w:rsid w:val="004F311F"/>
    <w:rsid w:val="004F3A30"/>
    <w:rsid w:val="004F40A2"/>
    <w:rsid w:val="004F42A7"/>
    <w:rsid w:val="004F46B8"/>
    <w:rsid w:val="004F5973"/>
    <w:rsid w:val="004F6A0E"/>
    <w:rsid w:val="0050152B"/>
    <w:rsid w:val="00502349"/>
    <w:rsid w:val="0050279A"/>
    <w:rsid w:val="00504808"/>
    <w:rsid w:val="00507D00"/>
    <w:rsid w:val="00507DED"/>
    <w:rsid w:val="005101EF"/>
    <w:rsid w:val="005105C7"/>
    <w:rsid w:val="0051069B"/>
    <w:rsid w:val="0051087C"/>
    <w:rsid w:val="00510DA0"/>
    <w:rsid w:val="00511750"/>
    <w:rsid w:val="00511C9E"/>
    <w:rsid w:val="00512BEA"/>
    <w:rsid w:val="00512D10"/>
    <w:rsid w:val="005144CD"/>
    <w:rsid w:val="00514A0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467"/>
    <w:rsid w:val="00533922"/>
    <w:rsid w:val="00533BA4"/>
    <w:rsid w:val="00535167"/>
    <w:rsid w:val="005358A4"/>
    <w:rsid w:val="005401BC"/>
    <w:rsid w:val="00542703"/>
    <w:rsid w:val="005436C8"/>
    <w:rsid w:val="005453BB"/>
    <w:rsid w:val="00545B75"/>
    <w:rsid w:val="00545E09"/>
    <w:rsid w:val="00545E37"/>
    <w:rsid w:val="0055021B"/>
    <w:rsid w:val="00550F32"/>
    <w:rsid w:val="0055160E"/>
    <w:rsid w:val="0055244B"/>
    <w:rsid w:val="00552640"/>
    <w:rsid w:val="00552777"/>
    <w:rsid w:val="00555DC4"/>
    <w:rsid w:val="00555FE2"/>
    <w:rsid w:val="00557D9E"/>
    <w:rsid w:val="005612D9"/>
    <w:rsid w:val="005622AD"/>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77F15"/>
    <w:rsid w:val="00580B7E"/>
    <w:rsid w:val="0058150D"/>
    <w:rsid w:val="005819A7"/>
    <w:rsid w:val="00581D5B"/>
    <w:rsid w:val="0058252B"/>
    <w:rsid w:val="0058278F"/>
    <w:rsid w:val="00582799"/>
    <w:rsid w:val="005828FB"/>
    <w:rsid w:val="005829C2"/>
    <w:rsid w:val="00582C62"/>
    <w:rsid w:val="00583E9F"/>
    <w:rsid w:val="005843B2"/>
    <w:rsid w:val="00584D8F"/>
    <w:rsid w:val="00585426"/>
    <w:rsid w:val="0058574D"/>
    <w:rsid w:val="0059112F"/>
    <w:rsid w:val="00592FD8"/>
    <w:rsid w:val="00593797"/>
    <w:rsid w:val="005941AB"/>
    <w:rsid w:val="005947EE"/>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668"/>
    <w:rsid w:val="005E1689"/>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F69"/>
    <w:rsid w:val="00600543"/>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1744"/>
    <w:rsid w:val="0062184D"/>
    <w:rsid w:val="00621DCE"/>
    <w:rsid w:val="00623505"/>
    <w:rsid w:val="0062492D"/>
    <w:rsid w:val="00624BED"/>
    <w:rsid w:val="00625179"/>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607B2"/>
    <w:rsid w:val="0066104A"/>
    <w:rsid w:val="0066139F"/>
    <w:rsid w:val="00661E72"/>
    <w:rsid w:val="006628CF"/>
    <w:rsid w:val="00663DAD"/>
    <w:rsid w:val="00664462"/>
    <w:rsid w:val="00665932"/>
    <w:rsid w:val="00666C5C"/>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763F"/>
    <w:rsid w:val="006878CF"/>
    <w:rsid w:val="00690365"/>
    <w:rsid w:val="00690713"/>
    <w:rsid w:val="0069090B"/>
    <w:rsid w:val="00691112"/>
    <w:rsid w:val="00691305"/>
    <w:rsid w:val="00692599"/>
    <w:rsid w:val="00693024"/>
    <w:rsid w:val="00693FAB"/>
    <w:rsid w:val="0069434E"/>
    <w:rsid w:val="00694D8D"/>
    <w:rsid w:val="006950D4"/>
    <w:rsid w:val="00696201"/>
    <w:rsid w:val="00696CB8"/>
    <w:rsid w:val="00697232"/>
    <w:rsid w:val="00697799"/>
    <w:rsid w:val="006979C8"/>
    <w:rsid w:val="006A0E27"/>
    <w:rsid w:val="006A1579"/>
    <w:rsid w:val="006A1984"/>
    <w:rsid w:val="006A22AB"/>
    <w:rsid w:val="006A237E"/>
    <w:rsid w:val="006A4B77"/>
    <w:rsid w:val="006A4F4B"/>
    <w:rsid w:val="006A5C87"/>
    <w:rsid w:val="006A60B8"/>
    <w:rsid w:val="006A61BE"/>
    <w:rsid w:val="006A6A65"/>
    <w:rsid w:val="006A7BBB"/>
    <w:rsid w:val="006B0A57"/>
    <w:rsid w:val="006B0DA0"/>
    <w:rsid w:val="006B1012"/>
    <w:rsid w:val="006B2395"/>
    <w:rsid w:val="006B28F5"/>
    <w:rsid w:val="006B3A71"/>
    <w:rsid w:val="006B3E5C"/>
    <w:rsid w:val="006B4CF9"/>
    <w:rsid w:val="006B6E4A"/>
    <w:rsid w:val="006B7702"/>
    <w:rsid w:val="006B7AC8"/>
    <w:rsid w:val="006B7D63"/>
    <w:rsid w:val="006C07EA"/>
    <w:rsid w:val="006C0A85"/>
    <w:rsid w:val="006C1736"/>
    <w:rsid w:val="006C1FFB"/>
    <w:rsid w:val="006C499C"/>
    <w:rsid w:val="006C4AE8"/>
    <w:rsid w:val="006C5380"/>
    <w:rsid w:val="006C6748"/>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F17"/>
    <w:rsid w:val="006F3583"/>
    <w:rsid w:val="006F37D6"/>
    <w:rsid w:val="006F41AD"/>
    <w:rsid w:val="006F4EB9"/>
    <w:rsid w:val="006F670B"/>
    <w:rsid w:val="0070011E"/>
    <w:rsid w:val="00700D28"/>
    <w:rsid w:val="00700E74"/>
    <w:rsid w:val="007017ED"/>
    <w:rsid w:val="00701BF2"/>
    <w:rsid w:val="00701CAB"/>
    <w:rsid w:val="00702609"/>
    <w:rsid w:val="00703B9F"/>
    <w:rsid w:val="00703CBC"/>
    <w:rsid w:val="0070570B"/>
    <w:rsid w:val="00706DA4"/>
    <w:rsid w:val="00707563"/>
    <w:rsid w:val="00711F8C"/>
    <w:rsid w:val="00712389"/>
    <w:rsid w:val="00712924"/>
    <w:rsid w:val="00713CA9"/>
    <w:rsid w:val="00713D13"/>
    <w:rsid w:val="00713EDC"/>
    <w:rsid w:val="00714FCB"/>
    <w:rsid w:val="00715F1D"/>
    <w:rsid w:val="00716D12"/>
    <w:rsid w:val="00720F9C"/>
    <w:rsid w:val="00722823"/>
    <w:rsid w:val="007233A4"/>
    <w:rsid w:val="0072348C"/>
    <w:rsid w:val="007240A6"/>
    <w:rsid w:val="007241D8"/>
    <w:rsid w:val="00724A37"/>
    <w:rsid w:val="00724D0B"/>
    <w:rsid w:val="007254ED"/>
    <w:rsid w:val="0072581E"/>
    <w:rsid w:val="00725A26"/>
    <w:rsid w:val="00725AD4"/>
    <w:rsid w:val="007263E1"/>
    <w:rsid w:val="00727C79"/>
    <w:rsid w:val="00727CC1"/>
    <w:rsid w:val="007303C3"/>
    <w:rsid w:val="00730504"/>
    <w:rsid w:val="00730AF7"/>
    <w:rsid w:val="00733809"/>
    <w:rsid w:val="0073464A"/>
    <w:rsid w:val="007402EC"/>
    <w:rsid w:val="00740380"/>
    <w:rsid w:val="00740D27"/>
    <w:rsid w:val="00741647"/>
    <w:rsid w:val="007429BE"/>
    <w:rsid w:val="00743223"/>
    <w:rsid w:val="007442F4"/>
    <w:rsid w:val="00746E01"/>
    <w:rsid w:val="00746FBC"/>
    <w:rsid w:val="007472A2"/>
    <w:rsid w:val="00751D26"/>
    <w:rsid w:val="00753939"/>
    <w:rsid w:val="00754223"/>
    <w:rsid w:val="00755206"/>
    <w:rsid w:val="007553E9"/>
    <w:rsid w:val="00755AD8"/>
    <w:rsid w:val="0075677D"/>
    <w:rsid w:val="00756785"/>
    <w:rsid w:val="00756996"/>
    <w:rsid w:val="00756D5F"/>
    <w:rsid w:val="00757364"/>
    <w:rsid w:val="00757BDF"/>
    <w:rsid w:val="007606EA"/>
    <w:rsid w:val="007609D0"/>
    <w:rsid w:val="00761492"/>
    <w:rsid w:val="0076230C"/>
    <w:rsid w:val="00762979"/>
    <w:rsid w:val="007629CB"/>
    <w:rsid w:val="007632C9"/>
    <w:rsid w:val="00763E5D"/>
    <w:rsid w:val="00764017"/>
    <w:rsid w:val="007651D1"/>
    <w:rsid w:val="00765A31"/>
    <w:rsid w:val="007661C9"/>
    <w:rsid w:val="00766333"/>
    <w:rsid w:val="00766B3F"/>
    <w:rsid w:val="00767740"/>
    <w:rsid w:val="00767F33"/>
    <w:rsid w:val="00767F4B"/>
    <w:rsid w:val="00770A2A"/>
    <w:rsid w:val="00771934"/>
    <w:rsid w:val="00773310"/>
    <w:rsid w:val="00774060"/>
    <w:rsid w:val="007742D3"/>
    <w:rsid w:val="00776237"/>
    <w:rsid w:val="00777581"/>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FE7"/>
    <w:rsid w:val="007A16ED"/>
    <w:rsid w:val="007A2B49"/>
    <w:rsid w:val="007A37FD"/>
    <w:rsid w:val="007A3ED8"/>
    <w:rsid w:val="007A49B2"/>
    <w:rsid w:val="007A4EF0"/>
    <w:rsid w:val="007A5DF9"/>
    <w:rsid w:val="007A66EF"/>
    <w:rsid w:val="007A6A22"/>
    <w:rsid w:val="007A6C22"/>
    <w:rsid w:val="007B067C"/>
    <w:rsid w:val="007B0943"/>
    <w:rsid w:val="007B186E"/>
    <w:rsid w:val="007B2C72"/>
    <w:rsid w:val="007B336F"/>
    <w:rsid w:val="007B50F3"/>
    <w:rsid w:val="007B51B6"/>
    <w:rsid w:val="007B6EFF"/>
    <w:rsid w:val="007B7543"/>
    <w:rsid w:val="007B763B"/>
    <w:rsid w:val="007B7C96"/>
    <w:rsid w:val="007B7CC9"/>
    <w:rsid w:val="007C1387"/>
    <w:rsid w:val="007C1C53"/>
    <w:rsid w:val="007C38AD"/>
    <w:rsid w:val="007C4236"/>
    <w:rsid w:val="007C48BA"/>
    <w:rsid w:val="007C58C6"/>
    <w:rsid w:val="007C5918"/>
    <w:rsid w:val="007C6522"/>
    <w:rsid w:val="007C6807"/>
    <w:rsid w:val="007C6D31"/>
    <w:rsid w:val="007C6F92"/>
    <w:rsid w:val="007C74BB"/>
    <w:rsid w:val="007C7663"/>
    <w:rsid w:val="007C7DB6"/>
    <w:rsid w:val="007D06B6"/>
    <w:rsid w:val="007D1441"/>
    <w:rsid w:val="007D19F6"/>
    <w:rsid w:val="007D27DC"/>
    <w:rsid w:val="007D3EF5"/>
    <w:rsid w:val="007D4339"/>
    <w:rsid w:val="007D456E"/>
    <w:rsid w:val="007D46CC"/>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E2"/>
    <w:rsid w:val="008006B0"/>
    <w:rsid w:val="008008F6"/>
    <w:rsid w:val="00800C8B"/>
    <w:rsid w:val="0080290B"/>
    <w:rsid w:val="008033C4"/>
    <w:rsid w:val="0080443B"/>
    <w:rsid w:val="00804BB8"/>
    <w:rsid w:val="008061F1"/>
    <w:rsid w:val="00806C88"/>
    <w:rsid w:val="00806F4F"/>
    <w:rsid w:val="0080798E"/>
    <w:rsid w:val="0081034E"/>
    <w:rsid w:val="00811D6B"/>
    <w:rsid w:val="0081211C"/>
    <w:rsid w:val="0081214E"/>
    <w:rsid w:val="00814197"/>
    <w:rsid w:val="00814EEE"/>
    <w:rsid w:val="0081578F"/>
    <w:rsid w:val="0081589C"/>
    <w:rsid w:val="00815DDD"/>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1776"/>
    <w:rsid w:val="00831F0B"/>
    <w:rsid w:val="00832DB7"/>
    <w:rsid w:val="00833625"/>
    <w:rsid w:val="008344F6"/>
    <w:rsid w:val="0083510F"/>
    <w:rsid w:val="00835B21"/>
    <w:rsid w:val="00836289"/>
    <w:rsid w:val="00836DA3"/>
    <w:rsid w:val="00841278"/>
    <w:rsid w:val="00841282"/>
    <w:rsid w:val="008418C9"/>
    <w:rsid w:val="00842206"/>
    <w:rsid w:val="0084249F"/>
    <w:rsid w:val="0084307D"/>
    <w:rsid w:val="00843AA2"/>
    <w:rsid w:val="00844051"/>
    <w:rsid w:val="00845104"/>
    <w:rsid w:val="00845565"/>
    <w:rsid w:val="00845D49"/>
    <w:rsid w:val="00845DE5"/>
    <w:rsid w:val="00846525"/>
    <w:rsid w:val="0084784F"/>
    <w:rsid w:val="00847E2B"/>
    <w:rsid w:val="00847F09"/>
    <w:rsid w:val="0085051F"/>
    <w:rsid w:val="00851209"/>
    <w:rsid w:val="00852196"/>
    <w:rsid w:val="00852D20"/>
    <w:rsid w:val="008542CA"/>
    <w:rsid w:val="00855DD3"/>
    <w:rsid w:val="008563E4"/>
    <w:rsid w:val="00856DDF"/>
    <w:rsid w:val="00857647"/>
    <w:rsid w:val="0086055D"/>
    <w:rsid w:val="0086108A"/>
    <w:rsid w:val="00861BAC"/>
    <w:rsid w:val="00862982"/>
    <w:rsid w:val="008639A0"/>
    <w:rsid w:val="00863D70"/>
    <w:rsid w:val="00864629"/>
    <w:rsid w:val="008662BD"/>
    <w:rsid w:val="00867115"/>
    <w:rsid w:val="00870597"/>
    <w:rsid w:val="008705A5"/>
    <w:rsid w:val="00871D70"/>
    <w:rsid w:val="00872109"/>
    <w:rsid w:val="00873AF3"/>
    <w:rsid w:val="00874839"/>
    <w:rsid w:val="00875DE3"/>
    <w:rsid w:val="00880298"/>
    <w:rsid w:val="00881A31"/>
    <w:rsid w:val="008829EA"/>
    <w:rsid w:val="008837AC"/>
    <w:rsid w:val="00884B75"/>
    <w:rsid w:val="00885D6D"/>
    <w:rsid w:val="00885F90"/>
    <w:rsid w:val="00887F2D"/>
    <w:rsid w:val="00892201"/>
    <w:rsid w:val="008928B0"/>
    <w:rsid w:val="00895E9C"/>
    <w:rsid w:val="0089793A"/>
    <w:rsid w:val="00897CEC"/>
    <w:rsid w:val="008A0008"/>
    <w:rsid w:val="008A3558"/>
    <w:rsid w:val="008A369B"/>
    <w:rsid w:val="008A3987"/>
    <w:rsid w:val="008A403F"/>
    <w:rsid w:val="008A4877"/>
    <w:rsid w:val="008A587D"/>
    <w:rsid w:val="008A59DC"/>
    <w:rsid w:val="008A6898"/>
    <w:rsid w:val="008A7005"/>
    <w:rsid w:val="008A70BF"/>
    <w:rsid w:val="008A73F5"/>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86"/>
    <w:rsid w:val="008C6974"/>
    <w:rsid w:val="008C7338"/>
    <w:rsid w:val="008C744F"/>
    <w:rsid w:val="008D0136"/>
    <w:rsid w:val="008D1661"/>
    <w:rsid w:val="008D1665"/>
    <w:rsid w:val="008D17D5"/>
    <w:rsid w:val="008D20A2"/>
    <w:rsid w:val="008D32C8"/>
    <w:rsid w:val="008D330C"/>
    <w:rsid w:val="008D3927"/>
    <w:rsid w:val="008D3ED0"/>
    <w:rsid w:val="008D59B7"/>
    <w:rsid w:val="008D6800"/>
    <w:rsid w:val="008D729A"/>
    <w:rsid w:val="008D7EEE"/>
    <w:rsid w:val="008E03C8"/>
    <w:rsid w:val="008E1CD0"/>
    <w:rsid w:val="008E2948"/>
    <w:rsid w:val="008E3B4F"/>
    <w:rsid w:val="008E408D"/>
    <w:rsid w:val="008E57A0"/>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CCB"/>
    <w:rsid w:val="008F710E"/>
    <w:rsid w:val="009001B6"/>
    <w:rsid w:val="00900771"/>
    <w:rsid w:val="00900A09"/>
    <w:rsid w:val="00900E1B"/>
    <w:rsid w:val="0090116D"/>
    <w:rsid w:val="00902809"/>
    <w:rsid w:val="00902DB6"/>
    <w:rsid w:val="00903798"/>
    <w:rsid w:val="00903E4D"/>
    <w:rsid w:val="009058A2"/>
    <w:rsid w:val="00905F96"/>
    <w:rsid w:val="00906B59"/>
    <w:rsid w:val="00907570"/>
    <w:rsid w:val="0091090D"/>
    <w:rsid w:val="00912014"/>
    <w:rsid w:val="0091227E"/>
    <w:rsid w:val="00913061"/>
    <w:rsid w:val="009132FD"/>
    <w:rsid w:val="009138A1"/>
    <w:rsid w:val="00913C57"/>
    <w:rsid w:val="00914265"/>
    <w:rsid w:val="00915740"/>
    <w:rsid w:val="0091576E"/>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20CE"/>
    <w:rsid w:val="009329B8"/>
    <w:rsid w:val="00933E11"/>
    <w:rsid w:val="009346EA"/>
    <w:rsid w:val="00937536"/>
    <w:rsid w:val="00937B90"/>
    <w:rsid w:val="0094112A"/>
    <w:rsid w:val="0094160D"/>
    <w:rsid w:val="009421FF"/>
    <w:rsid w:val="00943109"/>
    <w:rsid w:val="00943DC0"/>
    <w:rsid w:val="00943F7A"/>
    <w:rsid w:val="00944253"/>
    <w:rsid w:val="00945253"/>
    <w:rsid w:val="009453F0"/>
    <w:rsid w:val="009456E9"/>
    <w:rsid w:val="009460AA"/>
    <w:rsid w:val="00946639"/>
    <w:rsid w:val="00951318"/>
    <w:rsid w:val="00951501"/>
    <w:rsid w:val="00951978"/>
    <w:rsid w:val="00952246"/>
    <w:rsid w:val="00954895"/>
    <w:rsid w:val="00954B48"/>
    <w:rsid w:val="00955275"/>
    <w:rsid w:val="00955482"/>
    <w:rsid w:val="00955DFE"/>
    <w:rsid w:val="009563DA"/>
    <w:rsid w:val="009568E2"/>
    <w:rsid w:val="00957226"/>
    <w:rsid w:val="00957968"/>
    <w:rsid w:val="00960EBC"/>
    <w:rsid w:val="00960F6E"/>
    <w:rsid w:val="00961A4A"/>
    <w:rsid w:val="00963A8F"/>
    <w:rsid w:val="00963EFB"/>
    <w:rsid w:val="009650CC"/>
    <w:rsid w:val="009661BA"/>
    <w:rsid w:val="009661DE"/>
    <w:rsid w:val="00966578"/>
    <w:rsid w:val="009673FC"/>
    <w:rsid w:val="00967FFA"/>
    <w:rsid w:val="00970353"/>
    <w:rsid w:val="00970771"/>
    <w:rsid w:val="00970FCF"/>
    <w:rsid w:val="0097120F"/>
    <w:rsid w:val="00971DD7"/>
    <w:rsid w:val="00971F3A"/>
    <w:rsid w:val="009723CE"/>
    <w:rsid w:val="0097471D"/>
    <w:rsid w:val="00974D4F"/>
    <w:rsid w:val="0097527D"/>
    <w:rsid w:val="00975A16"/>
    <w:rsid w:val="00975C30"/>
    <w:rsid w:val="00976FE8"/>
    <w:rsid w:val="0097715F"/>
    <w:rsid w:val="009771BB"/>
    <w:rsid w:val="00977220"/>
    <w:rsid w:val="00977B6B"/>
    <w:rsid w:val="00977EFF"/>
    <w:rsid w:val="00982793"/>
    <w:rsid w:val="0098360C"/>
    <w:rsid w:val="00983C25"/>
    <w:rsid w:val="00984362"/>
    <w:rsid w:val="0098437A"/>
    <w:rsid w:val="009855E7"/>
    <w:rsid w:val="009856B7"/>
    <w:rsid w:val="00985C86"/>
    <w:rsid w:val="00986CC3"/>
    <w:rsid w:val="00987687"/>
    <w:rsid w:val="00987FA7"/>
    <w:rsid w:val="00990689"/>
    <w:rsid w:val="00990F02"/>
    <w:rsid w:val="00990FD9"/>
    <w:rsid w:val="00991EC1"/>
    <w:rsid w:val="0099223C"/>
    <w:rsid w:val="009928D7"/>
    <w:rsid w:val="00992993"/>
    <w:rsid w:val="00992DFE"/>
    <w:rsid w:val="00993877"/>
    <w:rsid w:val="00995370"/>
    <w:rsid w:val="0099577C"/>
    <w:rsid w:val="00997F72"/>
    <w:rsid w:val="009A0FED"/>
    <w:rsid w:val="009A2292"/>
    <w:rsid w:val="009A2D83"/>
    <w:rsid w:val="009A3578"/>
    <w:rsid w:val="009A3916"/>
    <w:rsid w:val="009A3ED2"/>
    <w:rsid w:val="009A4376"/>
    <w:rsid w:val="009A4592"/>
    <w:rsid w:val="009A4A80"/>
    <w:rsid w:val="009A53F8"/>
    <w:rsid w:val="009A5E98"/>
    <w:rsid w:val="009A5FC3"/>
    <w:rsid w:val="009B01C0"/>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2088"/>
    <w:rsid w:val="009E2B76"/>
    <w:rsid w:val="009E33FF"/>
    <w:rsid w:val="009E40F2"/>
    <w:rsid w:val="009E4E4A"/>
    <w:rsid w:val="009E4F6C"/>
    <w:rsid w:val="009E5663"/>
    <w:rsid w:val="009E59CE"/>
    <w:rsid w:val="009E6854"/>
    <w:rsid w:val="009E6B5D"/>
    <w:rsid w:val="009E7BA2"/>
    <w:rsid w:val="009E7EF6"/>
    <w:rsid w:val="009E7EFB"/>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6B13"/>
    <w:rsid w:val="00A275B2"/>
    <w:rsid w:val="00A31A88"/>
    <w:rsid w:val="00A32FBB"/>
    <w:rsid w:val="00A33583"/>
    <w:rsid w:val="00A34FE2"/>
    <w:rsid w:val="00A353B1"/>
    <w:rsid w:val="00A3557D"/>
    <w:rsid w:val="00A35A6E"/>
    <w:rsid w:val="00A35C46"/>
    <w:rsid w:val="00A36459"/>
    <w:rsid w:val="00A368C5"/>
    <w:rsid w:val="00A3725A"/>
    <w:rsid w:val="00A37907"/>
    <w:rsid w:val="00A40349"/>
    <w:rsid w:val="00A4070F"/>
    <w:rsid w:val="00A427FF"/>
    <w:rsid w:val="00A428EE"/>
    <w:rsid w:val="00A4478A"/>
    <w:rsid w:val="00A44852"/>
    <w:rsid w:val="00A46783"/>
    <w:rsid w:val="00A50502"/>
    <w:rsid w:val="00A507B8"/>
    <w:rsid w:val="00A50AE3"/>
    <w:rsid w:val="00A513C2"/>
    <w:rsid w:val="00A51AC4"/>
    <w:rsid w:val="00A51C21"/>
    <w:rsid w:val="00A52613"/>
    <w:rsid w:val="00A531BC"/>
    <w:rsid w:val="00A54EFC"/>
    <w:rsid w:val="00A55AE7"/>
    <w:rsid w:val="00A55C1E"/>
    <w:rsid w:val="00A5740F"/>
    <w:rsid w:val="00A57464"/>
    <w:rsid w:val="00A57BA6"/>
    <w:rsid w:val="00A57D04"/>
    <w:rsid w:val="00A60A26"/>
    <w:rsid w:val="00A61598"/>
    <w:rsid w:val="00A62897"/>
    <w:rsid w:val="00A62899"/>
    <w:rsid w:val="00A644CA"/>
    <w:rsid w:val="00A6605F"/>
    <w:rsid w:val="00A7103E"/>
    <w:rsid w:val="00A712E1"/>
    <w:rsid w:val="00A71BEC"/>
    <w:rsid w:val="00A72155"/>
    <w:rsid w:val="00A72430"/>
    <w:rsid w:val="00A7255F"/>
    <w:rsid w:val="00A7288F"/>
    <w:rsid w:val="00A736D1"/>
    <w:rsid w:val="00A73C1C"/>
    <w:rsid w:val="00A756AB"/>
    <w:rsid w:val="00A75C76"/>
    <w:rsid w:val="00A76A5A"/>
    <w:rsid w:val="00A7708F"/>
    <w:rsid w:val="00A77091"/>
    <w:rsid w:val="00A83DC4"/>
    <w:rsid w:val="00A8436C"/>
    <w:rsid w:val="00A84A99"/>
    <w:rsid w:val="00A84F46"/>
    <w:rsid w:val="00A87014"/>
    <w:rsid w:val="00A871F4"/>
    <w:rsid w:val="00A8725D"/>
    <w:rsid w:val="00A87E3B"/>
    <w:rsid w:val="00A90D90"/>
    <w:rsid w:val="00A910D2"/>
    <w:rsid w:val="00A91589"/>
    <w:rsid w:val="00A92655"/>
    <w:rsid w:val="00A94D97"/>
    <w:rsid w:val="00A96BBA"/>
    <w:rsid w:val="00A96CF2"/>
    <w:rsid w:val="00A96DA6"/>
    <w:rsid w:val="00A971D2"/>
    <w:rsid w:val="00A97288"/>
    <w:rsid w:val="00A97748"/>
    <w:rsid w:val="00AA00B7"/>
    <w:rsid w:val="00AA0E9F"/>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7B"/>
    <w:rsid w:val="00AB755D"/>
    <w:rsid w:val="00AC1B2C"/>
    <w:rsid w:val="00AC26A5"/>
    <w:rsid w:val="00AC2D5B"/>
    <w:rsid w:val="00AC3264"/>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A97"/>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68A4"/>
    <w:rsid w:val="00B16D33"/>
    <w:rsid w:val="00B1716D"/>
    <w:rsid w:val="00B17A1D"/>
    <w:rsid w:val="00B2031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D36"/>
    <w:rsid w:val="00B3659B"/>
    <w:rsid w:val="00B36753"/>
    <w:rsid w:val="00B36F42"/>
    <w:rsid w:val="00B370E9"/>
    <w:rsid w:val="00B378AD"/>
    <w:rsid w:val="00B40843"/>
    <w:rsid w:val="00B40D7B"/>
    <w:rsid w:val="00B40F68"/>
    <w:rsid w:val="00B41D32"/>
    <w:rsid w:val="00B41DD9"/>
    <w:rsid w:val="00B422CD"/>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748"/>
    <w:rsid w:val="00B56E03"/>
    <w:rsid w:val="00B56F09"/>
    <w:rsid w:val="00B577BD"/>
    <w:rsid w:val="00B57CC1"/>
    <w:rsid w:val="00B61A9F"/>
    <w:rsid w:val="00B63676"/>
    <w:rsid w:val="00B63956"/>
    <w:rsid w:val="00B64945"/>
    <w:rsid w:val="00B65F1A"/>
    <w:rsid w:val="00B67C84"/>
    <w:rsid w:val="00B71AA2"/>
    <w:rsid w:val="00B71ABF"/>
    <w:rsid w:val="00B7259E"/>
    <w:rsid w:val="00B740D8"/>
    <w:rsid w:val="00B749E0"/>
    <w:rsid w:val="00B765CA"/>
    <w:rsid w:val="00B7668A"/>
    <w:rsid w:val="00B776F2"/>
    <w:rsid w:val="00B8080B"/>
    <w:rsid w:val="00B80AE9"/>
    <w:rsid w:val="00B813DD"/>
    <w:rsid w:val="00B81EAE"/>
    <w:rsid w:val="00B82166"/>
    <w:rsid w:val="00B82223"/>
    <w:rsid w:val="00B838B5"/>
    <w:rsid w:val="00B83A4C"/>
    <w:rsid w:val="00B84CBC"/>
    <w:rsid w:val="00B85A95"/>
    <w:rsid w:val="00B8664E"/>
    <w:rsid w:val="00B870C4"/>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B0325"/>
    <w:rsid w:val="00BB1615"/>
    <w:rsid w:val="00BB2FB2"/>
    <w:rsid w:val="00BB3304"/>
    <w:rsid w:val="00BB3C6E"/>
    <w:rsid w:val="00BB4507"/>
    <w:rsid w:val="00BB533D"/>
    <w:rsid w:val="00BB5D41"/>
    <w:rsid w:val="00BB6681"/>
    <w:rsid w:val="00BB7352"/>
    <w:rsid w:val="00BC20A5"/>
    <w:rsid w:val="00BC2E57"/>
    <w:rsid w:val="00BC2F08"/>
    <w:rsid w:val="00BC2F8D"/>
    <w:rsid w:val="00BC3784"/>
    <w:rsid w:val="00BC4484"/>
    <w:rsid w:val="00BC57BA"/>
    <w:rsid w:val="00BC5CB4"/>
    <w:rsid w:val="00BC681D"/>
    <w:rsid w:val="00BC6E57"/>
    <w:rsid w:val="00BD1CE0"/>
    <w:rsid w:val="00BD2387"/>
    <w:rsid w:val="00BD2B34"/>
    <w:rsid w:val="00BD315D"/>
    <w:rsid w:val="00BD3446"/>
    <w:rsid w:val="00BD6358"/>
    <w:rsid w:val="00BD732B"/>
    <w:rsid w:val="00BD7A68"/>
    <w:rsid w:val="00BE171B"/>
    <w:rsid w:val="00BE1E99"/>
    <w:rsid w:val="00BE1F1B"/>
    <w:rsid w:val="00BE1FD8"/>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33FC"/>
    <w:rsid w:val="00C250BF"/>
    <w:rsid w:val="00C25FA6"/>
    <w:rsid w:val="00C2621C"/>
    <w:rsid w:val="00C2670E"/>
    <w:rsid w:val="00C26A14"/>
    <w:rsid w:val="00C27B59"/>
    <w:rsid w:val="00C309E4"/>
    <w:rsid w:val="00C31432"/>
    <w:rsid w:val="00C31B22"/>
    <w:rsid w:val="00C32554"/>
    <w:rsid w:val="00C3272D"/>
    <w:rsid w:val="00C34462"/>
    <w:rsid w:val="00C34BBC"/>
    <w:rsid w:val="00C35731"/>
    <w:rsid w:val="00C3589F"/>
    <w:rsid w:val="00C35DCF"/>
    <w:rsid w:val="00C36177"/>
    <w:rsid w:val="00C42DAA"/>
    <w:rsid w:val="00C441F6"/>
    <w:rsid w:val="00C449C9"/>
    <w:rsid w:val="00C468CA"/>
    <w:rsid w:val="00C477A7"/>
    <w:rsid w:val="00C47CCD"/>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6028"/>
    <w:rsid w:val="00C66D02"/>
    <w:rsid w:val="00C67A92"/>
    <w:rsid w:val="00C7082E"/>
    <w:rsid w:val="00C71C38"/>
    <w:rsid w:val="00C730B2"/>
    <w:rsid w:val="00C730ED"/>
    <w:rsid w:val="00C7355B"/>
    <w:rsid w:val="00C73E51"/>
    <w:rsid w:val="00C7425E"/>
    <w:rsid w:val="00C74B98"/>
    <w:rsid w:val="00C74F83"/>
    <w:rsid w:val="00C75DDD"/>
    <w:rsid w:val="00C7783C"/>
    <w:rsid w:val="00C8161F"/>
    <w:rsid w:val="00C81CE9"/>
    <w:rsid w:val="00C823CA"/>
    <w:rsid w:val="00C824A4"/>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489E"/>
    <w:rsid w:val="00CA6F3F"/>
    <w:rsid w:val="00CA7764"/>
    <w:rsid w:val="00CA7B5B"/>
    <w:rsid w:val="00CB0279"/>
    <w:rsid w:val="00CB2128"/>
    <w:rsid w:val="00CB42DF"/>
    <w:rsid w:val="00CB444E"/>
    <w:rsid w:val="00CB4A4D"/>
    <w:rsid w:val="00CB59C0"/>
    <w:rsid w:val="00CB622C"/>
    <w:rsid w:val="00CB666B"/>
    <w:rsid w:val="00CC09CE"/>
    <w:rsid w:val="00CC16CF"/>
    <w:rsid w:val="00CC1C95"/>
    <w:rsid w:val="00CC4265"/>
    <w:rsid w:val="00CC5A62"/>
    <w:rsid w:val="00CC5AF2"/>
    <w:rsid w:val="00CC70EE"/>
    <w:rsid w:val="00CC7F1D"/>
    <w:rsid w:val="00CD06D5"/>
    <w:rsid w:val="00CD0AF9"/>
    <w:rsid w:val="00CD0F98"/>
    <w:rsid w:val="00CD1356"/>
    <w:rsid w:val="00CD1BFE"/>
    <w:rsid w:val="00CD2030"/>
    <w:rsid w:val="00CD23CD"/>
    <w:rsid w:val="00CD4E54"/>
    <w:rsid w:val="00CD5D5C"/>
    <w:rsid w:val="00CD6563"/>
    <w:rsid w:val="00CD6F28"/>
    <w:rsid w:val="00CE166E"/>
    <w:rsid w:val="00CE2DEA"/>
    <w:rsid w:val="00CE3A3F"/>
    <w:rsid w:val="00CE3D09"/>
    <w:rsid w:val="00CE4426"/>
    <w:rsid w:val="00CE484B"/>
    <w:rsid w:val="00CE4AE5"/>
    <w:rsid w:val="00CE4FA6"/>
    <w:rsid w:val="00CE52F5"/>
    <w:rsid w:val="00CE55B5"/>
    <w:rsid w:val="00CE6F1C"/>
    <w:rsid w:val="00CE6FC4"/>
    <w:rsid w:val="00CE7BF5"/>
    <w:rsid w:val="00CE7C3A"/>
    <w:rsid w:val="00CE7EDF"/>
    <w:rsid w:val="00CE7F4B"/>
    <w:rsid w:val="00CF0DEE"/>
    <w:rsid w:val="00CF1131"/>
    <w:rsid w:val="00CF18B6"/>
    <w:rsid w:val="00CF4164"/>
    <w:rsid w:val="00CF54F7"/>
    <w:rsid w:val="00CF5D53"/>
    <w:rsid w:val="00CF7C05"/>
    <w:rsid w:val="00CF7CCA"/>
    <w:rsid w:val="00D006AE"/>
    <w:rsid w:val="00D01050"/>
    <w:rsid w:val="00D011D4"/>
    <w:rsid w:val="00D0138E"/>
    <w:rsid w:val="00D01CF0"/>
    <w:rsid w:val="00D02BD1"/>
    <w:rsid w:val="00D02FB0"/>
    <w:rsid w:val="00D03122"/>
    <w:rsid w:val="00D0442A"/>
    <w:rsid w:val="00D05C2A"/>
    <w:rsid w:val="00D05D13"/>
    <w:rsid w:val="00D07EBF"/>
    <w:rsid w:val="00D104AA"/>
    <w:rsid w:val="00D10A69"/>
    <w:rsid w:val="00D11729"/>
    <w:rsid w:val="00D13AD4"/>
    <w:rsid w:val="00D1409A"/>
    <w:rsid w:val="00D1413F"/>
    <w:rsid w:val="00D14616"/>
    <w:rsid w:val="00D14DE4"/>
    <w:rsid w:val="00D15210"/>
    <w:rsid w:val="00D15D53"/>
    <w:rsid w:val="00D179C0"/>
    <w:rsid w:val="00D20204"/>
    <w:rsid w:val="00D21843"/>
    <w:rsid w:val="00D21B03"/>
    <w:rsid w:val="00D229CE"/>
    <w:rsid w:val="00D23317"/>
    <w:rsid w:val="00D236C4"/>
    <w:rsid w:val="00D24944"/>
    <w:rsid w:val="00D25EE1"/>
    <w:rsid w:val="00D26DA8"/>
    <w:rsid w:val="00D277A9"/>
    <w:rsid w:val="00D27991"/>
    <w:rsid w:val="00D279FE"/>
    <w:rsid w:val="00D31F44"/>
    <w:rsid w:val="00D33983"/>
    <w:rsid w:val="00D34564"/>
    <w:rsid w:val="00D34D38"/>
    <w:rsid w:val="00D36390"/>
    <w:rsid w:val="00D3675C"/>
    <w:rsid w:val="00D37196"/>
    <w:rsid w:val="00D373D1"/>
    <w:rsid w:val="00D37541"/>
    <w:rsid w:val="00D37E2A"/>
    <w:rsid w:val="00D40C02"/>
    <w:rsid w:val="00D41102"/>
    <w:rsid w:val="00D41318"/>
    <w:rsid w:val="00D416EC"/>
    <w:rsid w:val="00D41DE3"/>
    <w:rsid w:val="00D43BAB"/>
    <w:rsid w:val="00D44750"/>
    <w:rsid w:val="00D44A47"/>
    <w:rsid w:val="00D4511C"/>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DEA"/>
    <w:rsid w:val="00D65619"/>
    <w:rsid w:val="00D65DB1"/>
    <w:rsid w:val="00D66291"/>
    <w:rsid w:val="00D66A91"/>
    <w:rsid w:val="00D673C6"/>
    <w:rsid w:val="00D67B35"/>
    <w:rsid w:val="00D67BE2"/>
    <w:rsid w:val="00D70130"/>
    <w:rsid w:val="00D70A27"/>
    <w:rsid w:val="00D70B03"/>
    <w:rsid w:val="00D712D1"/>
    <w:rsid w:val="00D7168E"/>
    <w:rsid w:val="00D71B80"/>
    <w:rsid w:val="00D71DDD"/>
    <w:rsid w:val="00D71E57"/>
    <w:rsid w:val="00D720A3"/>
    <w:rsid w:val="00D72907"/>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1188"/>
    <w:rsid w:val="00D92251"/>
    <w:rsid w:val="00D924AB"/>
    <w:rsid w:val="00D92A6A"/>
    <w:rsid w:val="00D92BA6"/>
    <w:rsid w:val="00D92CF1"/>
    <w:rsid w:val="00D92D38"/>
    <w:rsid w:val="00D93A8B"/>
    <w:rsid w:val="00D94302"/>
    <w:rsid w:val="00D950F5"/>
    <w:rsid w:val="00D96826"/>
    <w:rsid w:val="00D96C92"/>
    <w:rsid w:val="00DA124F"/>
    <w:rsid w:val="00DA1396"/>
    <w:rsid w:val="00DA15EE"/>
    <w:rsid w:val="00DA1C41"/>
    <w:rsid w:val="00DA2269"/>
    <w:rsid w:val="00DA3718"/>
    <w:rsid w:val="00DA4752"/>
    <w:rsid w:val="00DA5DCC"/>
    <w:rsid w:val="00DA61F3"/>
    <w:rsid w:val="00DA68FA"/>
    <w:rsid w:val="00DA76A4"/>
    <w:rsid w:val="00DB0364"/>
    <w:rsid w:val="00DB0F93"/>
    <w:rsid w:val="00DB127F"/>
    <w:rsid w:val="00DB1A67"/>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43"/>
    <w:rsid w:val="00DC2BE0"/>
    <w:rsid w:val="00DC3E3C"/>
    <w:rsid w:val="00DC44C3"/>
    <w:rsid w:val="00DC4B28"/>
    <w:rsid w:val="00DC6340"/>
    <w:rsid w:val="00DC7981"/>
    <w:rsid w:val="00DD289E"/>
    <w:rsid w:val="00DD2ADD"/>
    <w:rsid w:val="00DD2EA6"/>
    <w:rsid w:val="00DD48C9"/>
    <w:rsid w:val="00DD4B8D"/>
    <w:rsid w:val="00DD577F"/>
    <w:rsid w:val="00DD7B9A"/>
    <w:rsid w:val="00DE0079"/>
    <w:rsid w:val="00DE1093"/>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3071"/>
    <w:rsid w:val="00E136F8"/>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84"/>
    <w:rsid w:val="00E30C68"/>
    <w:rsid w:val="00E30CA5"/>
    <w:rsid w:val="00E310AD"/>
    <w:rsid w:val="00E3221A"/>
    <w:rsid w:val="00E323D7"/>
    <w:rsid w:val="00E32943"/>
    <w:rsid w:val="00E34483"/>
    <w:rsid w:val="00E356F9"/>
    <w:rsid w:val="00E36DF4"/>
    <w:rsid w:val="00E373C8"/>
    <w:rsid w:val="00E37B79"/>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58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6394"/>
    <w:rsid w:val="00E86DD9"/>
    <w:rsid w:val="00E8749E"/>
    <w:rsid w:val="00E874BD"/>
    <w:rsid w:val="00E92D10"/>
    <w:rsid w:val="00E92E9F"/>
    <w:rsid w:val="00E9305C"/>
    <w:rsid w:val="00E93F4A"/>
    <w:rsid w:val="00E9408C"/>
    <w:rsid w:val="00E97261"/>
    <w:rsid w:val="00E97C81"/>
    <w:rsid w:val="00EA00CC"/>
    <w:rsid w:val="00EA086D"/>
    <w:rsid w:val="00EA1DDB"/>
    <w:rsid w:val="00EA2806"/>
    <w:rsid w:val="00EA284E"/>
    <w:rsid w:val="00EA3D42"/>
    <w:rsid w:val="00EA3DE0"/>
    <w:rsid w:val="00EA4309"/>
    <w:rsid w:val="00EA4C8F"/>
    <w:rsid w:val="00EA4F04"/>
    <w:rsid w:val="00EA524C"/>
    <w:rsid w:val="00EA6667"/>
    <w:rsid w:val="00EA6B1B"/>
    <w:rsid w:val="00EA6B60"/>
    <w:rsid w:val="00EA6D49"/>
    <w:rsid w:val="00EA6FAD"/>
    <w:rsid w:val="00EA7DA9"/>
    <w:rsid w:val="00EB09CB"/>
    <w:rsid w:val="00EB10C5"/>
    <w:rsid w:val="00EB16EF"/>
    <w:rsid w:val="00EB1D7C"/>
    <w:rsid w:val="00EB21FE"/>
    <w:rsid w:val="00EB355F"/>
    <w:rsid w:val="00EB47DF"/>
    <w:rsid w:val="00EB4959"/>
    <w:rsid w:val="00EB61EA"/>
    <w:rsid w:val="00EB6C91"/>
    <w:rsid w:val="00EC01BD"/>
    <w:rsid w:val="00EC04F1"/>
    <w:rsid w:val="00EC069E"/>
    <w:rsid w:val="00EC0AD1"/>
    <w:rsid w:val="00EC0B07"/>
    <w:rsid w:val="00EC2604"/>
    <w:rsid w:val="00EC3159"/>
    <w:rsid w:val="00EC3176"/>
    <w:rsid w:val="00EC3873"/>
    <w:rsid w:val="00EC4849"/>
    <w:rsid w:val="00EC5D62"/>
    <w:rsid w:val="00EC5EB8"/>
    <w:rsid w:val="00EC6F76"/>
    <w:rsid w:val="00EC7B42"/>
    <w:rsid w:val="00EC7BCF"/>
    <w:rsid w:val="00ED0B08"/>
    <w:rsid w:val="00ED0EF0"/>
    <w:rsid w:val="00ED1C77"/>
    <w:rsid w:val="00ED35C0"/>
    <w:rsid w:val="00ED3B44"/>
    <w:rsid w:val="00ED498D"/>
    <w:rsid w:val="00ED54F2"/>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6C60"/>
    <w:rsid w:val="00F07148"/>
    <w:rsid w:val="00F07264"/>
    <w:rsid w:val="00F0737A"/>
    <w:rsid w:val="00F1028F"/>
    <w:rsid w:val="00F10411"/>
    <w:rsid w:val="00F10D01"/>
    <w:rsid w:val="00F118F5"/>
    <w:rsid w:val="00F11DE9"/>
    <w:rsid w:val="00F11F67"/>
    <w:rsid w:val="00F130EF"/>
    <w:rsid w:val="00F13198"/>
    <w:rsid w:val="00F13C7C"/>
    <w:rsid w:val="00F14F00"/>
    <w:rsid w:val="00F15882"/>
    <w:rsid w:val="00F163CD"/>
    <w:rsid w:val="00F167FE"/>
    <w:rsid w:val="00F1706D"/>
    <w:rsid w:val="00F171E0"/>
    <w:rsid w:val="00F17452"/>
    <w:rsid w:val="00F17734"/>
    <w:rsid w:val="00F17A22"/>
    <w:rsid w:val="00F17B34"/>
    <w:rsid w:val="00F20BD3"/>
    <w:rsid w:val="00F21A67"/>
    <w:rsid w:val="00F2235A"/>
    <w:rsid w:val="00F240E1"/>
    <w:rsid w:val="00F27BB2"/>
    <w:rsid w:val="00F27FC0"/>
    <w:rsid w:val="00F30705"/>
    <w:rsid w:val="00F30931"/>
    <w:rsid w:val="00F3131B"/>
    <w:rsid w:val="00F3154C"/>
    <w:rsid w:val="00F315A8"/>
    <w:rsid w:val="00F31D12"/>
    <w:rsid w:val="00F34665"/>
    <w:rsid w:val="00F34737"/>
    <w:rsid w:val="00F34E74"/>
    <w:rsid w:val="00F36FE9"/>
    <w:rsid w:val="00F373A5"/>
    <w:rsid w:val="00F37AA0"/>
    <w:rsid w:val="00F40A85"/>
    <w:rsid w:val="00F42728"/>
    <w:rsid w:val="00F42924"/>
    <w:rsid w:val="00F430C2"/>
    <w:rsid w:val="00F43C4C"/>
    <w:rsid w:val="00F44DE9"/>
    <w:rsid w:val="00F453ED"/>
    <w:rsid w:val="00F467D0"/>
    <w:rsid w:val="00F470A2"/>
    <w:rsid w:val="00F47559"/>
    <w:rsid w:val="00F50A24"/>
    <w:rsid w:val="00F50B4B"/>
    <w:rsid w:val="00F50D64"/>
    <w:rsid w:val="00F5141D"/>
    <w:rsid w:val="00F518EB"/>
    <w:rsid w:val="00F52478"/>
    <w:rsid w:val="00F53895"/>
    <w:rsid w:val="00F53B7E"/>
    <w:rsid w:val="00F5429B"/>
    <w:rsid w:val="00F54673"/>
    <w:rsid w:val="00F55728"/>
    <w:rsid w:val="00F559E5"/>
    <w:rsid w:val="00F56EED"/>
    <w:rsid w:val="00F60E41"/>
    <w:rsid w:val="00F622DF"/>
    <w:rsid w:val="00F6250E"/>
    <w:rsid w:val="00F64C7B"/>
    <w:rsid w:val="00F650D2"/>
    <w:rsid w:val="00F6529E"/>
    <w:rsid w:val="00F6552D"/>
    <w:rsid w:val="00F66519"/>
    <w:rsid w:val="00F674BC"/>
    <w:rsid w:val="00F676DD"/>
    <w:rsid w:val="00F707CD"/>
    <w:rsid w:val="00F70E61"/>
    <w:rsid w:val="00F72575"/>
    <w:rsid w:val="00F73160"/>
    <w:rsid w:val="00F73B34"/>
    <w:rsid w:val="00F7541E"/>
    <w:rsid w:val="00F75A26"/>
    <w:rsid w:val="00F76706"/>
    <w:rsid w:val="00F77A67"/>
    <w:rsid w:val="00F80D91"/>
    <w:rsid w:val="00F815FE"/>
    <w:rsid w:val="00F8294A"/>
    <w:rsid w:val="00F83FAD"/>
    <w:rsid w:val="00F848BC"/>
    <w:rsid w:val="00F8556F"/>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1E6D"/>
    <w:rsid w:val="00FA2331"/>
    <w:rsid w:val="00FA2F53"/>
    <w:rsid w:val="00FA3A98"/>
    <w:rsid w:val="00FA3C7F"/>
    <w:rsid w:val="00FA47B8"/>
    <w:rsid w:val="00FA54C8"/>
    <w:rsid w:val="00FA54F1"/>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1C7C"/>
    <w:rsid w:val="00FC5C0E"/>
    <w:rsid w:val="00FD000C"/>
    <w:rsid w:val="00FD09CE"/>
    <w:rsid w:val="00FD2399"/>
    <w:rsid w:val="00FD2B42"/>
    <w:rsid w:val="00FD3811"/>
    <w:rsid w:val="00FD4722"/>
    <w:rsid w:val="00FD561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64AE"/>
    <w:rsid w:val="00FE64B7"/>
    <w:rsid w:val="00FE72CD"/>
    <w:rsid w:val="00FE7452"/>
    <w:rsid w:val="00FE7DEB"/>
    <w:rsid w:val="00FF0DA8"/>
    <w:rsid w:val="00FF2341"/>
    <w:rsid w:val="00FF2854"/>
    <w:rsid w:val="00FF2AD0"/>
    <w:rsid w:val="00FF3A60"/>
    <w:rsid w:val="00FF41BC"/>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44634112"/>
        <c:axId val="267178368"/>
      </c:lineChart>
      <c:dateAx>
        <c:axId val="44634112"/>
        <c:scaling>
          <c:orientation val="minMax"/>
        </c:scaling>
        <c:delete val="0"/>
        <c:axPos val="b"/>
        <c:numFmt formatCode="mmm\-yyyy" sourceLinked="1"/>
        <c:majorTickMark val="out"/>
        <c:minorTickMark val="none"/>
        <c:tickLblPos val="nextTo"/>
        <c:crossAx val="267178368"/>
        <c:crosses val="autoZero"/>
        <c:auto val="0"/>
        <c:lblOffset val="100"/>
        <c:baseTimeUnit val="months"/>
        <c:majorUnit val="12"/>
        <c:majorTimeUnit val="months"/>
      </c:dateAx>
      <c:valAx>
        <c:axId val="267178368"/>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General" sourceLinked="1"/>
        <c:majorTickMark val="out"/>
        <c:minorTickMark val="none"/>
        <c:tickLblPos val="nextTo"/>
        <c:crossAx val="44634112"/>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211F2A-1D94-4E13-8012-5BC046BED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207D296D</Template>
  <TotalTime>0</TotalTime>
  <Pages>121</Pages>
  <Words>38849</Words>
  <Characters>221445</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2015-10-26T23:48:00Z</dcterms:created>
  <dcterms:modified xsi:type="dcterms:W3CDTF">2015-10-26T23:48:00Z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8565310</vt:lpwstr>
  </property>
  <property fmtid="{D5CDD505-2E9C-101B-9397-08002B2CF9AE}" pid="3" name="_MarkAsFinal">
    <vt:bool>true</vt:bool>
  </property>
</Properties>
</file>